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267788" w:rsidP="00D8492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Mars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2024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67788" w:rsidP="00267788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Mars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CE74E5">
        <w:rPr>
          <w:rFonts w:ascii="Times New Roman" w:eastAsia="Gulim" w:hAnsi="Times New Roman"/>
          <w:b/>
          <w:bCs/>
          <w:sz w:val="28"/>
          <w:szCs w:val="28"/>
        </w:rPr>
        <w:t>4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26778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67788">
        <w:rPr>
          <w:rFonts w:ascii="Times New Roman" w:eastAsia="Gulim" w:hAnsi="Times New Roman"/>
          <w:sz w:val="28"/>
          <w:szCs w:val="28"/>
        </w:rPr>
        <w:t>hausse</w:t>
      </w:r>
      <w:r w:rsidR="00960BBD">
        <w:rPr>
          <w:rFonts w:ascii="Times New Roman" w:eastAsia="Gulim" w:hAnsi="Times New Roman"/>
          <w:sz w:val="28"/>
          <w:szCs w:val="28"/>
        </w:rPr>
        <w:t xml:space="preserve"> de </w:t>
      </w:r>
      <w:r w:rsidR="00450AAC">
        <w:rPr>
          <w:rFonts w:ascii="Times New Roman" w:eastAsia="Gulim" w:hAnsi="Times New Roman"/>
          <w:sz w:val="28"/>
          <w:szCs w:val="28"/>
        </w:rPr>
        <w:t>0,</w:t>
      </w:r>
      <w:r w:rsidR="002A4E00">
        <w:rPr>
          <w:rFonts w:ascii="Times New Roman" w:eastAsia="Gulim" w:hAnsi="Times New Roman"/>
          <w:sz w:val="28"/>
          <w:szCs w:val="28"/>
        </w:rPr>
        <w:t>3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450AAC">
        <w:rPr>
          <w:rFonts w:ascii="Times New Roman" w:eastAsia="Gulim" w:hAnsi="Times New Roman"/>
          <w:sz w:val="28"/>
          <w:szCs w:val="28"/>
        </w:rPr>
        <w:t>d</w:t>
      </w:r>
      <w:r w:rsidR="00762D29">
        <w:rPr>
          <w:rFonts w:ascii="Times New Roman" w:eastAsia="Gulim" w:hAnsi="Times New Roman"/>
          <w:sz w:val="28"/>
          <w:szCs w:val="28"/>
        </w:rPr>
        <w:t xml:space="preserve">e </w:t>
      </w:r>
      <w:r w:rsidR="00267788">
        <w:rPr>
          <w:rFonts w:ascii="Times New Roman" w:eastAsia="Gulim" w:hAnsi="Times New Roman"/>
          <w:sz w:val="28"/>
          <w:szCs w:val="28"/>
        </w:rPr>
        <w:t>Mars</w:t>
      </w:r>
      <w:r w:rsidR="00CE74E5">
        <w:rPr>
          <w:rFonts w:ascii="Times New Roman" w:eastAsia="Gulim" w:hAnsi="Times New Roman"/>
          <w:sz w:val="28"/>
          <w:szCs w:val="28"/>
        </w:rPr>
        <w:t xml:space="preserve"> 2024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67788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2A4E00">
        <w:rPr>
          <w:rFonts w:ascii="Times New Roman" w:eastAsia="Gulim" w:hAnsi="Times New Roman"/>
          <w:sz w:val="28"/>
          <w:szCs w:val="28"/>
        </w:rPr>
        <w:t>0,8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à une </w:t>
      </w:r>
      <w:r w:rsidR="00267788">
        <w:rPr>
          <w:rFonts w:ascii="Times New Roman" w:eastAsia="Gulim" w:hAnsi="Times New Roman"/>
          <w:sz w:val="28"/>
          <w:szCs w:val="28"/>
        </w:rPr>
        <w:t>stagnation</w:t>
      </w:r>
      <w:r w:rsidR="005D2C90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267788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2A4E00" w:rsidRDefault="002A4E00" w:rsidP="002A4E00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46706C" w:rsidRDefault="00B06305" w:rsidP="0026778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60020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267788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267788">
        <w:rPr>
          <w:rFonts w:ascii="Times New Roman" w:eastAsia="Gulim" w:hAnsi="Times New Roman"/>
          <w:sz w:val="28"/>
          <w:szCs w:val="28"/>
        </w:rPr>
        <w:t>Février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 xml:space="preserve">et </w:t>
      </w:r>
      <w:r w:rsidR="00267788">
        <w:rPr>
          <w:rFonts w:ascii="Times New Roman" w:eastAsia="Gulim" w:hAnsi="Times New Roman"/>
          <w:sz w:val="28"/>
          <w:szCs w:val="28"/>
        </w:rPr>
        <w:t>Mars</w:t>
      </w:r>
      <w:r w:rsidR="00CE74E5">
        <w:rPr>
          <w:rFonts w:ascii="Times New Roman" w:eastAsia="Gulim" w:hAnsi="Times New Roman"/>
          <w:sz w:val="28"/>
          <w:szCs w:val="28"/>
        </w:rPr>
        <w:t xml:space="preserve"> 2024,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267788" w:rsidRPr="009C0D33">
        <w:rPr>
          <w:rFonts w:ascii="Times New Roman" w:eastAsia="Gulim" w:hAnsi="Times New Roman"/>
          <w:sz w:val="28"/>
          <w:szCs w:val="28"/>
        </w:rPr>
        <w:t>‘‘</w:t>
      </w:r>
      <w:r w:rsidR="00267788">
        <w:rPr>
          <w:rFonts w:ascii="Times New Roman" w:eastAsia="Gulim" w:hAnsi="Times New Roman"/>
          <w:sz w:val="28"/>
          <w:szCs w:val="28"/>
        </w:rPr>
        <w:t>Viandes</w:t>
      </w:r>
      <w:r w:rsidR="00267788" w:rsidRPr="009C0D33">
        <w:rPr>
          <w:rFonts w:ascii="Times New Roman" w:eastAsia="Gulim" w:hAnsi="Times New Roman"/>
          <w:sz w:val="28"/>
          <w:szCs w:val="28"/>
        </w:rPr>
        <w:t>’’</w:t>
      </w:r>
      <w:r w:rsidR="00267788">
        <w:rPr>
          <w:rFonts w:ascii="Times New Roman" w:eastAsia="Gulim" w:hAnsi="Times New Roman"/>
          <w:sz w:val="28"/>
          <w:szCs w:val="28"/>
        </w:rPr>
        <w:t xml:space="preserve"> avec 1,5%, les </w:t>
      </w:r>
      <w:r w:rsidR="00267788" w:rsidRPr="009C0D33">
        <w:rPr>
          <w:rFonts w:ascii="Times New Roman" w:eastAsia="Gulim" w:hAnsi="Times New Roman"/>
          <w:sz w:val="28"/>
          <w:szCs w:val="28"/>
        </w:rPr>
        <w:t>‘‘</w:t>
      </w:r>
      <w:r w:rsidR="00267788">
        <w:rPr>
          <w:rFonts w:ascii="Times New Roman" w:eastAsia="Gulim" w:hAnsi="Times New Roman"/>
          <w:sz w:val="28"/>
          <w:szCs w:val="28"/>
        </w:rPr>
        <w:t>Poissons et fruits de mer</w:t>
      </w:r>
      <w:r w:rsidR="00267788" w:rsidRPr="009C0D33">
        <w:rPr>
          <w:rFonts w:ascii="Times New Roman" w:eastAsia="Gulim" w:hAnsi="Times New Roman"/>
          <w:sz w:val="28"/>
          <w:szCs w:val="28"/>
        </w:rPr>
        <w:t>’’</w:t>
      </w:r>
      <w:r w:rsidR="00267788">
        <w:rPr>
          <w:rFonts w:ascii="Times New Roman" w:eastAsia="Gulim" w:hAnsi="Times New Roman"/>
          <w:sz w:val="28"/>
          <w:szCs w:val="28"/>
        </w:rPr>
        <w:t xml:space="preserve"> avec 5,0% et les </w:t>
      </w:r>
      <w:r w:rsidR="00267788" w:rsidRPr="009C0D33">
        <w:rPr>
          <w:rFonts w:ascii="Times New Roman" w:eastAsia="Gulim" w:hAnsi="Times New Roman"/>
          <w:sz w:val="28"/>
          <w:szCs w:val="28"/>
        </w:rPr>
        <w:t>‘‘</w:t>
      </w:r>
      <w:r w:rsidR="00267788">
        <w:rPr>
          <w:rFonts w:ascii="Times New Roman" w:eastAsia="Gulim" w:hAnsi="Times New Roman"/>
          <w:sz w:val="28"/>
          <w:szCs w:val="28"/>
        </w:rPr>
        <w:t>Fruits avec 1,2%.</w:t>
      </w:r>
      <w:r w:rsidR="00B35FA1">
        <w:rPr>
          <w:rFonts w:ascii="Times New Roman" w:eastAsia="Gulim" w:hAnsi="Times New Roman"/>
          <w:sz w:val="28"/>
          <w:szCs w:val="28"/>
        </w:rPr>
        <w:t xml:space="preserve">  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3579CB" w:rsidRPr="001B6B04" w:rsidTr="003579CB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Fév_2024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Mars_2024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3579CB" w:rsidRPr="001B6B04" w:rsidTr="003579CB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579CB" w:rsidRPr="008E7CC9" w:rsidRDefault="003579CB" w:rsidP="003579C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579CB" w:rsidRPr="008E7CC9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579CB" w:rsidRPr="008E7CC9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123,4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579CB" w:rsidRPr="008E7CC9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579CB" w:rsidRPr="008E7CC9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3579CB" w:rsidRPr="001B6B04" w:rsidTr="003579CB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3579CB" w:rsidRPr="001B6B04" w:rsidTr="003579CB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701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3579CB" w:rsidRPr="001B6B04" w:rsidTr="003579CB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1701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5,0</w:t>
            </w:r>
          </w:p>
        </w:tc>
      </w:tr>
      <w:tr w:rsidR="003579CB" w:rsidRPr="001B6B04" w:rsidTr="003579CB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122,2</w:t>
            </w:r>
          </w:p>
        </w:tc>
        <w:tc>
          <w:tcPr>
            <w:tcW w:w="1701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3579CB" w:rsidRPr="001B6B04" w:rsidTr="003579CB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150,5</w:t>
            </w:r>
          </w:p>
        </w:tc>
        <w:tc>
          <w:tcPr>
            <w:tcW w:w="1701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579CB" w:rsidRPr="001B6B04" w:rsidTr="003579CB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131,8</w:t>
            </w:r>
          </w:p>
        </w:tc>
        <w:tc>
          <w:tcPr>
            <w:tcW w:w="1701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3579CB" w:rsidRPr="001B6B04" w:rsidTr="003579CB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122,5</w:t>
            </w:r>
          </w:p>
        </w:tc>
        <w:tc>
          <w:tcPr>
            <w:tcW w:w="1701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3579CB" w:rsidRPr="001B6B04" w:rsidTr="003579CB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1701" w:type="dxa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3579CB" w:rsidRPr="001B6B04" w:rsidTr="003579CB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3579CB" w:rsidRPr="001B6B04" w:rsidTr="003579CB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3579CB" w:rsidRPr="001B6B04" w:rsidTr="003579CB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579CB" w:rsidRPr="008E7CC9" w:rsidRDefault="003579CB" w:rsidP="003579C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579CB" w:rsidRPr="008E7CC9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579CB" w:rsidRPr="008E7CC9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3579CB" w:rsidRPr="008E7CC9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3579CB" w:rsidRPr="008E7CC9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579CB" w:rsidRPr="001B6B04" w:rsidTr="003579CB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579CB" w:rsidRPr="001B6B04" w:rsidTr="003579CB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3579CB" w:rsidRPr="001B6B04" w:rsidTr="003579CB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579CB" w:rsidRPr="003109A6" w:rsidRDefault="003579CB" w:rsidP="003579C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3579CB" w:rsidRPr="003109A6" w:rsidRDefault="003579CB" w:rsidP="003579C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</w:tbl>
    <w:p w:rsidR="001A5AD0" w:rsidRDefault="001A5AD0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F92B40" w:rsidRDefault="00267A4B" w:rsidP="009967A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0F4DFF">
        <w:rPr>
          <w:rFonts w:ascii="Times New Roman" w:eastAsia="Gulim" w:hAnsi="Times New Roman"/>
          <w:sz w:val="28"/>
          <w:szCs w:val="28"/>
        </w:rPr>
        <w:t xml:space="preserve">les </w:t>
      </w:r>
      <w:r w:rsidR="009E57B8">
        <w:rPr>
          <w:rFonts w:ascii="Times New Roman" w:eastAsia="Gulim" w:hAnsi="Times New Roman"/>
          <w:sz w:val="28"/>
          <w:szCs w:val="28"/>
        </w:rPr>
        <w:t>prix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0F4DFF">
        <w:rPr>
          <w:rFonts w:ascii="Times New Roman" w:eastAsia="Gulim" w:hAnsi="Times New Roman"/>
          <w:sz w:val="28"/>
          <w:szCs w:val="28"/>
        </w:rPr>
        <w:t>Février</w:t>
      </w:r>
      <w:r w:rsidR="008E2196">
        <w:rPr>
          <w:rFonts w:ascii="Times New Roman" w:eastAsia="Gulim" w:hAnsi="Times New Roman"/>
          <w:sz w:val="28"/>
          <w:szCs w:val="28"/>
        </w:rPr>
        <w:t xml:space="preserve"> et </w:t>
      </w:r>
      <w:r w:rsidR="000F4DFF">
        <w:rPr>
          <w:rFonts w:ascii="Times New Roman" w:eastAsia="Gulim" w:hAnsi="Times New Roman"/>
          <w:sz w:val="28"/>
          <w:szCs w:val="28"/>
        </w:rPr>
        <w:t>Mars</w:t>
      </w:r>
      <w:r w:rsidR="006C371B">
        <w:rPr>
          <w:rFonts w:ascii="Times New Roman" w:eastAsia="Gulim" w:hAnsi="Times New Roman"/>
          <w:sz w:val="28"/>
          <w:szCs w:val="28"/>
        </w:rPr>
        <w:t xml:space="preserve"> 2024 </w:t>
      </w:r>
      <w:r w:rsidR="000F4DFF">
        <w:rPr>
          <w:rFonts w:ascii="Times New Roman" w:eastAsia="Gulim" w:hAnsi="Times New Roman"/>
          <w:sz w:val="28"/>
          <w:szCs w:val="28"/>
        </w:rPr>
        <w:t xml:space="preserve">ont connu une hausse pour les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0F4DFF">
        <w:rPr>
          <w:rFonts w:ascii="Times New Roman" w:eastAsia="Gulim" w:hAnsi="Times New Roman"/>
          <w:sz w:val="28"/>
          <w:szCs w:val="28"/>
        </w:rPr>
        <w:t>Articles d’Habillement et Chaussures</w:t>
      </w:r>
      <w:r w:rsidR="008E2196" w:rsidRPr="00391850">
        <w:rPr>
          <w:rFonts w:ascii="Times New Roman" w:eastAsia="Gulim" w:hAnsi="Times New Roman"/>
          <w:sz w:val="28"/>
          <w:szCs w:val="28"/>
        </w:rPr>
        <w:t>’’</w:t>
      </w:r>
      <w:r w:rsidR="008E2196">
        <w:rPr>
          <w:rFonts w:ascii="Times New Roman" w:eastAsia="Gulim" w:hAnsi="Times New Roman"/>
          <w:sz w:val="28"/>
          <w:szCs w:val="28"/>
        </w:rPr>
        <w:t xml:space="preserve"> avec </w:t>
      </w:r>
      <w:r w:rsidR="000F4DFF">
        <w:rPr>
          <w:rFonts w:ascii="Times New Roman" w:eastAsia="Gulim" w:hAnsi="Times New Roman"/>
          <w:sz w:val="28"/>
          <w:szCs w:val="28"/>
        </w:rPr>
        <w:t>0,4</w:t>
      </w:r>
      <w:r w:rsidR="008E2196">
        <w:rPr>
          <w:rFonts w:ascii="Times New Roman" w:eastAsia="Gulim" w:hAnsi="Times New Roman"/>
          <w:sz w:val="28"/>
          <w:szCs w:val="28"/>
        </w:rPr>
        <w:t xml:space="preserve">% </w:t>
      </w:r>
      <w:r w:rsidR="000F4DFF">
        <w:rPr>
          <w:rFonts w:ascii="Times New Roman" w:eastAsia="Gulim" w:hAnsi="Times New Roman"/>
          <w:sz w:val="28"/>
          <w:szCs w:val="28"/>
        </w:rPr>
        <w:t xml:space="preserve">et les frais de pèlerinage avec 0,5% contre une baisse des prix du </w:t>
      </w:r>
      <w:r w:rsidR="000F4DFF" w:rsidRPr="009C0D33">
        <w:rPr>
          <w:rFonts w:ascii="Times New Roman" w:eastAsia="Gulim" w:hAnsi="Times New Roman"/>
          <w:sz w:val="28"/>
          <w:szCs w:val="28"/>
        </w:rPr>
        <w:t>‘‘</w:t>
      </w:r>
      <w:r w:rsidR="000F4DFF">
        <w:rPr>
          <w:rFonts w:ascii="Times New Roman" w:eastAsia="Gulim" w:hAnsi="Times New Roman"/>
          <w:sz w:val="28"/>
          <w:szCs w:val="28"/>
        </w:rPr>
        <w:t>Transport aériens des passagers</w:t>
      </w:r>
      <w:r w:rsidR="000F4DFF" w:rsidRPr="00391850">
        <w:rPr>
          <w:rFonts w:ascii="Times New Roman" w:eastAsia="Gulim" w:hAnsi="Times New Roman"/>
          <w:sz w:val="28"/>
          <w:szCs w:val="28"/>
        </w:rPr>
        <w:t>’’</w:t>
      </w:r>
      <w:r w:rsidR="000F4DFF">
        <w:rPr>
          <w:rFonts w:ascii="Times New Roman" w:eastAsia="Gulim" w:hAnsi="Times New Roman"/>
          <w:sz w:val="28"/>
          <w:szCs w:val="28"/>
        </w:rPr>
        <w:t xml:space="preserve"> avec -2,4% et une quasi- stagnation des</w:t>
      </w:r>
      <w:r w:rsidR="00054D2E">
        <w:rPr>
          <w:rFonts w:ascii="Times New Roman" w:eastAsia="Gulim" w:hAnsi="Times New Roman"/>
          <w:sz w:val="28"/>
          <w:szCs w:val="28"/>
        </w:rPr>
        <w:t xml:space="preserve"> prix des</w:t>
      </w:r>
      <w:r w:rsidR="000F4DFF">
        <w:rPr>
          <w:rFonts w:ascii="Times New Roman" w:eastAsia="Gulim" w:hAnsi="Times New Roman"/>
          <w:sz w:val="28"/>
          <w:szCs w:val="28"/>
        </w:rPr>
        <w:t xml:space="preserve"> autres biens et services.</w:t>
      </w:r>
    </w:p>
    <w:p w:rsidR="00FD00D6" w:rsidRDefault="000E554F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34AFCB90" wp14:editId="2CD9D958">
            <wp:extent cx="5343525" cy="2124075"/>
            <wp:effectExtent l="0" t="0" r="9525" b="952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0"/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276"/>
        <w:gridCol w:w="1419"/>
        <w:gridCol w:w="1698"/>
      </w:tblGrid>
      <w:tr w:rsidR="002F4038" w:rsidRPr="004E0DA4" w:rsidTr="002F4038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F4038" w:rsidRPr="005A6F02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Février_ 2024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F4038" w:rsidRPr="005A6F02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Mars_ 2024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2F4038" w:rsidRPr="005A6F02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2F4038" w:rsidRPr="005A6F02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2F4038" w:rsidRPr="004E0DA4" w:rsidTr="002B7939">
        <w:trPr>
          <w:trHeight w:val="36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124,1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Default="009967AC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1,8</w:t>
            </w:r>
          </w:p>
        </w:tc>
      </w:tr>
      <w:tr w:rsidR="002F4038" w:rsidRPr="004E0DA4" w:rsidTr="002B7939">
        <w:trPr>
          <w:trHeight w:val="41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111,9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Default="009967AC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2F4038" w:rsidRPr="00534BE7" w:rsidTr="002F4038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112,6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113,0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101EA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2F4038" w:rsidRPr="004E0DA4" w:rsidTr="002F4038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105,3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101EA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2F4038" w:rsidRPr="004E0DA4" w:rsidTr="002F4038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113,6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113,6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101EA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2F4038" w:rsidRPr="004E0DA4" w:rsidTr="002B7939">
        <w:trPr>
          <w:trHeight w:val="31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101EA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-1,4</w:t>
            </w:r>
          </w:p>
        </w:tc>
      </w:tr>
      <w:tr w:rsidR="002F4038" w:rsidRPr="004E0DA4" w:rsidTr="002B7939">
        <w:trPr>
          <w:trHeight w:val="28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121,7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121,6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101EA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2F4038" w:rsidRPr="004E0DA4" w:rsidTr="002F4038">
        <w:trPr>
          <w:trHeight w:val="40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101EA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</w:tr>
      <w:tr w:rsidR="002F4038" w:rsidRPr="004E0DA4" w:rsidTr="002F4038">
        <w:trPr>
          <w:trHeight w:val="39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104,3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101EA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-1,1</w:t>
            </w:r>
          </w:p>
        </w:tc>
      </w:tr>
      <w:tr w:rsidR="002F4038" w:rsidRPr="004E0DA4" w:rsidTr="002F4038">
        <w:trPr>
          <w:trHeight w:val="31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122,1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101EA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2F4038" w:rsidRPr="004E0DA4" w:rsidTr="002F4038">
        <w:trPr>
          <w:trHeight w:val="41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114,8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114,8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101EA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4,5</w:t>
            </w:r>
          </w:p>
        </w:tc>
      </w:tr>
      <w:tr w:rsidR="002F4038" w:rsidRPr="004E0DA4" w:rsidTr="002F4038">
        <w:trPr>
          <w:trHeight w:val="42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E0DA4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4101EA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2F4038" w:rsidRPr="004E0DA4" w:rsidTr="002F4038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Default="002F4038" w:rsidP="002F403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5703A7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5703A7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116,4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5703A7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116,8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5703A7" w:rsidRDefault="002F4038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038" w:rsidRPr="005703A7" w:rsidRDefault="009967AC" w:rsidP="002F403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</w:tbl>
    <w:p w:rsidR="001D5B7A" w:rsidRDefault="001D5B7A" w:rsidP="009967A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hausse de </w:t>
      </w:r>
      <w:r w:rsidR="009967AC">
        <w:rPr>
          <w:rFonts w:ascii="Times New Roman" w:eastAsia="Gulim" w:hAnsi="Times New Roman"/>
          <w:b/>
          <w:bCs/>
          <w:sz w:val="28"/>
          <w:szCs w:val="28"/>
        </w:rPr>
        <w:t>1,1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9967A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9967AC">
        <w:rPr>
          <w:rFonts w:ascii="Times New Roman" w:eastAsia="Gulim" w:hAnsi="Times New Roman"/>
          <w:sz w:val="28"/>
          <w:szCs w:val="28"/>
        </w:rPr>
        <w:t>1,1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9967AC">
        <w:rPr>
          <w:rFonts w:ascii="Times New Roman" w:eastAsia="Gulim" w:hAnsi="Times New Roman"/>
          <w:sz w:val="28"/>
          <w:szCs w:val="28"/>
        </w:rPr>
        <w:t>1,8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D86F45">
        <w:rPr>
          <w:rFonts w:ascii="Times New Roman" w:eastAsia="Gulim" w:hAnsi="Times New Roman"/>
          <w:sz w:val="28"/>
          <w:szCs w:val="28"/>
        </w:rPr>
        <w:t>de 0,</w:t>
      </w:r>
      <w:r w:rsidR="009967AC">
        <w:rPr>
          <w:rFonts w:ascii="Times New Roman" w:eastAsia="Gulim" w:hAnsi="Times New Roman"/>
          <w:sz w:val="28"/>
          <w:szCs w:val="28"/>
        </w:rPr>
        <w:t>7</w:t>
      </w:r>
      <w:r w:rsidR="00D86F45">
        <w:rPr>
          <w:rFonts w:ascii="Times New Roman" w:eastAsia="Gulim" w:hAnsi="Times New Roman"/>
          <w:sz w:val="28"/>
          <w:szCs w:val="28"/>
        </w:rPr>
        <w:t xml:space="preserve">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9967AC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46B3077" wp14:editId="4E7CDF10">
            <wp:extent cx="5362575" cy="2743200"/>
            <wp:effectExtent l="0" t="0" r="9525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A06D2" w:rsidRDefault="009A06D2" w:rsidP="00D07698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1D3D9B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</w:t>
      </w:r>
      <w:r w:rsidR="00170600">
        <w:rPr>
          <w:rFonts w:ascii="Times New Roman" w:eastAsia="Gulim" w:hAnsi="Times New Roman"/>
          <w:sz w:val="28"/>
          <w:szCs w:val="28"/>
        </w:rPr>
        <w:t>Mars</w:t>
      </w:r>
      <w:r>
        <w:rPr>
          <w:rFonts w:ascii="Times New Roman" w:eastAsia="Gulim" w:hAnsi="Times New Roman"/>
          <w:sz w:val="28"/>
          <w:szCs w:val="28"/>
        </w:rPr>
        <w:t xml:space="preserve"> 2024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170600">
        <w:rPr>
          <w:rFonts w:ascii="Times New Roman" w:eastAsia="Gulim" w:hAnsi="Times New Roman"/>
          <w:sz w:val="28"/>
          <w:szCs w:val="28"/>
        </w:rPr>
        <w:t>hausse</w:t>
      </w:r>
      <w:r>
        <w:rPr>
          <w:rFonts w:ascii="Times New Roman" w:eastAsia="Gulim" w:hAnsi="Times New Roman"/>
          <w:sz w:val="28"/>
          <w:szCs w:val="28"/>
        </w:rPr>
        <w:t xml:space="preserve"> de 0,</w:t>
      </w:r>
      <w:r w:rsidR="001D3D9B">
        <w:rPr>
          <w:rFonts w:ascii="Times New Roman" w:eastAsia="Gulim" w:hAnsi="Times New Roman"/>
          <w:sz w:val="28"/>
          <w:szCs w:val="28"/>
        </w:rPr>
        <w:t>7</w:t>
      </w:r>
      <w:r>
        <w:rPr>
          <w:rFonts w:ascii="Times New Roman" w:eastAsia="Gulim" w:hAnsi="Times New Roman"/>
          <w:sz w:val="28"/>
          <w:szCs w:val="28"/>
        </w:rPr>
        <w:t xml:space="preserve">% en glissement mensuel et une hausse de </w:t>
      </w:r>
      <w:r w:rsidR="005C1973">
        <w:rPr>
          <w:rFonts w:ascii="Times New Roman" w:eastAsia="Gulim" w:hAnsi="Times New Roman"/>
          <w:sz w:val="28"/>
          <w:szCs w:val="28"/>
        </w:rPr>
        <w:t>0,</w:t>
      </w:r>
      <w:r w:rsidR="001D3D9B">
        <w:rPr>
          <w:rFonts w:ascii="Times New Roman" w:eastAsia="Gulim" w:hAnsi="Times New Roman"/>
          <w:sz w:val="28"/>
          <w:szCs w:val="28"/>
        </w:rPr>
        <w:t>9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182699" w:rsidRDefault="00182699" w:rsidP="00182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82699" w:rsidRDefault="00182699" w:rsidP="001D3D9B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mensuelle de l’IPC a été </w:t>
      </w:r>
      <w:r w:rsidR="001D3D9B">
        <w:rPr>
          <w:rFonts w:ascii="Times New Roman" w:eastAsia="Gulim" w:hAnsi="Times New Roman"/>
          <w:sz w:val="28"/>
          <w:szCs w:val="28"/>
        </w:rPr>
        <w:t xml:space="preserve">d’une tendance haussière </w:t>
      </w:r>
      <w:r>
        <w:rPr>
          <w:rFonts w:ascii="Times New Roman" w:eastAsia="Gulim" w:hAnsi="Times New Roman"/>
          <w:sz w:val="28"/>
          <w:szCs w:val="28"/>
        </w:rPr>
        <w:t>allant d</w:t>
      </w:r>
      <w:r w:rsidR="001D3D9B">
        <w:rPr>
          <w:rFonts w:ascii="Times New Roman" w:eastAsia="Gulim" w:hAnsi="Times New Roman"/>
          <w:sz w:val="28"/>
          <w:szCs w:val="28"/>
        </w:rPr>
        <w:t>e 0,3% à Casablanca à 1,5%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5C1973">
        <w:rPr>
          <w:rFonts w:ascii="Times New Roman" w:eastAsia="Gulim" w:hAnsi="Times New Roman"/>
          <w:sz w:val="28"/>
          <w:szCs w:val="28"/>
        </w:rPr>
        <w:t>Al Hoceima</w:t>
      </w:r>
      <w:r w:rsidR="001D3D9B">
        <w:rPr>
          <w:rFonts w:ascii="Times New Roman" w:eastAsia="Gulim" w:hAnsi="Times New Roman"/>
          <w:sz w:val="28"/>
          <w:szCs w:val="28"/>
        </w:rPr>
        <w:t>.</w:t>
      </w:r>
    </w:p>
    <w:p w:rsidR="00435DE1" w:rsidRDefault="00435DE1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DE" w:rsidRDefault="00A257DE">
      <w:r>
        <w:separator/>
      </w:r>
    </w:p>
    <w:p w:rsidR="00A257DE" w:rsidRDefault="00A257DE"/>
  </w:endnote>
  <w:endnote w:type="continuationSeparator" w:id="0">
    <w:p w:rsidR="00A257DE" w:rsidRDefault="00A257DE">
      <w:r>
        <w:continuationSeparator/>
      </w:r>
    </w:p>
    <w:p w:rsidR="00A257DE" w:rsidRDefault="00A2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2B7939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2B7939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DE" w:rsidRDefault="00A257DE">
      <w:r>
        <w:separator/>
      </w:r>
    </w:p>
    <w:p w:rsidR="00A257DE" w:rsidRDefault="00A257DE"/>
  </w:footnote>
  <w:footnote w:type="continuationSeparator" w:id="0">
    <w:p w:rsidR="00A257DE" w:rsidRDefault="00A257DE">
      <w:r>
        <w:continuationSeparator/>
      </w:r>
    </w:p>
    <w:p w:rsidR="00A257DE" w:rsidRDefault="00A2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3C"/>
    <w:rsid w:val="00435DE1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B66"/>
    <w:rsid w:val="005B6D4A"/>
    <w:rsid w:val="005B7034"/>
    <w:rsid w:val="005B765D"/>
    <w:rsid w:val="005C026C"/>
    <w:rsid w:val="005C1973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67DC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12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0FC0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79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3_2024\03_2024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4\03_2024\03_2024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Mars 2023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Mars 2024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1327019804342639"/>
          <c:w val="0.88897440944881889"/>
          <c:h val="0.83083894058697194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44986</c:v>
                </c:pt>
                <c:pt idx="1">
                  <c:v>45017</c:v>
                </c:pt>
                <c:pt idx="2">
                  <c:v>45047</c:v>
                </c:pt>
                <c:pt idx="3">
                  <c:v>45078</c:v>
                </c:pt>
                <c:pt idx="4">
                  <c:v>45108</c:v>
                </c:pt>
                <c:pt idx="5">
                  <c:v>45139</c:v>
                </c:pt>
                <c:pt idx="6">
                  <c:v>45170</c:v>
                </c:pt>
                <c:pt idx="7">
                  <c:v>45200</c:v>
                </c:pt>
                <c:pt idx="8">
                  <c:v>45231</c:v>
                </c:pt>
                <c:pt idx="9">
                  <c:v>45261</c:v>
                </c:pt>
                <c:pt idx="10">
                  <c:v>45292</c:v>
                </c:pt>
                <c:pt idx="11">
                  <c:v>45323</c:v>
                </c:pt>
                <c:pt idx="12">
                  <c:v>45352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-0.3</c:v>
                </c:pt>
                <c:pt idx="1">
                  <c:v>1.4</c:v>
                </c:pt>
                <c:pt idx="2">
                  <c:v>-0.4</c:v>
                </c:pt>
                <c:pt idx="3">
                  <c:v>-0.7</c:v>
                </c:pt>
                <c:pt idx="4">
                  <c:v>0.3</c:v>
                </c:pt>
                <c:pt idx="5">
                  <c:v>0.3</c:v>
                </c:pt>
                <c:pt idx="6">
                  <c:v>1.2</c:v>
                </c:pt>
                <c:pt idx="7">
                  <c:v>0.1</c:v>
                </c:pt>
                <c:pt idx="8">
                  <c:v>-0.4</c:v>
                </c:pt>
                <c:pt idx="9">
                  <c:v>0.2</c:v>
                </c:pt>
                <c:pt idx="10">
                  <c:v>-0.8</c:v>
                </c:pt>
                <c:pt idx="11">
                  <c:v>-0.3</c:v>
                </c:pt>
                <c:pt idx="12">
                  <c:v>0.3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91AD-4DE9-B770-5E5A43BA6C35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44986</c:v>
                </c:pt>
                <c:pt idx="1">
                  <c:v>45017</c:v>
                </c:pt>
                <c:pt idx="2">
                  <c:v>45047</c:v>
                </c:pt>
                <c:pt idx="3">
                  <c:v>45078</c:v>
                </c:pt>
                <c:pt idx="4">
                  <c:v>45108</c:v>
                </c:pt>
                <c:pt idx="5">
                  <c:v>45139</c:v>
                </c:pt>
                <c:pt idx="6">
                  <c:v>45170</c:v>
                </c:pt>
                <c:pt idx="7">
                  <c:v>45200</c:v>
                </c:pt>
                <c:pt idx="8">
                  <c:v>45231</c:v>
                </c:pt>
                <c:pt idx="9">
                  <c:v>45261</c:v>
                </c:pt>
                <c:pt idx="10">
                  <c:v>45292</c:v>
                </c:pt>
                <c:pt idx="11">
                  <c:v>45323</c:v>
                </c:pt>
                <c:pt idx="12">
                  <c:v>45352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0.1</c:v>
                </c:pt>
                <c:pt idx="1">
                  <c:v>1.4</c:v>
                </c:pt>
                <c:pt idx="2">
                  <c:v>-0.4</c:v>
                </c:pt>
                <c:pt idx="3">
                  <c:v>-0.9</c:v>
                </c:pt>
                <c:pt idx="4">
                  <c:v>0.3</c:v>
                </c:pt>
                <c:pt idx="5">
                  <c:v>0.3</c:v>
                </c:pt>
                <c:pt idx="6">
                  <c:v>0.8</c:v>
                </c:pt>
                <c:pt idx="7">
                  <c:v>-0.1</c:v>
                </c:pt>
                <c:pt idx="8">
                  <c:v>-0.3</c:v>
                </c:pt>
                <c:pt idx="9">
                  <c:v>-0.1</c:v>
                </c:pt>
                <c:pt idx="10">
                  <c:v>-0.6</c:v>
                </c:pt>
                <c:pt idx="11">
                  <c:v>-0.3</c:v>
                </c:pt>
                <c:pt idx="12">
                  <c:v>0.7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1AD-4DE9-B770-5E5A43BA6C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0226944"/>
        <c:axId val="310227272"/>
      </c:lineChart>
      <c:dateAx>
        <c:axId val="3102269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7272"/>
        <c:crosses val="autoZero"/>
        <c:auto val="1"/>
        <c:lblOffset val="100"/>
        <c:baseTimeUnit val="months"/>
      </c:dateAx>
      <c:valAx>
        <c:axId val="31022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Feuil9!$A$110:$A$184</c:f>
              <c:numCache>
                <c:formatCode>mmm\-yy</c:formatCode>
                <c:ptCount val="75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</c:numCache>
            </c:numRef>
          </c:cat>
          <c:val>
            <c:numRef>
              <c:f>Feuil9!$B$110:$B$184</c:f>
              <c:numCache>
                <c:formatCode>General</c:formatCode>
                <c:ptCount val="75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B388-4C32-840E-1214BB92A5C7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Feuil9!$A$110:$A$184</c:f>
              <c:numCache>
                <c:formatCode>mmm\-yy</c:formatCode>
                <c:ptCount val="75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</c:numCache>
            </c:numRef>
          </c:cat>
          <c:val>
            <c:numRef>
              <c:f>Feuil9!$C$110:$C$184</c:f>
              <c:numCache>
                <c:formatCode>General</c:formatCode>
                <c:ptCount val="75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388-4C32-840E-1214BB92A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5354720"/>
        <c:axId val="425353408"/>
      </c:lineChart>
      <c:dateAx>
        <c:axId val="42535472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5353408"/>
        <c:crosses val="autoZero"/>
        <c:auto val="1"/>
        <c:lblOffset val="100"/>
        <c:baseTimeUnit val="months"/>
      </c:dateAx>
      <c:valAx>
        <c:axId val="42535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2535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109583-397F-4DA7-9EDA-CA51E9C1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2024-04-25T09:48:00Z</dcterms:created>
  <dcterms:modified xsi:type="dcterms:W3CDTF">2024-04-25T10:43:00Z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