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22" w:rsidRPr="001D4722" w:rsidRDefault="00F551BA" w:rsidP="00C11E43">
      <w:pPr>
        <w:pStyle w:val="Nomdesocit"/>
        <w:bidi/>
        <w:spacing w:after="120" w:line="240" w:lineRule="auto"/>
        <w:jc w:val="right"/>
        <w:outlineLvl w:val="0"/>
        <w:rPr>
          <w:rFonts w:ascii="Courier New" w:hAnsi="Courier New" w:cs="Courier New"/>
          <w:b/>
          <w:bCs/>
          <w:color w:val="FFC000"/>
          <w:sz w:val="24"/>
          <w:szCs w:val="24"/>
          <w:rtl/>
          <w:lang w:bidi="ar-MA"/>
        </w:rPr>
      </w:pPr>
      <w:bookmarkStart w:id="0" w:name="_GoBack"/>
      <w:bookmarkEnd w:id="0"/>
      <w:r w:rsidRPr="001D4722">
        <w:rPr>
          <w:rFonts w:ascii="Courier New" w:hAnsi="Courier New" w:cs="Courier New"/>
          <w:b/>
          <w:bCs/>
          <w:color w:val="FFC000"/>
          <w:sz w:val="24"/>
          <w:szCs w:val="24"/>
          <w:rtl/>
          <w:lang w:bidi="ar-MA"/>
        </w:rPr>
        <w:t>ا</w:t>
      </w:r>
      <w:r w:rsidR="001D4722" w:rsidRPr="001D4722">
        <w:rPr>
          <w:rFonts w:ascii="Courier New" w:hAnsi="Courier New" w:cs="Courier New"/>
          <w:b/>
          <w:bCs/>
          <w:color w:val="FFC000"/>
          <w:sz w:val="24"/>
          <w:szCs w:val="24"/>
          <w:rtl/>
          <w:lang w:bidi="ar-MA"/>
        </w:rPr>
        <w:t>لمملكةالمغربية</w:t>
      </w:r>
      <w:r w:rsidR="00C11E43">
        <w:rPr>
          <w:rFonts w:ascii="Courier New" w:hAnsi="Courier New" w:cs="Courier New"/>
          <w:b/>
          <w:bCs/>
          <w:color w:val="FFC000"/>
          <w:sz w:val="24"/>
          <w:szCs w:val="24"/>
          <w:lang w:bidi="ar-MA"/>
        </w:rPr>
        <w:t xml:space="preserve">    </w:t>
      </w:r>
    </w:p>
    <w:p w:rsidR="00693096" w:rsidRPr="00B833F0" w:rsidRDefault="00C11E43" w:rsidP="00C11E43">
      <w:pPr>
        <w:pStyle w:val="Nomdesocit"/>
        <w:spacing w:after="120" w:line="240" w:lineRule="auto"/>
        <w:outlineLvl w:val="0"/>
        <w:rPr>
          <w:rFonts w:ascii="Cooper Black" w:hAnsi="Cooper Black"/>
          <w:color w:val="993366"/>
          <w:sz w:val="24"/>
          <w:szCs w:val="24"/>
        </w:rPr>
      </w:pPr>
      <w:r>
        <w:rPr>
          <w:rFonts w:ascii="Cooper Black" w:hAnsi="Cooper Black"/>
          <w:color w:val="993366"/>
          <w:sz w:val="24"/>
          <w:szCs w:val="24"/>
        </w:rPr>
        <w:t xml:space="preserve">           </w:t>
      </w:r>
      <w:r w:rsidR="00693096" w:rsidRPr="00B833F0">
        <w:rPr>
          <w:rFonts w:ascii="Cooper Black" w:hAnsi="Cooper Black"/>
          <w:color w:val="993366"/>
          <w:sz w:val="24"/>
          <w:szCs w:val="24"/>
        </w:rPr>
        <w:t>ROYAUME  DU MAROC</w:t>
      </w:r>
    </w:p>
    <w:p w:rsidR="00693096" w:rsidRDefault="00CF32DD" w:rsidP="00C11E43">
      <w:pPr>
        <w:pStyle w:val="Nomdesocit"/>
        <w:spacing w:after="120" w:line="240" w:lineRule="auto"/>
        <w:outlineLvl w:val="0"/>
        <w:rPr>
          <w:sz w:val="24"/>
          <w:szCs w:val="24"/>
        </w:rPr>
      </w:pPr>
      <w:r>
        <w:rPr>
          <w:noProof/>
          <w:sz w:val="28"/>
          <w:szCs w:val="28"/>
          <w:lang w:eastAsia="fr-FR"/>
        </w:rPr>
        <w:drawing>
          <wp:inline distT="0" distB="0" distL="0" distR="0">
            <wp:extent cx="1981200" cy="6477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rsidR="00A954ED" w:rsidRDefault="00A954ED" w:rsidP="00A954ED">
      <w:pPr>
        <w:pStyle w:val="Sous-titre"/>
      </w:pPr>
    </w:p>
    <w:tbl>
      <w:tblPr>
        <w:tblW w:w="8505" w:type="dxa"/>
        <w:jc w:val="center"/>
        <w:shd w:val="clear" w:color="auto" w:fill="FFCC99"/>
        <w:tblLook w:val="01E0" w:firstRow="1" w:lastRow="1" w:firstColumn="1" w:lastColumn="1" w:noHBand="0" w:noVBand="0"/>
      </w:tblPr>
      <w:tblGrid>
        <w:gridCol w:w="8505"/>
      </w:tblGrid>
      <w:tr w:rsidR="00693096" w:rsidRPr="001D4722" w:rsidTr="00402AD4">
        <w:trPr>
          <w:jc w:val="center"/>
        </w:trPr>
        <w:tc>
          <w:tcPr>
            <w:tcW w:w="8505" w:type="dxa"/>
            <w:shd w:val="clear" w:color="auto" w:fill="auto"/>
          </w:tcPr>
          <w:p w:rsidR="00A954ED" w:rsidRPr="001D4722" w:rsidRDefault="00693096" w:rsidP="00A954ED">
            <w:pPr>
              <w:ind w:left="0"/>
              <w:jc w:val="center"/>
              <w:rPr>
                <w:rFonts w:ascii="Times New Roman" w:hAnsi="Times New Roman"/>
                <w:b/>
                <w:bCs/>
                <w:color w:val="993366"/>
                <w:sz w:val="52"/>
                <w:szCs w:val="52"/>
              </w:rPr>
            </w:pPr>
            <w:r w:rsidRPr="001D4722">
              <w:rPr>
                <w:rFonts w:ascii="Times New Roman" w:hAnsi="Times New Roman"/>
                <w:b/>
                <w:bCs/>
                <w:color w:val="993366"/>
                <w:sz w:val="52"/>
                <w:szCs w:val="52"/>
              </w:rPr>
              <w:t>Note</w:t>
            </w:r>
          </w:p>
          <w:p w:rsidR="00107C4D" w:rsidRDefault="00D52A9D" w:rsidP="00D52A9D">
            <w:pPr>
              <w:tabs>
                <w:tab w:val="center" w:pos="4144"/>
                <w:tab w:val="left" w:pos="7395"/>
              </w:tabs>
              <w:ind w:left="0"/>
              <w:rPr>
                <w:rFonts w:ascii="Times New Roman" w:hAnsi="Times New Roman"/>
                <w:b/>
                <w:bCs/>
                <w:color w:val="993366"/>
                <w:sz w:val="52"/>
                <w:szCs w:val="52"/>
              </w:rPr>
            </w:pPr>
            <w:r>
              <w:rPr>
                <w:rFonts w:ascii="Times New Roman" w:hAnsi="Times New Roman"/>
                <w:b/>
                <w:bCs/>
                <w:color w:val="993366"/>
                <w:sz w:val="52"/>
                <w:szCs w:val="52"/>
              </w:rPr>
              <w:tab/>
            </w:r>
            <w:r w:rsidR="001D4722" w:rsidRPr="001D4722">
              <w:rPr>
                <w:rFonts w:ascii="Times New Roman" w:hAnsi="Times New Roman"/>
                <w:b/>
                <w:bCs/>
                <w:color w:val="993366"/>
                <w:sz w:val="52"/>
                <w:szCs w:val="52"/>
              </w:rPr>
              <w:t xml:space="preserve">sur </w:t>
            </w:r>
            <w:r w:rsidR="001D4722">
              <w:rPr>
                <w:rFonts w:ascii="Times New Roman" w:hAnsi="Times New Roman"/>
                <w:b/>
                <w:bCs/>
                <w:color w:val="993366"/>
                <w:sz w:val="52"/>
                <w:szCs w:val="52"/>
              </w:rPr>
              <w:t>l’Indice</w:t>
            </w:r>
            <w:r w:rsidR="00107C4D">
              <w:rPr>
                <w:rFonts w:ascii="Times New Roman" w:hAnsi="Times New Roman"/>
                <w:b/>
                <w:bCs/>
                <w:color w:val="993366"/>
                <w:sz w:val="52"/>
                <w:szCs w:val="52"/>
              </w:rPr>
              <w:t xml:space="preserve"> </w:t>
            </w:r>
            <w:r>
              <w:rPr>
                <w:rFonts w:ascii="Times New Roman" w:hAnsi="Times New Roman"/>
                <w:b/>
                <w:bCs/>
                <w:color w:val="993366"/>
                <w:sz w:val="52"/>
                <w:szCs w:val="52"/>
              </w:rPr>
              <w:tab/>
            </w:r>
          </w:p>
          <w:p w:rsidR="00107C4D" w:rsidRDefault="001D4722" w:rsidP="00107C4D">
            <w:pPr>
              <w:ind w:left="0"/>
              <w:jc w:val="center"/>
              <w:rPr>
                <w:rFonts w:ascii="Times New Roman" w:hAnsi="Times New Roman"/>
                <w:b/>
                <w:bCs/>
                <w:color w:val="993366"/>
                <w:sz w:val="52"/>
                <w:szCs w:val="52"/>
              </w:rPr>
            </w:pPr>
            <w:r>
              <w:rPr>
                <w:rFonts w:ascii="Times New Roman" w:hAnsi="Times New Roman"/>
                <w:b/>
                <w:bCs/>
                <w:color w:val="993366"/>
                <w:sz w:val="52"/>
                <w:szCs w:val="52"/>
              </w:rPr>
              <w:t>des Prix à la Consommation (IPC)</w:t>
            </w:r>
            <w:r w:rsidR="00107C4D">
              <w:rPr>
                <w:rFonts w:ascii="Times New Roman" w:hAnsi="Times New Roman"/>
                <w:b/>
                <w:bCs/>
                <w:color w:val="993366"/>
                <w:sz w:val="52"/>
                <w:szCs w:val="52"/>
              </w:rPr>
              <w:t xml:space="preserve"> </w:t>
            </w:r>
          </w:p>
          <w:p w:rsidR="00693096" w:rsidRPr="001D4722" w:rsidRDefault="003F074A" w:rsidP="003F074A">
            <w:pPr>
              <w:ind w:left="0"/>
              <w:jc w:val="center"/>
              <w:rPr>
                <w:rFonts w:ascii="Times New Roman" w:hAnsi="Times New Roman"/>
                <w:b/>
                <w:bCs/>
                <w:color w:val="993366"/>
                <w:sz w:val="80"/>
                <w:szCs w:val="80"/>
              </w:rPr>
            </w:pPr>
            <w:r>
              <w:rPr>
                <w:rFonts w:ascii="Times New Roman" w:hAnsi="Times New Roman"/>
                <w:b/>
                <w:bCs/>
                <w:color w:val="993366"/>
                <w:sz w:val="52"/>
                <w:szCs w:val="52"/>
              </w:rPr>
              <w:t xml:space="preserve">à </w:t>
            </w:r>
            <w:r w:rsidR="00107C4D">
              <w:rPr>
                <w:rFonts w:ascii="Times New Roman" w:hAnsi="Times New Roman"/>
                <w:b/>
                <w:bCs/>
                <w:color w:val="993366"/>
                <w:sz w:val="52"/>
                <w:szCs w:val="52"/>
              </w:rPr>
              <w:t>C</w:t>
            </w:r>
            <w:r>
              <w:rPr>
                <w:rFonts w:ascii="Times New Roman" w:hAnsi="Times New Roman"/>
                <w:b/>
                <w:bCs/>
                <w:color w:val="993366"/>
                <w:sz w:val="52"/>
                <w:szCs w:val="52"/>
              </w:rPr>
              <w:t>asablanca</w:t>
            </w:r>
          </w:p>
          <w:p w:rsidR="00693096" w:rsidRPr="001D4722" w:rsidRDefault="00C11E43" w:rsidP="0082339F">
            <w:pPr>
              <w:ind w:left="0"/>
              <w:jc w:val="center"/>
              <w:rPr>
                <w:rFonts w:ascii="Times New Roman" w:hAnsi="Times New Roman"/>
                <w:b/>
                <w:bCs/>
                <w:color w:val="999999"/>
                <w:sz w:val="80"/>
                <w:szCs w:val="80"/>
              </w:rPr>
            </w:pPr>
            <w:r>
              <w:rPr>
                <w:rFonts w:ascii="Times New Roman" w:hAnsi="Times New Roman"/>
                <w:b/>
                <w:bCs/>
                <w:color w:val="993366"/>
                <w:sz w:val="36"/>
                <w:szCs w:val="36"/>
              </w:rPr>
              <w:t>AOUT</w:t>
            </w:r>
            <w:r w:rsidR="00DF101B">
              <w:rPr>
                <w:rFonts w:ascii="Times New Roman" w:hAnsi="Times New Roman"/>
                <w:b/>
                <w:bCs/>
                <w:color w:val="993366"/>
                <w:sz w:val="36"/>
                <w:szCs w:val="36"/>
              </w:rPr>
              <w:t xml:space="preserve"> </w:t>
            </w:r>
            <w:r w:rsidR="00862266">
              <w:rPr>
                <w:rFonts w:ascii="Times New Roman" w:hAnsi="Times New Roman"/>
                <w:b/>
                <w:bCs/>
                <w:color w:val="993366"/>
                <w:sz w:val="36"/>
                <w:szCs w:val="36"/>
              </w:rPr>
              <w:t xml:space="preserve"> </w:t>
            </w:r>
            <w:r w:rsidR="00693096" w:rsidRPr="008422C1">
              <w:rPr>
                <w:rFonts w:ascii="Times New Roman" w:hAnsi="Times New Roman"/>
                <w:b/>
                <w:bCs/>
                <w:color w:val="993366"/>
                <w:sz w:val="36"/>
                <w:szCs w:val="36"/>
              </w:rPr>
              <w:t>201</w:t>
            </w:r>
            <w:r w:rsidR="0082339F">
              <w:rPr>
                <w:rFonts w:ascii="Times New Roman" w:hAnsi="Times New Roman"/>
                <w:b/>
                <w:bCs/>
                <w:color w:val="993366"/>
                <w:sz w:val="36"/>
                <w:szCs w:val="36"/>
              </w:rPr>
              <w:t>5</w:t>
            </w:r>
          </w:p>
        </w:tc>
      </w:tr>
      <w:tr w:rsidR="00436F88" w:rsidRPr="001D4722" w:rsidTr="00402AD4">
        <w:trPr>
          <w:jc w:val="center"/>
        </w:trPr>
        <w:tc>
          <w:tcPr>
            <w:tcW w:w="8505" w:type="dxa"/>
            <w:shd w:val="clear" w:color="auto" w:fill="auto"/>
          </w:tcPr>
          <w:p w:rsidR="00436F88" w:rsidRPr="001D4722" w:rsidRDefault="00436F88" w:rsidP="00A954ED">
            <w:pPr>
              <w:ind w:left="0"/>
              <w:jc w:val="center"/>
              <w:rPr>
                <w:rFonts w:ascii="Times New Roman" w:hAnsi="Times New Roman"/>
                <w:b/>
                <w:bCs/>
                <w:color w:val="993366"/>
                <w:sz w:val="52"/>
                <w:szCs w:val="52"/>
              </w:rPr>
            </w:pPr>
          </w:p>
        </w:tc>
      </w:tr>
    </w:tbl>
    <w:p w:rsidR="00693096" w:rsidRDefault="00693096" w:rsidP="00693096"/>
    <w:p w:rsidR="00261930" w:rsidRDefault="00261930" w:rsidP="00693096"/>
    <w:p w:rsidR="00693096" w:rsidRDefault="00693096" w:rsidP="00693096"/>
    <w:p w:rsidR="00693096" w:rsidRPr="000A5E6E" w:rsidRDefault="00693096" w:rsidP="00693096">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693096" w:rsidRPr="000A5E6E" w:rsidRDefault="00693096" w:rsidP="00693096">
      <w:pPr>
        <w:ind w:left="0"/>
        <w:jc w:val="lowKashida"/>
        <w:rPr>
          <w:rFonts w:ascii="Times New Roman" w:hAnsi="Times New Roman" w:cs="Arabic Transparent"/>
          <w:color w:val="E36C0A"/>
          <w:spacing w:val="0"/>
          <w:sz w:val="16"/>
          <w:szCs w:val="16"/>
          <w:lang w:eastAsia="fr-FR"/>
        </w:rPr>
      </w:pPr>
    </w:p>
    <w:p w:rsidR="00693096" w:rsidRPr="000A5E6E" w:rsidRDefault="0010373A" w:rsidP="002A522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noProof/>
          <w:sz w:val="22"/>
          <w:szCs w:val="22"/>
          <w:lang w:eastAsia="fr-FR"/>
        </w:rPr>
        <w:drawing>
          <wp:anchor distT="0" distB="0" distL="114300" distR="114300" simplePos="0" relativeHeight="251662336" behindDoc="1" locked="0" layoutInCell="1" allowOverlap="1">
            <wp:simplePos x="0" y="0"/>
            <wp:positionH relativeFrom="column">
              <wp:posOffset>-729615</wp:posOffset>
            </wp:positionH>
            <wp:positionV relativeFrom="paragraph">
              <wp:posOffset>117475</wp:posOffset>
            </wp:positionV>
            <wp:extent cx="7572375" cy="4829175"/>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72375" cy="4829175"/>
                    </a:xfrm>
                    <a:prstGeom prst="rect">
                      <a:avLst/>
                    </a:prstGeom>
                    <a:noFill/>
                    <a:ln w="9525">
                      <a:noFill/>
                      <a:miter lim="800000"/>
                      <a:headEnd/>
                      <a:tailEnd/>
                    </a:ln>
                  </pic:spPr>
                </pic:pic>
              </a:graphicData>
            </a:graphic>
          </wp:anchor>
        </w:drawing>
      </w:r>
      <w:r w:rsidR="00693096">
        <w:rPr>
          <w:sz w:val="22"/>
          <w:szCs w:val="22"/>
          <w:lang w:eastAsia="fr-FR"/>
        </w:rPr>
        <w:t xml:space="preserve"> </w:t>
      </w:r>
      <w:r w:rsidR="00A954ED">
        <w:rPr>
          <w:sz w:val="22"/>
          <w:szCs w:val="22"/>
          <w:lang w:eastAsia="fr-FR"/>
        </w:rPr>
        <w:tab/>
      </w:r>
      <w:r w:rsidR="00693096" w:rsidRPr="000A5E6E">
        <w:rPr>
          <w:sz w:val="22"/>
          <w:szCs w:val="22"/>
          <w:lang w:eastAsia="fr-FR"/>
        </w:rPr>
        <w:t>L’Indice des Prix à la Consommation appelé IPC (base 100 en 2006)  mesure l’évolution des prix de détail  dans le temps et dans l’espace. Sa population de référence est constituée de l’ensemble de la population urbaine marocaine.</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panier  de l’indice  contient  478 articles, 1067 variétés de produits de grande consommation par les ménages </w:t>
      </w:r>
      <w:r w:rsidR="002A5226">
        <w:rPr>
          <w:sz w:val="22"/>
          <w:szCs w:val="22"/>
          <w:lang w:eastAsia="fr-FR"/>
        </w:rPr>
        <w:t xml:space="preserve">urbains </w:t>
      </w:r>
      <w:r w:rsidRPr="000A5E6E">
        <w:rPr>
          <w:sz w:val="22"/>
          <w:szCs w:val="22"/>
          <w:lang w:eastAsia="fr-FR"/>
        </w:rPr>
        <w:t>marocains</w:t>
      </w:r>
      <w:r w:rsidR="002A5226">
        <w:rPr>
          <w:sz w:val="22"/>
          <w:szCs w:val="22"/>
          <w:lang w:eastAsia="fr-FR"/>
        </w:rPr>
        <w:t>, c</w:t>
      </w:r>
      <w:r w:rsidR="002A5226" w:rsidRPr="000A5E6E">
        <w:rPr>
          <w:sz w:val="22"/>
          <w:szCs w:val="22"/>
          <w:lang w:eastAsia="fr-FR"/>
        </w:rPr>
        <w:t>es articles sont classés en 12 divisions et 41 groupes</w:t>
      </w:r>
      <w:r w:rsidRPr="000A5E6E">
        <w:rPr>
          <w:sz w:val="22"/>
          <w:szCs w:val="22"/>
          <w:lang w:eastAsia="fr-FR"/>
        </w:rPr>
        <w:t xml:space="preserve"> .L’indice touche aussi l’évolution du loyer en relevant  </w:t>
      </w:r>
      <w:r w:rsidR="00332FD6">
        <w:rPr>
          <w:sz w:val="22"/>
          <w:szCs w:val="22"/>
          <w:lang w:eastAsia="fr-FR"/>
        </w:rPr>
        <w:t xml:space="preserve">1425 </w:t>
      </w:r>
      <w:r w:rsidRPr="000A5E6E">
        <w:rPr>
          <w:sz w:val="22"/>
          <w:szCs w:val="22"/>
          <w:lang w:eastAsia="fr-FR"/>
        </w:rPr>
        <w:t xml:space="preserve"> locataires au niveau </w:t>
      </w:r>
      <w:r w:rsidR="00332FD6">
        <w:rPr>
          <w:sz w:val="22"/>
          <w:szCs w:val="22"/>
          <w:lang w:eastAsia="fr-FR"/>
        </w:rPr>
        <w:t>de Casablanca soit 30% par rapport au niveau national</w:t>
      </w:r>
      <w:r w:rsidRPr="000A5E6E">
        <w:rPr>
          <w:sz w:val="22"/>
          <w:szCs w:val="22"/>
          <w:lang w:eastAsia="fr-FR"/>
        </w:rPr>
        <w:t xml:space="preserve">. </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La méthode de calcul utilisée est la méthode dite « Laspeyres  </w:t>
      </w:r>
      <w:r w:rsidR="00332FD6">
        <w:rPr>
          <w:sz w:val="22"/>
          <w:szCs w:val="22"/>
          <w:lang w:eastAsia="fr-FR"/>
        </w:rPr>
        <w:t xml:space="preserve">en </w:t>
      </w:r>
      <w:r w:rsidRPr="000A5E6E">
        <w:rPr>
          <w:sz w:val="22"/>
          <w:szCs w:val="22"/>
          <w:lang w:eastAsia="fr-FR"/>
        </w:rPr>
        <w:t>cha</w:t>
      </w:r>
      <w:r w:rsidR="00332FD6">
        <w:rPr>
          <w:sz w:val="22"/>
          <w:szCs w:val="22"/>
          <w:lang w:eastAsia="fr-FR"/>
        </w:rPr>
        <w:t>î</w:t>
      </w:r>
      <w:r w:rsidRPr="000A5E6E">
        <w:rPr>
          <w:sz w:val="22"/>
          <w:szCs w:val="22"/>
          <w:lang w:eastAsia="fr-FR"/>
        </w:rPr>
        <w:t>n</w:t>
      </w:r>
      <w:r w:rsidR="00332FD6">
        <w:rPr>
          <w:sz w:val="22"/>
          <w:szCs w:val="22"/>
          <w:lang w:eastAsia="fr-FR"/>
        </w:rPr>
        <w:t>e</w:t>
      </w:r>
      <w:r w:rsidRPr="000A5E6E">
        <w:rPr>
          <w:sz w:val="22"/>
          <w:szCs w:val="22"/>
          <w:lang w:eastAsia="fr-FR"/>
        </w:rPr>
        <w:t xml:space="preserve"> ».   Le poids de la Ville de Casablanca </w:t>
      </w:r>
      <w:r w:rsidR="00332FD6">
        <w:rPr>
          <w:sz w:val="22"/>
          <w:szCs w:val="22"/>
          <w:lang w:eastAsia="fr-FR"/>
        </w:rPr>
        <w:t xml:space="preserve">dans l’indice </w:t>
      </w:r>
      <w:r w:rsidRPr="000A5E6E">
        <w:rPr>
          <w:sz w:val="22"/>
          <w:szCs w:val="22"/>
          <w:lang w:eastAsia="fr-FR"/>
        </w:rPr>
        <w:t>représente 19</w:t>
      </w:r>
      <w:r w:rsidR="00332FD6">
        <w:rPr>
          <w:sz w:val="22"/>
          <w:szCs w:val="22"/>
          <w:lang w:eastAsia="fr-FR"/>
        </w:rPr>
        <w:t>,</w:t>
      </w:r>
      <w:r w:rsidRPr="000A5E6E">
        <w:rPr>
          <w:sz w:val="22"/>
          <w:szCs w:val="22"/>
          <w:lang w:eastAsia="fr-FR"/>
        </w:rPr>
        <w:t>5%</w:t>
      </w:r>
      <w:r w:rsidR="00A954ED" w:rsidRPr="000A5E6E">
        <w:rPr>
          <w:sz w:val="22"/>
          <w:szCs w:val="22"/>
          <w:lang w:eastAsia="fr-FR"/>
        </w:rPr>
        <w:t>.</w:t>
      </w:r>
    </w:p>
    <w:p w:rsidR="00693096"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sidRPr="000A5E6E">
        <w:rPr>
          <w:sz w:val="22"/>
          <w:szCs w:val="22"/>
          <w:lang w:eastAsia="fr-FR"/>
        </w:rPr>
        <w:t xml:space="preserve"> </w:t>
      </w:r>
      <w:r w:rsidR="00A954ED" w:rsidRPr="000A5E6E">
        <w:rPr>
          <w:sz w:val="22"/>
          <w:szCs w:val="22"/>
          <w:lang w:eastAsia="fr-FR"/>
        </w:rPr>
        <w:tab/>
      </w:r>
      <w:r w:rsidRPr="000A5E6E">
        <w:rPr>
          <w:sz w:val="22"/>
          <w:szCs w:val="22"/>
          <w:lang w:eastAsia="fr-FR"/>
        </w:rPr>
        <w:t xml:space="preserve"> L’Indice est publié  mensuellement  pour les 17 principales villes du Royaume</w:t>
      </w:r>
      <w:r w:rsidR="00332FD6">
        <w:rPr>
          <w:sz w:val="22"/>
          <w:szCs w:val="22"/>
          <w:lang w:eastAsia="fr-FR"/>
        </w:rPr>
        <w:t xml:space="preserve"> dont Casablanca</w:t>
      </w:r>
      <w:r w:rsidRPr="000A5E6E">
        <w:rPr>
          <w:sz w:val="22"/>
          <w:szCs w:val="22"/>
          <w:lang w:eastAsia="fr-FR"/>
        </w:rPr>
        <w:t>.</w:t>
      </w:r>
      <w:r w:rsidRPr="00A64854">
        <w:rPr>
          <w:sz w:val="22"/>
          <w:szCs w:val="22"/>
          <w:lang w:eastAsia="fr-FR"/>
        </w:rPr>
        <w:t xml:space="preserve"> </w:t>
      </w:r>
    </w:p>
    <w:p w:rsidR="00693096" w:rsidRDefault="00693096" w:rsidP="00693096">
      <w:pPr>
        <w:ind w:left="0"/>
      </w:pPr>
    </w:p>
    <w:p w:rsidR="001D4722" w:rsidRDefault="001D4722" w:rsidP="00693096">
      <w:pPr>
        <w:ind w:left="0"/>
      </w:pPr>
    </w:p>
    <w:p w:rsidR="001D4722" w:rsidRDefault="001D4722" w:rsidP="00693096">
      <w:pPr>
        <w:ind w:left="0"/>
      </w:pPr>
    </w:p>
    <w:p w:rsidR="00FB652B" w:rsidRDefault="00FB652B" w:rsidP="00693096">
      <w:pPr>
        <w:ind w:left="0"/>
      </w:pPr>
    </w:p>
    <w:p w:rsidR="00261930" w:rsidRDefault="00261930" w:rsidP="00693096">
      <w:pPr>
        <w:ind w:left="0"/>
      </w:pPr>
    </w:p>
    <w:p w:rsidR="00D42634" w:rsidRDefault="00D42634" w:rsidP="00693096">
      <w:pPr>
        <w:ind w:left="0"/>
      </w:pPr>
    </w:p>
    <w:p w:rsidR="00FB652B" w:rsidRDefault="00FB652B" w:rsidP="00693096">
      <w:pPr>
        <w:ind w:left="0"/>
      </w:pPr>
    </w:p>
    <w:p w:rsidR="00FB652B" w:rsidRDefault="00FB652B" w:rsidP="00693096">
      <w:pPr>
        <w:ind w:left="0"/>
      </w:pPr>
    </w:p>
    <w:p w:rsidR="00FB652B" w:rsidRDefault="00FB652B" w:rsidP="00693096">
      <w:pPr>
        <w:ind w:left="0"/>
      </w:pPr>
    </w:p>
    <w:p w:rsidR="001D4722" w:rsidRDefault="001D4722" w:rsidP="00693096">
      <w:pPr>
        <w:ind w:left="0"/>
      </w:pPr>
    </w:p>
    <w:p w:rsidR="002A0ED2" w:rsidRDefault="002A0ED2" w:rsidP="00693096">
      <w:pPr>
        <w:ind w:left="0"/>
      </w:pPr>
    </w:p>
    <w:p w:rsidR="001D4722" w:rsidRPr="001D4722" w:rsidRDefault="001D4722" w:rsidP="001D4722">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DIRECTION RÉGIONALE DU GRAND CASABLANCA</w:t>
      </w:r>
    </w:p>
    <w:p w:rsidR="001D4722" w:rsidRDefault="001D4722" w:rsidP="001D4722">
      <w:pPr>
        <w:ind w:left="0"/>
        <w:jc w:val="center"/>
        <w:rPr>
          <w:rFonts w:ascii="Cooper Black" w:hAnsi="Cooper Black"/>
          <w:color w:val="95B3D7"/>
          <w:sz w:val="24"/>
          <w:szCs w:val="24"/>
          <w:rtl/>
        </w:rPr>
      </w:pPr>
    </w:p>
    <w:p w:rsidR="001D4722" w:rsidRPr="001D4722" w:rsidRDefault="001D4722" w:rsidP="00A12BB4">
      <w:pPr>
        <w:ind w:left="0"/>
        <w:rPr>
          <w:color w:val="95B3D7"/>
        </w:rPr>
        <w:sectPr w:rsidR="001D4722" w:rsidRPr="001D4722" w:rsidSect="00F71EC8">
          <w:headerReference w:type="default" r:id="rId10"/>
          <w:footerReference w:type="even" r:id="rId11"/>
          <w:footerReference w:type="default" r:id="rId12"/>
          <w:headerReference w:type="first" r:id="rId13"/>
          <w:footerReference w:type="first" r:id="rId14"/>
          <w:pgSz w:w="11907" w:h="16839" w:code="9"/>
          <w:pgMar w:top="567" w:right="1134" w:bottom="567" w:left="1134" w:header="0" w:footer="0" w:gutter="0"/>
          <w:pgNumType w:start="1"/>
          <w:cols w:space="708"/>
          <w:titlePg/>
          <w:rtlGutter/>
          <w:docGrid w:linePitch="360"/>
        </w:sectPr>
      </w:pPr>
    </w:p>
    <w:p w:rsidR="00C17831" w:rsidRDefault="00C11E43" w:rsidP="00450FF1">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 xml:space="preserve">Stagnation </w:t>
      </w:r>
      <w:r w:rsidR="00962C0F">
        <w:rPr>
          <w:rFonts w:ascii="Times New Roman" w:eastAsia="Gulim" w:hAnsi="Times New Roman"/>
          <w:b/>
          <w:bCs/>
          <w:sz w:val="28"/>
          <w:szCs w:val="28"/>
        </w:rPr>
        <w:t xml:space="preserve">des </w:t>
      </w:r>
      <w:r w:rsidR="00493439" w:rsidRPr="00493439">
        <w:rPr>
          <w:rFonts w:ascii="Times New Roman" w:eastAsia="Gulim" w:hAnsi="Times New Roman"/>
          <w:b/>
          <w:bCs/>
          <w:sz w:val="28"/>
          <w:szCs w:val="28"/>
        </w:rPr>
        <w:t xml:space="preserve">prix à la consommation </w:t>
      </w:r>
      <w:r w:rsidR="00795C4B">
        <w:rPr>
          <w:rFonts w:ascii="Times New Roman" w:eastAsia="Gulim" w:hAnsi="Times New Roman"/>
          <w:b/>
          <w:bCs/>
          <w:sz w:val="28"/>
          <w:szCs w:val="28"/>
        </w:rPr>
        <w:t xml:space="preserve">en </w:t>
      </w:r>
      <w:r>
        <w:rPr>
          <w:rFonts w:ascii="Times New Roman" w:eastAsia="Gulim" w:hAnsi="Times New Roman"/>
          <w:b/>
          <w:bCs/>
          <w:sz w:val="28"/>
          <w:szCs w:val="28"/>
        </w:rPr>
        <w:t>ao</w:t>
      </w:r>
      <w:r w:rsidR="00450FF1">
        <w:rPr>
          <w:rFonts w:ascii="Times New Roman" w:eastAsia="Gulim" w:hAnsi="Times New Roman"/>
          <w:b/>
          <w:bCs/>
          <w:sz w:val="28"/>
          <w:szCs w:val="28"/>
        </w:rPr>
        <w:t>û</w:t>
      </w:r>
      <w:r>
        <w:rPr>
          <w:rFonts w:ascii="Times New Roman" w:eastAsia="Gulim" w:hAnsi="Times New Roman"/>
          <w:b/>
          <w:bCs/>
          <w:sz w:val="28"/>
          <w:szCs w:val="28"/>
        </w:rPr>
        <w:t>t</w:t>
      </w:r>
      <w:r w:rsidR="00373080">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2015</w:t>
      </w:r>
      <w:r w:rsidR="00493439">
        <w:rPr>
          <w:rFonts w:ascii="Times New Roman" w:eastAsia="Gulim" w:hAnsi="Times New Roman"/>
          <w:b/>
          <w:bCs/>
          <w:sz w:val="28"/>
          <w:szCs w:val="28"/>
        </w:rPr>
        <w:t> :</w:t>
      </w:r>
    </w:p>
    <w:p w:rsidR="00C11E43" w:rsidRDefault="001E7E86" w:rsidP="009E5C2A">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En </w:t>
      </w:r>
      <w:r w:rsidR="00C11E43">
        <w:rPr>
          <w:rFonts w:ascii="Times New Roman" w:eastAsia="Gulim" w:hAnsi="Times New Roman"/>
          <w:sz w:val="28"/>
          <w:szCs w:val="28"/>
        </w:rPr>
        <w:t>fin ao</w:t>
      </w:r>
      <w:r w:rsidR="009E5C2A">
        <w:rPr>
          <w:rFonts w:ascii="Times New Roman" w:eastAsia="Gulim" w:hAnsi="Times New Roman"/>
          <w:sz w:val="28"/>
          <w:szCs w:val="28"/>
        </w:rPr>
        <w:t>û</w:t>
      </w:r>
      <w:r w:rsidR="00C11E43">
        <w:rPr>
          <w:rFonts w:ascii="Times New Roman" w:eastAsia="Gulim" w:hAnsi="Times New Roman"/>
          <w:sz w:val="28"/>
          <w:szCs w:val="28"/>
        </w:rPr>
        <w:t xml:space="preserve">t </w:t>
      </w:r>
      <w:r w:rsidR="009C0D33" w:rsidRPr="009C0D33">
        <w:rPr>
          <w:rFonts w:ascii="Times New Roman" w:eastAsia="Gulim" w:hAnsi="Times New Roman"/>
          <w:sz w:val="28"/>
          <w:szCs w:val="28"/>
        </w:rPr>
        <w:t>201</w:t>
      </w:r>
      <w:r w:rsidR="00E119AF">
        <w:rPr>
          <w:rFonts w:ascii="Times New Roman" w:eastAsia="Gulim" w:hAnsi="Times New Roman"/>
          <w:sz w:val="28"/>
          <w:szCs w:val="28"/>
        </w:rPr>
        <w:t>5</w:t>
      </w:r>
      <w:r w:rsidR="009C0D33" w:rsidRPr="009C0D33">
        <w:rPr>
          <w:rFonts w:ascii="Times New Roman" w:eastAsia="Gulim" w:hAnsi="Times New Roman"/>
          <w:sz w:val="28"/>
          <w:szCs w:val="28"/>
        </w:rPr>
        <w:t xml:space="preserve">, l’indice des prix à la </w:t>
      </w:r>
      <w:r w:rsidR="00980CE0">
        <w:rPr>
          <w:rFonts w:ascii="Times New Roman" w:eastAsia="Gulim" w:hAnsi="Times New Roman"/>
          <w:sz w:val="28"/>
          <w:szCs w:val="28"/>
        </w:rPr>
        <w:t>C</w:t>
      </w:r>
      <w:r w:rsidR="009C0D33" w:rsidRPr="009C0D33">
        <w:rPr>
          <w:rFonts w:ascii="Times New Roman" w:eastAsia="Gulim" w:hAnsi="Times New Roman"/>
          <w:sz w:val="28"/>
          <w:szCs w:val="28"/>
        </w:rPr>
        <w:t xml:space="preserve">onsommation </w:t>
      </w:r>
      <w:r w:rsidR="007E56F0">
        <w:rPr>
          <w:rFonts w:ascii="Times New Roman" w:eastAsia="Gulim" w:hAnsi="Times New Roman"/>
          <w:sz w:val="28"/>
          <w:szCs w:val="28"/>
        </w:rPr>
        <w:t xml:space="preserve">(IPC) </w:t>
      </w:r>
      <w:r w:rsidR="00C11E43">
        <w:rPr>
          <w:rFonts w:ascii="Times New Roman" w:eastAsia="Gulim" w:hAnsi="Times New Roman"/>
          <w:sz w:val="28"/>
          <w:szCs w:val="28"/>
        </w:rPr>
        <w:t xml:space="preserve">est stable   après une hausse de </w:t>
      </w:r>
      <w:r w:rsidR="00373080">
        <w:rPr>
          <w:rFonts w:ascii="Times New Roman" w:eastAsia="Gulim" w:hAnsi="Times New Roman"/>
          <w:sz w:val="28"/>
          <w:szCs w:val="28"/>
        </w:rPr>
        <w:t>0,</w:t>
      </w:r>
      <w:r w:rsidR="00D06506">
        <w:rPr>
          <w:rFonts w:ascii="Times New Roman" w:eastAsia="Gulim" w:hAnsi="Times New Roman"/>
          <w:sz w:val="28"/>
          <w:szCs w:val="28"/>
        </w:rPr>
        <w:t>4</w:t>
      </w:r>
      <w:r w:rsidR="00373080">
        <w:rPr>
          <w:rFonts w:ascii="Times New Roman" w:eastAsia="Gulim" w:hAnsi="Times New Roman"/>
          <w:sz w:val="28"/>
          <w:szCs w:val="28"/>
        </w:rPr>
        <w:t xml:space="preserve">% </w:t>
      </w:r>
      <w:r w:rsidR="00C11E43">
        <w:rPr>
          <w:rFonts w:ascii="Times New Roman" w:eastAsia="Gulim" w:hAnsi="Times New Roman"/>
          <w:sz w:val="28"/>
          <w:szCs w:val="28"/>
        </w:rPr>
        <w:t>le mois précédent.</w:t>
      </w:r>
      <w:r w:rsidR="00CE6280" w:rsidRPr="00CE6280">
        <w:rPr>
          <w:rFonts w:ascii="Times New Roman" w:eastAsia="Gulim" w:hAnsi="Times New Roman"/>
          <w:sz w:val="28"/>
          <w:szCs w:val="28"/>
        </w:rPr>
        <w:t xml:space="preserve"> </w:t>
      </w:r>
    </w:p>
    <w:p w:rsidR="00493439" w:rsidRPr="00493439" w:rsidRDefault="00C11E43" w:rsidP="00C11E43">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b/>
          <w:bCs/>
          <w:sz w:val="28"/>
          <w:szCs w:val="28"/>
        </w:rPr>
        <w:t xml:space="preserve">Baisse </w:t>
      </w:r>
      <w:r w:rsidR="00493439" w:rsidRPr="00493439">
        <w:rPr>
          <w:rFonts w:ascii="Times New Roman" w:eastAsia="Gulim" w:hAnsi="Times New Roman"/>
          <w:b/>
          <w:bCs/>
          <w:sz w:val="28"/>
          <w:szCs w:val="28"/>
        </w:rPr>
        <w:t>des prix des produi</w:t>
      </w:r>
      <w:r w:rsidR="00DA272C">
        <w:rPr>
          <w:rFonts w:ascii="Times New Roman" w:eastAsia="Gulim" w:hAnsi="Times New Roman"/>
          <w:b/>
          <w:bCs/>
          <w:sz w:val="28"/>
          <w:szCs w:val="28"/>
        </w:rPr>
        <w:t>t</w:t>
      </w:r>
      <w:r w:rsidR="00493439" w:rsidRPr="00493439">
        <w:rPr>
          <w:rFonts w:ascii="Times New Roman" w:eastAsia="Gulim" w:hAnsi="Times New Roman"/>
          <w:b/>
          <w:bCs/>
          <w:sz w:val="28"/>
          <w:szCs w:val="28"/>
        </w:rPr>
        <w:t>s alimentaires :</w:t>
      </w:r>
    </w:p>
    <w:p w:rsidR="00D06506" w:rsidRDefault="007A6A96" w:rsidP="009E5C2A">
      <w:pPr>
        <w:spacing w:before="100" w:beforeAutospacing="1" w:after="100" w:afterAutospacing="1"/>
        <w:ind w:left="0"/>
        <w:jc w:val="both"/>
        <w:rPr>
          <w:rFonts w:ascii="Times New Roman" w:eastAsia="Gulim" w:hAnsi="Times New Roman"/>
          <w:sz w:val="28"/>
          <w:szCs w:val="28"/>
        </w:rPr>
      </w:pPr>
      <w:r>
        <w:rPr>
          <w:rFonts w:ascii="Times New Roman" w:eastAsia="Gulim" w:hAnsi="Times New Roman"/>
          <w:noProof/>
          <w:sz w:val="28"/>
          <w:szCs w:val="28"/>
          <w:lang w:eastAsia="fr-FR"/>
        </w:rPr>
        <w:drawing>
          <wp:anchor distT="0" distB="0" distL="114300" distR="114300" simplePos="0" relativeHeight="251660288" behindDoc="1" locked="0" layoutInCell="1" allowOverlap="1">
            <wp:simplePos x="0" y="0"/>
            <wp:positionH relativeFrom="column">
              <wp:posOffset>15240</wp:posOffset>
            </wp:positionH>
            <wp:positionV relativeFrom="paragraph">
              <wp:posOffset>95885</wp:posOffset>
            </wp:positionV>
            <wp:extent cx="1704975" cy="1266825"/>
            <wp:effectExtent l="19050" t="0" r="9525" b="0"/>
            <wp:wrapTight wrapText="bothSides">
              <wp:wrapPolygon edited="0">
                <wp:start x="-241" y="0"/>
                <wp:lineTo x="-241" y="21438"/>
                <wp:lineTo x="21721" y="21438"/>
                <wp:lineTo x="21721" y="0"/>
                <wp:lineTo x="-241" y="0"/>
              </wp:wrapPolygon>
            </wp:wrapTight>
            <wp:docPr id="4" name="Image 20" descr="L’Indice des prix à la consommation (IPC) du mois de Janvier 2015">
              <a:hlinkClick xmlns:a="http://schemas.openxmlformats.org/drawingml/2006/main" r:id="rId15" tooltip="&quot;L’Indice des prix à la consommation (IPC) du mois de Janvier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dice des prix à la consommation (IPC) du mois de Janvier 2015">
                      <a:hlinkClick r:id="rId15" tooltip="&quot;L’Indice des prix à la consommation (IPC) du mois de Janvier 2015&quot;"/>
                    </pic:cNvPr>
                    <pic:cNvPicPr>
                      <a:picLocks noChangeAspect="1" noChangeArrowheads="1"/>
                    </pic:cNvPicPr>
                  </pic:nvPicPr>
                  <pic:blipFill>
                    <a:blip r:embed="rId16" cstate="print"/>
                    <a:srcRect/>
                    <a:stretch>
                      <a:fillRect/>
                    </a:stretch>
                  </pic:blipFill>
                  <pic:spPr bwMode="auto">
                    <a:xfrm>
                      <a:off x="0" y="0"/>
                      <a:ext cx="1704975" cy="1266825"/>
                    </a:xfrm>
                    <a:prstGeom prst="rect">
                      <a:avLst/>
                    </a:prstGeom>
                    <a:noFill/>
                    <a:ln w="9525">
                      <a:noFill/>
                      <a:miter lim="800000"/>
                      <a:headEnd/>
                      <a:tailEnd/>
                    </a:ln>
                  </pic:spPr>
                </pic:pic>
              </a:graphicData>
            </a:graphic>
          </wp:anchor>
        </w:drawing>
      </w:r>
      <w:r w:rsidR="00D30FAD">
        <w:rPr>
          <w:rFonts w:ascii="Times New Roman" w:eastAsia="Gulim" w:hAnsi="Times New Roman"/>
          <w:sz w:val="28"/>
          <w:szCs w:val="28"/>
        </w:rPr>
        <w:t>L</w:t>
      </w:r>
      <w:r w:rsidR="00E0064D">
        <w:rPr>
          <w:rFonts w:ascii="Times New Roman" w:eastAsia="Gulim" w:hAnsi="Times New Roman"/>
          <w:sz w:val="28"/>
          <w:szCs w:val="28"/>
        </w:rPr>
        <w:t xml:space="preserve">es prix des produits alimentaires ont </w:t>
      </w:r>
      <w:r w:rsidR="00C11E43">
        <w:rPr>
          <w:rFonts w:ascii="Times New Roman" w:eastAsia="Gulim" w:hAnsi="Times New Roman"/>
          <w:sz w:val="28"/>
          <w:szCs w:val="28"/>
        </w:rPr>
        <w:t xml:space="preserve">diminué de </w:t>
      </w:r>
      <w:r w:rsidR="00E0064D">
        <w:rPr>
          <w:rFonts w:ascii="Times New Roman" w:eastAsia="Gulim" w:hAnsi="Times New Roman"/>
          <w:sz w:val="28"/>
          <w:szCs w:val="28"/>
        </w:rPr>
        <w:t xml:space="preserve"> </w:t>
      </w:r>
      <w:r w:rsidR="00C11E43">
        <w:rPr>
          <w:rFonts w:ascii="Times New Roman" w:eastAsia="Gulim" w:hAnsi="Times New Roman"/>
          <w:sz w:val="28"/>
          <w:szCs w:val="28"/>
        </w:rPr>
        <w:t>0,1</w:t>
      </w:r>
      <w:r w:rsidR="00E0064D">
        <w:rPr>
          <w:rFonts w:ascii="Times New Roman" w:eastAsia="Gulim" w:hAnsi="Times New Roman"/>
          <w:sz w:val="28"/>
          <w:szCs w:val="28"/>
        </w:rPr>
        <w:t xml:space="preserve">% </w:t>
      </w:r>
      <w:r w:rsidR="00D30FAD">
        <w:rPr>
          <w:rFonts w:ascii="Times New Roman" w:eastAsia="Gulim" w:hAnsi="Times New Roman"/>
          <w:sz w:val="28"/>
          <w:szCs w:val="28"/>
        </w:rPr>
        <w:t xml:space="preserve">entre juillet </w:t>
      </w:r>
      <w:r w:rsidR="00C11E43">
        <w:rPr>
          <w:rFonts w:ascii="Times New Roman" w:eastAsia="Gulim" w:hAnsi="Times New Roman"/>
          <w:sz w:val="28"/>
          <w:szCs w:val="28"/>
        </w:rPr>
        <w:t>et ao</w:t>
      </w:r>
      <w:r w:rsidR="009E5C2A">
        <w:rPr>
          <w:rFonts w:ascii="Times New Roman" w:eastAsia="Gulim" w:hAnsi="Times New Roman"/>
          <w:sz w:val="28"/>
          <w:szCs w:val="28"/>
        </w:rPr>
        <w:t>û</w:t>
      </w:r>
      <w:r w:rsidR="00C11E43">
        <w:rPr>
          <w:rFonts w:ascii="Times New Roman" w:eastAsia="Gulim" w:hAnsi="Times New Roman"/>
          <w:sz w:val="28"/>
          <w:szCs w:val="28"/>
        </w:rPr>
        <w:t xml:space="preserve">t </w:t>
      </w:r>
      <w:r w:rsidR="00D30FAD">
        <w:rPr>
          <w:rFonts w:ascii="Times New Roman" w:eastAsia="Gulim" w:hAnsi="Times New Roman"/>
          <w:sz w:val="28"/>
          <w:szCs w:val="28"/>
        </w:rPr>
        <w:t xml:space="preserve">2015, </w:t>
      </w:r>
      <w:r w:rsidR="00E0064D">
        <w:rPr>
          <w:rFonts w:ascii="Times New Roman" w:eastAsia="Gulim" w:hAnsi="Times New Roman"/>
          <w:sz w:val="28"/>
          <w:szCs w:val="28"/>
        </w:rPr>
        <w:t xml:space="preserve">suite à la </w:t>
      </w:r>
      <w:r w:rsidR="00C11E43">
        <w:rPr>
          <w:rFonts w:ascii="Times New Roman" w:eastAsia="Gulim" w:hAnsi="Times New Roman"/>
          <w:sz w:val="28"/>
          <w:szCs w:val="28"/>
        </w:rPr>
        <w:t xml:space="preserve">baisse </w:t>
      </w:r>
      <w:r w:rsidR="00D06506">
        <w:rPr>
          <w:rFonts w:ascii="Times New Roman" w:eastAsia="Gulim" w:hAnsi="Times New Roman"/>
          <w:sz w:val="28"/>
          <w:szCs w:val="28"/>
        </w:rPr>
        <w:t xml:space="preserve"> </w:t>
      </w:r>
      <w:r w:rsidR="00E0064D">
        <w:rPr>
          <w:rFonts w:ascii="Times New Roman" w:eastAsia="Gulim" w:hAnsi="Times New Roman"/>
          <w:sz w:val="28"/>
          <w:szCs w:val="28"/>
        </w:rPr>
        <w:t>de</w:t>
      </w:r>
      <w:r w:rsidR="000D09D2">
        <w:rPr>
          <w:rFonts w:ascii="Times New Roman" w:eastAsia="Gulim" w:hAnsi="Times New Roman"/>
          <w:sz w:val="28"/>
          <w:szCs w:val="28"/>
        </w:rPr>
        <w:t>s prix de</w:t>
      </w:r>
      <w:r w:rsidR="00C11E43">
        <w:rPr>
          <w:rFonts w:ascii="Times New Roman" w:eastAsia="Gulim" w:hAnsi="Times New Roman"/>
          <w:sz w:val="28"/>
          <w:szCs w:val="28"/>
        </w:rPr>
        <w:t xml:space="preserve">s </w:t>
      </w:r>
      <w:r w:rsidR="00E0064D" w:rsidRPr="009C0D33">
        <w:rPr>
          <w:rFonts w:ascii="Times New Roman" w:eastAsia="Gulim" w:hAnsi="Times New Roman"/>
          <w:sz w:val="28"/>
          <w:szCs w:val="28"/>
        </w:rPr>
        <w:t>‘‘</w:t>
      </w:r>
      <w:r w:rsidR="00E0064D">
        <w:rPr>
          <w:rFonts w:ascii="Times New Roman" w:eastAsia="Gulim" w:hAnsi="Times New Roman"/>
          <w:sz w:val="28"/>
          <w:szCs w:val="28"/>
        </w:rPr>
        <w:t>Poissons et Fruits de mer</w:t>
      </w:r>
      <w:r w:rsidR="00E0064D" w:rsidRPr="009C0D33">
        <w:rPr>
          <w:rFonts w:ascii="Times New Roman" w:eastAsia="Gulim" w:hAnsi="Times New Roman"/>
          <w:sz w:val="28"/>
          <w:szCs w:val="28"/>
        </w:rPr>
        <w:t>’’</w:t>
      </w:r>
      <w:r w:rsidR="00C11E43">
        <w:rPr>
          <w:rFonts w:ascii="Times New Roman" w:eastAsia="Gulim" w:hAnsi="Times New Roman"/>
          <w:sz w:val="28"/>
          <w:szCs w:val="28"/>
        </w:rPr>
        <w:t xml:space="preserve"> de 7</w:t>
      </w:r>
      <w:r w:rsidR="000D09D2">
        <w:rPr>
          <w:rFonts w:ascii="Times New Roman" w:eastAsia="Gulim" w:hAnsi="Times New Roman"/>
          <w:sz w:val="28"/>
          <w:szCs w:val="28"/>
        </w:rPr>
        <w:t>%</w:t>
      </w:r>
      <w:r w:rsidR="00D06506">
        <w:rPr>
          <w:rFonts w:ascii="Times New Roman" w:eastAsia="Gulim" w:hAnsi="Times New Roman"/>
          <w:sz w:val="28"/>
          <w:szCs w:val="28"/>
        </w:rPr>
        <w:t xml:space="preserve">,  </w:t>
      </w:r>
      <w:r w:rsidR="00C11E43">
        <w:rPr>
          <w:rFonts w:ascii="Times New Roman" w:eastAsia="Gulim" w:hAnsi="Times New Roman"/>
          <w:sz w:val="28"/>
          <w:szCs w:val="28"/>
        </w:rPr>
        <w:t>de</w:t>
      </w:r>
      <w:r w:rsidR="00BB3631">
        <w:rPr>
          <w:rFonts w:ascii="Times New Roman" w:eastAsia="Gulim" w:hAnsi="Times New Roman"/>
          <w:sz w:val="28"/>
          <w:szCs w:val="28"/>
        </w:rPr>
        <w:t>s</w:t>
      </w:r>
      <w:r w:rsidR="00C11E43">
        <w:rPr>
          <w:rFonts w:ascii="Times New Roman" w:eastAsia="Gulim" w:hAnsi="Times New Roman"/>
          <w:sz w:val="28"/>
          <w:szCs w:val="28"/>
        </w:rPr>
        <w:t xml:space="preserve"> </w:t>
      </w:r>
      <w:r w:rsidR="00D06506" w:rsidRPr="009C0D33">
        <w:rPr>
          <w:rFonts w:ascii="Times New Roman" w:eastAsia="Gulim" w:hAnsi="Times New Roman"/>
          <w:sz w:val="28"/>
          <w:szCs w:val="28"/>
        </w:rPr>
        <w:t>‘‘</w:t>
      </w:r>
      <w:r w:rsidR="00D06506">
        <w:rPr>
          <w:rFonts w:ascii="Times New Roman" w:eastAsia="Gulim" w:hAnsi="Times New Roman"/>
          <w:sz w:val="28"/>
          <w:szCs w:val="28"/>
        </w:rPr>
        <w:t>Viandes</w:t>
      </w:r>
      <w:r w:rsidR="00D06506" w:rsidRPr="009C0D33">
        <w:rPr>
          <w:rFonts w:ascii="Times New Roman" w:eastAsia="Gulim" w:hAnsi="Times New Roman"/>
          <w:sz w:val="28"/>
          <w:szCs w:val="28"/>
        </w:rPr>
        <w:t>’’</w:t>
      </w:r>
      <w:r w:rsidR="000D09D2">
        <w:rPr>
          <w:rFonts w:ascii="Times New Roman" w:eastAsia="Gulim" w:hAnsi="Times New Roman"/>
          <w:sz w:val="28"/>
          <w:szCs w:val="28"/>
        </w:rPr>
        <w:t xml:space="preserve"> </w:t>
      </w:r>
      <w:r w:rsidR="00A13F5C">
        <w:rPr>
          <w:rFonts w:ascii="Times New Roman" w:eastAsia="Gulim" w:hAnsi="Times New Roman"/>
          <w:sz w:val="28"/>
          <w:szCs w:val="28"/>
        </w:rPr>
        <w:t xml:space="preserve">de </w:t>
      </w:r>
      <w:r w:rsidR="000D09D2">
        <w:rPr>
          <w:rFonts w:ascii="Times New Roman" w:eastAsia="Gulim" w:hAnsi="Times New Roman"/>
          <w:sz w:val="28"/>
          <w:szCs w:val="28"/>
        </w:rPr>
        <w:t>1,</w:t>
      </w:r>
      <w:r w:rsidR="00A13F5C">
        <w:rPr>
          <w:rFonts w:ascii="Times New Roman" w:eastAsia="Gulim" w:hAnsi="Times New Roman"/>
          <w:sz w:val="28"/>
          <w:szCs w:val="28"/>
        </w:rPr>
        <w:t>3</w:t>
      </w:r>
      <w:r w:rsidR="000D09D2">
        <w:rPr>
          <w:rFonts w:ascii="Times New Roman" w:eastAsia="Gulim" w:hAnsi="Times New Roman"/>
          <w:sz w:val="28"/>
          <w:szCs w:val="28"/>
        </w:rPr>
        <w:t>%</w:t>
      </w:r>
      <w:r w:rsidR="00D06506">
        <w:rPr>
          <w:rFonts w:ascii="Times New Roman" w:eastAsia="Gulim" w:hAnsi="Times New Roman"/>
          <w:sz w:val="28"/>
          <w:szCs w:val="28"/>
        </w:rPr>
        <w:t xml:space="preserve"> et  </w:t>
      </w:r>
      <w:r>
        <w:rPr>
          <w:rFonts w:ascii="Times New Roman" w:eastAsia="Gulim" w:hAnsi="Times New Roman"/>
          <w:sz w:val="28"/>
          <w:szCs w:val="28"/>
        </w:rPr>
        <w:t xml:space="preserve">du </w:t>
      </w:r>
      <w:r w:rsidRPr="009C0D33">
        <w:rPr>
          <w:rFonts w:ascii="Times New Roman" w:eastAsia="Gulim" w:hAnsi="Times New Roman"/>
          <w:sz w:val="28"/>
          <w:szCs w:val="28"/>
        </w:rPr>
        <w:t xml:space="preserve"> </w:t>
      </w:r>
      <w:r w:rsidR="00D06506" w:rsidRPr="009C0D33">
        <w:rPr>
          <w:rFonts w:ascii="Times New Roman" w:eastAsia="Gulim" w:hAnsi="Times New Roman"/>
          <w:sz w:val="28"/>
          <w:szCs w:val="28"/>
        </w:rPr>
        <w:t>‘‘</w:t>
      </w:r>
      <w:r>
        <w:rPr>
          <w:rFonts w:ascii="Times New Roman" w:eastAsia="Gulim" w:hAnsi="Times New Roman"/>
          <w:sz w:val="28"/>
          <w:szCs w:val="28"/>
        </w:rPr>
        <w:t>Lait, fromage et œufs</w:t>
      </w:r>
      <w:r w:rsidR="000D09D2" w:rsidRPr="009C0D33">
        <w:rPr>
          <w:rFonts w:ascii="Times New Roman" w:eastAsia="Gulim" w:hAnsi="Times New Roman"/>
          <w:sz w:val="28"/>
          <w:szCs w:val="28"/>
        </w:rPr>
        <w:t>’’</w:t>
      </w:r>
      <w:r w:rsidR="000D09D2">
        <w:rPr>
          <w:rFonts w:ascii="Times New Roman" w:eastAsia="Gulim" w:hAnsi="Times New Roman"/>
          <w:sz w:val="28"/>
          <w:szCs w:val="28"/>
        </w:rPr>
        <w:t xml:space="preserve"> </w:t>
      </w:r>
      <w:r w:rsidR="00A13F5C">
        <w:rPr>
          <w:rFonts w:ascii="Times New Roman" w:eastAsia="Gulim" w:hAnsi="Times New Roman"/>
          <w:sz w:val="28"/>
          <w:szCs w:val="28"/>
        </w:rPr>
        <w:t xml:space="preserve">de </w:t>
      </w:r>
      <w:r>
        <w:rPr>
          <w:rFonts w:ascii="Times New Roman" w:eastAsia="Gulim" w:hAnsi="Times New Roman"/>
          <w:sz w:val="28"/>
          <w:szCs w:val="28"/>
        </w:rPr>
        <w:t>1</w:t>
      </w:r>
      <w:r w:rsidR="000D09D2">
        <w:rPr>
          <w:rFonts w:ascii="Times New Roman" w:eastAsia="Gulim" w:hAnsi="Times New Roman"/>
          <w:sz w:val="28"/>
          <w:szCs w:val="28"/>
        </w:rPr>
        <w:t>,6%</w:t>
      </w:r>
      <w:r w:rsidR="00E0064D">
        <w:rPr>
          <w:rFonts w:ascii="Times New Roman" w:eastAsia="Gulim" w:hAnsi="Times New Roman"/>
          <w:sz w:val="28"/>
          <w:szCs w:val="28"/>
        </w:rPr>
        <w:t xml:space="preserve">. Cette </w:t>
      </w:r>
      <w:r>
        <w:rPr>
          <w:rFonts w:ascii="Times New Roman" w:eastAsia="Gulim" w:hAnsi="Times New Roman"/>
          <w:sz w:val="28"/>
          <w:szCs w:val="28"/>
        </w:rPr>
        <w:t>baisse</w:t>
      </w:r>
      <w:r w:rsidR="00E0064D">
        <w:rPr>
          <w:rFonts w:ascii="Times New Roman" w:eastAsia="Gulim" w:hAnsi="Times New Roman"/>
          <w:sz w:val="28"/>
          <w:szCs w:val="28"/>
        </w:rPr>
        <w:t xml:space="preserve"> a été atténuée par la </w:t>
      </w:r>
      <w:r>
        <w:rPr>
          <w:rFonts w:ascii="Times New Roman" w:eastAsia="Gulim" w:hAnsi="Times New Roman"/>
          <w:sz w:val="28"/>
          <w:szCs w:val="28"/>
        </w:rPr>
        <w:t xml:space="preserve">hausse </w:t>
      </w:r>
      <w:r w:rsidR="00E0064D">
        <w:rPr>
          <w:rFonts w:ascii="Times New Roman" w:eastAsia="Gulim" w:hAnsi="Times New Roman"/>
          <w:sz w:val="28"/>
          <w:szCs w:val="28"/>
        </w:rPr>
        <w:t xml:space="preserve"> des prix d</w:t>
      </w:r>
      <w:r>
        <w:rPr>
          <w:rFonts w:ascii="Times New Roman" w:eastAsia="Gulim" w:hAnsi="Times New Roman"/>
          <w:sz w:val="28"/>
          <w:szCs w:val="28"/>
        </w:rPr>
        <w:t xml:space="preserve">es </w:t>
      </w:r>
      <w:r w:rsidRPr="009C0D33">
        <w:rPr>
          <w:rFonts w:ascii="Times New Roman" w:eastAsia="Gulim" w:hAnsi="Times New Roman"/>
          <w:sz w:val="28"/>
          <w:szCs w:val="28"/>
        </w:rPr>
        <w:t>‘‘</w:t>
      </w:r>
      <w:r>
        <w:rPr>
          <w:rFonts w:ascii="Times New Roman" w:eastAsia="Gulim" w:hAnsi="Times New Roman"/>
          <w:sz w:val="28"/>
          <w:szCs w:val="28"/>
        </w:rPr>
        <w:t>Légumes</w:t>
      </w:r>
      <w:r w:rsidRPr="009C0D33">
        <w:rPr>
          <w:rFonts w:ascii="Times New Roman" w:eastAsia="Gulim" w:hAnsi="Times New Roman"/>
          <w:sz w:val="28"/>
          <w:szCs w:val="28"/>
        </w:rPr>
        <w:t>’’</w:t>
      </w:r>
      <w:r>
        <w:rPr>
          <w:rFonts w:ascii="Times New Roman" w:eastAsia="Gulim" w:hAnsi="Times New Roman"/>
          <w:sz w:val="28"/>
          <w:szCs w:val="28"/>
        </w:rPr>
        <w:t xml:space="preserve"> de 2,2</w:t>
      </w:r>
      <w:r w:rsidR="00F71E23">
        <w:rPr>
          <w:rFonts w:ascii="Times New Roman" w:eastAsia="Gulim" w:hAnsi="Times New Roman"/>
          <w:sz w:val="28"/>
          <w:szCs w:val="28"/>
        </w:rPr>
        <w:t>%</w:t>
      </w:r>
      <w:r>
        <w:rPr>
          <w:rFonts w:ascii="Times New Roman" w:eastAsia="Gulim" w:hAnsi="Times New Roman"/>
          <w:sz w:val="28"/>
          <w:szCs w:val="28"/>
        </w:rPr>
        <w:t xml:space="preserve"> et du </w:t>
      </w:r>
      <w:r w:rsidR="00E0064D" w:rsidRPr="009C0D33">
        <w:rPr>
          <w:rFonts w:ascii="Times New Roman" w:eastAsia="Gulim" w:hAnsi="Times New Roman"/>
          <w:sz w:val="28"/>
          <w:szCs w:val="28"/>
        </w:rPr>
        <w:t>‘‘</w:t>
      </w:r>
      <w:r w:rsidR="00D06506">
        <w:rPr>
          <w:rFonts w:ascii="Times New Roman" w:eastAsia="Gulim" w:hAnsi="Times New Roman"/>
          <w:sz w:val="28"/>
          <w:szCs w:val="28"/>
        </w:rPr>
        <w:t>Café, thé et cacao</w:t>
      </w:r>
      <w:r w:rsidR="00E0064D" w:rsidRPr="009C0D33">
        <w:rPr>
          <w:rFonts w:ascii="Times New Roman" w:eastAsia="Gulim" w:hAnsi="Times New Roman"/>
          <w:sz w:val="28"/>
          <w:szCs w:val="28"/>
        </w:rPr>
        <w:t>’’</w:t>
      </w:r>
      <w:r w:rsidR="00D06506">
        <w:rPr>
          <w:rFonts w:ascii="Times New Roman" w:eastAsia="Gulim" w:hAnsi="Times New Roman"/>
          <w:sz w:val="28"/>
          <w:szCs w:val="28"/>
        </w:rPr>
        <w:t xml:space="preserve"> de </w:t>
      </w:r>
      <w:r>
        <w:rPr>
          <w:rFonts w:ascii="Times New Roman" w:eastAsia="Gulim" w:hAnsi="Times New Roman"/>
          <w:sz w:val="28"/>
          <w:szCs w:val="28"/>
        </w:rPr>
        <w:t>4,9</w:t>
      </w:r>
      <w:r w:rsidR="00D06506">
        <w:rPr>
          <w:rFonts w:ascii="Times New Roman" w:eastAsia="Gulim" w:hAnsi="Times New Roman"/>
          <w:sz w:val="28"/>
          <w:szCs w:val="28"/>
        </w:rPr>
        <w:t>%.</w:t>
      </w:r>
    </w:p>
    <w:p w:rsidR="00B42C0A" w:rsidRPr="002A2EA1" w:rsidRDefault="00B42C0A" w:rsidP="000F6C73">
      <w:pPr>
        <w:spacing w:before="100" w:beforeAutospacing="1" w:after="100" w:afterAutospacing="1"/>
        <w:ind w:left="0"/>
        <w:jc w:val="center"/>
        <w:rPr>
          <w:rFonts w:eastAsia="Gulim" w:cs="Arial"/>
          <w:b/>
          <w:bCs/>
          <w:i/>
          <w:iCs/>
          <w:color w:val="993366"/>
          <w:spacing w:val="0"/>
          <w:w w:val="90"/>
          <w:sz w:val="24"/>
          <w:szCs w:val="24"/>
        </w:rPr>
      </w:pPr>
      <w:r w:rsidRPr="002A2EA1">
        <w:rPr>
          <w:rFonts w:eastAsia="Gulim" w:cs="Arial"/>
          <w:b/>
          <w:bCs/>
          <w:i/>
          <w:iCs/>
          <w:color w:val="993366"/>
          <w:spacing w:val="0"/>
          <w:w w:val="90"/>
          <w:sz w:val="24"/>
          <w:szCs w:val="24"/>
        </w:rPr>
        <w:t>Variation mensuelle de l’indice des produits alimentaires</w:t>
      </w:r>
    </w:p>
    <w:tbl>
      <w:tblPr>
        <w:tblW w:w="8886" w:type="dxa"/>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3474"/>
        <w:gridCol w:w="1276"/>
        <w:gridCol w:w="1395"/>
        <w:gridCol w:w="1395"/>
        <w:gridCol w:w="1346"/>
      </w:tblGrid>
      <w:tr w:rsidR="00821A42" w:rsidRPr="001B6B04" w:rsidTr="00821A42">
        <w:trPr>
          <w:trHeight w:val="284"/>
          <w:jc w:val="center"/>
        </w:trPr>
        <w:tc>
          <w:tcPr>
            <w:tcW w:w="3474"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EC3A56">
            <w:pPr>
              <w:ind w:left="0"/>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Libellé</w:t>
            </w:r>
          </w:p>
        </w:tc>
        <w:tc>
          <w:tcPr>
            <w:tcW w:w="1276"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EC3A56">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Pondération</w:t>
            </w:r>
          </w:p>
        </w:tc>
        <w:tc>
          <w:tcPr>
            <w:tcW w:w="1395" w:type="dxa"/>
            <w:tcBorders>
              <w:top w:val="single" w:sz="4" w:space="0" w:color="auto"/>
              <w:bottom w:val="single" w:sz="4" w:space="0" w:color="auto"/>
            </w:tcBorders>
            <w:shd w:val="clear" w:color="000000" w:fill="FABF8F" w:themeFill="accent6" w:themeFillTint="99"/>
          </w:tcPr>
          <w:p w:rsidR="00821A42" w:rsidRPr="001B6B04" w:rsidRDefault="00821A42" w:rsidP="005648A7">
            <w:pPr>
              <w:ind w:left="0"/>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Juillet-2015</w:t>
            </w:r>
          </w:p>
        </w:tc>
        <w:tc>
          <w:tcPr>
            <w:tcW w:w="1395" w:type="dxa"/>
            <w:tcBorders>
              <w:top w:val="single" w:sz="4" w:space="0" w:color="auto"/>
              <w:bottom w:val="single" w:sz="4" w:space="0" w:color="auto"/>
            </w:tcBorders>
            <w:shd w:val="clear" w:color="000000" w:fill="FABF8F" w:themeFill="accent6" w:themeFillTint="99"/>
          </w:tcPr>
          <w:p w:rsidR="00821A42" w:rsidRPr="001B6B04" w:rsidRDefault="00753DBB" w:rsidP="00753DBB">
            <w:pPr>
              <w:ind w:left="0"/>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Aoû</w:t>
            </w:r>
            <w:r w:rsidR="00821A42">
              <w:rPr>
                <w:rFonts w:asciiTheme="majorBidi" w:hAnsiTheme="majorBidi" w:cstheme="majorBidi"/>
                <w:b/>
                <w:bCs/>
                <w:i/>
                <w:iCs/>
                <w:spacing w:val="0"/>
                <w:sz w:val="22"/>
                <w:szCs w:val="22"/>
                <w:lang w:eastAsia="fr-FR"/>
              </w:rPr>
              <w:t>t-2015</w:t>
            </w:r>
          </w:p>
        </w:tc>
        <w:tc>
          <w:tcPr>
            <w:tcW w:w="1346" w:type="dxa"/>
            <w:tcBorders>
              <w:top w:val="single" w:sz="4" w:space="0" w:color="auto"/>
              <w:bottom w:val="single" w:sz="4" w:space="0" w:color="auto"/>
            </w:tcBorders>
            <w:shd w:val="clear" w:color="000000" w:fill="FABF8F" w:themeFill="accent6" w:themeFillTint="99"/>
            <w:noWrap/>
          </w:tcPr>
          <w:p w:rsidR="00821A42" w:rsidRPr="001B6B04" w:rsidRDefault="00821A42" w:rsidP="001324F6">
            <w:pPr>
              <w:ind w:left="0"/>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Var en %</w:t>
            </w:r>
          </w:p>
        </w:tc>
      </w:tr>
      <w:tr w:rsidR="00821A42" w:rsidRPr="001B6B04" w:rsidTr="00821A42">
        <w:trPr>
          <w:trHeight w:val="453"/>
          <w:jc w:val="center"/>
        </w:trPr>
        <w:tc>
          <w:tcPr>
            <w:tcW w:w="3474" w:type="dxa"/>
            <w:tcBorders>
              <w:top w:val="single" w:sz="4" w:space="0" w:color="auto"/>
              <w:bottom w:val="single" w:sz="4" w:space="0" w:color="auto"/>
            </w:tcBorders>
            <w:shd w:val="clear" w:color="000000" w:fill="auto"/>
            <w:vAlign w:val="center"/>
          </w:tcPr>
          <w:p w:rsidR="00821A42" w:rsidRPr="001B6B04" w:rsidRDefault="00821A42" w:rsidP="00EC3A56">
            <w:pPr>
              <w:ind w:left="0"/>
              <w:rPr>
                <w:rFonts w:asciiTheme="majorBidi" w:hAnsiTheme="majorBidi" w:cstheme="majorBidi"/>
                <w:b/>
                <w:bCs/>
                <w:i/>
                <w:iCs/>
                <w:color w:val="993366"/>
                <w:spacing w:val="0"/>
                <w:sz w:val="22"/>
                <w:szCs w:val="22"/>
                <w:lang w:eastAsia="fr-FR"/>
              </w:rPr>
            </w:pPr>
            <w:r w:rsidRPr="001B6B04">
              <w:rPr>
                <w:rFonts w:asciiTheme="majorBidi" w:hAnsiTheme="majorBidi" w:cstheme="majorBidi"/>
                <w:b/>
                <w:bCs/>
                <w:i/>
                <w:iCs/>
                <w:color w:val="993366"/>
                <w:spacing w:val="0"/>
                <w:sz w:val="22"/>
                <w:szCs w:val="22"/>
                <w:lang w:eastAsia="fr-FR"/>
              </w:rPr>
              <w:t>GENERAL</w:t>
            </w:r>
          </w:p>
        </w:tc>
        <w:tc>
          <w:tcPr>
            <w:tcW w:w="1276" w:type="dxa"/>
            <w:tcBorders>
              <w:top w:val="single" w:sz="4" w:space="0" w:color="auto"/>
              <w:bottom w:val="single" w:sz="4" w:space="0" w:color="auto"/>
            </w:tcBorders>
            <w:shd w:val="clear" w:color="000000" w:fill="auto"/>
            <w:vAlign w:val="center"/>
          </w:tcPr>
          <w:p w:rsidR="00821A42" w:rsidRPr="001B6B04" w:rsidRDefault="00821A42" w:rsidP="0045443C">
            <w:pPr>
              <w:ind w:left="0"/>
              <w:jc w:val="center"/>
              <w:rPr>
                <w:rFonts w:asciiTheme="majorBidi" w:hAnsiTheme="majorBidi" w:cstheme="majorBidi"/>
                <w:b/>
                <w:bCs/>
                <w:i/>
                <w:iCs/>
                <w:color w:val="993366"/>
                <w:spacing w:val="0"/>
                <w:sz w:val="22"/>
                <w:szCs w:val="22"/>
                <w:lang w:eastAsia="fr-FR"/>
              </w:rPr>
            </w:pPr>
            <w:r w:rsidRPr="001B6B04">
              <w:rPr>
                <w:rFonts w:asciiTheme="majorBidi" w:hAnsiTheme="majorBidi" w:cstheme="majorBidi"/>
                <w:b/>
                <w:bCs/>
                <w:i/>
                <w:iCs/>
                <w:color w:val="993366"/>
                <w:spacing w:val="0"/>
                <w:sz w:val="22"/>
                <w:szCs w:val="22"/>
                <w:lang w:eastAsia="fr-FR"/>
              </w:rPr>
              <w:t>100</w:t>
            </w:r>
          </w:p>
        </w:tc>
        <w:tc>
          <w:tcPr>
            <w:tcW w:w="1395" w:type="dxa"/>
            <w:tcBorders>
              <w:top w:val="single" w:sz="4" w:space="0" w:color="auto"/>
              <w:bottom w:val="single" w:sz="4" w:space="0" w:color="auto"/>
            </w:tcBorders>
            <w:shd w:val="clear" w:color="000000" w:fill="auto"/>
            <w:vAlign w:val="center"/>
          </w:tcPr>
          <w:p w:rsidR="00821A42" w:rsidRPr="001B6B04" w:rsidRDefault="00821A42" w:rsidP="005648A7">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118,3</w:t>
            </w:r>
          </w:p>
        </w:tc>
        <w:tc>
          <w:tcPr>
            <w:tcW w:w="1395" w:type="dxa"/>
            <w:tcBorders>
              <w:top w:val="single" w:sz="4" w:space="0" w:color="auto"/>
              <w:bottom w:val="single" w:sz="4" w:space="0" w:color="auto"/>
            </w:tcBorders>
            <w:shd w:val="clear" w:color="000000" w:fill="auto"/>
            <w:vAlign w:val="center"/>
          </w:tcPr>
          <w:p w:rsidR="00821A42" w:rsidRPr="001B6B04" w:rsidRDefault="00821A42" w:rsidP="003D78E0">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118,3</w:t>
            </w:r>
          </w:p>
        </w:tc>
        <w:tc>
          <w:tcPr>
            <w:tcW w:w="1346" w:type="dxa"/>
            <w:tcBorders>
              <w:top w:val="single" w:sz="4" w:space="0" w:color="auto"/>
              <w:bottom w:val="single" w:sz="4" w:space="0" w:color="auto"/>
            </w:tcBorders>
            <w:shd w:val="clear" w:color="000000" w:fill="auto"/>
            <w:noWrap/>
            <w:vAlign w:val="center"/>
          </w:tcPr>
          <w:p w:rsidR="00821A42" w:rsidRPr="001B6B04" w:rsidRDefault="00821A42" w:rsidP="0045443C">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0,0</w:t>
            </w:r>
          </w:p>
        </w:tc>
      </w:tr>
      <w:tr w:rsidR="00821A42" w:rsidRPr="001B6B04" w:rsidTr="00821A42">
        <w:trPr>
          <w:trHeight w:val="340"/>
          <w:jc w:val="center"/>
        </w:trPr>
        <w:tc>
          <w:tcPr>
            <w:tcW w:w="3474"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EC3A56">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PRODUITS ALIMENTAIRES ET BOISSONS NON ALCOOLISÉES</w:t>
            </w:r>
          </w:p>
        </w:tc>
        <w:tc>
          <w:tcPr>
            <w:tcW w:w="1276"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45443C">
            <w:pPr>
              <w:ind w:left="0"/>
              <w:jc w:val="center"/>
              <w:rPr>
                <w:rFonts w:asciiTheme="majorBidi" w:hAnsiTheme="majorBidi" w:cstheme="majorBidi"/>
                <w:b/>
                <w:bCs/>
                <w:i/>
                <w:iCs/>
                <w:spacing w:val="0"/>
                <w:sz w:val="22"/>
                <w:szCs w:val="22"/>
                <w:lang w:eastAsia="fr-FR"/>
              </w:rPr>
            </w:pPr>
            <w:r w:rsidRPr="00AA6135">
              <w:rPr>
                <w:rFonts w:asciiTheme="majorBidi" w:hAnsiTheme="majorBidi" w:cstheme="majorBidi"/>
                <w:b/>
                <w:bCs/>
                <w:i/>
                <w:iCs/>
                <w:spacing w:val="0"/>
                <w:sz w:val="22"/>
                <w:szCs w:val="22"/>
                <w:lang w:eastAsia="fr-FR"/>
              </w:rPr>
              <w:t>39,037</w:t>
            </w:r>
          </w:p>
        </w:tc>
        <w:tc>
          <w:tcPr>
            <w:tcW w:w="1395"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5648A7">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126,9</w:t>
            </w:r>
          </w:p>
        </w:tc>
        <w:tc>
          <w:tcPr>
            <w:tcW w:w="1395"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3D78E0">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126,8</w:t>
            </w:r>
          </w:p>
        </w:tc>
        <w:tc>
          <w:tcPr>
            <w:tcW w:w="1346" w:type="dxa"/>
            <w:tcBorders>
              <w:top w:val="single" w:sz="4" w:space="0" w:color="auto"/>
              <w:bottom w:val="single" w:sz="4" w:space="0" w:color="auto"/>
            </w:tcBorders>
            <w:shd w:val="clear" w:color="000000" w:fill="FABF8F" w:themeFill="accent6" w:themeFillTint="99"/>
            <w:noWrap/>
            <w:vAlign w:val="center"/>
          </w:tcPr>
          <w:p w:rsidR="00821A42" w:rsidRPr="00AA6135" w:rsidRDefault="00821A42" w:rsidP="0045443C">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-0,1</w:t>
            </w:r>
          </w:p>
        </w:tc>
      </w:tr>
      <w:tr w:rsidR="00821A42" w:rsidRPr="001B6B04" w:rsidTr="00821A42">
        <w:trPr>
          <w:trHeight w:val="410"/>
          <w:jc w:val="center"/>
        </w:trPr>
        <w:tc>
          <w:tcPr>
            <w:tcW w:w="3474"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PRODUITS ALIMENTAIRES</w:t>
            </w:r>
          </w:p>
        </w:tc>
        <w:tc>
          <w:tcPr>
            <w:tcW w:w="1276"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37,085</w:t>
            </w:r>
          </w:p>
        </w:tc>
        <w:tc>
          <w:tcPr>
            <w:tcW w:w="1395"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126,6</w:t>
            </w:r>
          </w:p>
        </w:tc>
        <w:tc>
          <w:tcPr>
            <w:tcW w:w="1395"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126,3</w:t>
            </w:r>
          </w:p>
        </w:tc>
        <w:tc>
          <w:tcPr>
            <w:tcW w:w="1346" w:type="dxa"/>
            <w:tcBorders>
              <w:top w:val="single" w:sz="4" w:space="0" w:color="auto"/>
              <w:bottom w:val="single" w:sz="4" w:space="0" w:color="auto"/>
            </w:tcBorders>
            <w:shd w:val="clear" w:color="000000" w:fill="FABF8F" w:themeFill="accent6" w:themeFillTint="99"/>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-0,2</w:t>
            </w:r>
          </w:p>
        </w:tc>
      </w:tr>
      <w:tr w:rsidR="00821A42" w:rsidRPr="001B6B04" w:rsidTr="00821A42">
        <w:trPr>
          <w:trHeight w:val="455"/>
          <w:jc w:val="center"/>
        </w:trPr>
        <w:tc>
          <w:tcPr>
            <w:tcW w:w="3474" w:type="dxa"/>
            <w:tcBorders>
              <w:top w:val="single" w:sz="4" w:space="0" w:color="auto"/>
            </w:tcBorders>
            <w:shd w:val="clear" w:color="000000" w:fill="FFFFFF"/>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PAIN ET CEREALES</w:t>
            </w:r>
          </w:p>
        </w:tc>
        <w:tc>
          <w:tcPr>
            <w:tcW w:w="1276" w:type="dxa"/>
            <w:tcBorders>
              <w:top w:val="single" w:sz="4" w:space="0" w:color="auto"/>
            </w:tcBorders>
            <w:shd w:val="clear" w:color="000000" w:fill="FFFFFF"/>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7,473</w:t>
            </w:r>
          </w:p>
        </w:tc>
        <w:tc>
          <w:tcPr>
            <w:tcW w:w="1395" w:type="dxa"/>
            <w:tcBorders>
              <w:top w:val="single" w:sz="4" w:space="0" w:color="auto"/>
            </w:tcBorders>
            <w:shd w:val="clear" w:color="000000" w:fill="FFFFFF"/>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125,4</w:t>
            </w:r>
          </w:p>
        </w:tc>
        <w:tc>
          <w:tcPr>
            <w:tcW w:w="1395" w:type="dxa"/>
            <w:tcBorders>
              <w:top w:val="single" w:sz="4" w:space="0" w:color="auto"/>
            </w:tcBorders>
            <w:shd w:val="clear" w:color="000000" w:fill="FFFFFF"/>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125,9</w:t>
            </w:r>
          </w:p>
        </w:tc>
        <w:tc>
          <w:tcPr>
            <w:tcW w:w="1346" w:type="dxa"/>
            <w:tcBorders>
              <w:top w:val="single" w:sz="4" w:space="0" w:color="auto"/>
            </w:tcBorders>
            <w:shd w:val="clear" w:color="000000" w:fill="FFFFFF"/>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0,4</w:t>
            </w:r>
          </w:p>
        </w:tc>
      </w:tr>
      <w:tr w:rsidR="00821A42" w:rsidRPr="001B6B04" w:rsidTr="00821A42">
        <w:trPr>
          <w:trHeight w:val="283"/>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VIANDE</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11,344</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114,0</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112,5</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w:t>
            </w:r>
          </w:p>
        </w:tc>
      </w:tr>
      <w:tr w:rsidR="00821A42" w:rsidRPr="001B6B04" w:rsidTr="00821A42">
        <w:trPr>
          <w:trHeight w:val="403"/>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POISSON ET FRUITS DE MER</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1,761</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164,7</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153,2</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-7,0</w:t>
            </w:r>
          </w:p>
        </w:tc>
      </w:tr>
      <w:tr w:rsidR="00821A42" w:rsidRPr="001B6B04" w:rsidTr="00821A42">
        <w:trPr>
          <w:trHeight w:val="340"/>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LAIT, FROMAGE ET ŒUFS</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4,0</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120,4</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-1,6</w:t>
            </w:r>
          </w:p>
        </w:tc>
      </w:tr>
      <w:tr w:rsidR="00821A42" w:rsidRPr="001B6B04" w:rsidTr="00821A42">
        <w:trPr>
          <w:trHeight w:val="381"/>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HUILES ET GRAISSES</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3,078</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136,3</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136,2</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-0,1</w:t>
            </w:r>
          </w:p>
        </w:tc>
      </w:tr>
      <w:tr w:rsidR="00821A42" w:rsidRPr="001B6B04" w:rsidTr="00821A42">
        <w:trPr>
          <w:trHeight w:val="387"/>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FRUITS</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1,814</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149,1</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155,8</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4,5</w:t>
            </w:r>
          </w:p>
        </w:tc>
      </w:tr>
      <w:tr w:rsidR="00821A42" w:rsidRPr="001B6B04" w:rsidTr="00821A42">
        <w:trPr>
          <w:trHeight w:val="421"/>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LEGUMES</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5,275</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123,1</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125,8</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2,2</w:t>
            </w:r>
          </w:p>
        </w:tc>
      </w:tr>
      <w:tr w:rsidR="00821A42" w:rsidRPr="001B6B04" w:rsidTr="00821A42">
        <w:trPr>
          <w:trHeight w:val="340"/>
          <w:jc w:val="center"/>
        </w:trPr>
        <w:tc>
          <w:tcPr>
            <w:tcW w:w="3474" w:type="dxa"/>
            <w:shd w:val="clear" w:color="auto" w:fill="auto"/>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SUCRE, CONFITURE, MIEL, CHOCOLAT ET CONFESERIE</w:t>
            </w:r>
          </w:p>
        </w:tc>
        <w:tc>
          <w:tcPr>
            <w:tcW w:w="1276" w:type="dxa"/>
            <w:shd w:val="clear" w:color="auto" w:fill="auto"/>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1,495</w:t>
            </w:r>
          </w:p>
        </w:tc>
        <w:tc>
          <w:tcPr>
            <w:tcW w:w="1395" w:type="dxa"/>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112,0</w:t>
            </w:r>
          </w:p>
        </w:tc>
        <w:tc>
          <w:tcPr>
            <w:tcW w:w="1395" w:type="dxa"/>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112,8</w:t>
            </w:r>
          </w:p>
        </w:tc>
        <w:tc>
          <w:tcPr>
            <w:tcW w:w="1346" w:type="dxa"/>
            <w:shd w:val="clear" w:color="auto" w:fill="auto"/>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0,7</w:t>
            </w:r>
          </w:p>
        </w:tc>
      </w:tr>
      <w:tr w:rsidR="00821A42" w:rsidRPr="001B6B04" w:rsidTr="00821A42">
        <w:trPr>
          <w:trHeight w:val="379"/>
          <w:jc w:val="center"/>
        </w:trPr>
        <w:tc>
          <w:tcPr>
            <w:tcW w:w="3474" w:type="dxa"/>
            <w:tcBorders>
              <w:bottom w:val="single" w:sz="4" w:space="0" w:color="auto"/>
            </w:tcBorders>
            <w:shd w:val="clear" w:color="000000" w:fill="FFFFFF"/>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PRODUITS ALIMENTAIRES N.C.A.</w:t>
            </w:r>
          </w:p>
        </w:tc>
        <w:tc>
          <w:tcPr>
            <w:tcW w:w="1276" w:type="dxa"/>
            <w:tcBorders>
              <w:bottom w:val="single" w:sz="4" w:space="0" w:color="auto"/>
            </w:tcBorders>
            <w:shd w:val="clear" w:color="000000" w:fill="FFFFFF"/>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0,845</w:t>
            </w:r>
          </w:p>
        </w:tc>
        <w:tc>
          <w:tcPr>
            <w:tcW w:w="1395" w:type="dxa"/>
            <w:tcBorders>
              <w:bottom w:val="single" w:sz="4" w:space="0" w:color="auto"/>
            </w:tcBorders>
            <w:shd w:val="clear" w:color="000000" w:fill="FFFFFF"/>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212,3</w:t>
            </w:r>
          </w:p>
        </w:tc>
        <w:tc>
          <w:tcPr>
            <w:tcW w:w="1395" w:type="dxa"/>
            <w:tcBorders>
              <w:bottom w:val="single" w:sz="4" w:space="0" w:color="auto"/>
            </w:tcBorders>
            <w:shd w:val="clear" w:color="000000" w:fill="FFFFFF"/>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213,8</w:t>
            </w:r>
          </w:p>
        </w:tc>
        <w:tc>
          <w:tcPr>
            <w:tcW w:w="1346" w:type="dxa"/>
            <w:tcBorders>
              <w:bottom w:val="single" w:sz="4" w:space="0" w:color="auto"/>
            </w:tcBorders>
            <w:shd w:val="clear" w:color="000000" w:fill="FFFFFF"/>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0,7</w:t>
            </w:r>
          </w:p>
        </w:tc>
      </w:tr>
      <w:tr w:rsidR="00821A42" w:rsidRPr="001B6B04" w:rsidTr="00821A42">
        <w:trPr>
          <w:trHeight w:val="307"/>
          <w:jc w:val="center"/>
        </w:trPr>
        <w:tc>
          <w:tcPr>
            <w:tcW w:w="3474"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BOISSONS NON ALCOOLISÉES</w:t>
            </w:r>
          </w:p>
        </w:tc>
        <w:tc>
          <w:tcPr>
            <w:tcW w:w="1276"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1,952</w:t>
            </w:r>
          </w:p>
        </w:tc>
        <w:tc>
          <w:tcPr>
            <w:tcW w:w="1395"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132,3</w:t>
            </w:r>
          </w:p>
        </w:tc>
        <w:tc>
          <w:tcPr>
            <w:tcW w:w="1395" w:type="dxa"/>
            <w:tcBorders>
              <w:top w:val="single" w:sz="4" w:space="0" w:color="auto"/>
              <w:bottom w:val="single" w:sz="4" w:space="0" w:color="auto"/>
            </w:tcBorders>
            <w:shd w:val="clear" w:color="000000" w:fill="FABF8F" w:themeFill="accent6" w:themeFillTint="99"/>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137,4</w:t>
            </w:r>
          </w:p>
        </w:tc>
        <w:tc>
          <w:tcPr>
            <w:tcW w:w="1346" w:type="dxa"/>
            <w:tcBorders>
              <w:top w:val="single" w:sz="4" w:space="0" w:color="auto"/>
              <w:bottom w:val="single" w:sz="4" w:space="0" w:color="auto"/>
            </w:tcBorders>
            <w:shd w:val="clear" w:color="000000" w:fill="FABF8F" w:themeFill="accent6" w:themeFillTint="99"/>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3,9</w:t>
            </w:r>
          </w:p>
        </w:tc>
      </w:tr>
      <w:tr w:rsidR="00821A42" w:rsidRPr="001B6B04" w:rsidTr="00821A42">
        <w:trPr>
          <w:trHeight w:val="340"/>
          <w:jc w:val="center"/>
        </w:trPr>
        <w:tc>
          <w:tcPr>
            <w:tcW w:w="3474" w:type="dxa"/>
            <w:tcBorders>
              <w:top w:val="single" w:sz="4" w:space="0" w:color="auto"/>
            </w:tcBorders>
            <w:shd w:val="clear" w:color="000000" w:fill="FFFFFF"/>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CAFE, THE ET CACAO</w:t>
            </w:r>
          </w:p>
        </w:tc>
        <w:tc>
          <w:tcPr>
            <w:tcW w:w="1276" w:type="dxa"/>
            <w:tcBorders>
              <w:top w:val="single" w:sz="4" w:space="0" w:color="auto"/>
            </w:tcBorders>
            <w:shd w:val="clear" w:color="000000" w:fill="FFFFFF"/>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1,494</w:t>
            </w:r>
          </w:p>
        </w:tc>
        <w:tc>
          <w:tcPr>
            <w:tcW w:w="1395" w:type="dxa"/>
            <w:tcBorders>
              <w:top w:val="single" w:sz="4" w:space="0" w:color="auto"/>
            </w:tcBorders>
            <w:shd w:val="clear" w:color="000000" w:fill="FFFFFF"/>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137,4</w:t>
            </w:r>
          </w:p>
        </w:tc>
        <w:tc>
          <w:tcPr>
            <w:tcW w:w="1395" w:type="dxa"/>
            <w:tcBorders>
              <w:top w:val="single" w:sz="4" w:space="0" w:color="auto"/>
            </w:tcBorders>
            <w:shd w:val="clear" w:color="000000" w:fill="FFFFFF"/>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144,1</w:t>
            </w:r>
          </w:p>
        </w:tc>
        <w:tc>
          <w:tcPr>
            <w:tcW w:w="1346" w:type="dxa"/>
            <w:tcBorders>
              <w:top w:val="single" w:sz="4" w:space="0" w:color="auto"/>
            </w:tcBorders>
            <w:shd w:val="clear" w:color="000000" w:fill="FFFFFF"/>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4,9</w:t>
            </w:r>
          </w:p>
        </w:tc>
      </w:tr>
      <w:tr w:rsidR="00821A42" w:rsidRPr="001B6B04" w:rsidTr="00821A42">
        <w:trPr>
          <w:trHeight w:val="771"/>
          <w:jc w:val="center"/>
        </w:trPr>
        <w:tc>
          <w:tcPr>
            <w:tcW w:w="3474" w:type="dxa"/>
            <w:tcBorders>
              <w:bottom w:val="single" w:sz="4" w:space="0" w:color="auto"/>
            </w:tcBorders>
            <w:shd w:val="clear" w:color="000000" w:fill="FFFFFF"/>
            <w:vAlign w:val="center"/>
          </w:tcPr>
          <w:p w:rsidR="00821A42" w:rsidRPr="001B6B04" w:rsidRDefault="00821A42"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EAUX MINERALES, BOISSONS RAFRAICHISSANTES, JUS DE FRUITS ET DE LEGUMES (ND)</w:t>
            </w:r>
          </w:p>
        </w:tc>
        <w:tc>
          <w:tcPr>
            <w:tcW w:w="1276" w:type="dxa"/>
            <w:tcBorders>
              <w:bottom w:val="single" w:sz="4" w:space="0" w:color="auto"/>
            </w:tcBorders>
            <w:shd w:val="clear" w:color="000000" w:fill="FFFFFF"/>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0,458</w:t>
            </w:r>
          </w:p>
        </w:tc>
        <w:tc>
          <w:tcPr>
            <w:tcW w:w="1395" w:type="dxa"/>
            <w:tcBorders>
              <w:bottom w:val="single" w:sz="4" w:space="0" w:color="auto"/>
            </w:tcBorders>
            <w:shd w:val="clear" w:color="000000" w:fill="FFFFFF"/>
            <w:vAlign w:val="center"/>
          </w:tcPr>
          <w:p w:rsidR="00821A42" w:rsidRPr="001B6B04"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115,7</w:t>
            </w:r>
          </w:p>
        </w:tc>
        <w:tc>
          <w:tcPr>
            <w:tcW w:w="1395" w:type="dxa"/>
            <w:tcBorders>
              <w:bottom w:val="single" w:sz="4" w:space="0" w:color="auto"/>
            </w:tcBorders>
            <w:shd w:val="clear" w:color="000000" w:fill="FFFFFF"/>
            <w:vAlign w:val="center"/>
          </w:tcPr>
          <w:p w:rsidR="00821A42" w:rsidRPr="001B6B04"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115,7</w:t>
            </w:r>
          </w:p>
        </w:tc>
        <w:tc>
          <w:tcPr>
            <w:tcW w:w="1346" w:type="dxa"/>
            <w:tcBorders>
              <w:bottom w:val="single" w:sz="4" w:space="0" w:color="auto"/>
            </w:tcBorders>
            <w:shd w:val="clear" w:color="000000" w:fill="FFFFFF"/>
            <w:noWrap/>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821A42" w:rsidRPr="001B6B04" w:rsidTr="00821A42">
        <w:trPr>
          <w:trHeight w:val="331"/>
          <w:jc w:val="center"/>
        </w:trPr>
        <w:tc>
          <w:tcPr>
            <w:tcW w:w="3474"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E0064D">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BOISSONS ALCOOLISÉES ET TABAC</w:t>
            </w:r>
          </w:p>
        </w:tc>
        <w:tc>
          <w:tcPr>
            <w:tcW w:w="1276"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45443C">
            <w:pPr>
              <w:ind w:left="0"/>
              <w:jc w:val="center"/>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2,2</w:t>
            </w:r>
          </w:p>
        </w:tc>
        <w:tc>
          <w:tcPr>
            <w:tcW w:w="1395"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5648A7">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122,4</w:t>
            </w:r>
          </w:p>
        </w:tc>
        <w:tc>
          <w:tcPr>
            <w:tcW w:w="1395" w:type="dxa"/>
            <w:tcBorders>
              <w:top w:val="single" w:sz="4" w:space="0" w:color="auto"/>
              <w:bottom w:val="single" w:sz="4" w:space="0" w:color="auto"/>
            </w:tcBorders>
            <w:shd w:val="clear" w:color="000000" w:fill="FABF8F" w:themeFill="accent6" w:themeFillTint="99"/>
            <w:vAlign w:val="center"/>
          </w:tcPr>
          <w:p w:rsidR="00821A42" w:rsidRPr="00AA6135" w:rsidRDefault="00821A42" w:rsidP="003D78E0">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122,4</w:t>
            </w:r>
          </w:p>
        </w:tc>
        <w:tc>
          <w:tcPr>
            <w:tcW w:w="1346" w:type="dxa"/>
            <w:tcBorders>
              <w:top w:val="single" w:sz="4" w:space="0" w:color="auto"/>
              <w:bottom w:val="single" w:sz="4" w:space="0" w:color="auto"/>
            </w:tcBorders>
            <w:shd w:val="clear" w:color="000000" w:fill="FABF8F" w:themeFill="accent6" w:themeFillTint="99"/>
            <w:noWrap/>
            <w:vAlign w:val="center"/>
          </w:tcPr>
          <w:p w:rsidR="00821A42" w:rsidRPr="00AA6135" w:rsidRDefault="00821A42" w:rsidP="0045443C">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0,0</w:t>
            </w:r>
          </w:p>
        </w:tc>
      </w:tr>
      <w:tr w:rsidR="00821A42" w:rsidRPr="001B6B04" w:rsidTr="00821A42">
        <w:trPr>
          <w:trHeight w:val="412"/>
          <w:jc w:val="center"/>
        </w:trPr>
        <w:tc>
          <w:tcPr>
            <w:tcW w:w="3474" w:type="dxa"/>
            <w:tcBorders>
              <w:top w:val="single" w:sz="4" w:space="0" w:color="auto"/>
            </w:tcBorders>
            <w:shd w:val="clear" w:color="000000" w:fill="FFFFFF"/>
            <w:vAlign w:val="center"/>
          </w:tcPr>
          <w:p w:rsidR="00821A42" w:rsidRPr="00AA6135" w:rsidRDefault="00821A42" w:rsidP="00EC3A56">
            <w:pPr>
              <w:ind w:left="0"/>
              <w:rPr>
                <w:rFonts w:asciiTheme="majorBidi" w:hAnsiTheme="majorBidi" w:cstheme="majorBidi"/>
                <w:i/>
                <w:iCs/>
                <w:spacing w:val="0"/>
                <w:lang w:eastAsia="fr-FR"/>
              </w:rPr>
            </w:pPr>
            <w:r w:rsidRPr="00AA6135">
              <w:rPr>
                <w:rFonts w:asciiTheme="majorBidi" w:hAnsiTheme="majorBidi" w:cstheme="majorBidi"/>
                <w:i/>
                <w:iCs/>
                <w:spacing w:val="0"/>
                <w:lang w:eastAsia="fr-FR"/>
              </w:rPr>
              <w:t>BOISSONS ALCOOLISÉES</w:t>
            </w:r>
          </w:p>
        </w:tc>
        <w:tc>
          <w:tcPr>
            <w:tcW w:w="1276" w:type="dxa"/>
            <w:tcBorders>
              <w:top w:val="single" w:sz="4" w:space="0" w:color="auto"/>
            </w:tcBorders>
            <w:shd w:val="clear" w:color="000000" w:fill="FFFFFF"/>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0,011</w:t>
            </w:r>
          </w:p>
        </w:tc>
        <w:tc>
          <w:tcPr>
            <w:tcW w:w="1395" w:type="dxa"/>
            <w:tcBorders>
              <w:top w:val="single" w:sz="4" w:space="0" w:color="auto"/>
            </w:tcBorders>
            <w:shd w:val="clear" w:color="000000" w:fill="FFFFFF"/>
            <w:vAlign w:val="center"/>
          </w:tcPr>
          <w:p w:rsidR="00821A42"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140,2</w:t>
            </w:r>
          </w:p>
        </w:tc>
        <w:tc>
          <w:tcPr>
            <w:tcW w:w="1395" w:type="dxa"/>
            <w:tcBorders>
              <w:top w:val="single" w:sz="4" w:space="0" w:color="auto"/>
            </w:tcBorders>
            <w:shd w:val="clear" w:color="000000" w:fill="FFFFFF"/>
            <w:vAlign w:val="center"/>
          </w:tcPr>
          <w:p w:rsidR="00821A42"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140,2</w:t>
            </w:r>
          </w:p>
        </w:tc>
        <w:tc>
          <w:tcPr>
            <w:tcW w:w="1346" w:type="dxa"/>
            <w:tcBorders>
              <w:top w:val="single" w:sz="4" w:space="0" w:color="auto"/>
            </w:tcBorders>
            <w:shd w:val="clear" w:color="000000" w:fill="FFFFFF"/>
            <w:noWrap/>
            <w:vAlign w:val="center"/>
          </w:tcPr>
          <w:p w:rsidR="00821A42" w:rsidRDefault="00821A42" w:rsidP="00A8746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821A42" w:rsidRPr="001B6B04" w:rsidTr="00821A42">
        <w:trPr>
          <w:trHeight w:val="639"/>
          <w:jc w:val="center"/>
        </w:trPr>
        <w:tc>
          <w:tcPr>
            <w:tcW w:w="3474" w:type="dxa"/>
            <w:tcBorders>
              <w:bottom w:val="single" w:sz="4" w:space="0" w:color="auto"/>
            </w:tcBorders>
            <w:shd w:val="clear" w:color="000000" w:fill="FFFFFF"/>
            <w:vAlign w:val="center"/>
          </w:tcPr>
          <w:p w:rsidR="00821A42" w:rsidRPr="001B6B04" w:rsidRDefault="00821A42" w:rsidP="00EC3A56">
            <w:pPr>
              <w:ind w:left="0"/>
              <w:rPr>
                <w:rFonts w:asciiTheme="majorBidi" w:hAnsiTheme="majorBidi" w:cstheme="majorBidi"/>
                <w:i/>
                <w:iCs/>
                <w:spacing w:val="0"/>
                <w:lang w:eastAsia="fr-FR"/>
              </w:rPr>
            </w:pPr>
            <w:r>
              <w:rPr>
                <w:rFonts w:asciiTheme="majorBidi" w:hAnsiTheme="majorBidi" w:cstheme="majorBidi"/>
                <w:i/>
                <w:iCs/>
                <w:spacing w:val="0"/>
                <w:lang w:eastAsia="fr-FR"/>
              </w:rPr>
              <w:t>TABAC</w:t>
            </w:r>
          </w:p>
        </w:tc>
        <w:tc>
          <w:tcPr>
            <w:tcW w:w="1276" w:type="dxa"/>
            <w:tcBorders>
              <w:bottom w:val="single" w:sz="4" w:space="0" w:color="auto"/>
            </w:tcBorders>
            <w:shd w:val="clear" w:color="000000" w:fill="FFFFFF"/>
            <w:vAlign w:val="center"/>
          </w:tcPr>
          <w:p w:rsidR="00821A42" w:rsidRPr="001B6B04" w:rsidRDefault="00821A4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2,156</w:t>
            </w:r>
          </w:p>
        </w:tc>
        <w:tc>
          <w:tcPr>
            <w:tcW w:w="1395" w:type="dxa"/>
            <w:tcBorders>
              <w:bottom w:val="single" w:sz="4" w:space="0" w:color="auto"/>
            </w:tcBorders>
            <w:shd w:val="clear" w:color="000000" w:fill="FFFFFF"/>
            <w:vAlign w:val="center"/>
          </w:tcPr>
          <w:p w:rsidR="00821A42" w:rsidRDefault="00821A4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95" w:type="dxa"/>
            <w:tcBorders>
              <w:bottom w:val="single" w:sz="4" w:space="0" w:color="auto"/>
            </w:tcBorders>
            <w:shd w:val="clear" w:color="000000" w:fill="FFFFFF"/>
            <w:vAlign w:val="center"/>
          </w:tcPr>
          <w:p w:rsidR="00821A42" w:rsidRDefault="00821A42" w:rsidP="003D78E0">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46" w:type="dxa"/>
            <w:tcBorders>
              <w:bottom w:val="single" w:sz="4" w:space="0" w:color="auto"/>
            </w:tcBorders>
            <w:shd w:val="clear" w:color="000000" w:fill="FFFFFF"/>
            <w:noWrap/>
            <w:vAlign w:val="center"/>
          </w:tcPr>
          <w:p w:rsidR="00821A42" w:rsidRDefault="00821A42" w:rsidP="00A8746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bl>
    <w:p w:rsidR="00F8002B" w:rsidRDefault="00185A2F" w:rsidP="009E5C2A">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lastRenderedPageBreak/>
        <w:t>Concernant les</w:t>
      </w:r>
      <w:r w:rsidR="00942732">
        <w:rPr>
          <w:rFonts w:ascii="Times New Roman" w:eastAsia="Gulim" w:hAnsi="Times New Roman"/>
          <w:sz w:val="28"/>
          <w:szCs w:val="28"/>
        </w:rPr>
        <w:t xml:space="preserve"> variations des prix des </w:t>
      </w:r>
      <w:r w:rsidRPr="00391850">
        <w:rPr>
          <w:rFonts w:ascii="Times New Roman" w:eastAsia="Gulim" w:hAnsi="Times New Roman"/>
          <w:sz w:val="28"/>
          <w:szCs w:val="28"/>
        </w:rPr>
        <w:t>produits non alimentaires</w:t>
      </w:r>
      <w:r w:rsidR="00942732">
        <w:rPr>
          <w:rFonts w:ascii="Times New Roman" w:eastAsia="Gulim" w:hAnsi="Times New Roman"/>
          <w:sz w:val="28"/>
          <w:szCs w:val="28"/>
        </w:rPr>
        <w:t xml:space="preserve"> entre </w:t>
      </w:r>
      <w:r w:rsidR="00F06F58">
        <w:rPr>
          <w:rFonts w:ascii="Times New Roman" w:eastAsia="Gulim" w:hAnsi="Times New Roman"/>
          <w:sz w:val="28"/>
          <w:szCs w:val="28"/>
        </w:rPr>
        <w:t xml:space="preserve"> </w:t>
      </w:r>
      <w:r w:rsidR="003336CD">
        <w:rPr>
          <w:rFonts w:ascii="Times New Roman" w:eastAsia="Gulim" w:hAnsi="Times New Roman"/>
          <w:sz w:val="28"/>
          <w:szCs w:val="28"/>
        </w:rPr>
        <w:t xml:space="preserve"> juillet </w:t>
      </w:r>
      <w:r w:rsidR="001B58F2">
        <w:rPr>
          <w:rFonts w:ascii="Times New Roman" w:eastAsia="Gulim" w:hAnsi="Times New Roman"/>
          <w:sz w:val="28"/>
          <w:szCs w:val="28"/>
        </w:rPr>
        <w:t>et ao</w:t>
      </w:r>
      <w:r w:rsidR="009E5C2A">
        <w:rPr>
          <w:rFonts w:ascii="Times New Roman" w:eastAsia="Gulim" w:hAnsi="Times New Roman"/>
          <w:sz w:val="28"/>
          <w:szCs w:val="28"/>
        </w:rPr>
        <w:t>û</w:t>
      </w:r>
      <w:r w:rsidR="001B58F2">
        <w:rPr>
          <w:rFonts w:ascii="Times New Roman" w:eastAsia="Gulim" w:hAnsi="Times New Roman"/>
          <w:sz w:val="28"/>
          <w:szCs w:val="28"/>
        </w:rPr>
        <w:t xml:space="preserve">t </w:t>
      </w:r>
      <w:r w:rsidR="00942732">
        <w:rPr>
          <w:rFonts w:ascii="Times New Roman" w:eastAsia="Gulim" w:hAnsi="Times New Roman"/>
          <w:sz w:val="28"/>
          <w:szCs w:val="28"/>
        </w:rPr>
        <w:t>2015 ;</w:t>
      </w:r>
      <w:r w:rsidRPr="00391850">
        <w:rPr>
          <w:rFonts w:ascii="Times New Roman" w:eastAsia="Gulim" w:hAnsi="Times New Roman"/>
          <w:sz w:val="28"/>
          <w:szCs w:val="28"/>
        </w:rPr>
        <w:t xml:space="preserve"> </w:t>
      </w:r>
      <w:r w:rsidR="00F06F58">
        <w:rPr>
          <w:rFonts w:ascii="Times New Roman" w:eastAsia="Gulim" w:hAnsi="Times New Roman"/>
          <w:sz w:val="28"/>
          <w:szCs w:val="28"/>
        </w:rPr>
        <w:t>d</w:t>
      </w:r>
      <w:r w:rsidRPr="00391850">
        <w:rPr>
          <w:rFonts w:ascii="Times New Roman" w:eastAsia="Gulim" w:hAnsi="Times New Roman"/>
          <w:sz w:val="28"/>
          <w:szCs w:val="28"/>
        </w:rPr>
        <w:t xml:space="preserve">es </w:t>
      </w:r>
      <w:r w:rsidR="003D75BD">
        <w:rPr>
          <w:rFonts w:ascii="Times New Roman" w:eastAsia="Gulim" w:hAnsi="Times New Roman"/>
          <w:sz w:val="28"/>
          <w:szCs w:val="28"/>
        </w:rPr>
        <w:t>baisses</w:t>
      </w:r>
      <w:r w:rsidR="00996CA3">
        <w:rPr>
          <w:rFonts w:ascii="Times New Roman" w:eastAsia="Gulim" w:hAnsi="Times New Roman"/>
          <w:sz w:val="28"/>
          <w:szCs w:val="28"/>
        </w:rPr>
        <w:t xml:space="preserve"> </w:t>
      </w:r>
      <w:r w:rsidRPr="00391850">
        <w:rPr>
          <w:rFonts w:ascii="Times New Roman" w:eastAsia="Gulim" w:hAnsi="Times New Roman"/>
          <w:sz w:val="28"/>
          <w:szCs w:val="28"/>
        </w:rPr>
        <w:t xml:space="preserve">ont </w:t>
      </w:r>
      <w:r>
        <w:rPr>
          <w:rFonts w:ascii="Times New Roman" w:eastAsia="Gulim" w:hAnsi="Times New Roman"/>
          <w:sz w:val="28"/>
          <w:szCs w:val="28"/>
        </w:rPr>
        <w:t xml:space="preserve">été </w:t>
      </w:r>
      <w:r w:rsidR="00F06F58">
        <w:rPr>
          <w:rFonts w:ascii="Times New Roman" w:eastAsia="Gulim" w:hAnsi="Times New Roman"/>
          <w:sz w:val="28"/>
          <w:szCs w:val="28"/>
        </w:rPr>
        <w:t xml:space="preserve">enregistrées </w:t>
      </w:r>
      <w:r w:rsidR="000F4D76">
        <w:rPr>
          <w:rFonts w:ascii="Times New Roman" w:eastAsia="Gulim" w:hAnsi="Times New Roman"/>
          <w:sz w:val="28"/>
          <w:szCs w:val="28"/>
        </w:rPr>
        <w:t xml:space="preserve">principalement pour </w:t>
      </w:r>
      <w:r w:rsidR="00585E99">
        <w:rPr>
          <w:rFonts w:ascii="Times New Roman" w:eastAsia="Gulim" w:hAnsi="Times New Roman"/>
          <w:sz w:val="28"/>
          <w:szCs w:val="28"/>
        </w:rPr>
        <w:t>l</w:t>
      </w:r>
      <w:r w:rsidR="000F4D76">
        <w:rPr>
          <w:rFonts w:ascii="Times New Roman" w:eastAsia="Gulim" w:hAnsi="Times New Roman"/>
          <w:sz w:val="28"/>
          <w:szCs w:val="28"/>
        </w:rPr>
        <w:t>es</w:t>
      </w:r>
      <w:r w:rsidR="00942732">
        <w:rPr>
          <w:rFonts w:ascii="Times New Roman" w:eastAsia="Gulim" w:hAnsi="Times New Roman"/>
          <w:sz w:val="28"/>
          <w:szCs w:val="28"/>
        </w:rPr>
        <w:t xml:space="preserve"> </w:t>
      </w:r>
      <w:r w:rsidR="002A48C1">
        <w:rPr>
          <w:rFonts w:ascii="Times New Roman" w:eastAsia="Gulim" w:hAnsi="Times New Roman"/>
          <w:sz w:val="28"/>
          <w:szCs w:val="28"/>
        </w:rPr>
        <w:t xml:space="preserve"> </w:t>
      </w:r>
      <w:r w:rsidR="002A48C1" w:rsidRPr="009C0D33">
        <w:rPr>
          <w:rFonts w:ascii="Times New Roman" w:eastAsia="Gulim" w:hAnsi="Times New Roman"/>
          <w:sz w:val="28"/>
          <w:szCs w:val="28"/>
        </w:rPr>
        <w:t>‘‘</w:t>
      </w:r>
      <w:r w:rsidR="002A48C1">
        <w:rPr>
          <w:rFonts w:ascii="Times New Roman" w:eastAsia="Gulim" w:hAnsi="Times New Roman"/>
          <w:sz w:val="28"/>
          <w:szCs w:val="28"/>
        </w:rPr>
        <w:t>Carburants et Lubrifiants</w:t>
      </w:r>
      <w:r w:rsidR="002A48C1" w:rsidRPr="00391850">
        <w:rPr>
          <w:rFonts w:ascii="Times New Roman" w:eastAsia="Gulim" w:hAnsi="Times New Roman"/>
          <w:sz w:val="28"/>
          <w:szCs w:val="28"/>
        </w:rPr>
        <w:t>’’</w:t>
      </w:r>
      <w:r w:rsidR="002A48C1">
        <w:rPr>
          <w:rFonts w:ascii="Times New Roman" w:eastAsia="Gulim" w:hAnsi="Times New Roman"/>
          <w:sz w:val="28"/>
          <w:szCs w:val="28"/>
        </w:rPr>
        <w:t xml:space="preserve"> </w:t>
      </w:r>
      <w:r w:rsidR="002B4A08">
        <w:rPr>
          <w:rFonts w:ascii="Times New Roman" w:eastAsia="Gulim" w:hAnsi="Times New Roman"/>
          <w:sz w:val="28"/>
          <w:szCs w:val="28"/>
        </w:rPr>
        <w:t>de</w:t>
      </w:r>
      <w:r w:rsidR="002A48C1">
        <w:rPr>
          <w:rFonts w:ascii="Times New Roman" w:eastAsia="Gulim" w:hAnsi="Times New Roman"/>
          <w:sz w:val="28"/>
          <w:szCs w:val="28"/>
        </w:rPr>
        <w:t xml:space="preserve"> </w:t>
      </w:r>
      <w:r w:rsidR="001B58F2">
        <w:rPr>
          <w:rFonts w:ascii="Times New Roman" w:eastAsia="Gulim" w:hAnsi="Times New Roman"/>
          <w:sz w:val="28"/>
          <w:szCs w:val="28"/>
        </w:rPr>
        <w:t>4,9</w:t>
      </w:r>
      <w:r w:rsidR="002A48C1">
        <w:rPr>
          <w:rFonts w:ascii="Times New Roman" w:eastAsia="Gulim" w:hAnsi="Times New Roman"/>
          <w:sz w:val="28"/>
          <w:szCs w:val="28"/>
        </w:rPr>
        <w:t>%</w:t>
      </w:r>
      <w:r w:rsidR="001B58F2">
        <w:rPr>
          <w:rFonts w:ascii="Times New Roman" w:eastAsia="Gulim" w:hAnsi="Times New Roman"/>
          <w:sz w:val="28"/>
          <w:szCs w:val="28"/>
        </w:rPr>
        <w:t xml:space="preserve">. Par contre des hausses ont été observées pour </w:t>
      </w:r>
      <w:r w:rsidR="002A48C1">
        <w:rPr>
          <w:rFonts w:ascii="Times New Roman" w:eastAsia="Gulim" w:hAnsi="Times New Roman"/>
          <w:sz w:val="28"/>
          <w:szCs w:val="28"/>
        </w:rPr>
        <w:t xml:space="preserve">le </w:t>
      </w:r>
      <w:r w:rsidR="002A48C1" w:rsidRPr="009C0D33">
        <w:rPr>
          <w:rFonts w:ascii="Times New Roman" w:eastAsia="Gulim" w:hAnsi="Times New Roman"/>
          <w:sz w:val="28"/>
          <w:szCs w:val="28"/>
        </w:rPr>
        <w:t>‘‘</w:t>
      </w:r>
      <w:r w:rsidR="003859C9">
        <w:rPr>
          <w:rFonts w:ascii="Times New Roman" w:eastAsia="Gulim" w:hAnsi="Times New Roman"/>
          <w:sz w:val="28"/>
          <w:szCs w:val="28"/>
        </w:rPr>
        <w:t>Transport aériens de passagers</w:t>
      </w:r>
      <w:r w:rsidR="002A48C1" w:rsidRPr="00391850">
        <w:rPr>
          <w:rFonts w:ascii="Times New Roman" w:eastAsia="Gulim" w:hAnsi="Times New Roman"/>
          <w:sz w:val="28"/>
          <w:szCs w:val="28"/>
        </w:rPr>
        <w:t>’’</w:t>
      </w:r>
      <w:r w:rsidR="002A48C1">
        <w:rPr>
          <w:rFonts w:ascii="Times New Roman" w:eastAsia="Gulim" w:hAnsi="Times New Roman"/>
          <w:sz w:val="28"/>
          <w:szCs w:val="28"/>
        </w:rPr>
        <w:t xml:space="preserve"> de </w:t>
      </w:r>
      <w:r w:rsidR="001B58F2">
        <w:rPr>
          <w:rFonts w:ascii="Times New Roman" w:eastAsia="Gulim" w:hAnsi="Times New Roman"/>
          <w:sz w:val="28"/>
          <w:szCs w:val="28"/>
        </w:rPr>
        <w:t>13,7</w:t>
      </w:r>
      <w:r w:rsidR="002A48C1">
        <w:rPr>
          <w:rFonts w:ascii="Times New Roman" w:eastAsia="Gulim" w:hAnsi="Times New Roman"/>
          <w:sz w:val="28"/>
          <w:szCs w:val="28"/>
        </w:rPr>
        <w:t>%</w:t>
      </w:r>
      <w:r w:rsidR="003D75BD">
        <w:rPr>
          <w:rFonts w:ascii="Times New Roman" w:eastAsia="Gulim" w:hAnsi="Times New Roman"/>
          <w:sz w:val="28"/>
          <w:szCs w:val="28"/>
        </w:rPr>
        <w:t xml:space="preserve"> et d</w:t>
      </w:r>
      <w:r w:rsidR="001B58F2">
        <w:rPr>
          <w:rFonts w:ascii="Times New Roman" w:eastAsia="Gulim" w:hAnsi="Times New Roman"/>
          <w:sz w:val="28"/>
          <w:szCs w:val="28"/>
        </w:rPr>
        <w:t>es</w:t>
      </w:r>
      <w:r w:rsidR="003D75BD">
        <w:rPr>
          <w:rFonts w:ascii="Times New Roman" w:eastAsia="Gulim" w:hAnsi="Times New Roman"/>
          <w:sz w:val="28"/>
          <w:szCs w:val="28"/>
        </w:rPr>
        <w:t xml:space="preserve"> </w:t>
      </w:r>
      <w:r w:rsidR="003D75BD" w:rsidRPr="009C0D33">
        <w:rPr>
          <w:rFonts w:ascii="Times New Roman" w:eastAsia="Gulim" w:hAnsi="Times New Roman"/>
          <w:sz w:val="28"/>
          <w:szCs w:val="28"/>
        </w:rPr>
        <w:t>‘‘</w:t>
      </w:r>
      <w:r w:rsidR="001B58F2">
        <w:rPr>
          <w:rFonts w:ascii="Times New Roman" w:eastAsia="Gulim" w:hAnsi="Times New Roman"/>
          <w:sz w:val="28"/>
          <w:szCs w:val="28"/>
        </w:rPr>
        <w:t xml:space="preserve"> Services d’hébergement</w:t>
      </w:r>
      <w:r w:rsidR="003D75BD" w:rsidRPr="00391850">
        <w:rPr>
          <w:rFonts w:ascii="Times New Roman" w:eastAsia="Gulim" w:hAnsi="Times New Roman"/>
          <w:sz w:val="28"/>
          <w:szCs w:val="28"/>
        </w:rPr>
        <w:t>’’</w:t>
      </w:r>
      <w:r w:rsidR="003D75BD">
        <w:rPr>
          <w:rFonts w:ascii="Times New Roman" w:eastAsia="Gulim" w:hAnsi="Times New Roman"/>
          <w:sz w:val="28"/>
          <w:szCs w:val="28"/>
        </w:rPr>
        <w:t xml:space="preserve"> de </w:t>
      </w:r>
      <w:r w:rsidR="001B58F2">
        <w:rPr>
          <w:rFonts w:ascii="Times New Roman" w:eastAsia="Gulim" w:hAnsi="Times New Roman"/>
          <w:sz w:val="28"/>
          <w:szCs w:val="28"/>
        </w:rPr>
        <w:t>2,4</w:t>
      </w:r>
      <w:r w:rsidR="003D75BD">
        <w:rPr>
          <w:rFonts w:ascii="Times New Roman" w:eastAsia="Gulim" w:hAnsi="Times New Roman"/>
          <w:sz w:val="28"/>
          <w:szCs w:val="28"/>
        </w:rPr>
        <w:t>%</w:t>
      </w:r>
      <w:r w:rsidR="00942732">
        <w:rPr>
          <w:rFonts w:ascii="Times New Roman" w:eastAsia="Gulim" w:hAnsi="Times New Roman"/>
          <w:sz w:val="28"/>
          <w:szCs w:val="28"/>
        </w:rPr>
        <w:t>.</w:t>
      </w:r>
      <w:r w:rsidR="00996CA3">
        <w:rPr>
          <w:rFonts w:ascii="Times New Roman" w:eastAsia="Gulim" w:hAnsi="Times New Roman"/>
          <w:sz w:val="28"/>
          <w:szCs w:val="28"/>
        </w:rPr>
        <w:t xml:space="preserve"> </w:t>
      </w:r>
    </w:p>
    <w:p w:rsidR="004C5F5E" w:rsidRDefault="004C5F5E" w:rsidP="001B58F2">
      <w:pPr>
        <w:spacing w:before="100" w:beforeAutospacing="1" w:after="100" w:afterAutospacing="1"/>
        <w:ind w:left="0" w:firstLine="720"/>
        <w:jc w:val="both"/>
        <w:rPr>
          <w:rFonts w:ascii="Times New Roman" w:eastAsia="Gulim" w:hAnsi="Times New Roman"/>
          <w:sz w:val="28"/>
          <w:szCs w:val="28"/>
        </w:rPr>
      </w:pPr>
      <w:r w:rsidRPr="004C5F5E">
        <w:rPr>
          <w:rFonts w:ascii="Times New Roman" w:eastAsia="Gulim" w:hAnsi="Times New Roman"/>
          <w:noProof/>
          <w:sz w:val="28"/>
          <w:szCs w:val="28"/>
          <w:lang w:eastAsia="fr-FR"/>
        </w:rPr>
        <w:drawing>
          <wp:inline distT="0" distB="0" distL="0" distR="0">
            <wp:extent cx="4572000" cy="2181225"/>
            <wp:effectExtent l="19050" t="0" r="1905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A41F1" w:rsidRDefault="0081648E" w:rsidP="0010373A">
      <w:pPr>
        <w:spacing w:before="100" w:beforeAutospacing="1" w:after="100" w:afterAutospacing="1"/>
        <w:ind w:left="0"/>
        <w:jc w:val="both"/>
        <w:rPr>
          <w:rFonts w:ascii="Times New Roman" w:eastAsia="Gulim" w:hAnsi="Times New Roman"/>
          <w:b/>
          <w:bCs/>
          <w:sz w:val="28"/>
          <w:szCs w:val="28"/>
        </w:rPr>
      </w:pPr>
      <w:r w:rsidRPr="00493439">
        <w:rPr>
          <w:rFonts w:ascii="Times New Roman" w:eastAsia="Gulim" w:hAnsi="Times New Roman"/>
          <w:b/>
          <w:bCs/>
          <w:sz w:val="28"/>
          <w:szCs w:val="28"/>
        </w:rPr>
        <w:t>En glissement annuel, l</w:t>
      </w:r>
      <w:r w:rsidR="00371398" w:rsidRPr="00493439">
        <w:rPr>
          <w:rFonts w:ascii="Times New Roman" w:eastAsia="Gulim" w:hAnsi="Times New Roman"/>
          <w:b/>
          <w:bCs/>
          <w:sz w:val="28"/>
          <w:szCs w:val="28"/>
        </w:rPr>
        <w:t xml:space="preserve">es prix à la consommation sont en hausse de </w:t>
      </w:r>
      <w:r w:rsidR="004C5F5E">
        <w:rPr>
          <w:rFonts w:ascii="Times New Roman" w:eastAsia="Gulim" w:hAnsi="Times New Roman"/>
          <w:b/>
          <w:bCs/>
          <w:sz w:val="28"/>
          <w:szCs w:val="28"/>
        </w:rPr>
        <w:t>2</w:t>
      </w:r>
      <w:r w:rsidR="002A41F1">
        <w:rPr>
          <w:rFonts w:ascii="Times New Roman" w:eastAsia="Gulim" w:hAnsi="Times New Roman"/>
          <w:b/>
          <w:bCs/>
          <w:sz w:val="28"/>
          <w:szCs w:val="28"/>
        </w:rPr>
        <w:t>,</w:t>
      </w:r>
      <w:r w:rsidR="00871CA7">
        <w:rPr>
          <w:rFonts w:ascii="Times New Roman" w:eastAsia="Gulim" w:hAnsi="Times New Roman"/>
          <w:b/>
          <w:bCs/>
          <w:sz w:val="28"/>
          <w:szCs w:val="28"/>
        </w:rPr>
        <w:t>1</w:t>
      </w:r>
      <w:r w:rsidRPr="00493439">
        <w:rPr>
          <w:rFonts w:ascii="Times New Roman" w:eastAsia="Gulim" w:hAnsi="Times New Roman"/>
          <w:b/>
          <w:bCs/>
          <w:sz w:val="28"/>
          <w:szCs w:val="28"/>
        </w:rPr>
        <w:t>%.</w:t>
      </w:r>
    </w:p>
    <w:p w:rsidR="0010373A" w:rsidRDefault="00493439" w:rsidP="0010373A">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Comparé à son niveau du </w:t>
      </w:r>
      <w:r>
        <w:rPr>
          <w:rFonts w:ascii="Times New Roman" w:eastAsia="Gulim" w:hAnsi="Times New Roman"/>
          <w:sz w:val="28"/>
          <w:szCs w:val="28"/>
        </w:rPr>
        <w:t>même mois de l’année précédente, l</w:t>
      </w:r>
      <w:r w:rsidRPr="00391850">
        <w:rPr>
          <w:rFonts w:ascii="Times New Roman" w:eastAsia="Gulim" w:hAnsi="Times New Roman"/>
          <w:sz w:val="28"/>
          <w:szCs w:val="28"/>
        </w:rPr>
        <w:t>’indice des prix à la consommation à Casablanca (base 100</w:t>
      </w:r>
      <w:r>
        <w:rPr>
          <w:rFonts w:ascii="Times New Roman" w:eastAsia="Gulim" w:hAnsi="Times New Roman"/>
          <w:sz w:val="28"/>
          <w:szCs w:val="28"/>
        </w:rPr>
        <w:t> :</w:t>
      </w:r>
      <w:r w:rsidRPr="00391850">
        <w:rPr>
          <w:rFonts w:ascii="Times New Roman" w:eastAsia="Gulim" w:hAnsi="Times New Roman"/>
          <w:sz w:val="28"/>
          <w:szCs w:val="28"/>
        </w:rPr>
        <w:t xml:space="preserve">2006) </w:t>
      </w:r>
      <w:r>
        <w:rPr>
          <w:rFonts w:ascii="Times New Roman" w:eastAsia="Gulim" w:hAnsi="Times New Roman"/>
          <w:sz w:val="28"/>
          <w:szCs w:val="28"/>
        </w:rPr>
        <w:t>a augmenté de</w:t>
      </w:r>
      <w:r w:rsidR="002A41F1">
        <w:rPr>
          <w:rFonts w:ascii="Times New Roman" w:eastAsia="Gulim" w:hAnsi="Times New Roman"/>
          <w:sz w:val="28"/>
          <w:szCs w:val="28"/>
        </w:rPr>
        <w:t xml:space="preserve"> </w:t>
      </w:r>
      <w:r w:rsidR="004C5F5E">
        <w:rPr>
          <w:rFonts w:ascii="Times New Roman" w:eastAsia="Gulim" w:hAnsi="Times New Roman"/>
          <w:sz w:val="28"/>
          <w:szCs w:val="28"/>
        </w:rPr>
        <w:t>2</w:t>
      </w:r>
      <w:r w:rsidR="002A41F1">
        <w:rPr>
          <w:rFonts w:ascii="Times New Roman" w:eastAsia="Gulim" w:hAnsi="Times New Roman"/>
          <w:sz w:val="28"/>
          <w:szCs w:val="28"/>
        </w:rPr>
        <w:t>,</w:t>
      </w:r>
      <w:r w:rsidR="00871CA7">
        <w:rPr>
          <w:rFonts w:ascii="Times New Roman" w:eastAsia="Gulim" w:hAnsi="Times New Roman"/>
          <w:sz w:val="28"/>
          <w:szCs w:val="28"/>
        </w:rPr>
        <w:t>1</w:t>
      </w:r>
      <w:r>
        <w:rPr>
          <w:rFonts w:ascii="Times New Roman" w:eastAsia="Gulim" w:hAnsi="Times New Roman"/>
          <w:sz w:val="28"/>
          <w:szCs w:val="28"/>
        </w:rPr>
        <w:t>%</w:t>
      </w:r>
      <w:r w:rsidRPr="00391850">
        <w:rPr>
          <w:rFonts w:ascii="Times New Roman" w:eastAsia="Gulim" w:hAnsi="Times New Roman"/>
          <w:sz w:val="28"/>
          <w:szCs w:val="28"/>
        </w:rPr>
        <w:t>.</w:t>
      </w:r>
    </w:p>
    <w:p w:rsidR="00493439" w:rsidRDefault="005F71F9" w:rsidP="0010373A">
      <w:pPr>
        <w:spacing w:before="100" w:beforeAutospacing="1" w:after="100" w:afterAutospacing="1"/>
        <w:ind w:left="0" w:firstLine="720"/>
        <w:jc w:val="both"/>
        <w:rPr>
          <w:rFonts w:ascii="Times New Roman" w:eastAsia="Gulim" w:hAnsi="Times New Roman"/>
          <w:sz w:val="28"/>
          <w:szCs w:val="28"/>
        </w:rPr>
      </w:pPr>
      <w:r w:rsidRPr="004C5F5E">
        <w:rPr>
          <w:rFonts w:ascii="Times New Roman" w:eastAsia="Gulim" w:hAnsi="Times New Roman"/>
          <w:noProof/>
          <w:sz w:val="28"/>
          <w:szCs w:val="28"/>
          <w:lang w:eastAsia="fr-FR"/>
        </w:rPr>
        <w:drawing>
          <wp:inline distT="0" distB="0" distL="0" distR="0">
            <wp:extent cx="5400675" cy="2695575"/>
            <wp:effectExtent l="19050" t="0" r="9525"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5F5E" w:rsidRDefault="00F8002B" w:rsidP="00753DBB">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Cette variation résulte </w:t>
      </w:r>
      <w:r>
        <w:rPr>
          <w:rFonts w:ascii="Times New Roman" w:eastAsia="Gulim" w:hAnsi="Times New Roman"/>
          <w:sz w:val="28"/>
          <w:szCs w:val="28"/>
        </w:rPr>
        <w:t xml:space="preserve">en grande partie </w:t>
      </w:r>
      <w:r w:rsidRPr="00391850">
        <w:rPr>
          <w:rFonts w:ascii="Times New Roman" w:eastAsia="Gulim" w:hAnsi="Times New Roman"/>
          <w:sz w:val="28"/>
          <w:szCs w:val="28"/>
        </w:rPr>
        <w:t xml:space="preserve">de la </w:t>
      </w:r>
      <w:r>
        <w:rPr>
          <w:rFonts w:ascii="Times New Roman" w:eastAsia="Gulim" w:hAnsi="Times New Roman"/>
          <w:sz w:val="28"/>
          <w:szCs w:val="28"/>
        </w:rPr>
        <w:t>hausse</w:t>
      </w:r>
      <w:r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des prix de </w:t>
      </w:r>
      <w:r w:rsidR="001951FE">
        <w:rPr>
          <w:rFonts w:ascii="Times New Roman" w:eastAsia="Gulim" w:hAnsi="Times New Roman"/>
          <w:sz w:val="28"/>
          <w:szCs w:val="28"/>
        </w:rPr>
        <w:t>3,6</w:t>
      </w:r>
      <w:r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des </w:t>
      </w:r>
      <w:r w:rsidRPr="00391850">
        <w:rPr>
          <w:rFonts w:ascii="Times New Roman" w:eastAsia="Gulim" w:hAnsi="Times New Roman"/>
          <w:sz w:val="28"/>
          <w:szCs w:val="28"/>
        </w:rPr>
        <w:t>‘‘Produits alimentaires et boissons non alcoolisées’’</w:t>
      </w:r>
      <w:r w:rsidR="00192A0C">
        <w:rPr>
          <w:rFonts w:ascii="Times New Roman" w:eastAsia="Gulim" w:hAnsi="Times New Roman"/>
          <w:sz w:val="28"/>
          <w:szCs w:val="28"/>
        </w:rPr>
        <w:t xml:space="preserve"> et de 5,4% des </w:t>
      </w:r>
      <w:r w:rsidR="00192A0C" w:rsidRPr="00391850">
        <w:rPr>
          <w:rFonts w:ascii="Times New Roman" w:eastAsia="Gulim" w:hAnsi="Times New Roman"/>
          <w:sz w:val="28"/>
          <w:szCs w:val="28"/>
        </w:rPr>
        <w:t>‘‘</w:t>
      </w:r>
      <w:r w:rsidR="00192A0C">
        <w:rPr>
          <w:rFonts w:ascii="Times New Roman" w:eastAsia="Gulim" w:hAnsi="Times New Roman"/>
          <w:sz w:val="28"/>
          <w:szCs w:val="28"/>
        </w:rPr>
        <w:t>Boissons alcoolisées et tabac</w:t>
      </w:r>
      <w:r w:rsidR="00192A0C" w:rsidRPr="00391850">
        <w:rPr>
          <w:rFonts w:ascii="Times New Roman" w:eastAsia="Gulim" w:hAnsi="Times New Roman"/>
          <w:sz w:val="28"/>
          <w:szCs w:val="28"/>
        </w:rPr>
        <w:t>’’</w:t>
      </w:r>
      <w:r w:rsidRPr="00391850">
        <w:rPr>
          <w:rFonts w:ascii="Times New Roman" w:eastAsia="Gulim" w:hAnsi="Times New Roman"/>
          <w:sz w:val="28"/>
          <w:szCs w:val="28"/>
        </w:rPr>
        <w:t xml:space="preserve">. </w:t>
      </w:r>
      <w:r w:rsidR="007E56F0">
        <w:rPr>
          <w:rFonts w:ascii="Times New Roman" w:eastAsia="Gulim" w:hAnsi="Times New Roman"/>
          <w:sz w:val="28"/>
          <w:szCs w:val="28"/>
        </w:rPr>
        <w:t xml:space="preserve">Quant aux </w:t>
      </w:r>
      <w:r w:rsidRPr="00391850">
        <w:rPr>
          <w:rFonts w:ascii="Times New Roman" w:eastAsia="Gulim" w:hAnsi="Times New Roman"/>
          <w:sz w:val="28"/>
          <w:szCs w:val="28"/>
        </w:rPr>
        <w:t xml:space="preserve">produits non alimentaires </w:t>
      </w:r>
      <w:r w:rsidR="007E56F0">
        <w:rPr>
          <w:rFonts w:ascii="Times New Roman" w:eastAsia="Gulim" w:hAnsi="Times New Roman"/>
          <w:sz w:val="28"/>
          <w:szCs w:val="28"/>
        </w:rPr>
        <w:t>les prix vont d’</w:t>
      </w:r>
      <w:r w:rsidRPr="00391850">
        <w:rPr>
          <w:rFonts w:ascii="Times New Roman" w:eastAsia="Gulim" w:hAnsi="Times New Roman"/>
          <w:sz w:val="28"/>
          <w:szCs w:val="28"/>
        </w:rPr>
        <w:t xml:space="preserve">une </w:t>
      </w:r>
      <w:r>
        <w:rPr>
          <w:rFonts w:ascii="Times New Roman" w:eastAsia="Gulim" w:hAnsi="Times New Roman"/>
          <w:sz w:val="28"/>
          <w:szCs w:val="28"/>
        </w:rPr>
        <w:t xml:space="preserve">baisse </w:t>
      </w:r>
      <w:r w:rsidRPr="00391850">
        <w:rPr>
          <w:rFonts w:ascii="Times New Roman" w:eastAsia="Gulim" w:hAnsi="Times New Roman"/>
          <w:sz w:val="28"/>
          <w:szCs w:val="28"/>
        </w:rPr>
        <w:t xml:space="preserve">de </w:t>
      </w:r>
      <w:r w:rsidR="00962C0F">
        <w:rPr>
          <w:rFonts w:ascii="Times New Roman" w:eastAsia="Gulim" w:hAnsi="Times New Roman"/>
          <w:sz w:val="28"/>
          <w:szCs w:val="28"/>
        </w:rPr>
        <w:t>0,</w:t>
      </w:r>
      <w:r w:rsidR="001951FE">
        <w:rPr>
          <w:rFonts w:ascii="Times New Roman" w:eastAsia="Gulim" w:hAnsi="Times New Roman"/>
          <w:sz w:val="28"/>
          <w:szCs w:val="28"/>
        </w:rPr>
        <w:t>5</w:t>
      </w:r>
      <w:r>
        <w:rPr>
          <w:rFonts w:ascii="Times New Roman" w:eastAsia="Gulim" w:hAnsi="Times New Roman"/>
          <w:sz w:val="28"/>
          <w:szCs w:val="28"/>
        </w:rPr>
        <w:t>%</w:t>
      </w:r>
      <w:r w:rsidRPr="00391850">
        <w:rPr>
          <w:rFonts w:ascii="Times New Roman" w:eastAsia="Gulim" w:hAnsi="Times New Roman"/>
          <w:sz w:val="28"/>
          <w:szCs w:val="28"/>
        </w:rPr>
        <w:t xml:space="preserve"> </w:t>
      </w:r>
      <w:r w:rsidR="00512B16">
        <w:rPr>
          <w:rFonts w:ascii="Times New Roman" w:eastAsia="Gulim" w:hAnsi="Times New Roman"/>
          <w:sz w:val="28"/>
          <w:szCs w:val="28"/>
        </w:rPr>
        <w:t>d</w:t>
      </w:r>
      <w:r w:rsidR="00962C0F">
        <w:rPr>
          <w:rFonts w:ascii="Times New Roman" w:eastAsia="Gulim" w:hAnsi="Times New Roman"/>
          <w:sz w:val="28"/>
          <w:szCs w:val="28"/>
        </w:rPr>
        <w:t>u</w:t>
      </w:r>
      <w:r w:rsidR="00512B16">
        <w:rPr>
          <w:rFonts w:ascii="Times New Roman" w:eastAsia="Gulim" w:hAnsi="Times New Roman"/>
          <w:sz w:val="28"/>
          <w:szCs w:val="28"/>
        </w:rPr>
        <w:t xml:space="preserve"> </w:t>
      </w:r>
      <w:r w:rsidRPr="00391850">
        <w:rPr>
          <w:rFonts w:ascii="Times New Roman" w:eastAsia="Gulim" w:hAnsi="Times New Roman"/>
          <w:sz w:val="28"/>
          <w:szCs w:val="28"/>
        </w:rPr>
        <w:t xml:space="preserve"> ‘‘</w:t>
      </w:r>
      <w:r w:rsidR="00962C0F">
        <w:rPr>
          <w:rFonts w:ascii="Times New Roman" w:eastAsia="Gulim" w:hAnsi="Times New Roman"/>
          <w:sz w:val="28"/>
          <w:szCs w:val="28"/>
        </w:rPr>
        <w:t>Transport</w:t>
      </w:r>
      <w:r w:rsidRPr="00391850">
        <w:rPr>
          <w:rFonts w:ascii="Times New Roman" w:eastAsia="Gulim" w:hAnsi="Times New Roman"/>
          <w:sz w:val="28"/>
          <w:szCs w:val="28"/>
        </w:rPr>
        <w:t>’’</w:t>
      </w:r>
      <w:r w:rsidR="00C17831">
        <w:rPr>
          <w:rFonts w:ascii="Times New Roman" w:eastAsia="Gulim" w:hAnsi="Times New Roman"/>
          <w:sz w:val="28"/>
          <w:szCs w:val="28"/>
        </w:rPr>
        <w:t xml:space="preserve"> </w:t>
      </w:r>
      <w:r w:rsidR="007E56F0">
        <w:rPr>
          <w:rFonts w:ascii="Times New Roman" w:eastAsia="Gulim" w:hAnsi="Times New Roman"/>
          <w:sz w:val="28"/>
          <w:szCs w:val="28"/>
        </w:rPr>
        <w:t>à</w:t>
      </w:r>
      <w:r w:rsidR="00C17831">
        <w:rPr>
          <w:rFonts w:ascii="Times New Roman" w:eastAsia="Gulim" w:hAnsi="Times New Roman"/>
          <w:sz w:val="28"/>
          <w:szCs w:val="28"/>
        </w:rPr>
        <w:t xml:space="preserve"> une hausse de </w:t>
      </w:r>
      <w:r w:rsidR="00B20A21">
        <w:rPr>
          <w:rFonts w:ascii="Times New Roman" w:eastAsia="Gulim" w:hAnsi="Times New Roman"/>
          <w:sz w:val="28"/>
          <w:szCs w:val="28"/>
        </w:rPr>
        <w:t>4,</w:t>
      </w:r>
      <w:r w:rsidR="001951FE">
        <w:rPr>
          <w:rFonts w:ascii="Times New Roman" w:eastAsia="Gulim" w:hAnsi="Times New Roman"/>
          <w:sz w:val="28"/>
          <w:szCs w:val="28"/>
        </w:rPr>
        <w:t>2</w:t>
      </w:r>
      <w:r w:rsidR="00C17831">
        <w:rPr>
          <w:rFonts w:ascii="Times New Roman" w:eastAsia="Gulim" w:hAnsi="Times New Roman"/>
          <w:sz w:val="28"/>
          <w:szCs w:val="28"/>
        </w:rPr>
        <w:t xml:space="preserve">% </w:t>
      </w:r>
      <w:r>
        <w:rPr>
          <w:rFonts w:ascii="Times New Roman" w:eastAsia="Gulim" w:hAnsi="Times New Roman"/>
          <w:sz w:val="28"/>
          <w:szCs w:val="28"/>
        </w:rPr>
        <w:t>d</w:t>
      </w:r>
      <w:r w:rsidR="001951FE">
        <w:rPr>
          <w:rFonts w:ascii="Times New Roman" w:eastAsia="Gulim" w:hAnsi="Times New Roman"/>
          <w:sz w:val="28"/>
          <w:szCs w:val="28"/>
        </w:rPr>
        <w:t xml:space="preserve">e </w:t>
      </w:r>
      <w:r w:rsidRPr="00391850">
        <w:rPr>
          <w:rFonts w:ascii="Times New Roman" w:eastAsia="Gulim" w:hAnsi="Times New Roman"/>
          <w:sz w:val="28"/>
          <w:szCs w:val="28"/>
        </w:rPr>
        <w:t>‘‘</w:t>
      </w:r>
      <w:r w:rsidR="00753DBB">
        <w:rPr>
          <w:rFonts w:ascii="Times New Roman" w:eastAsia="Gulim" w:hAnsi="Times New Roman"/>
          <w:sz w:val="28"/>
          <w:szCs w:val="28"/>
        </w:rPr>
        <w:t>l’</w:t>
      </w:r>
      <w:r w:rsidR="001951FE">
        <w:rPr>
          <w:rFonts w:ascii="Times New Roman" w:eastAsia="Gulim" w:hAnsi="Times New Roman"/>
          <w:sz w:val="28"/>
          <w:szCs w:val="28"/>
        </w:rPr>
        <w:t>Enseignement</w:t>
      </w:r>
      <w:r w:rsidRPr="00391850">
        <w:rPr>
          <w:rFonts w:ascii="Times New Roman" w:eastAsia="Gulim" w:hAnsi="Times New Roman"/>
          <w:sz w:val="28"/>
          <w:szCs w:val="28"/>
        </w:rPr>
        <w:t>’’</w:t>
      </w:r>
      <w:r w:rsidR="00206BEC">
        <w:rPr>
          <w:rFonts w:ascii="Times New Roman" w:eastAsia="Gulim" w:hAnsi="Times New Roman"/>
          <w:sz w:val="28"/>
          <w:szCs w:val="28"/>
        </w:rPr>
        <w:t>.</w:t>
      </w:r>
    </w:p>
    <w:p w:rsidR="0010373A" w:rsidRDefault="0010373A" w:rsidP="001951FE">
      <w:pPr>
        <w:spacing w:before="100" w:beforeAutospacing="1" w:after="100" w:afterAutospacing="1"/>
        <w:ind w:left="0" w:firstLine="720"/>
        <w:jc w:val="both"/>
        <w:rPr>
          <w:rFonts w:ascii="Times New Roman" w:eastAsia="Gulim" w:hAnsi="Times New Roman"/>
          <w:sz w:val="28"/>
          <w:szCs w:val="28"/>
        </w:rPr>
      </w:pPr>
    </w:p>
    <w:p w:rsidR="005931E3" w:rsidRPr="005931E3" w:rsidRDefault="005931E3" w:rsidP="005F71F9">
      <w:pPr>
        <w:spacing w:before="100" w:beforeAutospacing="1" w:after="100" w:afterAutospacing="1"/>
        <w:ind w:left="0"/>
        <w:jc w:val="center"/>
        <w:rPr>
          <w:rFonts w:eastAsia="Gulim" w:cs="Arial"/>
          <w:b/>
          <w:bCs/>
          <w:i/>
          <w:iCs/>
          <w:color w:val="993366"/>
          <w:spacing w:val="0"/>
          <w:w w:val="90"/>
          <w:sz w:val="24"/>
          <w:szCs w:val="24"/>
        </w:rPr>
      </w:pPr>
      <w:r w:rsidRPr="005931E3">
        <w:rPr>
          <w:rFonts w:eastAsia="Gulim" w:cs="Arial"/>
          <w:b/>
          <w:bCs/>
          <w:i/>
          <w:iCs/>
          <w:color w:val="993366"/>
          <w:spacing w:val="0"/>
          <w:w w:val="90"/>
          <w:sz w:val="24"/>
          <w:szCs w:val="24"/>
        </w:rPr>
        <w:lastRenderedPageBreak/>
        <w:t xml:space="preserve">EVOLUTION </w:t>
      </w:r>
      <w:r w:rsidR="00664133">
        <w:rPr>
          <w:rFonts w:eastAsia="Gulim" w:cs="Arial"/>
          <w:b/>
          <w:bCs/>
          <w:i/>
          <w:iCs/>
          <w:color w:val="993366"/>
          <w:spacing w:val="0"/>
          <w:w w:val="90"/>
          <w:sz w:val="24"/>
          <w:szCs w:val="24"/>
        </w:rPr>
        <w:t xml:space="preserve">DE L’IPC </w:t>
      </w:r>
      <w:r w:rsidRPr="005931E3">
        <w:rPr>
          <w:rFonts w:eastAsia="Gulim" w:cs="Arial"/>
          <w:b/>
          <w:bCs/>
          <w:i/>
          <w:iCs/>
          <w:color w:val="993366"/>
          <w:spacing w:val="0"/>
          <w:w w:val="90"/>
          <w:sz w:val="24"/>
          <w:szCs w:val="24"/>
        </w:rPr>
        <w:t>PAR DIVISION DE PRODUITS</w:t>
      </w:r>
    </w:p>
    <w:tbl>
      <w:tblPr>
        <w:tblW w:w="5933" w:type="pct"/>
        <w:tblInd w:w="-176" w:type="dxa"/>
        <w:tblLayout w:type="fixed"/>
        <w:tblLook w:val="00A0" w:firstRow="1" w:lastRow="0" w:firstColumn="1" w:lastColumn="0" w:noHBand="0" w:noVBand="0"/>
      </w:tblPr>
      <w:tblGrid>
        <w:gridCol w:w="2979"/>
        <w:gridCol w:w="849"/>
        <w:gridCol w:w="993"/>
        <w:gridCol w:w="1277"/>
        <w:gridCol w:w="991"/>
        <w:gridCol w:w="1701"/>
        <w:gridCol w:w="1558"/>
      </w:tblGrid>
      <w:tr w:rsidR="004C5F5E" w:rsidRPr="001A4A7D" w:rsidTr="004C5F5E">
        <w:trPr>
          <w:trHeight w:val="509"/>
        </w:trPr>
        <w:tc>
          <w:tcPr>
            <w:tcW w:w="1439" w:type="pct"/>
            <w:tcBorders>
              <w:top w:val="single" w:sz="4" w:space="0" w:color="auto"/>
              <w:bottom w:val="single" w:sz="4" w:space="0" w:color="auto"/>
            </w:tcBorders>
            <w:shd w:val="clear" w:color="auto" w:fill="FABF8F"/>
            <w:vAlign w:val="center"/>
          </w:tcPr>
          <w:p w:rsidR="004C5F5E" w:rsidRPr="001B6B04" w:rsidRDefault="004C5F5E" w:rsidP="008A3E6D">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DIVISION DE PRODUITS</w:t>
            </w:r>
          </w:p>
        </w:tc>
        <w:tc>
          <w:tcPr>
            <w:tcW w:w="410" w:type="pct"/>
            <w:tcBorders>
              <w:top w:val="single" w:sz="4" w:space="0" w:color="auto"/>
              <w:bottom w:val="single" w:sz="4" w:space="0" w:color="auto"/>
            </w:tcBorders>
            <w:shd w:val="clear" w:color="auto" w:fill="FABF8F"/>
            <w:vAlign w:val="center"/>
          </w:tcPr>
          <w:p w:rsidR="004C5F5E" w:rsidRPr="001B6B04" w:rsidRDefault="004C5F5E" w:rsidP="002B1355">
            <w:pPr>
              <w:ind w:left="0"/>
              <w:jc w:val="center"/>
              <w:rPr>
                <w:rFonts w:asciiTheme="majorBidi" w:hAnsiTheme="majorBidi" w:cstheme="majorBidi"/>
                <w:i/>
                <w:iCs/>
                <w:spacing w:val="0"/>
                <w:sz w:val="18"/>
                <w:szCs w:val="18"/>
                <w:lang w:eastAsia="fr-FR"/>
              </w:rPr>
            </w:pPr>
            <w:r w:rsidRPr="001B6B04">
              <w:rPr>
                <w:rFonts w:asciiTheme="majorBidi" w:hAnsiTheme="majorBidi" w:cstheme="majorBidi"/>
                <w:i/>
                <w:iCs/>
                <w:spacing w:val="0"/>
                <w:sz w:val="18"/>
                <w:szCs w:val="18"/>
                <w:lang w:eastAsia="fr-FR"/>
              </w:rPr>
              <w:t>Pondération</w:t>
            </w:r>
          </w:p>
        </w:tc>
        <w:tc>
          <w:tcPr>
            <w:tcW w:w="480" w:type="pct"/>
            <w:tcBorders>
              <w:top w:val="single" w:sz="4" w:space="0" w:color="auto"/>
              <w:bottom w:val="single" w:sz="4" w:space="0" w:color="auto"/>
            </w:tcBorders>
            <w:shd w:val="clear" w:color="auto" w:fill="FABF8F"/>
            <w:vAlign w:val="center"/>
          </w:tcPr>
          <w:p w:rsidR="004C5F5E" w:rsidRPr="001B6B04" w:rsidRDefault="004C5F5E" w:rsidP="009E5C2A">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Ao</w:t>
            </w:r>
            <w:r w:rsidR="009E5C2A">
              <w:rPr>
                <w:rFonts w:asciiTheme="majorBidi" w:hAnsiTheme="majorBidi" w:cstheme="majorBidi"/>
                <w:i/>
                <w:iCs/>
                <w:color w:val="000000"/>
                <w:spacing w:val="0"/>
                <w:sz w:val="24"/>
                <w:szCs w:val="24"/>
                <w:lang w:eastAsia="fr-FR"/>
              </w:rPr>
              <w:t>û</w:t>
            </w:r>
            <w:r>
              <w:rPr>
                <w:rFonts w:asciiTheme="majorBidi" w:hAnsiTheme="majorBidi" w:cstheme="majorBidi"/>
                <w:i/>
                <w:iCs/>
                <w:color w:val="000000"/>
                <w:spacing w:val="0"/>
                <w:sz w:val="24"/>
                <w:szCs w:val="24"/>
                <w:lang w:eastAsia="fr-FR"/>
              </w:rPr>
              <w:t>t</w:t>
            </w:r>
            <w:r w:rsidRPr="001B6B04">
              <w:rPr>
                <w:rFonts w:asciiTheme="majorBidi" w:hAnsiTheme="majorBidi" w:cstheme="majorBidi"/>
                <w:i/>
                <w:iCs/>
                <w:color w:val="000000"/>
                <w:spacing w:val="0"/>
                <w:sz w:val="24"/>
                <w:szCs w:val="24"/>
                <w:lang w:eastAsia="fr-FR"/>
              </w:rPr>
              <w:t>-14</w:t>
            </w:r>
          </w:p>
        </w:tc>
        <w:tc>
          <w:tcPr>
            <w:tcW w:w="617" w:type="pct"/>
            <w:tcBorders>
              <w:top w:val="single" w:sz="4" w:space="0" w:color="auto"/>
              <w:bottom w:val="single" w:sz="4" w:space="0" w:color="auto"/>
            </w:tcBorders>
            <w:shd w:val="clear" w:color="auto" w:fill="FABF8F"/>
            <w:vAlign w:val="center"/>
          </w:tcPr>
          <w:p w:rsidR="004C5F5E" w:rsidRPr="001B6B04" w:rsidRDefault="004C5F5E" w:rsidP="005648A7">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Juillet</w:t>
            </w:r>
            <w:r w:rsidRPr="001B6B04">
              <w:rPr>
                <w:rFonts w:asciiTheme="majorBidi" w:hAnsiTheme="majorBidi" w:cstheme="majorBidi"/>
                <w:i/>
                <w:iCs/>
                <w:color w:val="000000"/>
                <w:spacing w:val="0"/>
                <w:sz w:val="24"/>
                <w:szCs w:val="24"/>
                <w:lang w:eastAsia="fr-FR"/>
              </w:rPr>
              <w:t>-15</w:t>
            </w:r>
          </w:p>
        </w:tc>
        <w:tc>
          <w:tcPr>
            <w:tcW w:w="479" w:type="pct"/>
            <w:tcBorders>
              <w:top w:val="single" w:sz="4" w:space="0" w:color="auto"/>
              <w:bottom w:val="single" w:sz="4" w:space="0" w:color="auto"/>
            </w:tcBorders>
            <w:shd w:val="clear" w:color="auto" w:fill="FABF8F"/>
            <w:vAlign w:val="center"/>
          </w:tcPr>
          <w:p w:rsidR="004C5F5E" w:rsidRPr="001B6B04" w:rsidRDefault="004C5F5E" w:rsidP="00753DBB">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Ao</w:t>
            </w:r>
            <w:r w:rsidR="00753DBB">
              <w:rPr>
                <w:rFonts w:asciiTheme="majorBidi" w:hAnsiTheme="majorBidi" w:cstheme="majorBidi"/>
                <w:i/>
                <w:iCs/>
                <w:color w:val="000000"/>
                <w:spacing w:val="0"/>
                <w:sz w:val="24"/>
                <w:szCs w:val="24"/>
                <w:lang w:eastAsia="fr-FR"/>
              </w:rPr>
              <w:t>û</w:t>
            </w:r>
            <w:r>
              <w:rPr>
                <w:rFonts w:asciiTheme="majorBidi" w:hAnsiTheme="majorBidi" w:cstheme="majorBidi"/>
                <w:i/>
                <w:iCs/>
                <w:color w:val="000000"/>
                <w:spacing w:val="0"/>
                <w:sz w:val="24"/>
                <w:szCs w:val="24"/>
                <w:lang w:eastAsia="fr-FR"/>
              </w:rPr>
              <w:t>t</w:t>
            </w:r>
            <w:r w:rsidRPr="001B6B04">
              <w:rPr>
                <w:rFonts w:asciiTheme="majorBidi" w:hAnsiTheme="majorBidi" w:cstheme="majorBidi"/>
                <w:i/>
                <w:iCs/>
                <w:color w:val="000000"/>
                <w:spacing w:val="0"/>
                <w:sz w:val="24"/>
                <w:szCs w:val="24"/>
                <w:lang w:eastAsia="fr-FR"/>
              </w:rPr>
              <w:t>-15</w:t>
            </w:r>
          </w:p>
        </w:tc>
        <w:tc>
          <w:tcPr>
            <w:tcW w:w="822" w:type="pct"/>
            <w:tcBorders>
              <w:top w:val="single" w:sz="4" w:space="0" w:color="auto"/>
              <w:bottom w:val="single" w:sz="4" w:space="0" w:color="auto"/>
            </w:tcBorders>
            <w:shd w:val="clear" w:color="auto" w:fill="FABF8F"/>
            <w:vAlign w:val="center"/>
          </w:tcPr>
          <w:p w:rsidR="004C5F5E" w:rsidRPr="001B6B04" w:rsidRDefault="004C5F5E" w:rsidP="004C5F5E">
            <w:pPr>
              <w:ind w:left="0"/>
              <w:jc w:val="center"/>
              <w:rPr>
                <w:rFonts w:asciiTheme="majorBidi" w:hAnsiTheme="majorBidi" w:cstheme="majorBidi"/>
                <w:i/>
                <w:iCs/>
                <w:color w:val="000000"/>
                <w:spacing w:val="0"/>
                <w:sz w:val="24"/>
                <w:szCs w:val="24"/>
                <w:lang w:eastAsia="fr-FR"/>
              </w:rPr>
            </w:pPr>
            <w:r w:rsidRPr="001B6B04">
              <w:rPr>
                <w:rFonts w:asciiTheme="majorBidi" w:hAnsiTheme="majorBidi" w:cstheme="majorBidi"/>
                <w:i/>
                <w:iCs/>
                <w:color w:val="000000"/>
                <w:spacing w:val="0"/>
                <w:sz w:val="24"/>
                <w:szCs w:val="24"/>
                <w:lang w:eastAsia="fr-FR"/>
              </w:rPr>
              <w:t>Var. mensuelle en%</w:t>
            </w:r>
          </w:p>
        </w:tc>
        <w:tc>
          <w:tcPr>
            <w:tcW w:w="753" w:type="pct"/>
            <w:tcBorders>
              <w:top w:val="single" w:sz="4" w:space="0" w:color="auto"/>
              <w:bottom w:val="single" w:sz="4" w:space="0" w:color="auto"/>
            </w:tcBorders>
            <w:shd w:val="clear" w:color="auto" w:fill="FABF8F"/>
            <w:vAlign w:val="center"/>
          </w:tcPr>
          <w:p w:rsidR="004C5F5E" w:rsidRPr="001B6B04" w:rsidRDefault="004C5F5E" w:rsidP="002B1355">
            <w:pPr>
              <w:ind w:left="0"/>
              <w:jc w:val="center"/>
              <w:rPr>
                <w:rFonts w:asciiTheme="majorBidi" w:hAnsiTheme="majorBidi" w:cstheme="majorBidi"/>
                <w:i/>
                <w:iCs/>
                <w:color w:val="000000"/>
                <w:spacing w:val="0"/>
                <w:sz w:val="24"/>
                <w:szCs w:val="24"/>
                <w:lang w:eastAsia="fr-FR"/>
              </w:rPr>
            </w:pPr>
            <w:r w:rsidRPr="001B6B04">
              <w:rPr>
                <w:rFonts w:asciiTheme="majorBidi" w:hAnsiTheme="majorBidi" w:cstheme="majorBidi"/>
                <w:i/>
                <w:iCs/>
                <w:color w:val="000000"/>
                <w:spacing w:val="0"/>
                <w:sz w:val="24"/>
                <w:szCs w:val="24"/>
                <w:lang w:eastAsia="fr-FR"/>
              </w:rPr>
              <w:t>Var. annuelle</w:t>
            </w:r>
          </w:p>
          <w:p w:rsidR="004C5F5E" w:rsidRPr="001B6B04" w:rsidRDefault="004C5F5E" w:rsidP="002B1355">
            <w:pPr>
              <w:ind w:left="0"/>
              <w:jc w:val="center"/>
              <w:rPr>
                <w:rFonts w:asciiTheme="majorBidi" w:hAnsiTheme="majorBidi" w:cstheme="majorBidi"/>
                <w:i/>
                <w:iCs/>
                <w:color w:val="000000"/>
                <w:spacing w:val="0"/>
                <w:sz w:val="24"/>
                <w:szCs w:val="24"/>
                <w:lang w:eastAsia="fr-FR"/>
              </w:rPr>
            </w:pPr>
            <w:r w:rsidRPr="001B6B04">
              <w:rPr>
                <w:rFonts w:asciiTheme="majorBidi" w:hAnsiTheme="majorBidi" w:cstheme="majorBidi"/>
                <w:i/>
                <w:iCs/>
                <w:color w:val="000000"/>
                <w:spacing w:val="0"/>
                <w:sz w:val="24"/>
                <w:szCs w:val="24"/>
                <w:lang w:eastAsia="fr-FR"/>
              </w:rPr>
              <w:t>en %</w:t>
            </w:r>
          </w:p>
        </w:tc>
      </w:tr>
      <w:tr w:rsidR="004C5F5E" w:rsidRPr="001A4A7D" w:rsidTr="005F71F9">
        <w:trPr>
          <w:trHeight w:val="376"/>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GENERAL</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100,0</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115,9</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118,3</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118,3</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2,1</w:t>
            </w:r>
          </w:p>
        </w:tc>
      </w:tr>
      <w:tr w:rsidR="004C5F5E" w:rsidRPr="001A4A7D" w:rsidTr="004C5F5E">
        <w:trPr>
          <w:trHeight w:val="565"/>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PRODUITS ALIMENTAIRES ET BOISSONS NON ALCOOLISÉES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39,04</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122,4</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126,9</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126,8</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-0,1</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3,6</w:t>
            </w:r>
          </w:p>
        </w:tc>
      </w:tr>
      <w:tr w:rsidR="004C5F5E" w:rsidRPr="001A4A7D" w:rsidTr="004C5F5E">
        <w:trPr>
          <w:trHeight w:val="559"/>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BOISSONS ALCOOLISÉES, TABAC ET STUPÉFIANTS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2,17</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116,1</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122,4</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122,4</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5,4</w:t>
            </w:r>
          </w:p>
        </w:tc>
      </w:tr>
      <w:tr w:rsidR="004C5F5E" w:rsidRPr="001A4A7D" w:rsidTr="004C5F5E">
        <w:trPr>
          <w:trHeight w:val="411"/>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ARTICLES D'HABILLEMENT ET CHAUSSURES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3,62</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123,2</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122,6</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123,1</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0,4</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-0,1</w:t>
            </w:r>
          </w:p>
        </w:tc>
      </w:tr>
      <w:tr w:rsidR="004C5F5E" w:rsidRPr="001A4A7D" w:rsidTr="004C5F5E">
        <w:trPr>
          <w:trHeight w:val="673"/>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LOGEMENT, EAU, GAZ, ELECTRICITE ET AUTRES COMBUSTIBLES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14,49</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114,4</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115,3</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115,3</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0,8</w:t>
            </w:r>
          </w:p>
        </w:tc>
      </w:tr>
      <w:tr w:rsidR="004C5F5E" w:rsidRPr="001A4A7D" w:rsidTr="004C5F5E">
        <w:trPr>
          <w:trHeight w:val="713"/>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MEUBLES, ARTICLES DE MENAGE ET ENTRETIEN COURANT DU FOYER</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4,31</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106,1</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106,4</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106,3</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-0,1</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0,2</w:t>
            </w:r>
          </w:p>
        </w:tc>
      </w:tr>
      <w:tr w:rsidR="004C5F5E" w:rsidRPr="001A4A7D" w:rsidTr="005F71F9">
        <w:trPr>
          <w:trHeight w:val="415"/>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SANTÉ</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6,75</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104,7</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105,4</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105,4</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0,7</w:t>
            </w:r>
          </w:p>
        </w:tc>
      </w:tr>
      <w:tr w:rsidR="004C5F5E" w:rsidRPr="001A4A7D" w:rsidTr="005F71F9">
        <w:trPr>
          <w:trHeight w:val="434"/>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TRANSPORT</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10,96</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115,2</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115,1</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114,6</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-0,4</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-0,5</w:t>
            </w:r>
          </w:p>
        </w:tc>
      </w:tr>
      <w:tr w:rsidR="004C5F5E" w:rsidRPr="001A4A7D" w:rsidTr="004C5F5E">
        <w:trPr>
          <w:trHeight w:val="146"/>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COMMUNICATIONS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3,43</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r>
      <w:tr w:rsidR="004C5F5E" w:rsidRPr="001A4A7D" w:rsidTr="005F71F9">
        <w:trPr>
          <w:trHeight w:val="328"/>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LOISIRS ET CULTURE</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2,14</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96,4</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97,0</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97,0</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0,6</w:t>
            </w:r>
          </w:p>
        </w:tc>
      </w:tr>
      <w:tr w:rsidR="004C5F5E" w:rsidRPr="001A4A7D" w:rsidTr="005F71F9">
        <w:trPr>
          <w:trHeight w:val="359"/>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ENSEIGNEMENT</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4,78</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144,4</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150,4</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150,4</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4,2</w:t>
            </w:r>
          </w:p>
        </w:tc>
      </w:tr>
      <w:tr w:rsidR="004C5F5E" w:rsidRPr="001A4A7D" w:rsidTr="005F71F9">
        <w:trPr>
          <w:trHeight w:val="350"/>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RESTAURANTS ET HÔTELS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2,89</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123,9</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126,8</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126,9</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0,1</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2,4</w:t>
            </w:r>
          </w:p>
        </w:tc>
      </w:tr>
      <w:tr w:rsidR="004C5F5E" w:rsidRPr="001A4A7D" w:rsidTr="005F71F9">
        <w:trPr>
          <w:trHeight w:val="353"/>
        </w:trPr>
        <w:tc>
          <w:tcPr>
            <w:tcW w:w="1439" w:type="pct"/>
            <w:tcBorders>
              <w:top w:val="single" w:sz="4" w:space="0" w:color="auto"/>
              <w:bottom w:val="single" w:sz="4" w:space="0" w:color="auto"/>
            </w:tcBorders>
            <w:vAlign w:val="center"/>
          </w:tcPr>
          <w:p w:rsidR="004C5F5E" w:rsidRPr="0019626B" w:rsidRDefault="004C5F5E" w:rsidP="008A3E6D">
            <w:pPr>
              <w:ind w:left="0"/>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BIENS ET SERVICES DIVERS</w:t>
            </w:r>
          </w:p>
        </w:tc>
        <w:tc>
          <w:tcPr>
            <w:tcW w:w="41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spacing w:val="0"/>
                <w:sz w:val="22"/>
                <w:szCs w:val="22"/>
                <w:lang w:eastAsia="fr-FR"/>
              </w:rPr>
            </w:pPr>
            <w:r w:rsidRPr="0019626B">
              <w:rPr>
                <w:rFonts w:asciiTheme="majorBidi" w:hAnsiTheme="majorBidi" w:cstheme="majorBidi"/>
                <w:i/>
                <w:iCs/>
                <w:spacing w:val="0"/>
                <w:sz w:val="22"/>
                <w:szCs w:val="22"/>
                <w:lang w:eastAsia="fr-FR"/>
              </w:rPr>
              <w:t>5,41</w:t>
            </w:r>
          </w:p>
        </w:tc>
        <w:tc>
          <w:tcPr>
            <w:tcW w:w="480" w:type="pct"/>
            <w:tcBorders>
              <w:top w:val="single" w:sz="4" w:space="0" w:color="auto"/>
              <w:bottom w:val="single" w:sz="4" w:space="0" w:color="auto"/>
            </w:tcBorders>
            <w:vAlign w:val="center"/>
          </w:tcPr>
          <w:p w:rsidR="004C5F5E" w:rsidRPr="0019626B" w:rsidRDefault="004C5F5E"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106,2</w:t>
            </w:r>
          </w:p>
        </w:tc>
        <w:tc>
          <w:tcPr>
            <w:tcW w:w="617"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106,3</w:t>
            </w:r>
          </w:p>
        </w:tc>
        <w:tc>
          <w:tcPr>
            <w:tcW w:w="479" w:type="pct"/>
            <w:tcBorders>
              <w:top w:val="single" w:sz="4" w:space="0" w:color="auto"/>
              <w:bottom w:val="single" w:sz="4" w:space="0" w:color="auto"/>
            </w:tcBorders>
            <w:vAlign w:val="center"/>
          </w:tcPr>
          <w:p w:rsidR="004C5F5E" w:rsidRPr="0019626B" w:rsidRDefault="004C5F5E" w:rsidP="003D78E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106,3</w:t>
            </w:r>
          </w:p>
        </w:tc>
        <w:tc>
          <w:tcPr>
            <w:tcW w:w="822" w:type="pct"/>
            <w:tcBorders>
              <w:top w:val="single" w:sz="4" w:space="0" w:color="auto"/>
              <w:bottom w:val="single" w:sz="4" w:space="0" w:color="auto"/>
            </w:tcBorders>
            <w:vAlign w:val="center"/>
          </w:tcPr>
          <w:p w:rsidR="004C5F5E" w:rsidRPr="0019626B" w:rsidRDefault="00CE44C1" w:rsidP="002B1355">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c>
          <w:tcPr>
            <w:tcW w:w="753" w:type="pct"/>
            <w:tcBorders>
              <w:top w:val="single" w:sz="4" w:space="0" w:color="auto"/>
              <w:bottom w:val="single" w:sz="4" w:space="0" w:color="auto"/>
            </w:tcBorders>
            <w:vAlign w:val="center"/>
          </w:tcPr>
          <w:p w:rsidR="004C5F5E" w:rsidRPr="0019626B" w:rsidRDefault="004C5F5E" w:rsidP="005648A7">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0,1</w:t>
            </w:r>
          </w:p>
        </w:tc>
      </w:tr>
    </w:tbl>
    <w:p w:rsidR="00003520" w:rsidRDefault="00385133" w:rsidP="00967CC1">
      <w:pPr>
        <w:spacing w:before="100" w:beforeAutospacing="1" w:after="100" w:afterAutospacing="1" w:line="360" w:lineRule="auto"/>
        <w:ind w:left="0"/>
        <w:jc w:val="both"/>
        <w:rPr>
          <w:rFonts w:ascii="Times New Roman" w:eastAsia="Gulim" w:hAnsi="Times New Roman"/>
          <w:noProof/>
          <w:sz w:val="28"/>
          <w:szCs w:val="28"/>
          <w:lang w:eastAsia="fr-FR"/>
        </w:rPr>
      </w:pPr>
      <w:r w:rsidRPr="00385133">
        <w:rPr>
          <w:rFonts w:ascii="Times New Roman" w:eastAsia="Gulim" w:hAnsi="Times New Roman"/>
          <w:noProof/>
          <w:sz w:val="28"/>
          <w:szCs w:val="28"/>
          <w:lang w:eastAsia="fr-FR"/>
        </w:rPr>
        <w:drawing>
          <wp:inline distT="0" distB="0" distL="0" distR="0">
            <wp:extent cx="5981700" cy="3790950"/>
            <wp:effectExtent l="19050" t="0" r="1905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12886" w:rsidRDefault="001B6B04" w:rsidP="00375406">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L’IPC augmente de 2,</w:t>
      </w:r>
      <w:r w:rsidR="00247EF5">
        <w:rPr>
          <w:rFonts w:ascii="Times New Roman" w:eastAsia="Gulim" w:hAnsi="Times New Roman"/>
          <w:b/>
          <w:bCs/>
          <w:sz w:val="28"/>
          <w:szCs w:val="28"/>
        </w:rPr>
        <w:t>3</w:t>
      </w:r>
      <w:r>
        <w:rPr>
          <w:rFonts w:ascii="Times New Roman" w:eastAsia="Gulim" w:hAnsi="Times New Roman"/>
          <w:b/>
          <w:bCs/>
          <w:sz w:val="28"/>
          <w:szCs w:val="28"/>
        </w:rPr>
        <w:t xml:space="preserve">% au cours </w:t>
      </w:r>
      <w:r w:rsidR="0040543A">
        <w:rPr>
          <w:rFonts w:ascii="Times New Roman" w:eastAsia="Gulim" w:hAnsi="Times New Roman"/>
          <w:b/>
          <w:bCs/>
          <w:sz w:val="28"/>
          <w:szCs w:val="28"/>
        </w:rPr>
        <w:t xml:space="preserve">des </w:t>
      </w:r>
      <w:r w:rsidR="00375406">
        <w:rPr>
          <w:rFonts w:ascii="Times New Roman" w:eastAsia="Gulim" w:hAnsi="Times New Roman"/>
          <w:b/>
          <w:bCs/>
          <w:sz w:val="28"/>
          <w:szCs w:val="28"/>
        </w:rPr>
        <w:t>huit</w:t>
      </w:r>
      <w:r w:rsidR="0040543A">
        <w:rPr>
          <w:rFonts w:ascii="Times New Roman" w:eastAsia="Gulim" w:hAnsi="Times New Roman"/>
          <w:b/>
          <w:bCs/>
          <w:sz w:val="28"/>
          <w:szCs w:val="28"/>
        </w:rPr>
        <w:t xml:space="preserve"> premiers mois </w:t>
      </w:r>
      <w:r w:rsidR="00DD6B75">
        <w:rPr>
          <w:rFonts w:ascii="Times New Roman" w:eastAsia="Gulim" w:hAnsi="Times New Roman"/>
          <w:b/>
          <w:bCs/>
          <w:sz w:val="28"/>
          <w:szCs w:val="28"/>
        </w:rPr>
        <w:t>2015</w:t>
      </w:r>
      <w:r w:rsidR="00012886">
        <w:rPr>
          <w:rFonts w:ascii="Times New Roman" w:eastAsia="Gulim" w:hAnsi="Times New Roman"/>
          <w:b/>
          <w:bCs/>
          <w:sz w:val="28"/>
          <w:szCs w:val="28"/>
        </w:rPr>
        <w:t>.</w:t>
      </w:r>
    </w:p>
    <w:p w:rsidR="009C4885" w:rsidRDefault="000946C0" w:rsidP="007B1239">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La variation </w:t>
      </w:r>
      <w:r w:rsidR="00012886">
        <w:rPr>
          <w:rFonts w:ascii="Times New Roman" w:eastAsia="Gulim" w:hAnsi="Times New Roman"/>
          <w:sz w:val="28"/>
          <w:szCs w:val="28"/>
        </w:rPr>
        <w:t xml:space="preserve"> </w:t>
      </w:r>
      <w:r>
        <w:rPr>
          <w:rFonts w:ascii="Times New Roman" w:eastAsia="Gulim" w:hAnsi="Times New Roman"/>
          <w:sz w:val="28"/>
          <w:szCs w:val="28"/>
        </w:rPr>
        <w:t>de l’</w:t>
      </w:r>
      <w:r w:rsidR="00FD44E3">
        <w:rPr>
          <w:rFonts w:ascii="Times New Roman" w:eastAsia="Gulim" w:hAnsi="Times New Roman"/>
          <w:sz w:val="28"/>
          <w:szCs w:val="28"/>
        </w:rPr>
        <w:t xml:space="preserve">indice moyen </w:t>
      </w:r>
      <w:r w:rsidR="0040543A">
        <w:rPr>
          <w:rFonts w:ascii="Times New Roman" w:eastAsia="Gulim" w:hAnsi="Times New Roman"/>
          <w:sz w:val="28"/>
          <w:szCs w:val="28"/>
        </w:rPr>
        <w:t xml:space="preserve">des </w:t>
      </w:r>
      <w:r w:rsidR="00624741">
        <w:rPr>
          <w:rFonts w:ascii="Times New Roman" w:eastAsia="Gulim" w:hAnsi="Times New Roman"/>
          <w:sz w:val="28"/>
          <w:szCs w:val="28"/>
        </w:rPr>
        <w:t xml:space="preserve">huit </w:t>
      </w:r>
      <w:r w:rsidR="0040543A">
        <w:rPr>
          <w:rFonts w:ascii="Times New Roman" w:eastAsia="Gulim" w:hAnsi="Times New Roman"/>
          <w:sz w:val="28"/>
          <w:szCs w:val="28"/>
        </w:rPr>
        <w:t xml:space="preserve">premiers mois </w:t>
      </w:r>
      <w:r>
        <w:rPr>
          <w:rFonts w:ascii="Times New Roman" w:eastAsia="Gulim" w:hAnsi="Times New Roman"/>
          <w:sz w:val="28"/>
          <w:szCs w:val="28"/>
        </w:rPr>
        <w:t xml:space="preserve">2015 par rapport à la même période 2014 </w:t>
      </w:r>
      <w:r w:rsidR="00012886" w:rsidRPr="00012886">
        <w:rPr>
          <w:rFonts w:ascii="Times New Roman" w:eastAsia="Gulim" w:hAnsi="Times New Roman"/>
          <w:sz w:val="28"/>
          <w:szCs w:val="28"/>
        </w:rPr>
        <w:t>a atteint 2,</w:t>
      </w:r>
      <w:r w:rsidR="007B6F85">
        <w:rPr>
          <w:rFonts w:ascii="Times New Roman" w:eastAsia="Gulim" w:hAnsi="Times New Roman"/>
          <w:sz w:val="28"/>
          <w:szCs w:val="28"/>
        </w:rPr>
        <w:t>4</w:t>
      </w:r>
      <w:r w:rsidR="00012886" w:rsidRPr="00012886">
        <w:rPr>
          <w:rFonts w:ascii="Times New Roman" w:eastAsia="Gulim" w:hAnsi="Times New Roman"/>
          <w:sz w:val="28"/>
          <w:szCs w:val="28"/>
        </w:rPr>
        <w:t>%</w:t>
      </w:r>
      <w:r>
        <w:rPr>
          <w:rFonts w:ascii="Times New Roman" w:eastAsia="Gulim" w:hAnsi="Times New Roman"/>
          <w:sz w:val="28"/>
          <w:szCs w:val="28"/>
        </w:rPr>
        <w:t>.</w:t>
      </w:r>
      <w:r w:rsidR="00012886" w:rsidRPr="00012886">
        <w:rPr>
          <w:rFonts w:ascii="Times New Roman" w:eastAsia="Gulim" w:hAnsi="Times New Roman"/>
          <w:sz w:val="28"/>
          <w:szCs w:val="28"/>
        </w:rPr>
        <w:t xml:space="preserve"> </w:t>
      </w:r>
      <w:r w:rsidR="00DD6B75" w:rsidRPr="00012886">
        <w:rPr>
          <w:rFonts w:ascii="Times New Roman" w:eastAsia="Gulim" w:hAnsi="Times New Roman"/>
          <w:sz w:val="28"/>
          <w:szCs w:val="28"/>
        </w:rPr>
        <w:t xml:space="preserve"> </w:t>
      </w:r>
    </w:p>
    <w:p w:rsidR="007E56F0" w:rsidRDefault="007E56F0" w:rsidP="00624741">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Durant cette période,  les produits alimentaires ont enregistré les plus fortes hausses de</w:t>
      </w:r>
      <w:r w:rsidR="00F1232E">
        <w:rPr>
          <w:rFonts w:ascii="Times New Roman" w:eastAsia="Gulim" w:hAnsi="Times New Roman"/>
          <w:sz w:val="28"/>
          <w:szCs w:val="28"/>
        </w:rPr>
        <w:t xml:space="preserve"> leurs </w:t>
      </w:r>
      <w:r>
        <w:rPr>
          <w:rFonts w:ascii="Times New Roman" w:eastAsia="Gulim" w:hAnsi="Times New Roman"/>
          <w:sz w:val="28"/>
          <w:szCs w:val="28"/>
        </w:rPr>
        <w:t xml:space="preserve">prix </w:t>
      </w:r>
      <w:r w:rsidR="000E6E3F">
        <w:rPr>
          <w:rFonts w:ascii="Times New Roman" w:eastAsia="Gulim" w:hAnsi="Times New Roman"/>
          <w:sz w:val="28"/>
          <w:szCs w:val="28"/>
        </w:rPr>
        <w:t xml:space="preserve">pour </w:t>
      </w:r>
      <w:r>
        <w:rPr>
          <w:rFonts w:ascii="Times New Roman" w:eastAsia="Gulim" w:hAnsi="Times New Roman"/>
          <w:sz w:val="28"/>
          <w:szCs w:val="28"/>
        </w:rPr>
        <w:t xml:space="preserve">le </w:t>
      </w:r>
      <w:r w:rsidRPr="00391850">
        <w:rPr>
          <w:rFonts w:ascii="Times New Roman" w:eastAsia="Gulim" w:hAnsi="Times New Roman"/>
          <w:sz w:val="28"/>
          <w:szCs w:val="28"/>
        </w:rPr>
        <w:t>‘‘</w:t>
      </w:r>
      <w:r>
        <w:rPr>
          <w:rFonts w:ascii="Times New Roman" w:eastAsia="Gulim" w:hAnsi="Times New Roman"/>
          <w:sz w:val="28"/>
          <w:szCs w:val="28"/>
        </w:rPr>
        <w:t>Pain et céréales</w:t>
      </w:r>
      <w:r w:rsidRPr="00391850">
        <w:rPr>
          <w:rFonts w:ascii="Times New Roman" w:eastAsia="Gulim" w:hAnsi="Times New Roman"/>
          <w:sz w:val="28"/>
          <w:szCs w:val="28"/>
        </w:rPr>
        <w:t>’’</w:t>
      </w:r>
      <w:r>
        <w:rPr>
          <w:rFonts w:ascii="Times New Roman" w:eastAsia="Gulim" w:hAnsi="Times New Roman"/>
          <w:sz w:val="28"/>
          <w:szCs w:val="28"/>
        </w:rPr>
        <w:t xml:space="preserve"> </w:t>
      </w:r>
      <w:r w:rsidR="000E6E3F">
        <w:rPr>
          <w:rFonts w:ascii="Times New Roman" w:eastAsia="Gulim" w:hAnsi="Times New Roman"/>
          <w:sz w:val="28"/>
          <w:szCs w:val="28"/>
        </w:rPr>
        <w:t>(</w:t>
      </w:r>
      <w:r>
        <w:rPr>
          <w:rFonts w:ascii="Times New Roman" w:eastAsia="Gulim" w:hAnsi="Times New Roman"/>
          <w:sz w:val="28"/>
          <w:szCs w:val="28"/>
        </w:rPr>
        <w:t>7,</w:t>
      </w:r>
      <w:r w:rsidR="00624741">
        <w:rPr>
          <w:rFonts w:ascii="Times New Roman" w:eastAsia="Gulim" w:hAnsi="Times New Roman"/>
          <w:sz w:val="28"/>
          <w:szCs w:val="28"/>
        </w:rPr>
        <w:t>1</w:t>
      </w:r>
      <w:r>
        <w:rPr>
          <w:rFonts w:ascii="Times New Roman" w:eastAsia="Gulim" w:hAnsi="Times New Roman"/>
          <w:sz w:val="28"/>
          <w:szCs w:val="28"/>
        </w:rPr>
        <w:t>%</w:t>
      </w:r>
      <w:r w:rsidR="000E6E3F">
        <w:rPr>
          <w:rFonts w:ascii="Times New Roman" w:eastAsia="Gulim" w:hAnsi="Times New Roman"/>
          <w:sz w:val="28"/>
          <w:szCs w:val="28"/>
        </w:rPr>
        <w:t>)</w:t>
      </w:r>
      <w:r>
        <w:rPr>
          <w:rFonts w:ascii="Times New Roman" w:eastAsia="Gulim" w:hAnsi="Times New Roman"/>
          <w:sz w:val="28"/>
          <w:szCs w:val="28"/>
        </w:rPr>
        <w:t xml:space="preserve">, les </w:t>
      </w:r>
      <w:r w:rsidRPr="00391850">
        <w:rPr>
          <w:rFonts w:ascii="Times New Roman" w:eastAsia="Gulim" w:hAnsi="Times New Roman"/>
          <w:sz w:val="28"/>
          <w:szCs w:val="28"/>
        </w:rPr>
        <w:t>‘‘</w:t>
      </w:r>
      <w:r>
        <w:rPr>
          <w:rFonts w:ascii="Times New Roman" w:eastAsia="Gulim" w:hAnsi="Times New Roman"/>
          <w:sz w:val="28"/>
          <w:szCs w:val="28"/>
        </w:rPr>
        <w:t>Légumes</w:t>
      </w:r>
      <w:r w:rsidRPr="00391850">
        <w:rPr>
          <w:rFonts w:ascii="Times New Roman" w:eastAsia="Gulim" w:hAnsi="Times New Roman"/>
          <w:sz w:val="28"/>
          <w:szCs w:val="28"/>
        </w:rPr>
        <w:t>’’</w:t>
      </w:r>
      <w:r>
        <w:rPr>
          <w:rFonts w:ascii="Times New Roman" w:eastAsia="Gulim" w:hAnsi="Times New Roman"/>
          <w:sz w:val="28"/>
          <w:szCs w:val="28"/>
        </w:rPr>
        <w:t xml:space="preserve"> </w:t>
      </w:r>
      <w:r w:rsidR="000E6E3F">
        <w:rPr>
          <w:rFonts w:ascii="Times New Roman" w:eastAsia="Gulim" w:hAnsi="Times New Roman"/>
          <w:sz w:val="28"/>
          <w:szCs w:val="28"/>
        </w:rPr>
        <w:t>(</w:t>
      </w:r>
      <w:r>
        <w:rPr>
          <w:rFonts w:ascii="Times New Roman" w:eastAsia="Gulim" w:hAnsi="Times New Roman"/>
          <w:sz w:val="28"/>
          <w:szCs w:val="28"/>
        </w:rPr>
        <w:t>6</w:t>
      </w:r>
      <w:r w:rsidR="00624741">
        <w:rPr>
          <w:rFonts w:ascii="Times New Roman" w:eastAsia="Gulim" w:hAnsi="Times New Roman"/>
          <w:sz w:val="28"/>
          <w:szCs w:val="28"/>
        </w:rPr>
        <w:t>,1</w:t>
      </w:r>
      <w:r>
        <w:rPr>
          <w:rFonts w:ascii="Times New Roman" w:eastAsia="Gulim" w:hAnsi="Times New Roman"/>
          <w:sz w:val="28"/>
          <w:szCs w:val="28"/>
        </w:rPr>
        <w:t>%</w:t>
      </w:r>
      <w:r w:rsidR="000E6E3F">
        <w:rPr>
          <w:rFonts w:ascii="Times New Roman" w:eastAsia="Gulim" w:hAnsi="Times New Roman"/>
          <w:sz w:val="28"/>
          <w:szCs w:val="28"/>
        </w:rPr>
        <w:t>)</w:t>
      </w:r>
      <w:r>
        <w:rPr>
          <w:rFonts w:ascii="Times New Roman" w:eastAsia="Gulim" w:hAnsi="Times New Roman"/>
          <w:sz w:val="28"/>
          <w:szCs w:val="28"/>
        </w:rPr>
        <w:t xml:space="preserve">, les </w:t>
      </w:r>
      <w:r w:rsidRPr="00391850">
        <w:rPr>
          <w:rFonts w:ascii="Times New Roman" w:eastAsia="Gulim" w:hAnsi="Times New Roman"/>
          <w:sz w:val="28"/>
          <w:szCs w:val="28"/>
        </w:rPr>
        <w:t>‘‘</w:t>
      </w:r>
      <w:r>
        <w:rPr>
          <w:rFonts w:ascii="Times New Roman" w:eastAsia="Gulim" w:hAnsi="Times New Roman"/>
          <w:sz w:val="28"/>
          <w:szCs w:val="28"/>
        </w:rPr>
        <w:t>Poissons et fruits de mer</w:t>
      </w:r>
      <w:r w:rsidRPr="00391850">
        <w:rPr>
          <w:rFonts w:ascii="Times New Roman" w:eastAsia="Gulim" w:hAnsi="Times New Roman"/>
          <w:sz w:val="28"/>
          <w:szCs w:val="28"/>
        </w:rPr>
        <w:t>’’</w:t>
      </w:r>
      <w:r>
        <w:rPr>
          <w:rFonts w:ascii="Times New Roman" w:eastAsia="Gulim" w:hAnsi="Times New Roman"/>
          <w:sz w:val="28"/>
          <w:szCs w:val="28"/>
        </w:rPr>
        <w:t xml:space="preserve"> </w:t>
      </w:r>
      <w:r w:rsidR="000E6E3F">
        <w:rPr>
          <w:rFonts w:ascii="Times New Roman" w:eastAsia="Gulim" w:hAnsi="Times New Roman"/>
          <w:sz w:val="28"/>
          <w:szCs w:val="28"/>
        </w:rPr>
        <w:t>(</w:t>
      </w:r>
      <w:r w:rsidR="00624741">
        <w:rPr>
          <w:rFonts w:ascii="Times New Roman" w:eastAsia="Gulim" w:hAnsi="Times New Roman"/>
          <w:sz w:val="28"/>
          <w:szCs w:val="28"/>
        </w:rPr>
        <w:t>2,8</w:t>
      </w:r>
      <w:r>
        <w:rPr>
          <w:rFonts w:ascii="Times New Roman" w:eastAsia="Gulim" w:hAnsi="Times New Roman"/>
          <w:sz w:val="28"/>
          <w:szCs w:val="28"/>
        </w:rPr>
        <w:t>%</w:t>
      </w:r>
      <w:r w:rsidR="000E6E3F">
        <w:rPr>
          <w:rFonts w:ascii="Times New Roman" w:eastAsia="Gulim" w:hAnsi="Times New Roman"/>
          <w:sz w:val="28"/>
          <w:szCs w:val="28"/>
        </w:rPr>
        <w:t>)</w:t>
      </w:r>
      <w:r>
        <w:rPr>
          <w:rFonts w:ascii="Times New Roman" w:eastAsia="Gulim" w:hAnsi="Times New Roman"/>
          <w:sz w:val="28"/>
          <w:szCs w:val="28"/>
        </w:rPr>
        <w:t xml:space="preserve"> et le </w:t>
      </w:r>
      <w:r w:rsidRPr="00391850">
        <w:rPr>
          <w:rFonts w:ascii="Times New Roman" w:eastAsia="Gulim" w:hAnsi="Times New Roman"/>
          <w:sz w:val="28"/>
          <w:szCs w:val="28"/>
        </w:rPr>
        <w:t>‘‘</w:t>
      </w:r>
      <w:r>
        <w:rPr>
          <w:rFonts w:ascii="Times New Roman" w:eastAsia="Gulim" w:hAnsi="Times New Roman"/>
          <w:sz w:val="28"/>
          <w:szCs w:val="28"/>
        </w:rPr>
        <w:t>Tabacs</w:t>
      </w:r>
      <w:r w:rsidRPr="00391850">
        <w:rPr>
          <w:rFonts w:ascii="Times New Roman" w:eastAsia="Gulim" w:hAnsi="Times New Roman"/>
          <w:sz w:val="28"/>
          <w:szCs w:val="28"/>
        </w:rPr>
        <w:t>’’</w:t>
      </w:r>
      <w:r>
        <w:rPr>
          <w:rFonts w:ascii="Times New Roman" w:eastAsia="Gulim" w:hAnsi="Times New Roman"/>
          <w:sz w:val="28"/>
          <w:szCs w:val="28"/>
        </w:rPr>
        <w:t xml:space="preserve"> </w:t>
      </w:r>
      <w:r w:rsidR="000E6E3F">
        <w:rPr>
          <w:rFonts w:ascii="Times New Roman" w:eastAsia="Gulim" w:hAnsi="Times New Roman"/>
          <w:sz w:val="28"/>
          <w:szCs w:val="28"/>
        </w:rPr>
        <w:t>(</w:t>
      </w:r>
      <w:r w:rsidR="00624741">
        <w:rPr>
          <w:rFonts w:ascii="Times New Roman" w:eastAsia="Gulim" w:hAnsi="Times New Roman"/>
          <w:sz w:val="28"/>
          <w:szCs w:val="28"/>
        </w:rPr>
        <w:t>3,1</w:t>
      </w:r>
      <w:r>
        <w:rPr>
          <w:rFonts w:ascii="Times New Roman" w:eastAsia="Gulim" w:hAnsi="Times New Roman"/>
          <w:sz w:val="28"/>
          <w:szCs w:val="28"/>
        </w:rPr>
        <w:t>%</w:t>
      </w:r>
      <w:r w:rsidR="000E6E3F">
        <w:rPr>
          <w:rFonts w:ascii="Times New Roman" w:eastAsia="Gulim" w:hAnsi="Times New Roman"/>
          <w:sz w:val="28"/>
          <w:szCs w:val="28"/>
        </w:rPr>
        <w:t>)</w:t>
      </w:r>
      <w:r>
        <w:rPr>
          <w:rFonts w:ascii="Times New Roman" w:eastAsia="Gulim" w:hAnsi="Times New Roman"/>
          <w:sz w:val="28"/>
          <w:szCs w:val="28"/>
        </w:rPr>
        <w:t xml:space="preserve">. </w:t>
      </w:r>
    </w:p>
    <w:p w:rsidR="007E56F0" w:rsidRDefault="007E56F0" w:rsidP="009B3CA4">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Quant aux produits non alimentaires, les va</w:t>
      </w:r>
      <w:r w:rsidR="009B3CA4">
        <w:rPr>
          <w:rFonts w:ascii="Times New Roman" w:eastAsia="Gulim" w:hAnsi="Times New Roman"/>
          <w:sz w:val="28"/>
          <w:szCs w:val="28"/>
        </w:rPr>
        <w:t>riations vont d’une baisse de 1</w:t>
      </w:r>
      <w:r>
        <w:rPr>
          <w:rFonts w:ascii="Times New Roman" w:eastAsia="Gulim" w:hAnsi="Times New Roman"/>
          <w:sz w:val="28"/>
          <w:szCs w:val="28"/>
        </w:rPr>
        <w:t xml:space="preserve">% pour le </w:t>
      </w:r>
      <w:r w:rsidR="00F1232E" w:rsidRPr="00391850">
        <w:rPr>
          <w:rFonts w:ascii="Times New Roman" w:eastAsia="Gulim" w:hAnsi="Times New Roman"/>
          <w:sz w:val="28"/>
          <w:szCs w:val="28"/>
        </w:rPr>
        <w:t>‘‘</w:t>
      </w:r>
      <w:r w:rsidR="00F1232E">
        <w:rPr>
          <w:rFonts w:ascii="Times New Roman" w:eastAsia="Gulim" w:hAnsi="Times New Roman"/>
          <w:sz w:val="28"/>
          <w:szCs w:val="28"/>
        </w:rPr>
        <w:t>T</w:t>
      </w:r>
      <w:r>
        <w:rPr>
          <w:rFonts w:ascii="Times New Roman" w:eastAsia="Gulim" w:hAnsi="Times New Roman"/>
          <w:sz w:val="28"/>
          <w:szCs w:val="28"/>
        </w:rPr>
        <w:t>ransport</w:t>
      </w:r>
      <w:r w:rsidRPr="00391850">
        <w:rPr>
          <w:rFonts w:ascii="Times New Roman" w:eastAsia="Gulim" w:hAnsi="Times New Roman"/>
          <w:sz w:val="28"/>
          <w:szCs w:val="28"/>
        </w:rPr>
        <w:t>’’</w:t>
      </w:r>
      <w:r>
        <w:rPr>
          <w:rFonts w:ascii="Times New Roman" w:eastAsia="Gulim" w:hAnsi="Times New Roman"/>
          <w:sz w:val="28"/>
          <w:szCs w:val="28"/>
        </w:rPr>
        <w:t xml:space="preserve"> (</w:t>
      </w:r>
      <w:r w:rsidRPr="00391850">
        <w:rPr>
          <w:rFonts w:ascii="Times New Roman" w:eastAsia="Gulim" w:hAnsi="Times New Roman"/>
          <w:sz w:val="28"/>
          <w:szCs w:val="28"/>
        </w:rPr>
        <w:t>‘‘</w:t>
      </w:r>
      <w:r>
        <w:rPr>
          <w:rFonts w:ascii="Times New Roman" w:eastAsia="Gulim" w:hAnsi="Times New Roman"/>
          <w:sz w:val="28"/>
          <w:szCs w:val="28"/>
        </w:rPr>
        <w:t xml:space="preserve"> Carburants et lubrifiant</w:t>
      </w:r>
      <w:r w:rsidRPr="00391850">
        <w:rPr>
          <w:rFonts w:ascii="Times New Roman" w:eastAsia="Gulim" w:hAnsi="Times New Roman"/>
          <w:sz w:val="28"/>
          <w:szCs w:val="28"/>
        </w:rPr>
        <w:t>’’</w:t>
      </w:r>
      <w:r>
        <w:rPr>
          <w:rFonts w:ascii="Times New Roman" w:eastAsia="Gulim" w:hAnsi="Times New Roman"/>
          <w:sz w:val="28"/>
          <w:szCs w:val="28"/>
        </w:rPr>
        <w:t xml:space="preserve"> -14,</w:t>
      </w:r>
      <w:r w:rsidR="00721862">
        <w:rPr>
          <w:rFonts w:ascii="Times New Roman" w:eastAsia="Gulim" w:hAnsi="Times New Roman"/>
          <w:sz w:val="28"/>
          <w:szCs w:val="28"/>
        </w:rPr>
        <w:t>3</w:t>
      </w:r>
      <w:r>
        <w:rPr>
          <w:rFonts w:ascii="Times New Roman" w:eastAsia="Gulim" w:hAnsi="Times New Roman"/>
          <w:sz w:val="28"/>
          <w:szCs w:val="28"/>
        </w:rPr>
        <w:t>%</w:t>
      </w:r>
      <w:r w:rsidR="00F71E23">
        <w:rPr>
          <w:rFonts w:ascii="Times New Roman" w:eastAsia="Gulim" w:hAnsi="Times New Roman"/>
          <w:sz w:val="28"/>
          <w:szCs w:val="28"/>
        </w:rPr>
        <w:t xml:space="preserve">) </w:t>
      </w:r>
      <w:r>
        <w:rPr>
          <w:rFonts w:ascii="Times New Roman" w:eastAsia="Gulim" w:hAnsi="Times New Roman"/>
          <w:sz w:val="28"/>
          <w:szCs w:val="28"/>
        </w:rPr>
        <w:t xml:space="preserve"> à une hausse de 4,</w:t>
      </w:r>
      <w:r w:rsidR="00721862">
        <w:rPr>
          <w:rFonts w:ascii="Times New Roman" w:eastAsia="Gulim" w:hAnsi="Times New Roman"/>
          <w:sz w:val="28"/>
          <w:szCs w:val="28"/>
        </w:rPr>
        <w:t>2</w:t>
      </w:r>
      <w:r>
        <w:rPr>
          <w:rFonts w:ascii="Times New Roman" w:eastAsia="Gulim" w:hAnsi="Times New Roman"/>
          <w:sz w:val="28"/>
          <w:szCs w:val="28"/>
        </w:rPr>
        <w:t xml:space="preserve">% pour le </w:t>
      </w:r>
      <w:r w:rsidRPr="00391850">
        <w:rPr>
          <w:rFonts w:ascii="Times New Roman" w:eastAsia="Gulim" w:hAnsi="Times New Roman"/>
          <w:sz w:val="28"/>
          <w:szCs w:val="28"/>
        </w:rPr>
        <w:t>‘‘</w:t>
      </w:r>
      <w:r>
        <w:rPr>
          <w:rFonts w:ascii="Times New Roman" w:eastAsia="Gulim" w:hAnsi="Times New Roman"/>
          <w:sz w:val="28"/>
          <w:szCs w:val="28"/>
        </w:rPr>
        <w:t>Logement, eau</w:t>
      </w:r>
      <w:r w:rsidR="009B3CA4">
        <w:rPr>
          <w:rFonts w:ascii="Times New Roman" w:eastAsia="Gulim" w:hAnsi="Times New Roman"/>
          <w:sz w:val="28"/>
          <w:szCs w:val="28"/>
        </w:rPr>
        <w:t xml:space="preserve"> et</w:t>
      </w:r>
      <w:r>
        <w:rPr>
          <w:rFonts w:ascii="Times New Roman" w:eastAsia="Gulim" w:hAnsi="Times New Roman"/>
          <w:sz w:val="28"/>
          <w:szCs w:val="28"/>
        </w:rPr>
        <w:t xml:space="preserve"> électricité</w:t>
      </w:r>
      <w:r w:rsidRPr="00391850">
        <w:rPr>
          <w:rFonts w:ascii="Times New Roman" w:eastAsia="Gulim" w:hAnsi="Times New Roman"/>
          <w:sz w:val="28"/>
          <w:szCs w:val="28"/>
        </w:rPr>
        <w:t>’’</w:t>
      </w:r>
      <w:r>
        <w:rPr>
          <w:rFonts w:ascii="Times New Roman" w:eastAsia="Gulim" w:hAnsi="Times New Roman"/>
          <w:sz w:val="28"/>
          <w:szCs w:val="28"/>
        </w:rPr>
        <w:t xml:space="preserve"> (</w:t>
      </w:r>
      <w:r w:rsidRPr="00391850">
        <w:rPr>
          <w:rFonts w:ascii="Times New Roman" w:eastAsia="Gulim" w:hAnsi="Times New Roman"/>
          <w:sz w:val="28"/>
          <w:szCs w:val="28"/>
        </w:rPr>
        <w:t>‘‘</w:t>
      </w:r>
      <w:r>
        <w:rPr>
          <w:rFonts w:ascii="Times New Roman" w:eastAsia="Gulim" w:hAnsi="Times New Roman"/>
          <w:sz w:val="28"/>
          <w:szCs w:val="28"/>
        </w:rPr>
        <w:t>Alimentation en eau</w:t>
      </w:r>
      <w:r w:rsidRPr="00391850">
        <w:rPr>
          <w:rFonts w:ascii="Times New Roman" w:eastAsia="Gulim" w:hAnsi="Times New Roman"/>
          <w:sz w:val="28"/>
          <w:szCs w:val="28"/>
        </w:rPr>
        <w:t>’’</w:t>
      </w:r>
      <w:r>
        <w:rPr>
          <w:rFonts w:ascii="Times New Roman" w:eastAsia="Gulim" w:hAnsi="Times New Roman"/>
          <w:sz w:val="28"/>
          <w:szCs w:val="28"/>
        </w:rPr>
        <w:t xml:space="preserve"> +</w:t>
      </w:r>
      <w:r w:rsidR="00721862">
        <w:rPr>
          <w:rFonts w:ascii="Times New Roman" w:eastAsia="Gulim" w:hAnsi="Times New Roman"/>
          <w:sz w:val="28"/>
          <w:szCs w:val="28"/>
        </w:rPr>
        <w:t>9,2</w:t>
      </w:r>
      <w:r>
        <w:rPr>
          <w:rFonts w:ascii="Times New Roman" w:eastAsia="Gulim" w:hAnsi="Times New Roman"/>
          <w:sz w:val="28"/>
          <w:szCs w:val="28"/>
        </w:rPr>
        <w:t xml:space="preserve">%, </w:t>
      </w:r>
      <w:r w:rsidRPr="00391850">
        <w:rPr>
          <w:rFonts w:ascii="Times New Roman" w:eastAsia="Gulim" w:hAnsi="Times New Roman"/>
          <w:sz w:val="28"/>
          <w:szCs w:val="28"/>
        </w:rPr>
        <w:t>‘‘</w:t>
      </w:r>
      <w:r>
        <w:rPr>
          <w:rFonts w:ascii="Times New Roman" w:eastAsia="Gulim" w:hAnsi="Times New Roman"/>
          <w:sz w:val="28"/>
          <w:szCs w:val="28"/>
        </w:rPr>
        <w:t>Electricité</w:t>
      </w:r>
      <w:r w:rsidRPr="00391850">
        <w:rPr>
          <w:rFonts w:ascii="Times New Roman" w:eastAsia="Gulim" w:hAnsi="Times New Roman"/>
          <w:sz w:val="28"/>
          <w:szCs w:val="28"/>
        </w:rPr>
        <w:t>’’</w:t>
      </w:r>
      <w:r>
        <w:rPr>
          <w:rFonts w:ascii="Times New Roman" w:eastAsia="Gulim" w:hAnsi="Times New Roman"/>
          <w:sz w:val="28"/>
          <w:szCs w:val="28"/>
        </w:rPr>
        <w:t xml:space="preserve"> +</w:t>
      </w:r>
      <w:r w:rsidR="00721862">
        <w:rPr>
          <w:rFonts w:ascii="Times New Roman" w:eastAsia="Gulim" w:hAnsi="Times New Roman"/>
          <w:sz w:val="28"/>
          <w:szCs w:val="28"/>
        </w:rPr>
        <w:t>8,9</w:t>
      </w:r>
      <w:r>
        <w:rPr>
          <w:rFonts w:ascii="Times New Roman" w:eastAsia="Gulim" w:hAnsi="Times New Roman"/>
          <w:sz w:val="28"/>
          <w:szCs w:val="28"/>
        </w:rPr>
        <w:t xml:space="preserve">%, </w:t>
      </w:r>
      <w:r w:rsidRPr="00391850">
        <w:rPr>
          <w:rFonts w:ascii="Times New Roman" w:eastAsia="Gulim" w:hAnsi="Times New Roman"/>
          <w:sz w:val="28"/>
          <w:szCs w:val="28"/>
        </w:rPr>
        <w:t>‘‘</w:t>
      </w:r>
      <w:r>
        <w:rPr>
          <w:rFonts w:ascii="Times New Roman" w:eastAsia="Gulim" w:hAnsi="Times New Roman"/>
          <w:sz w:val="28"/>
          <w:szCs w:val="28"/>
        </w:rPr>
        <w:t>loyer</w:t>
      </w:r>
      <w:r w:rsidRPr="00391850">
        <w:rPr>
          <w:rFonts w:ascii="Times New Roman" w:eastAsia="Gulim" w:hAnsi="Times New Roman"/>
          <w:sz w:val="28"/>
          <w:szCs w:val="28"/>
        </w:rPr>
        <w:t>’’</w:t>
      </w:r>
      <w:r>
        <w:rPr>
          <w:rFonts w:ascii="Times New Roman" w:eastAsia="Gulim" w:hAnsi="Times New Roman"/>
          <w:sz w:val="28"/>
          <w:szCs w:val="28"/>
        </w:rPr>
        <w:t xml:space="preserve"> +1,</w:t>
      </w:r>
      <w:r w:rsidR="00721862">
        <w:rPr>
          <w:rFonts w:ascii="Times New Roman" w:eastAsia="Gulim" w:hAnsi="Times New Roman"/>
          <w:sz w:val="28"/>
          <w:szCs w:val="28"/>
        </w:rPr>
        <w:t>5</w:t>
      </w:r>
      <w:r>
        <w:rPr>
          <w:rFonts w:ascii="Times New Roman" w:eastAsia="Gulim" w:hAnsi="Times New Roman"/>
          <w:sz w:val="28"/>
          <w:szCs w:val="28"/>
        </w:rPr>
        <w:t>%).</w:t>
      </w:r>
    </w:p>
    <w:tbl>
      <w:tblPr>
        <w:tblW w:w="5283" w:type="pct"/>
        <w:tblInd w:w="-34" w:type="dxa"/>
        <w:tblLayout w:type="fixed"/>
        <w:tblLook w:val="00A0" w:firstRow="1" w:lastRow="0" w:firstColumn="1" w:lastColumn="0" w:noHBand="0" w:noVBand="0"/>
      </w:tblPr>
      <w:tblGrid>
        <w:gridCol w:w="6097"/>
        <w:gridCol w:w="828"/>
        <w:gridCol w:w="1109"/>
        <w:gridCol w:w="1181"/>
      </w:tblGrid>
      <w:tr w:rsidR="00732575" w:rsidRPr="00C05899" w:rsidTr="00100C5E">
        <w:trPr>
          <w:trHeight w:val="499"/>
        </w:trPr>
        <w:tc>
          <w:tcPr>
            <w:tcW w:w="5000" w:type="pct"/>
            <w:gridSpan w:val="4"/>
            <w:tcBorders>
              <w:top w:val="single" w:sz="4" w:space="0" w:color="auto"/>
              <w:bottom w:val="single" w:sz="4" w:space="0" w:color="auto"/>
            </w:tcBorders>
            <w:shd w:val="clear" w:color="auto" w:fill="FABF8F"/>
          </w:tcPr>
          <w:p w:rsidR="00732575" w:rsidRPr="002C6DC6" w:rsidRDefault="00732575" w:rsidP="00753DBB">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 xml:space="preserve">                                                                                            Indice</w:t>
            </w:r>
            <w:r w:rsidR="00A26176">
              <w:rPr>
                <w:rFonts w:asciiTheme="majorBidi" w:hAnsiTheme="majorBidi" w:cstheme="majorBidi"/>
                <w:i/>
                <w:iCs/>
                <w:color w:val="000000"/>
                <w:spacing w:val="0"/>
                <w:sz w:val="22"/>
                <w:szCs w:val="22"/>
                <w:lang w:eastAsia="fr-FR"/>
              </w:rPr>
              <w:t>s</w:t>
            </w:r>
            <w:r w:rsidRPr="002C6DC6">
              <w:rPr>
                <w:rFonts w:asciiTheme="majorBidi" w:hAnsiTheme="majorBidi" w:cstheme="majorBidi"/>
                <w:i/>
                <w:iCs/>
                <w:color w:val="000000"/>
                <w:spacing w:val="0"/>
                <w:sz w:val="22"/>
                <w:szCs w:val="22"/>
                <w:lang w:eastAsia="fr-FR"/>
              </w:rPr>
              <w:t xml:space="preserve"> des </w:t>
            </w:r>
            <w:r w:rsidR="00C22F97">
              <w:rPr>
                <w:rFonts w:asciiTheme="majorBidi" w:hAnsiTheme="majorBidi" w:cstheme="majorBidi"/>
                <w:i/>
                <w:iCs/>
                <w:color w:val="000000"/>
                <w:spacing w:val="0"/>
                <w:sz w:val="22"/>
                <w:szCs w:val="22"/>
                <w:lang w:eastAsia="fr-FR"/>
              </w:rPr>
              <w:t xml:space="preserve">prix </w:t>
            </w:r>
            <w:r w:rsidR="00A26176">
              <w:rPr>
                <w:rFonts w:asciiTheme="majorBidi" w:hAnsiTheme="majorBidi" w:cstheme="majorBidi"/>
                <w:i/>
                <w:iCs/>
                <w:color w:val="000000"/>
                <w:spacing w:val="0"/>
                <w:sz w:val="22"/>
                <w:szCs w:val="22"/>
                <w:lang w:eastAsia="fr-FR"/>
              </w:rPr>
              <w:t xml:space="preserve">des </w:t>
            </w:r>
            <w:r w:rsidR="00753DBB">
              <w:rPr>
                <w:rFonts w:asciiTheme="majorBidi" w:hAnsiTheme="majorBidi" w:cstheme="majorBidi"/>
                <w:i/>
                <w:iCs/>
                <w:color w:val="000000"/>
                <w:spacing w:val="0"/>
                <w:sz w:val="22"/>
                <w:szCs w:val="22"/>
                <w:lang w:eastAsia="fr-FR"/>
              </w:rPr>
              <w:t xml:space="preserve">huit </w:t>
            </w:r>
            <w:r w:rsidRPr="002C6DC6">
              <w:rPr>
                <w:rFonts w:asciiTheme="majorBidi" w:hAnsiTheme="majorBidi" w:cstheme="majorBidi"/>
                <w:i/>
                <w:iCs/>
                <w:color w:val="000000"/>
                <w:spacing w:val="0"/>
                <w:sz w:val="22"/>
                <w:szCs w:val="22"/>
                <w:lang w:eastAsia="fr-FR"/>
              </w:rPr>
              <w:t xml:space="preserve"> premiers mois </w:t>
            </w:r>
          </w:p>
        </w:tc>
      </w:tr>
      <w:tr w:rsidR="00732575" w:rsidRPr="00C05899" w:rsidTr="00A861C0">
        <w:trPr>
          <w:trHeight w:val="549"/>
        </w:trPr>
        <w:tc>
          <w:tcPr>
            <w:tcW w:w="3308" w:type="pct"/>
            <w:tcBorders>
              <w:top w:val="single" w:sz="4" w:space="0" w:color="auto"/>
              <w:bottom w:val="single" w:sz="4" w:space="0" w:color="auto"/>
            </w:tcBorders>
            <w:shd w:val="clear" w:color="auto" w:fill="FABF8F"/>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DIVISION DE PRODUITS</w:t>
            </w:r>
          </w:p>
        </w:tc>
        <w:tc>
          <w:tcPr>
            <w:tcW w:w="449" w:type="pct"/>
            <w:tcBorders>
              <w:top w:val="single" w:sz="4" w:space="0" w:color="auto"/>
              <w:bottom w:val="single" w:sz="4" w:space="0" w:color="auto"/>
            </w:tcBorders>
            <w:shd w:val="clear" w:color="auto" w:fill="FABF8F"/>
          </w:tcPr>
          <w:p w:rsidR="008A0CFD" w:rsidRPr="002C6DC6" w:rsidRDefault="00732575" w:rsidP="00AD2D2E">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2014</w:t>
            </w:r>
          </w:p>
        </w:tc>
        <w:tc>
          <w:tcPr>
            <w:tcW w:w="602" w:type="pct"/>
            <w:tcBorders>
              <w:top w:val="single" w:sz="4" w:space="0" w:color="auto"/>
              <w:bottom w:val="single" w:sz="4" w:space="0" w:color="auto"/>
            </w:tcBorders>
            <w:shd w:val="clear" w:color="auto" w:fill="FABF8F"/>
          </w:tcPr>
          <w:p w:rsidR="008A0CFD" w:rsidRPr="002C6DC6" w:rsidRDefault="00732575" w:rsidP="00AD2D2E">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2015</w:t>
            </w:r>
          </w:p>
        </w:tc>
        <w:tc>
          <w:tcPr>
            <w:tcW w:w="641" w:type="pct"/>
            <w:tcBorders>
              <w:top w:val="single" w:sz="4" w:space="0" w:color="auto"/>
              <w:bottom w:val="single" w:sz="4" w:space="0" w:color="auto"/>
            </w:tcBorders>
            <w:shd w:val="clear" w:color="auto" w:fill="FABF8F"/>
          </w:tcPr>
          <w:p w:rsidR="008A0CFD" w:rsidRPr="002C6DC6" w:rsidRDefault="008A0CFD" w:rsidP="00732575">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Var.</w:t>
            </w:r>
            <w:r w:rsidR="00247EF5">
              <w:rPr>
                <w:rFonts w:asciiTheme="majorBidi" w:hAnsiTheme="majorBidi" w:cstheme="majorBidi"/>
                <w:i/>
                <w:iCs/>
                <w:color w:val="000000"/>
                <w:spacing w:val="0"/>
                <w:sz w:val="22"/>
                <w:szCs w:val="22"/>
                <w:lang w:eastAsia="fr-FR"/>
              </w:rPr>
              <w:t>en %</w:t>
            </w:r>
            <w:r w:rsidRPr="002C6DC6">
              <w:rPr>
                <w:rFonts w:asciiTheme="majorBidi" w:hAnsiTheme="majorBidi" w:cstheme="majorBidi"/>
                <w:i/>
                <w:iCs/>
                <w:color w:val="000000"/>
                <w:spacing w:val="0"/>
                <w:sz w:val="22"/>
                <w:szCs w:val="22"/>
                <w:lang w:eastAsia="fr-FR"/>
              </w:rPr>
              <w:t xml:space="preserve"> </w:t>
            </w:r>
          </w:p>
        </w:tc>
      </w:tr>
      <w:tr w:rsidR="00732575" w:rsidRPr="008A79D5" w:rsidTr="002E4AFF">
        <w:trPr>
          <w:trHeight w:val="406"/>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GENERAL</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114,9</w:t>
            </w:r>
          </w:p>
        </w:tc>
        <w:tc>
          <w:tcPr>
            <w:tcW w:w="602"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117,7</w:t>
            </w:r>
          </w:p>
        </w:tc>
        <w:tc>
          <w:tcPr>
            <w:tcW w:w="641" w:type="pct"/>
            <w:tcBorders>
              <w:top w:val="single" w:sz="4" w:space="0" w:color="auto"/>
              <w:bottom w:val="single" w:sz="4" w:space="0" w:color="auto"/>
            </w:tcBorders>
          </w:tcPr>
          <w:p w:rsidR="008A0CFD" w:rsidRPr="002C6DC6" w:rsidRDefault="00721862" w:rsidP="0001346B">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2,4</w:t>
            </w:r>
          </w:p>
        </w:tc>
      </w:tr>
      <w:tr w:rsidR="00732575" w:rsidTr="007B6F85">
        <w:trPr>
          <w:trHeight w:val="411"/>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PRODUITS ALIMENTAIRES ET BOISSONS NON ALCOOLISÉES</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121,6</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125,9</w:t>
            </w:r>
          </w:p>
        </w:tc>
        <w:tc>
          <w:tcPr>
            <w:tcW w:w="641"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3,6</w:t>
            </w:r>
          </w:p>
        </w:tc>
      </w:tr>
      <w:tr w:rsidR="00732575" w:rsidTr="002E4AFF">
        <w:trPr>
          <w:trHeight w:val="421"/>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BOISSONS ALCOOLISÉES, TABAC ET STUPÉFIANTS</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116,1</w:t>
            </w:r>
          </w:p>
        </w:tc>
        <w:tc>
          <w:tcPr>
            <w:tcW w:w="602"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119,6</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3,0</w:t>
            </w:r>
          </w:p>
        </w:tc>
      </w:tr>
      <w:tr w:rsidR="00732575" w:rsidTr="00100C5E">
        <w:trPr>
          <w:trHeight w:val="475"/>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ARTICLES D'HABILLEMENT ET CHAUSSURES</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123,0</w:t>
            </w:r>
          </w:p>
        </w:tc>
        <w:tc>
          <w:tcPr>
            <w:tcW w:w="602"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122,7</w:t>
            </w:r>
          </w:p>
        </w:tc>
        <w:tc>
          <w:tcPr>
            <w:tcW w:w="641"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-0,2</w:t>
            </w:r>
          </w:p>
        </w:tc>
      </w:tr>
      <w:tr w:rsidR="00732575" w:rsidTr="003C6DD7">
        <w:trPr>
          <w:trHeight w:val="324"/>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LOGEMENT, EAU, GAZ, ELECTRICITE ET AUTRES COMBUSTIBLES</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110,6</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115,2</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4,2</w:t>
            </w:r>
          </w:p>
        </w:tc>
      </w:tr>
      <w:tr w:rsidR="00732575" w:rsidTr="003C6DD7">
        <w:trPr>
          <w:trHeight w:val="391"/>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MEUBLES, ARTICLES DE MENAGE ET ENTRETIEN COURANT DU FOYER</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105,9</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106,4</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0,4</w:t>
            </w:r>
          </w:p>
        </w:tc>
      </w:tr>
      <w:tr w:rsidR="00732575" w:rsidTr="00100C5E">
        <w:trPr>
          <w:trHeight w:val="369"/>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SANTÉ</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105,1</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105,3</w:t>
            </w:r>
          </w:p>
        </w:tc>
        <w:tc>
          <w:tcPr>
            <w:tcW w:w="641"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0,2</w:t>
            </w:r>
          </w:p>
        </w:tc>
      </w:tr>
      <w:tr w:rsidR="00732575" w:rsidTr="002E4AFF">
        <w:trPr>
          <w:trHeight w:val="423"/>
        </w:trPr>
        <w:tc>
          <w:tcPr>
            <w:tcW w:w="3308" w:type="pct"/>
            <w:tcBorders>
              <w:top w:val="single" w:sz="4" w:space="0" w:color="auto"/>
              <w:bottom w:val="single" w:sz="4" w:space="0" w:color="auto"/>
            </w:tcBorders>
          </w:tcPr>
          <w:p w:rsidR="008A0CFD" w:rsidRPr="002C6DC6" w:rsidRDefault="008A0CFD" w:rsidP="00625491">
            <w:pPr>
              <w:tabs>
                <w:tab w:val="left" w:pos="1845"/>
              </w:tabs>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TRANSPORT</w:t>
            </w:r>
            <w:r w:rsidR="00625491">
              <w:rPr>
                <w:rFonts w:asciiTheme="majorBidi" w:hAnsiTheme="majorBidi" w:cstheme="majorBidi"/>
                <w:i/>
                <w:iCs/>
                <w:spacing w:val="0"/>
                <w:sz w:val="22"/>
                <w:szCs w:val="22"/>
                <w:lang w:eastAsia="fr-FR"/>
              </w:rPr>
              <w:tab/>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114,7</w:t>
            </w:r>
          </w:p>
        </w:tc>
        <w:tc>
          <w:tcPr>
            <w:tcW w:w="602"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113,5</w:t>
            </w:r>
          </w:p>
        </w:tc>
        <w:tc>
          <w:tcPr>
            <w:tcW w:w="641"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w:t>
            </w:r>
          </w:p>
        </w:tc>
      </w:tr>
      <w:tr w:rsidR="00732575" w:rsidTr="002E4AFF">
        <w:trPr>
          <w:trHeight w:val="401"/>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COMMUNICATIONS</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r>
      <w:tr w:rsidR="00732575" w:rsidTr="00A861C0">
        <w:trPr>
          <w:trHeight w:val="571"/>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LOISIRS ET CULTURE</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97,0</w:t>
            </w:r>
          </w:p>
        </w:tc>
        <w:tc>
          <w:tcPr>
            <w:tcW w:w="602"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96,7</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-0,3</w:t>
            </w:r>
          </w:p>
        </w:tc>
      </w:tr>
      <w:tr w:rsidR="00732575" w:rsidTr="002E4AFF">
        <w:trPr>
          <w:trHeight w:val="427"/>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ENSEIGNEMENT</w:t>
            </w:r>
          </w:p>
        </w:tc>
        <w:tc>
          <w:tcPr>
            <w:tcW w:w="449" w:type="pct"/>
            <w:tcBorders>
              <w:top w:val="single" w:sz="4" w:space="0" w:color="auto"/>
              <w:bottom w:val="single" w:sz="4" w:space="0" w:color="auto"/>
            </w:tcBorders>
          </w:tcPr>
          <w:p w:rsidR="008A0CFD" w:rsidRPr="002C6DC6" w:rsidRDefault="00721862" w:rsidP="00F420DA">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144,4</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150,4</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4,2</w:t>
            </w:r>
          </w:p>
        </w:tc>
      </w:tr>
      <w:tr w:rsidR="00732575" w:rsidTr="00A861C0">
        <w:trPr>
          <w:trHeight w:val="710"/>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RESTAURANTS ET HÔTELS</w:t>
            </w:r>
          </w:p>
        </w:tc>
        <w:tc>
          <w:tcPr>
            <w:tcW w:w="449"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122,1</w:t>
            </w:r>
          </w:p>
        </w:tc>
        <w:tc>
          <w:tcPr>
            <w:tcW w:w="602" w:type="pct"/>
            <w:tcBorders>
              <w:top w:val="single" w:sz="4" w:space="0" w:color="auto"/>
              <w:bottom w:val="single" w:sz="4" w:space="0" w:color="auto"/>
            </w:tcBorders>
          </w:tcPr>
          <w:p w:rsidR="008A0CFD" w:rsidRPr="002C6DC6" w:rsidRDefault="00721862" w:rsidP="00EC1588">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126,1</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3,3</w:t>
            </w:r>
          </w:p>
        </w:tc>
      </w:tr>
      <w:tr w:rsidR="00732575" w:rsidTr="00A861C0">
        <w:trPr>
          <w:trHeight w:val="693"/>
        </w:trPr>
        <w:tc>
          <w:tcPr>
            <w:tcW w:w="3308" w:type="pct"/>
            <w:tcBorders>
              <w:top w:val="single" w:sz="4" w:space="0" w:color="auto"/>
              <w:bottom w:val="single" w:sz="4" w:space="0" w:color="auto"/>
            </w:tcBorders>
          </w:tcPr>
          <w:p w:rsidR="008A0CFD" w:rsidRPr="002C6DC6" w:rsidRDefault="008A0CFD" w:rsidP="00AD2D2E">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BIENS ET SERVICES DIVERS</w:t>
            </w:r>
          </w:p>
        </w:tc>
        <w:tc>
          <w:tcPr>
            <w:tcW w:w="449"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106,4</w:t>
            </w:r>
          </w:p>
        </w:tc>
        <w:tc>
          <w:tcPr>
            <w:tcW w:w="602"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106,3</w:t>
            </w:r>
          </w:p>
        </w:tc>
        <w:tc>
          <w:tcPr>
            <w:tcW w:w="641" w:type="pct"/>
            <w:tcBorders>
              <w:top w:val="single" w:sz="4" w:space="0" w:color="auto"/>
              <w:bottom w:val="single" w:sz="4" w:space="0" w:color="auto"/>
            </w:tcBorders>
          </w:tcPr>
          <w:p w:rsidR="008A0CFD" w:rsidRPr="002C6DC6" w:rsidRDefault="00721862" w:rsidP="00AD2D2E">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r>
    </w:tbl>
    <w:p w:rsidR="007A61B9" w:rsidRDefault="007A61B9" w:rsidP="004B655D">
      <w:pPr>
        <w:spacing w:before="100" w:beforeAutospacing="1" w:after="100" w:afterAutospacing="1" w:line="360" w:lineRule="auto"/>
        <w:ind w:left="0"/>
        <w:jc w:val="both"/>
        <w:rPr>
          <w:rFonts w:ascii="Times New Roman" w:eastAsia="Gulim" w:hAnsi="Times New Roman"/>
          <w:b/>
          <w:bCs/>
          <w:sz w:val="28"/>
          <w:szCs w:val="28"/>
        </w:rPr>
      </w:pPr>
    </w:p>
    <w:p w:rsidR="00721862" w:rsidRDefault="00721862" w:rsidP="004B655D">
      <w:pPr>
        <w:spacing w:before="100" w:beforeAutospacing="1" w:after="100" w:afterAutospacing="1" w:line="360" w:lineRule="auto"/>
        <w:ind w:left="0"/>
        <w:jc w:val="both"/>
        <w:rPr>
          <w:rFonts w:ascii="Times New Roman" w:eastAsia="Gulim" w:hAnsi="Times New Roman"/>
          <w:b/>
          <w:bCs/>
          <w:sz w:val="28"/>
          <w:szCs w:val="28"/>
        </w:rPr>
      </w:pPr>
    </w:p>
    <w:p w:rsidR="00721862" w:rsidRDefault="00721862" w:rsidP="004B655D">
      <w:pPr>
        <w:spacing w:before="100" w:beforeAutospacing="1" w:after="100" w:afterAutospacing="1" w:line="360" w:lineRule="auto"/>
        <w:ind w:left="0"/>
        <w:jc w:val="both"/>
        <w:rPr>
          <w:rFonts w:ascii="Times New Roman" w:eastAsia="Gulim" w:hAnsi="Times New Roman"/>
          <w:b/>
          <w:bCs/>
          <w:sz w:val="28"/>
          <w:szCs w:val="28"/>
        </w:rPr>
      </w:pPr>
    </w:p>
    <w:p w:rsidR="00721862" w:rsidRDefault="00721862" w:rsidP="004B655D">
      <w:pPr>
        <w:spacing w:before="100" w:beforeAutospacing="1" w:after="100" w:afterAutospacing="1" w:line="360" w:lineRule="auto"/>
        <w:ind w:left="0"/>
        <w:jc w:val="both"/>
        <w:rPr>
          <w:rFonts w:ascii="Times New Roman" w:eastAsia="Gulim" w:hAnsi="Times New Roman"/>
          <w:b/>
          <w:bCs/>
          <w:sz w:val="28"/>
          <w:szCs w:val="28"/>
        </w:rPr>
      </w:pPr>
      <w:r w:rsidRPr="00721862">
        <w:rPr>
          <w:rFonts w:ascii="Times New Roman" w:eastAsia="Gulim" w:hAnsi="Times New Roman"/>
          <w:b/>
          <w:bCs/>
          <w:noProof/>
          <w:sz w:val="28"/>
          <w:szCs w:val="28"/>
          <w:lang w:eastAsia="fr-FR"/>
        </w:rPr>
        <w:lastRenderedPageBreak/>
        <w:drawing>
          <wp:inline distT="0" distB="0" distL="0" distR="0">
            <wp:extent cx="5543550" cy="5810250"/>
            <wp:effectExtent l="0" t="0" r="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C0D4C" w:rsidRDefault="007C0D4C" w:rsidP="007C0D4C">
      <w:pPr>
        <w:spacing w:before="100" w:beforeAutospacing="1" w:after="100" w:afterAutospacing="1" w:line="360" w:lineRule="auto"/>
        <w:ind w:left="0"/>
        <w:jc w:val="both"/>
        <w:rPr>
          <w:rFonts w:ascii="Times New Roman" w:eastAsia="Gulim" w:hAnsi="Times New Roman"/>
          <w:b/>
          <w:bCs/>
          <w:sz w:val="28"/>
          <w:szCs w:val="28"/>
        </w:rPr>
      </w:pPr>
      <w:r w:rsidRPr="004620D2">
        <w:rPr>
          <w:rFonts w:ascii="Times New Roman" w:eastAsia="Gulim" w:hAnsi="Times New Roman"/>
          <w:b/>
          <w:bCs/>
          <w:sz w:val="28"/>
          <w:szCs w:val="28"/>
        </w:rPr>
        <w:t>Au niveau national</w:t>
      </w:r>
      <w:r>
        <w:rPr>
          <w:rFonts w:ascii="Times New Roman" w:eastAsia="Gulim" w:hAnsi="Times New Roman"/>
          <w:b/>
          <w:bCs/>
          <w:sz w:val="28"/>
          <w:szCs w:val="28"/>
        </w:rPr>
        <w:t>,  l’IPC</w:t>
      </w:r>
      <w:r w:rsidRPr="004620D2">
        <w:rPr>
          <w:rFonts w:ascii="Times New Roman" w:eastAsia="Gulim" w:hAnsi="Times New Roman"/>
          <w:b/>
          <w:bCs/>
          <w:sz w:val="28"/>
          <w:szCs w:val="28"/>
        </w:rPr>
        <w:t> </w:t>
      </w:r>
      <w:r>
        <w:rPr>
          <w:rFonts w:ascii="Times New Roman" w:eastAsia="Gulim" w:hAnsi="Times New Roman"/>
          <w:b/>
          <w:bCs/>
          <w:sz w:val="28"/>
          <w:szCs w:val="28"/>
        </w:rPr>
        <w:t xml:space="preserve">est en hausse en glissement annuel.  </w:t>
      </w:r>
    </w:p>
    <w:p w:rsidR="005830CA" w:rsidRDefault="004620D2" w:rsidP="009B3CA4">
      <w:pPr>
        <w:spacing w:before="100" w:beforeAutospacing="1" w:after="100" w:afterAutospacing="1"/>
        <w:ind w:left="0" w:firstLine="720"/>
        <w:jc w:val="both"/>
        <w:rPr>
          <w:rFonts w:ascii="Times New Roman" w:eastAsia="Gulim" w:hAnsi="Times New Roman"/>
          <w:sz w:val="28"/>
          <w:szCs w:val="28"/>
        </w:rPr>
      </w:pPr>
      <w:r w:rsidRPr="004620D2">
        <w:rPr>
          <w:rFonts w:ascii="Times New Roman" w:eastAsia="Gulim" w:hAnsi="Times New Roman"/>
          <w:sz w:val="28"/>
          <w:szCs w:val="28"/>
        </w:rPr>
        <w:t>A l</w:t>
      </w:r>
      <w:r w:rsidRPr="00073B5D">
        <w:rPr>
          <w:rFonts w:ascii="Times New Roman" w:eastAsia="Gulim" w:hAnsi="Times New Roman"/>
          <w:sz w:val="28"/>
          <w:szCs w:val="28"/>
        </w:rPr>
        <w:t>’</w:t>
      </w:r>
      <w:r w:rsidR="006462B6">
        <w:rPr>
          <w:rFonts w:ascii="Times New Roman" w:eastAsia="Gulim" w:hAnsi="Times New Roman"/>
          <w:sz w:val="28"/>
          <w:szCs w:val="28"/>
        </w:rPr>
        <w:t xml:space="preserve">échelle </w:t>
      </w:r>
      <w:r w:rsidR="006462B6" w:rsidRPr="00B45399">
        <w:rPr>
          <w:rFonts w:ascii="Times New Roman" w:eastAsia="Gulim" w:hAnsi="Times New Roman"/>
          <w:sz w:val="28"/>
          <w:szCs w:val="28"/>
        </w:rPr>
        <w:t>national</w:t>
      </w:r>
      <w:r w:rsidR="006462B6">
        <w:rPr>
          <w:rFonts w:ascii="Times New Roman" w:eastAsia="Gulim" w:hAnsi="Times New Roman"/>
          <w:sz w:val="28"/>
          <w:szCs w:val="28"/>
        </w:rPr>
        <w:t xml:space="preserve">, </w:t>
      </w:r>
      <w:r w:rsidR="006462B6" w:rsidRPr="00B45399">
        <w:rPr>
          <w:rFonts w:ascii="Times New Roman" w:eastAsia="Gulim" w:hAnsi="Times New Roman"/>
          <w:sz w:val="28"/>
          <w:szCs w:val="28"/>
        </w:rPr>
        <w:t xml:space="preserve">l’indice des prix à la consommation </w:t>
      </w:r>
      <w:r w:rsidR="00F8256D">
        <w:rPr>
          <w:rFonts w:ascii="Times New Roman" w:eastAsia="Gulim" w:hAnsi="Times New Roman"/>
          <w:sz w:val="28"/>
          <w:szCs w:val="28"/>
        </w:rPr>
        <w:t xml:space="preserve">a connu une </w:t>
      </w:r>
      <w:r w:rsidR="00F81CD5">
        <w:rPr>
          <w:rFonts w:ascii="Times New Roman" w:eastAsia="Gulim" w:hAnsi="Times New Roman"/>
          <w:sz w:val="28"/>
          <w:szCs w:val="28"/>
        </w:rPr>
        <w:t>baisse</w:t>
      </w:r>
      <w:r w:rsidR="00F8256D">
        <w:rPr>
          <w:rFonts w:ascii="Times New Roman" w:eastAsia="Gulim" w:hAnsi="Times New Roman"/>
          <w:sz w:val="28"/>
          <w:szCs w:val="28"/>
        </w:rPr>
        <w:t xml:space="preserve"> de 0,</w:t>
      </w:r>
      <w:r w:rsidR="00F81CD5">
        <w:rPr>
          <w:rFonts w:ascii="Times New Roman" w:eastAsia="Gulim" w:hAnsi="Times New Roman"/>
          <w:sz w:val="28"/>
          <w:szCs w:val="28"/>
        </w:rPr>
        <w:t>1</w:t>
      </w:r>
      <w:r w:rsidR="00F8256D">
        <w:rPr>
          <w:rFonts w:ascii="Times New Roman" w:eastAsia="Gulim" w:hAnsi="Times New Roman"/>
          <w:sz w:val="28"/>
          <w:szCs w:val="28"/>
        </w:rPr>
        <w:t xml:space="preserve">% </w:t>
      </w:r>
      <w:r w:rsidR="000C3828">
        <w:rPr>
          <w:rFonts w:ascii="Times New Roman" w:eastAsia="Gulim" w:hAnsi="Times New Roman"/>
          <w:sz w:val="28"/>
          <w:szCs w:val="28"/>
        </w:rPr>
        <w:t xml:space="preserve"> </w:t>
      </w:r>
      <w:r w:rsidR="002F0279">
        <w:rPr>
          <w:rFonts w:ascii="Times New Roman" w:eastAsia="Gulim" w:hAnsi="Times New Roman"/>
          <w:sz w:val="28"/>
          <w:szCs w:val="28"/>
        </w:rPr>
        <w:t xml:space="preserve">au cours du mois </w:t>
      </w:r>
      <w:r w:rsidR="00F8256D">
        <w:rPr>
          <w:rFonts w:ascii="Times New Roman" w:eastAsia="Gulim" w:hAnsi="Times New Roman"/>
          <w:sz w:val="28"/>
          <w:szCs w:val="28"/>
        </w:rPr>
        <w:t>d</w:t>
      </w:r>
      <w:r w:rsidR="00F81CD5">
        <w:rPr>
          <w:rFonts w:ascii="Times New Roman" w:eastAsia="Gulim" w:hAnsi="Times New Roman"/>
          <w:sz w:val="28"/>
          <w:szCs w:val="28"/>
        </w:rPr>
        <w:t>’ao</w:t>
      </w:r>
      <w:r w:rsidR="009B3CA4">
        <w:rPr>
          <w:rFonts w:ascii="Times New Roman" w:eastAsia="Gulim" w:hAnsi="Times New Roman"/>
          <w:sz w:val="28"/>
          <w:szCs w:val="28"/>
        </w:rPr>
        <w:t>û</w:t>
      </w:r>
      <w:r w:rsidR="00F81CD5">
        <w:rPr>
          <w:rFonts w:ascii="Times New Roman" w:eastAsia="Gulim" w:hAnsi="Times New Roman"/>
          <w:sz w:val="28"/>
          <w:szCs w:val="28"/>
        </w:rPr>
        <w:t xml:space="preserve">t </w:t>
      </w:r>
      <w:r w:rsidR="002F0279">
        <w:rPr>
          <w:rFonts w:ascii="Times New Roman" w:eastAsia="Gulim" w:hAnsi="Times New Roman"/>
          <w:sz w:val="28"/>
          <w:szCs w:val="28"/>
        </w:rPr>
        <w:t xml:space="preserve">2015 </w:t>
      </w:r>
      <w:r w:rsidR="000C3828">
        <w:rPr>
          <w:rFonts w:ascii="Times New Roman" w:eastAsia="Gulim" w:hAnsi="Times New Roman"/>
          <w:sz w:val="28"/>
          <w:szCs w:val="28"/>
        </w:rPr>
        <w:t>par rapport au mois précédent</w:t>
      </w:r>
      <w:r w:rsidR="00F8256D">
        <w:rPr>
          <w:rFonts w:ascii="Times New Roman" w:eastAsia="Gulim" w:hAnsi="Times New Roman"/>
          <w:sz w:val="28"/>
          <w:szCs w:val="28"/>
        </w:rPr>
        <w:t>,</w:t>
      </w:r>
      <w:r w:rsidR="000C3828">
        <w:rPr>
          <w:rFonts w:ascii="Times New Roman" w:eastAsia="Gulim" w:hAnsi="Times New Roman"/>
          <w:sz w:val="28"/>
          <w:szCs w:val="28"/>
        </w:rPr>
        <w:t xml:space="preserve"> et une hausse de </w:t>
      </w:r>
      <w:r w:rsidR="00F81CD5">
        <w:rPr>
          <w:rFonts w:ascii="Times New Roman" w:eastAsia="Gulim" w:hAnsi="Times New Roman"/>
          <w:sz w:val="28"/>
          <w:szCs w:val="28"/>
        </w:rPr>
        <w:t>1,7</w:t>
      </w:r>
      <w:r w:rsidR="000C3828">
        <w:rPr>
          <w:rFonts w:ascii="Times New Roman" w:eastAsia="Gulim" w:hAnsi="Times New Roman"/>
          <w:sz w:val="28"/>
          <w:szCs w:val="28"/>
        </w:rPr>
        <w:t>%</w:t>
      </w:r>
      <w:r w:rsidR="00E62438">
        <w:rPr>
          <w:rFonts w:ascii="Times New Roman" w:eastAsia="Gulim" w:hAnsi="Times New Roman"/>
          <w:sz w:val="28"/>
          <w:szCs w:val="28"/>
        </w:rPr>
        <w:t xml:space="preserve"> par rapport au même mois de l’année précédente</w:t>
      </w:r>
      <w:r w:rsidR="00F46BAE">
        <w:rPr>
          <w:rFonts w:ascii="Times New Roman" w:eastAsia="Gulim" w:hAnsi="Times New Roman"/>
          <w:sz w:val="28"/>
          <w:szCs w:val="28"/>
        </w:rPr>
        <w:t>.</w:t>
      </w:r>
    </w:p>
    <w:p w:rsidR="001B0163" w:rsidRDefault="00C73C79" w:rsidP="00F81CD5">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Concernant les autres grandes  </w:t>
      </w:r>
      <w:r w:rsidRPr="00B45399">
        <w:rPr>
          <w:rFonts w:ascii="Times New Roman" w:eastAsia="Gulim" w:hAnsi="Times New Roman"/>
          <w:sz w:val="28"/>
          <w:szCs w:val="28"/>
        </w:rPr>
        <w:t>villes</w:t>
      </w:r>
      <w:r>
        <w:rPr>
          <w:rFonts w:ascii="Times New Roman" w:eastAsia="Gulim" w:hAnsi="Times New Roman"/>
          <w:sz w:val="28"/>
          <w:szCs w:val="28"/>
        </w:rPr>
        <w:t xml:space="preserve">  du  royaume</w:t>
      </w:r>
      <w:r w:rsidRPr="00B45399">
        <w:rPr>
          <w:rFonts w:ascii="Times New Roman" w:eastAsia="Gulim" w:hAnsi="Times New Roman"/>
          <w:sz w:val="28"/>
          <w:szCs w:val="28"/>
        </w:rPr>
        <w:t xml:space="preserve">, </w:t>
      </w:r>
      <w:r w:rsidR="00C71A83">
        <w:rPr>
          <w:rFonts w:ascii="Times New Roman" w:eastAsia="Gulim" w:hAnsi="Times New Roman"/>
          <w:sz w:val="28"/>
          <w:szCs w:val="28"/>
        </w:rPr>
        <w:t>l’évolution de l’indice des prix à la consommation a été inégale</w:t>
      </w:r>
      <w:r w:rsidR="00583ADC">
        <w:rPr>
          <w:rFonts w:ascii="Times New Roman" w:eastAsia="Gulim" w:hAnsi="Times New Roman"/>
          <w:sz w:val="28"/>
          <w:szCs w:val="28"/>
        </w:rPr>
        <w:t>,</w:t>
      </w:r>
      <w:r w:rsidR="00C71A83">
        <w:rPr>
          <w:rFonts w:ascii="Times New Roman" w:eastAsia="Gulim" w:hAnsi="Times New Roman"/>
          <w:sz w:val="28"/>
          <w:szCs w:val="28"/>
        </w:rPr>
        <w:t xml:space="preserve"> allant d’une </w:t>
      </w:r>
      <w:r w:rsidR="001F3713">
        <w:rPr>
          <w:rFonts w:ascii="Times New Roman" w:eastAsia="Gulim" w:hAnsi="Times New Roman"/>
          <w:sz w:val="28"/>
          <w:szCs w:val="28"/>
        </w:rPr>
        <w:t xml:space="preserve">baisse de </w:t>
      </w:r>
      <w:r w:rsidR="00CC4B5A">
        <w:rPr>
          <w:rFonts w:ascii="Times New Roman" w:eastAsia="Gulim" w:hAnsi="Times New Roman"/>
          <w:sz w:val="28"/>
          <w:szCs w:val="28"/>
        </w:rPr>
        <w:t>0,</w:t>
      </w:r>
      <w:r w:rsidR="00F81CD5">
        <w:rPr>
          <w:rFonts w:ascii="Times New Roman" w:eastAsia="Gulim" w:hAnsi="Times New Roman"/>
          <w:sz w:val="28"/>
          <w:szCs w:val="28"/>
        </w:rPr>
        <w:t>8</w:t>
      </w:r>
      <w:r w:rsidR="001F3713">
        <w:rPr>
          <w:rFonts w:ascii="Times New Roman" w:eastAsia="Gulim" w:hAnsi="Times New Roman"/>
          <w:sz w:val="28"/>
          <w:szCs w:val="28"/>
        </w:rPr>
        <w:t xml:space="preserve">% à </w:t>
      </w:r>
      <w:r w:rsidR="00F81CD5">
        <w:rPr>
          <w:rFonts w:ascii="Times New Roman" w:eastAsia="Gulim" w:hAnsi="Times New Roman"/>
          <w:sz w:val="28"/>
          <w:szCs w:val="28"/>
        </w:rPr>
        <w:t>Tanger</w:t>
      </w:r>
      <w:r w:rsidR="001F3713">
        <w:rPr>
          <w:rFonts w:ascii="Times New Roman" w:eastAsia="Gulim" w:hAnsi="Times New Roman"/>
          <w:sz w:val="28"/>
          <w:szCs w:val="28"/>
        </w:rPr>
        <w:t xml:space="preserve"> </w:t>
      </w:r>
      <w:r w:rsidR="00C71A83">
        <w:rPr>
          <w:rFonts w:ascii="Times New Roman" w:eastAsia="Gulim" w:hAnsi="Times New Roman"/>
          <w:sz w:val="28"/>
          <w:szCs w:val="28"/>
        </w:rPr>
        <w:t>à une hausse de</w:t>
      </w:r>
      <w:r w:rsidR="00803032">
        <w:rPr>
          <w:rFonts w:ascii="Times New Roman" w:eastAsia="Gulim" w:hAnsi="Times New Roman"/>
          <w:sz w:val="28"/>
          <w:szCs w:val="28"/>
        </w:rPr>
        <w:t xml:space="preserve"> </w:t>
      </w:r>
      <w:r w:rsidR="00AC5D69">
        <w:rPr>
          <w:rFonts w:ascii="Times New Roman" w:eastAsia="Gulim" w:hAnsi="Times New Roman"/>
          <w:sz w:val="28"/>
          <w:szCs w:val="28"/>
        </w:rPr>
        <w:t>1,</w:t>
      </w:r>
      <w:r w:rsidR="00F81CD5">
        <w:rPr>
          <w:rFonts w:ascii="Times New Roman" w:eastAsia="Gulim" w:hAnsi="Times New Roman"/>
          <w:sz w:val="28"/>
          <w:szCs w:val="28"/>
        </w:rPr>
        <w:t>1</w:t>
      </w:r>
      <w:r w:rsidR="00C71A83">
        <w:rPr>
          <w:rFonts w:ascii="Times New Roman" w:eastAsia="Gulim" w:hAnsi="Times New Roman"/>
          <w:sz w:val="28"/>
          <w:szCs w:val="28"/>
        </w:rPr>
        <w:t xml:space="preserve">% à </w:t>
      </w:r>
      <w:r w:rsidR="00F81CD5">
        <w:rPr>
          <w:rFonts w:ascii="Times New Roman" w:eastAsia="Gulim" w:hAnsi="Times New Roman"/>
          <w:sz w:val="28"/>
          <w:szCs w:val="28"/>
        </w:rPr>
        <w:t>Al Hoceima</w:t>
      </w:r>
      <w:r w:rsidR="009B3CA4">
        <w:rPr>
          <w:rFonts w:ascii="Times New Roman" w:eastAsia="Gulim" w:hAnsi="Times New Roman"/>
          <w:sz w:val="28"/>
          <w:szCs w:val="28"/>
        </w:rPr>
        <w:t>.</w:t>
      </w:r>
    </w:p>
    <w:sectPr w:rsidR="001B0163" w:rsidSect="00F71EC8">
      <w:headerReference w:type="even" r:id="rId21"/>
      <w:headerReference w:type="default" r:id="rId22"/>
      <w:footerReference w:type="even" r:id="rId23"/>
      <w:footerReference w:type="default" r:id="rId24"/>
      <w:headerReference w:type="first" r:id="rId25"/>
      <w:footerReference w:type="first" r:id="rId26"/>
      <w:pgSz w:w="11907" w:h="16839" w:code="9"/>
      <w:pgMar w:top="567" w:right="1701" w:bottom="567" w:left="1701" w:header="964"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A64" w:rsidRDefault="00C71A64">
      <w:r>
        <w:separator/>
      </w:r>
    </w:p>
    <w:p w:rsidR="00C71A64" w:rsidRDefault="00C71A64"/>
  </w:endnote>
  <w:endnote w:type="continuationSeparator" w:id="0">
    <w:p w:rsidR="00C71A64" w:rsidRDefault="00C71A64">
      <w:r>
        <w:continuationSeparator/>
      </w:r>
    </w:p>
    <w:p w:rsidR="00C71A64" w:rsidRDefault="00C71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1B77B1">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1B77B1">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noProof/>
      </w:rPr>
      <w:t>2</w:t>
    </w:r>
    <w:r>
      <w:rPr>
        <w:rStyle w:val="Numrodepage"/>
      </w:rPr>
      <w:fldChar w:fldCharType="end"/>
    </w:r>
  </w:p>
  <w:p w:rsidR="00EC3A56" w:rsidRDefault="00EC3A56">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Pr="00D52A9D" w:rsidRDefault="00EC3A56" w:rsidP="00D52A9D">
    <w:pPr>
      <w:pStyle w:val="Pieddepage"/>
      <w:pBdr>
        <w:top w:val="single" w:sz="6" w:space="0" w:color="auto"/>
      </w:pBdr>
      <w:spacing w:after="600"/>
      <w:ind w:left="-840" w:right="-840"/>
      <w:jc w:val="center"/>
      <w:rPr>
        <w:b/>
        <w:bCs/>
        <w:caps w:val="0"/>
        <w:color w:val="333333"/>
        <w:sz w:val="16"/>
        <w:szCs w:val="16"/>
      </w:rPr>
    </w:pPr>
    <w:r>
      <w:rPr>
        <w:b/>
        <w:bCs/>
        <w:sz w:val="24"/>
        <w:szCs w:val="24"/>
      </w:rPr>
      <w:br/>
    </w:r>
    <w:r w:rsidRPr="00926C5C">
      <w:rPr>
        <w:b/>
        <w:bCs/>
        <w:color w:val="000000"/>
        <w:sz w:val="18"/>
        <w:szCs w:val="18"/>
      </w:rPr>
      <w:t xml:space="preserve">DIRECTION RÉGIONALE DU GRAND CASABLANCA      </w:t>
    </w:r>
    <w:r w:rsidRPr="00926C5C">
      <w:rPr>
        <w:b/>
        <w:bCs/>
        <w:color w:val="000000"/>
        <w:sz w:val="18"/>
        <w:szCs w:val="18"/>
      </w:rPr>
      <w:br/>
    </w:r>
    <w:r w:rsidRPr="00296D27">
      <w:rPr>
        <w:b/>
        <w:bCs/>
        <w:color w:val="808080"/>
        <w:sz w:val="16"/>
        <w:szCs w:val="16"/>
      </w:rPr>
      <w:t xml:space="preserve">bp: </w:t>
    </w:r>
    <w:r>
      <w:rPr>
        <w:b/>
        <w:bCs/>
        <w:color w:val="808080"/>
        <w:sz w:val="16"/>
        <w:szCs w:val="16"/>
      </w:rPr>
      <w:t>16229</w:t>
    </w:r>
    <w:r w:rsidRPr="00296D27">
      <w:rPr>
        <w:b/>
        <w:bCs/>
        <w:color w:val="808080"/>
        <w:sz w:val="16"/>
        <w:szCs w:val="16"/>
      </w:rPr>
      <w:t xml:space="preserve"> </w:t>
    </w:r>
    <w:r w:rsidRPr="00FC1E01">
      <w:rPr>
        <w:b/>
        <w:bCs/>
        <w:color w:val="808080"/>
        <w:sz w:val="16"/>
        <w:szCs w:val="16"/>
      </w:rPr>
      <w:t>CASABLANCA PPAL</w:t>
    </w:r>
    <w:r>
      <w:rPr>
        <w:b/>
        <w:bCs/>
        <w:color w:val="808080"/>
        <w:sz w:val="16"/>
        <w:szCs w:val="16"/>
      </w:rPr>
      <w:t xml:space="preserve"> </w:t>
    </w:r>
    <w:r w:rsidRPr="00296D27">
      <w:rPr>
        <w:b/>
        <w:bCs/>
        <w:color w:val="808080"/>
        <w:sz w:val="16"/>
        <w:szCs w:val="16"/>
      </w:rPr>
      <w:t xml:space="preserve"> TEL : 05 22 26 26 42 - FAX : 05 22 26 39 31 - </w:t>
    </w:r>
    <w:r w:rsidRPr="00D52A9D">
      <w:rPr>
        <w:b/>
        <w:bCs/>
        <w:caps w:val="0"/>
        <w:color w:val="808080"/>
        <w:sz w:val="16"/>
        <w:szCs w:val="16"/>
      </w:rPr>
      <w:t xml:space="preserve">Email : </w:t>
    </w:r>
    <w:r>
      <w:rPr>
        <w:b/>
        <w:bCs/>
        <w:caps w:val="0"/>
        <w:color w:val="808080"/>
        <w:sz w:val="16"/>
        <w:szCs w:val="16"/>
      </w:rPr>
      <w:t>casablancahcp@gmail.com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1B77B1">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p w:rsidR="00EC3A56" w:rsidRDefault="00EC3A5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EC3A56" w:rsidP="006326BC">
    <w:pPr>
      <w:pStyle w:val="Pieddepage"/>
      <w:spacing w:line="240" w:lineRule="auto"/>
      <w:ind w:left="0"/>
    </w:pPr>
  </w:p>
  <w:p w:rsidR="00EC3A56" w:rsidRPr="00756E13" w:rsidRDefault="001B77B1">
    <w:pPr>
      <w:pStyle w:val="Pieddepage"/>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E44B74">
      <w:rPr>
        <w:b/>
        <w:bCs/>
        <w:noProof/>
        <w:sz w:val="24"/>
        <w:szCs w:val="24"/>
      </w:rPr>
      <w:t>5</w:t>
    </w:r>
    <w:r w:rsidRPr="00756E13">
      <w:rPr>
        <w:b/>
        <w:bCs/>
        <w:sz w:val="24"/>
        <w:szCs w:val="24"/>
      </w:rPr>
      <w:fldChar w:fldCharType="end"/>
    </w:r>
  </w:p>
  <w:p w:rsidR="00EC3A56" w:rsidRPr="009B15D4" w:rsidRDefault="00EC3A56" w:rsidP="009B15D4">
    <w:pPr>
      <w:ind w:left="0"/>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EC3A56" w:rsidP="00756E13">
    <w:pPr>
      <w:pStyle w:val="Pieddepage"/>
      <w:spacing w:line="240" w:lineRule="auto"/>
      <w:ind w:left="0"/>
      <w:jc w:val="center"/>
    </w:pPr>
  </w:p>
  <w:p w:rsidR="00EC3A56" w:rsidRPr="00756E13" w:rsidRDefault="001B77B1" w:rsidP="00756E13">
    <w:pPr>
      <w:pStyle w:val="Pieddepage"/>
      <w:spacing w:line="240" w:lineRule="auto"/>
      <w:ind w:left="0"/>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E44B74">
      <w:rPr>
        <w:b/>
        <w:bCs/>
        <w:noProof/>
        <w:sz w:val="24"/>
        <w:szCs w:val="24"/>
      </w:rPr>
      <w:t>1</w:t>
    </w:r>
    <w:r w:rsidRPr="00756E13">
      <w:rPr>
        <w:b/>
        <w:bCs/>
        <w:sz w:val="24"/>
        <w:szCs w:val="24"/>
      </w:rPr>
      <w:fldChar w:fldCharType="end"/>
    </w:r>
  </w:p>
  <w:p w:rsidR="00EC3A56" w:rsidRPr="00756E13" w:rsidRDefault="00EC3A56" w:rsidP="00756E13">
    <w:pPr>
      <w:pStyle w:val="Pieddepage"/>
      <w:spacing w:line="240" w:lineRule="auto"/>
      <w:ind w:left="0"/>
      <w:contextualSpacing/>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A64" w:rsidRDefault="00C71A64">
      <w:r>
        <w:separator/>
      </w:r>
    </w:p>
    <w:p w:rsidR="00C71A64" w:rsidRDefault="00C71A64"/>
  </w:footnote>
  <w:footnote w:type="continuationSeparator" w:id="0">
    <w:p w:rsidR="00C71A64" w:rsidRDefault="00C71A64">
      <w:r>
        <w:continuationSeparator/>
      </w:r>
    </w:p>
    <w:p w:rsidR="00C71A64" w:rsidRDefault="00C71A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E44B74">
    <w:pPr>
      <w:pStyle w:val="En-tte"/>
    </w:pPr>
    <w:r>
      <w:rPr>
        <w:noProof/>
        <w:lang w:eastAsia="fr-FR"/>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190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8AF67"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" o:allowincell="f" fillcolor="#e5e5e5" stroked="f" strokecolor="#e5e5e5">
              <w10:wrap anchorx="page" anchory="page"/>
              <w10:anchorlock/>
            </v:rect>
          </w:pict>
        </mc:Fallback>
      </mc:AlternateContent>
    </w:r>
    <w:r>
      <w:rPr>
        <w:noProof/>
        <w:lang w:eastAsia="fr-FR"/>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190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EC3A56" w:rsidRDefault="00EC3A56">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EC3A56" w:rsidRDefault="00EC3A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y3rw0pwIAAKAFAAAOAAAAAAAAAAAAAAAA&#10;AC4CAABkcnMvZTJvRG9jLnhtbFBLAQItABQABgAIAAAAIQAhM6F63QAAAAoBAAAPAAAAAAAAAAAA&#10;AAAAAAEFAABkcnMvZG93bnJldi54bWxQSwUGAAAAAAQABADzAAAACwYAAAAA&#10;" o:allowincell="f" filled="f" stroked="f" strokecolor="white" strokeweight="6pt">
              <v:textbox inset="0,0,0,0">
                <w:txbxContent>
                  <w:p w:rsidR="00EC3A56" w:rsidRDefault="00EC3A56">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EC3A56" w:rsidRDefault="00EC3A56"/>
                </w:txbxContent>
              </v:textbox>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EC3A56">
    <w:pPr>
      <w:pStyle w:val="En-tt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EC3A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Pr="00023E63" w:rsidRDefault="00EC3A56" w:rsidP="00023E63">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56" w:rsidRDefault="00EC3A56">
    <w:pPr>
      <w:pStyle w:val="En-tt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app.ushopcomp.com/a/usr/logo.png?t=2015217&amp;usertype=active&amp;hid=E268DB99-5EF5-4F48-81E8-5FAA2AEC700F&amp;partid=king_qc_firstimage&amp;subid=1049816" style="width:.6pt;height:.6pt;visibility:visible;mso-wrap-style:square" o:bullet="t">
        <v:imagedata r:id="rId1" o:title="logo"/>
      </v:shape>
    </w:pict>
  </w:numPicBullet>
  <w:abstractNum w:abstractNumId="0" w15:restartNumberingAfterBreak="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95"/>
  <w:drawingGridVerticalSpacing w:val="136"/>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0D"/>
    <w:rsid w:val="0000028E"/>
    <w:rsid w:val="000002B3"/>
    <w:rsid w:val="00000A75"/>
    <w:rsid w:val="00001339"/>
    <w:rsid w:val="0000136B"/>
    <w:rsid w:val="000016C1"/>
    <w:rsid w:val="000017F0"/>
    <w:rsid w:val="00002D88"/>
    <w:rsid w:val="000030B6"/>
    <w:rsid w:val="000032DE"/>
    <w:rsid w:val="00003520"/>
    <w:rsid w:val="00003C46"/>
    <w:rsid w:val="00004083"/>
    <w:rsid w:val="00005ED3"/>
    <w:rsid w:val="000062AB"/>
    <w:rsid w:val="0001074C"/>
    <w:rsid w:val="00012886"/>
    <w:rsid w:val="0001290A"/>
    <w:rsid w:val="0001346B"/>
    <w:rsid w:val="00013C48"/>
    <w:rsid w:val="000142D2"/>
    <w:rsid w:val="000154A1"/>
    <w:rsid w:val="000157DA"/>
    <w:rsid w:val="00015D29"/>
    <w:rsid w:val="00015F06"/>
    <w:rsid w:val="000169A0"/>
    <w:rsid w:val="00017579"/>
    <w:rsid w:val="00017C1D"/>
    <w:rsid w:val="00017FF3"/>
    <w:rsid w:val="00020602"/>
    <w:rsid w:val="00020866"/>
    <w:rsid w:val="00020AA8"/>
    <w:rsid w:val="000210EE"/>
    <w:rsid w:val="000212F9"/>
    <w:rsid w:val="0002284B"/>
    <w:rsid w:val="000233EB"/>
    <w:rsid w:val="000238D8"/>
    <w:rsid w:val="00023E63"/>
    <w:rsid w:val="00024293"/>
    <w:rsid w:val="0002600D"/>
    <w:rsid w:val="000272DA"/>
    <w:rsid w:val="0002753A"/>
    <w:rsid w:val="000303CF"/>
    <w:rsid w:val="00031B0C"/>
    <w:rsid w:val="00032189"/>
    <w:rsid w:val="000321D6"/>
    <w:rsid w:val="00033547"/>
    <w:rsid w:val="0003399D"/>
    <w:rsid w:val="00033DAE"/>
    <w:rsid w:val="00033F43"/>
    <w:rsid w:val="00034B9D"/>
    <w:rsid w:val="00035710"/>
    <w:rsid w:val="0003653C"/>
    <w:rsid w:val="00036781"/>
    <w:rsid w:val="00036F86"/>
    <w:rsid w:val="0004039E"/>
    <w:rsid w:val="000426A1"/>
    <w:rsid w:val="00046CE3"/>
    <w:rsid w:val="00047130"/>
    <w:rsid w:val="00047F74"/>
    <w:rsid w:val="000503C2"/>
    <w:rsid w:val="00050951"/>
    <w:rsid w:val="00050E83"/>
    <w:rsid w:val="00050F20"/>
    <w:rsid w:val="00051F75"/>
    <w:rsid w:val="000520BB"/>
    <w:rsid w:val="0005272F"/>
    <w:rsid w:val="00052E7B"/>
    <w:rsid w:val="00053184"/>
    <w:rsid w:val="00053473"/>
    <w:rsid w:val="00055248"/>
    <w:rsid w:val="00056BA2"/>
    <w:rsid w:val="00056F45"/>
    <w:rsid w:val="00057467"/>
    <w:rsid w:val="00057BCD"/>
    <w:rsid w:val="00057C0C"/>
    <w:rsid w:val="0006085F"/>
    <w:rsid w:val="00060D20"/>
    <w:rsid w:val="000626E2"/>
    <w:rsid w:val="000627B8"/>
    <w:rsid w:val="0006311E"/>
    <w:rsid w:val="00063E5A"/>
    <w:rsid w:val="0006573E"/>
    <w:rsid w:val="00065BAE"/>
    <w:rsid w:val="00065BC9"/>
    <w:rsid w:val="00066AAA"/>
    <w:rsid w:val="00066BD7"/>
    <w:rsid w:val="00066DAA"/>
    <w:rsid w:val="000678BA"/>
    <w:rsid w:val="00070067"/>
    <w:rsid w:val="000705ED"/>
    <w:rsid w:val="00071CCB"/>
    <w:rsid w:val="000731E1"/>
    <w:rsid w:val="000737E3"/>
    <w:rsid w:val="00073B5D"/>
    <w:rsid w:val="00073FFA"/>
    <w:rsid w:val="00074F5B"/>
    <w:rsid w:val="00075B52"/>
    <w:rsid w:val="00075BAB"/>
    <w:rsid w:val="00075DC5"/>
    <w:rsid w:val="00075F9B"/>
    <w:rsid w:val="0007682B"/>
    <w:rsid w:val="000779A8"/>
    <w:rsid w:val="00077A15"/>
    <w:rsid w:val="000804A3"/>
    <w:rsid w:val="000804C8"/>
    <w:rsid w:val="00082340"/>
    <w:rsid w:val="000837AF"/>
    <w:rsid w:val="00083E99"/>
    <w:rsid w:val="00084125"/>
    <w:rsid w:val="00085F69"/>
    <w:rsid w:val="00086858"/>
    <w:rsid w:val="000874FB"/>
    <w:rsid w:val="000877FE"/>
    <w:rsid w:val="0009081A"/>
    <w:rsid w:val="00092747"/>
    <w:rsid w:val="00092E56"/>
    <w:rsid w:val="00092F4E"/>
    <w:rsid w:val="0009326E"/>
    <w:rsid w:val="00093AE7"/>
    <w:rsid w:val="00093E01"/>
    <w:rsid w:val="000946C0"/>
    <w:rsid w:val="000946FC"/>
    <w:rsid w:val="00094AE0"/>
    <w:rsid w:val="000966EE"/>
    <w:rsid w:val="000A1C4C"/>
    <w:rsid w:val="000A1EA4"/>
    <w:rsid w:val="000A3094"/>
    <w:rsid w:val="000A322E"/>
    <w:rsid w:val="000A44B2"/>
    <w:rsid w:val="000A46FE"/>
    <w:rsid w:val="000A5342"/>
    <w:rsid w:val="000A5363"/>
    <w:rsid w:val="000A5546"/>
    <w:rsid w:val="000A5E6E"/>
    <w:rsid w:val="000A69A7"/>
    <w:rsid w:val="000A6A51"/>
    <w:rsid w:val="000B01BA"/>
    <w:rsid w:val="000B0FF9"/>
    <w:rsid w:val="000B2944"/>
    <w:rsid w:val="000B332E"/>
    <w:rsid w:val="000B34BB"/>
    <w:rsid w:val="000B384D"/>
    <w:rsid w:val="000B5E58"/>
    <w:rsid w:val="000B67A3"/>
    <w:rsid w:val="000B6966"/>
    <w:rsid w:val="000B6DAF"/>
    <w:rsid w:val="000B6DBB"/>
    <w:rsid w:val="000B7013"/>
    <w:rsid w:val="000B758A"/>
    <w:rsid w:val="000B7835"/>
    <w:rsid w:val="000B7F73"/>
    <w:rsid w:val="000C1B60"/>
    <w:rsid w:val="000C20D7"/>
    <w:rsid w:val="000C2926"/>
    <w:rsid w:val="000C3828"/>
    <w:rsid w:val="000C4B99"/>
    <w:rsid w:val="000C54C3"/>
    <w:rsid w:val="000C561A"/>
    <w:rsid w:val="000C5CC5"/>
    <w:rsid w:val="000C5CE3"/>
    <w:rsid w:val="000C5CE7"/>
    <w:rsid w:val="000C65B5"/>
    <w:rsid w:val="000C727E"/>
    <w:rsid w:val="000C73BB"/>
    <w:rsid w:val="000C7BD9"/>
    <w:rsid w:val="000C7E27"/>
    <w:rsid w:val="000D0031"/>
    <w:rsid w:val="000D076A"/>
    <w:rsid w:val="000D086D"/>
    <w:rsid w:val="000D09D2"/>
    <w:rsid w:val="000D2395"/>
    <w:rsid w:val="000D270B"/>
    <w:rsid w:val="000D2E6A"/>
    <w:rsid w:val="000D2EDF"/>
    <w:rsid w:val="000D3344"/>
    <w:rsid w:val="000D3727"/>
    <w:rsid w:val="000D3785"/>
    <w:rsid w:val="000D38DA"/>
    <w:rsid w:val="000D3FE9"/>
    <w:rsid w:val="000D4BF7"/>
    <w:rsid w:val="000D753E"/>
    <w:rsid w:val="000E17CE"/>
    <w:rsid w:val="000E1AF6"/>
    <w:rsid w:val="000E1E68"/>
    <w:rsid w:val="000E3991"/>
    <w:rsid w:val="000E3BA7"/>
    <w:rsid w:val="000E50B3"/>
    <w:rsid w:val="000E655D"/>
    <w:rsid w:val="000E6587"/>
    <w:rsid w:val="000E6AAD"/>
    <w:rsid w:val="000E6E3F"/>
    <w:rsid w:val="000E71A0"/>
    <w:rsid w:val="000E7599"/>
    <w:rsid w:val="000E76C7"/>
    <w:rsid w:val="000F130A"/>
    <w:rsid w:val="000F172D"/>
    <w:rsid w:val="000F1FEF"/>
    <w:rsid w:val="000F25E1"/>
    <w:rsid w:val="000F26CD"/>
    <w:rsid w:val="000F3232"/>
    <w:rsid w:val="000F3B63"/>
    <w:rsid w:val="000F41B6"/>
    <w:rsid w:val="000F47A1"/>
    <w:rsid w:val="000F47F6"/>
    <w:rsid w:val="000F4D76"/>
    <w:rsid w:val="000F539B"/>
    <w:rsid w:val="000F541B"/>
    <w:rsid w:val="000F6AAA"/>
    <w:rsid w:val="000F6C73"/>
    <w:rsid w:val="000F7388"/>
    <w:rsid w:val="001003A4"/>
    <w:rsid w:val="00100C5E"/>
    <w:rsid w:val="00100D7E"/>
    <w:rsid w:val="00100FEB"/>
    <w:rsid w:val="001016A9"/>
    <w:rsid w:val="00101D0C"/>
    <w:rsid w:val="0010248C"/>
    <w:rsid w:val="0010253D"/>
    <w:rsid w:val="00102854"/>
    <w:rsid w:val="0010373A"/>
    <w:rsid w:val="00103EB2"/>
    <w:rsid w:val="001044CF"/>
    <w:rsid w:val="0010506D"/>
    <w:rsid w:val="00105DB4"/>
    <w:rsid w:val="00105E77"/>
    <w:rsid w:val="0010604E"/>
    <w:rsid w:val="00106CE8"/>
    <w:rsid w:val="001076DE"/>
    <w:rsid w:val="00107C4D"/>
    <w:rsid w:val="0011023F"/>
    <w:rsid w:val="0011063E"/>
    <w:rsid w:val="001108D6"/>
    <w:rsid w:val="001116E1"/>
    <w:rsid w:val="00111D45"/>
    <w:rsid w:val="00111F52"/>
    <w:rsid w:val="00112CCA"/>
    <w:rsid w:val="0011309A"/>
    <w:rsid w:val="00113F4F"/>
    <w:rsid w:val="001140BC"/>
    <w:rsid w:val="0011456D"/>
    <w:rsid w:val="00114BCB"/>
    <w:rsid w:val="001157C5"/>
    <w:rsid w:val="00115A58"/>
    <w:rsid w:val="001166B9"/>
    <w:rsid w:val="00117CA5"/>
    <w:rsid w:val="00120428"/>
    <w:rsid w:val="001212D2"/>
    <w:rsid w:val="00121554"/>
    <w:rsid w:val="001257A7"/>
    <w:rsid w:val="00125946"/>
    <w:rsid w:val="00125C01"/>
    <w:rsid w:val="001265E0"/>
    <w:rsid w:val="00126931"/>
    <w:rsid w:val="001270FB"/>
    <w:rsid w:val="00127FD9"/>
    <w:rsid w:val="001319EC"/>
    <w:rsid w:val="00131B1A"/>
    <w:rsid w:val="001321E6"/>
    <w:rsid w:val="001324F6"/>
    <w:rsid w:val="00132F3D"/>
    <w:rsid w:val="00134B8A"/>
    <w:rsid w:val="00135921"/>
    <w:rsid w:val="00135954"/>
    <w:rsid w:val="00135973"/>
    <w:rsid w:val="00135DFF"/>
    <w:rsid w:val="00136ECA"/>
    <w:rsid w:val="00137EBE"/>
    <w:rsid w:val="00140671"/>
    <w:rsid w:val="00140C7F"/>
    <w:rsid w:val="00141A1F"/>
    <w:rsid w:val="00141B7E"/>
    <w:rsid w:val="00141BE8"/>
    <w:rsid w:val="00142DFE"/>
    <w:rsid w:val="00142E91"/>
    <w:rsid w:val="00142EBE"/>
    <w:rsid w:val="0014327D"/>
    <w:rsid w:val="001433E6"/>
    <w:rsid w:val="00143BD9"/>
    <w:rsid w:val="00143D8E"/>
    <w:rsid w:val="00144A66"/>
    <w:rsid w:val="00145A01"/>
    <w:rsid w:val="00145CA9"/>
    <w:rsid w:val="00146704"/>
    <w:rsid w:val="00147A10"/>
    <w:rsid w:val="00147A86"/>
    <w:rsid w:val="00147ACB"/>
    <w:rsid w:val="001505FF"/>
    <w:rsid w:val="00150A46"/>
    <w:rsid w:val="00150AD1"/>
    <w:rsid w:val="0015231A"/>
    <w:rsid w:val="001535CE"/>
    <w:rsid w:val="0015397A"/>
    <w:rsid w:val="00153B40"/>
    <w:rsid w:val="001547B5"/>
    <w:rsid w:val="00154853"/>
    <w:rsid w:val="00155403"/>
    <w:rsid w:val="0015557D"/>
    <w:rsid w:val="001578ED"/>
    <w:rsid w:val="0015797E"/>
    <w:rsid w:val="00160903"/>
    <w:rsid w:val="00160EC1"/>
    <w:rsid w:val="00161885"/>
    <w:rsid w:val="00162732"/>
    <w:rsid w:val="001628E0"/>
    <w:rsid w:val="00162B79"/>
    <w:rsid w:val="00162C0D"/>
    <w:rsid w:val="00162F8C"/>
    <w:rsid w:val="00163D76"/>
    <w:rsid w:val="00163F5D"/>
    <w:rsid w:val="00164143"/>
    <w:rsid w:val="00165CCD"/>
    <w:rsid w:val="0016795E"/>
    <w:rsid w:val="00170334"/>
    <w:rsid w:val="001711CE"/>
    <w:rsid w:val="001715A1"/>
    <w:rsid w:val="001719F9"/>
    <w:rsid w:val="00172958"/>
    <w:rsid w:val="00172A9F"/>
    <w:rsid w:val="00174B6B"/>
    <w:rsid w:val="00174CE4"/>
    <w:rsid w:val="00174F40"/>
    <w:rsid w:val="00175954"/>
    <w:rsid w:val="001759BD"/>
    <w:rsid w:val="00175C68"/>
    <w:rsid w:val="00176852"/>
    <w:rsid w:val="001769D8"/>
    <w:rsid w:val="00177549"/>
    <w:rsid w:val="00180B9A"/>
    <w:rsid w:val="001821BF"/>
    <w:rsid w:val="001822B6"/>
    <w:rsid w:val="001822D5"/>
    <w:rsid w:val="00182C41"/>
    <w:rsid w:val="00182E71"/>
    <w:rsid w:val="00184A0A"/>
    <w:rsid w:val="00185026"/>
    <w:rsid w:val="00185A2F"/>
    <w:rsid w:val="00186A1B"/>
    <w:rsid w:val="00186E75"/>
    <w:rsid w:val="001879D2"/>
    <w:rsid w:val="00187A51"/>
    <w:rsid w:val="00192A0C"/>
    <w:rsid w:val="0019438F"/>
    <w:rsid w:val="001946A3"/>
    <w:rsid w:val="00194950"/>
    <w:rsid w:val="001951FE"/>
    <w:rsid w:val="00196051"/>
    <w:rsid w:val="0019626B"/>
    <w:rsid w:val="00196406"/>
    <w:rsid w:val="0019697A"/>
    <w:rsid w:val="00196A82"/>
    <w:rsid w:val="00196BBF"/>
    <w:rsid w:val="001972BE"/>
    <w:rsid w:val="00197938"/>
    <w:rsid w:val="00197C5E"/>
    <w:rsid w:val="00197D93"/>
    <w:rsid w:val="00197E74"/>
    <w:rsid w:val="001A107E"/>
    <w:rsid w:val="001A1309"/>
    <w:rsid w:val="001A15B7"/>
    <w:rsid w:val="001A1DDC"/>
    <w:rsid w:val="001A2FB1"/>
    <w:rsid w:val="001A32A0"/>
    <w:rsid w:val="001A4173"/>
    <w:rsid w:val="001A4A7D"/>
    <w:rsid w:val="001A6488"/>
    <w:rsid w:val="001A6C0F"/>
    <w:rsid w:val="001A76A8"/>
    <w:rsid w:val="001B0163"/>
    <w:rsid w:val="001B01E1"/>
    <w:rsid w:val="001B1083"/>
    <w:rsid w:val="001B1796"/>
    <w:rsid w:val="001B1EA1"/>
    <w:rsid w:val="001B2809"/>
    <w:rsid w:val="001B2FB0"/>
    <w:rsid w:val="001B3089"/>
    <w:rsid w:val="001B39EE"/>
    <w:rsid w:val="001B3D3D"/>
    <w:rsid w:val="001B5148"/>
    <w:rsid w:val="001B5338"/>
    <w:rsid w:val="001B53E7"/>
    <w:rsid w:val="001B58F2"/>
    <w:rsid w:val="001B62CB"/>
    <w:rsid w:val="001B6789"/>
    <w:rsid w:val="001B6B04"/>
    <w:rsid w:val="001B6CCD"/>
    <w:rsid w:val="001B777B"/>
    <w:rsid w:val="001B77B1"/>
    <w:rsid w:val="001B7DA7"/>
    <w:rsid w:val="001C0487"/>
    <w:rsid w:val="001C10CF"/>
    <w:rsid w:val="001C1691"/>
    <w:rsid w:val="001C3738"/>
    <w:rsid w:val="001C50E5"/>
    <w:rsid w:val="001C5C8C"/>
    <w:rsid w:val="001C759C"/>
    <w:rsid w:val="001C79BC"/>
    <w:rsid w:val="001C7CCF"/>
    <w:rsid w:val="001D0EE5"/>
    <w:rsid w:val="001D370F"/>
    <w:rsid w:val="001D37E4"/>
    <w:rsid w:val="001D392E"/>
    <w:rsid w:val="001D3DE4"/>
    <w:rsid w:val="001D4722"/>
    <w:rsid w:val="001D4D9F"/>
    <w:rsid w:val="001D51F7"/>
    <w:rsid w:val="001D533B"/>
    <w:rsid w:val="001D6A28"/>
    <w:rsid w:val="001D72A8"/>
    <w:rsid w:val="001D7B44"/>
    <w:rsid w:val="001E13ED"/>
    <w:rsid w:val="001E2096"/>
    <w:rsid w:val="001E22DD"/>
    <w:rsid w:val="001E2578"/>
    <w:rsid w:val="001E4EC8"/>
    <w:rsid w:val="001E5E64"/>
    <w:rsid w:val="001E7000"/>
    <w:rsid w:val="001E74EB"/>
    <w:rsid w:val="001E7E86"/>
    <w:rsid w:val="001F0B5C"/>
    <w:rsid w:val="001F0E7C"/>
    <w:rsid w:val="001F0F90"/>
    <w:rsid w:val="001F1654"/>
    <w:rsid w:val="001F1C6D"/>
    <w:rsid w:val="001F2760"/>
    <w:rsid w:val="001F3699"/>
    <w:rsid w:val="001F3713"/>
    <w:rsid w:val="001F4419"/>
    <w:rsid w:val="001F4D6B"/>
    <w:rsid w:val="001F50B6"/>
    <w:rsid w:val="001F5824"/>
    <w:rsid w:val="001F5DA6"/>
    <w:rsid w:val="001F5E83"/>
    <w:rsid w:val="001F5EA9"/>
    <w:rsid w:val="001F64EB"/>
    <w:rsid w:val="001F6B62"/>
    <w:rsid w:val="001F7A4E"/>
    <w:rsid w:val="00200750"/>
    <w:rsid w:val="00200AE5"/>
    <w:rsid w:val="00200C10"/>
    <w:rsid w:val="00200DAE"/>
    <w:rsid w:val="0020181A"/>
    <w:rsid w:val="00201FBB"/>
    <w:rsid w:val="00202D97"/>
    <w:rsid w:val="002034FA"/>
    <w:rsid w:val="00203841"/>
    <w:rsid w:val="00204259"/>
    <w:rsid w:val="00204833"/>
    <w:rsid w:val="00204A35"/>
    <w:rsid w:val="00205614"/>
    <w:rsid w:val="00206BEC"/>
    <w:rsid w:val="00206FC0"/>
    <w:rsid w:val="00207149"/>
    <w:rsid w:val="002076F4"/>
    <w:rsid w:val="00210119"/>
    <w:rsid w:val="00210374"/>
    <w:rsid w:val="00210F68"/>
    <w:rsid w:val="002111E7"/>
    <w:rsid w:val="00211ABA"/>
    <w:rsid w:val="00212819"/>
    <w:rsid w:val="00212851"/>
    <w:rsid w:val="00212AAF"/>
    <w:rsid w:val="00212D9D"/>
    <w:rsid w:val="00212DC3"/>
    <w:rsid w:val="00213E03"/>
    <w:rsid w:val="00214AAF"/>
    <w:rsid w:val="00215534"/>
    <w:rsid w:val="002155AB"/>
    <w:rsid w:val="00215636"/>
    <w:rsid w:val="002169BF"/>
    <w:rsid w:val="002169F0"/>
    <w:rsid w:val="002203DD"/>
    <w:rsid w:val="00220806"/>
    <w:rsid w:val="0022093F"/>
    <w:rsid w:val="00222269"/>
    <w:rsid w:val="002222F2"/>
    <w:rsid w:val="00224266"/>
    <w:rsid w:val="00225C63"/>
    <w:rsid w:val="00225D31"/>
    <w:rsid w:val="002277FE"/>
    <w:rsid w:val="002307A2"/>
    <w:rsid w:val="00230A74"/>
    <w:rsid w:val="00231C93"/>
    <w:rsid w:val="0023233D"/>
    <w:rsid w:val="00232419"/>
    <w:rsid w:val="00232B13"/>
    <w:rsid w:val="00232E67"/>
    <w:rsid w:val="00232F6C"/>
    <w:rsid w:val="0023355D"/>
    <w:rsid w:val="002336C5"/>
    <w:rsid w:val="00234087"/>
    <w:rsid w:val="0023440D"/>
    <w:rsid w:val="002346F8"/>
    <w:rsid w:val="002348AD"/>
    <w:rsid w:val="00235A8C"/>
    <w:rsid w:val="00236E2B"/>
    <w:rsid w:val="00236EE2"/>
    <w:rsid w:val="002372EA"/>
    <w:rsid w:val="002373B8"/>
    <w:rsid w:val="00237D6F"/>
    <w:rsid w:val="00240118"/>
    <w:rsid w:val="002412E0"/>
    <w:rsid w:val="00241365"/>
    <w:rsid w:val="002413D0"/>
    <w:rsid w:val="0024246A"/>
    <w:rsid w:val="00242549"/>
    <w:rsid w:val="00242573"/>
    <w:rsid w:val="002429AE"/>
    <w:rsid w:val="00245034"/>
    <w:rsid w:val="00245119"/>
    <w:rsid w:val="00245C8E"/>
    <w:rsid w:val="00246265"/>
    <w:rsid w:val="0024670B"/>
    <w:rsid w:val="002472EE"/>
    <w:rsid w:val="002479AB"/>
    <w:rsid w:val="00247EF5"/>
    <w:rsid w:val="0025008C"/>
    <w:rsid w:val="00250601"/>
    <w:rsid w:val="0025078A"/>
    <w:rsid w:val="002508E9"/>
    <w:rsid w:val="00250BDA"/>
    <w:rsid w:val="00251BDF"/>
    <w:rsid w:val="0025265A"/>
    <w:rsid w:val="002526D9"/>
    <w:rsid w:val="002532CE"/>
    <w:rsid w:val="0025331F"/>
    <w:rsid w:val="002541B1"/>
    <w:rsid w:val="002544A5"/>
    <w:rsid w:val="00254AF1"/>
    <w:rsid w:val="00254E3F"/>
    <w:rsid w:val="00255895"/>
    <w:rsid w:val="00256465"/>
    <w:rsid w:val="00256772"/>
    <w:rsid w:val="002569EA"/>
    <w:rsid w:val="002573FE"/>
    <w:rsid w:val="002576B4"/>
    <w:rsid w:val="00257A02"/>
    <w:rsid w:val="00260293"/>
    <w:rsid w:val="00260987"/>
    <w:rsid w:val="00260A52"/>
    <w:rsid w:val="00260EDE"/>
    <w:rsid w:val="00261930"/>
    <w:rsid w:val="0026295A"/>
    <w:rsid w:val="00262993"/>
    <w:rsid w:val="002629D0"/>
    <w:rsid w:val="002643DD"/>
    <w:rsid w:val="002647C7"/>
    <w:rsid w:val="00264CBB"/>
    <w:rsid w:val="002660D7"/>
    <w:rsid w:val="00266939"/>
    <w:rsid w:val="00266A2D"/>
    <w:rsid w:val="00266E01"/>
    <w:rsid w:val="00267311"/>
    <w:rsid w:val="00267822"/>
    <w:rsid w:val="00270C91"/>
    <w:rsid w:val="0027175B"/>
    <w:rsid w:val="002723DA"/>
    <w:rsid w:val="0027252A"/>
    <w:rsid w:val="00272A6A"/>
    <w:rsid w:val="00272B7B"/>
    <w:rsid w:val="00272FA7"/>
    <w:rsid w:val="002730BC"/>
    <w:rsid w:val="0027360C"/>
    <w:rsid w:val="00273951"/>
    <w:rsid w:val="00274E53"/>
    <w:rsid w:val="002752F3"/>
    <w:rsid w:val="002760A6"/>
    <w:rsid w:val="00276578"/>
    <w:rsid w:val="002766B1"/>
    <w:rsid w:val="00276A5E"/>
    <w:rsid w:val="00277E6A"/>
    <w:rsid w:val="002800F6"/>
    <w:rsid w:val="002807EF"/>
    <w:rsid w:val="00280BB2"/>
    <w:rsid w:val="00281B4F"/>
    <w:rsid w:val="00283BDF"/>
    <w:rsid w:val="00283D93"/>
    <w:rsid w:val="002849CC"/>
    <w:rsid w:val="00284C3C"/>
    <w:rsid w:val="002863A5"/>
    <w:rsid w:val="002867E9"/>
    <w:rsid w:val="002868E3"/>
    <w:rsid w:val="00287947"/>
    <w:rsid w:val="002902DB"/>
    <w:rsid w:val="0029035E"/>
    <w:rsid w:val="00290445"/>
    <w:rsid w:val="00290A79"/>
    <w:rsid w:val="00290E3B"/>
    <w:rsid w:val="00292444"/>
    <w:rsid w:val="00292503"/>
    <w:rsid w:val="00292B66"/>
    <w:rsid w:val="00292D54"/>
    <w:rsid w:val="002937C7"/>
    <w:rsid w:val="00294407"/>
    <w:rsid w:val="00294F2F"/>
    <w:rsid w:val="00295247"/>
    <w:rsid w:val="002969E7"/>
    <w:rsid w:val="00296D27"/>
    <w:rsid w:val="00297BE8"/>
    <w:rsid w:val="00297CA3"/>
    <w:rsid w:val="002A0ED2"/>
    <w:rsid w:val="002A1006"/>
    <w:rsid w:val="002A1489"/>
    <w:rsid w:val="002A1A4A"/>
    <w:rsid w:val="002A227A"/>
    <w:rsid w:val="002A2310"/>
    <w:rsid w:val="002A2B85"/>
    <w:rsid w:val="002A2D9E"/>
    <w:rsid w:val="002A2EA1"/>
    <w:rsid w:val="002A3717"/>
    <w:rsid w:val="002A41F1"/>
    <w:rsid w:val="002A48C1"/>
    <w:rsid w:val="002A49B9"/>
    <w:rsid w:val="002A4A07"/>
    <w:rsid w:val="002A516F"/>
    <w:rsid w:val="002A5226"/>
    <w:rsid w:val="002A695F"/>
    <w:rsid w:val="002B044E"/>
    <w:rsid w:val="002B04E2"/>
    <w:rsid w:val="002B0720"/>
    <w:rsid w:val="002B125A"/>
    <w:rsid w:val="002B1355"/>
    <w:rsid w:val="002B2595"/>
    <w:rsid w:val="002B2CCA"/>
    <w:rsid w:val="002B335E"/>
    <w:rsid w:val="002B3562"/>
    <w:rsid w:val="002B35C8"/>
    <w:rsid w:val="002B4A08"/>
    <w:rsid w:val="002B4A0A"/>
    <w:rsid w:val="002B6EAB"/>
    <w:rsid w:val="002B7466"/>
    <w:rsid w:val="002B7852"/>
    <w:rsid w:val="002C04C4"/>
    <w:rsid w:val="002C11A6"/>
    <w:rsid w:val="002C1AE4"/>
    <w:rsid w:val="002C233D"/>
    <w:rsid w:val="002C25A0"/>
    <w:rsid w:val="002C2746"/>
    <w:rsid w:val="002C2F69"/>
    <w:rsid w:val="002C341C"/>
    <w:rsid w:val="002C3760"/>
    <w:rsid w:val="002C38E4"/>
    <w:rsid w:val="002C4F7C"/>
    <w:rsid w:val="002C586F"/>
    <w:rsid w:val="002C5CC6"/>
    <w:rsid w:val="002C5DEA"/>
    <w:rsid w:val="002C619A"/>
    <w:rsid w:val="002C647D"/>
    <w:rsid w:val="002C65E6"/>
    <w:rsid w:val="002C6AB9"/>
    <w:rsid w:val="002C6DC6"/>
    <w:rsid w:val="002C6E07"/>
    <w:rsid w:val="002C6FB6"/>
    <w:rsid w:val="002C7D00"/>
    <w:rsid w:val="002D0FDB"/>
    <w:rsid w:val="002D11F0"/>
    <w:rsid w:val="002D1B9D"/>
    <w:rsid w:val="002D2388"/>
    <w:rsid w:val="002D243B"/>
    <w:rsid w:val="002D2DF7"/>
    <w:rsid w:val="002D330A"/>
    <w:rsid w:val="002D37FE"/>
    <w:rsid w:val="002D38B2"/>
    <w:rsid w:val="002D4C33"/>
    <w:rsid w:val="002D5120"/>
    <w:rsid w:val="002D5BFD"/>
    <w:rsid w:val="002D681C"/>
    <w:rsid w:val="002D7425"/>
    <w:rsid w:val="002D75CA"/>
    <w:rsid w:val="002E0943"/>
    <w:rsid w:val="002E14E8"/>
    <w:rsid w:val="002E18E5"/>
    <w:rsid w:val="002E19C7"/>
    <w:rsid w:val="002E30A3"/>
    <w:rsid w:val="002E3D82"/>
    <w:rsid w:val="002E4AFF"/>
    <w:rsid w:val="002E4CE1"/>
    <w:rsid w:val="002E4F56"/>
    <w:rsid w:val="002E698A"/>
    <w:rsid w:val="002E72E1"/>
    <w:rsid w:val="002E7596"/>
    <w:rsid w:val="002F0279"/>
    <w:rsid w:val="002F103C"/>
    <w:rsid w:val="002F1A16"/>
    <w:rsid w:val="002F22CC"/>
    <w:rsid w:val="002F3070"/>
    <w:rsid w:val="002F30D0"/>
    <w:rsid w:val="002F4DEE"/>
    <w:rsid w:val="002F6015"/>
    <w:rsid w:val="002F7016"/>
    <w:rsid w:val="00300951"/>
    <w:rsid w:val="003017A6"/>
    <w:rsid w:val="00302873"/>
    <w:rsid w:val="00303C71"/>
    <w:rsid w:val="00303FC6"/>
    <w:rsid w:val="003040C2"/>
    <w:rsid w:val="00304C82"/>
    <w:rsid w:val="0030525E"/>
    <w:rsid w:val="00305310"/>
    <w:rsid w:val="003058FE"/>
    <w:rsid w:val="003069A0"/>
    <w:rsid w:val="00306C83"/>
    <w:rsid w:val="00307611"/>
    <w:rsid w:val="00307D2A"/>
    <w:rsid w:val="00310348"/>
    <w:rsid w:val="003105C4"/>
    <w:rsid w:val="003112CD"/>
    <w:rsid w:val="003113D7"/>
    <w:rsid w:val="00311B75"/>
    <w:rsid w:val="00311D25"/>
    <w:rsid w:val="00313BB4"/>
    <w:rsid w:val="00313E21"/>
    <w:rsid w:val="00314233"/>
    <w:rsid w:val="003156B5"/>
    <w:rsid w:val="00315FCE"/>
    <w:rsid w:val="00316711"/>
    <w:rsid w:val="00317404"/>
    <w:rsid w:val="00320FD2"/>
    <w:rsid w:val="00321663"/>
    <w:rsid w:val="0032314D"/>
    <w:rsid w:val="003235D7"/>
    <w:rsid w:val="00323DFA"/>
    <w:rsid w:val="00323FE2"/>
    <w:rsid w:val="0032406A"/>
    <w:rsid w:val="0032465F"/>
    <w:rsid w:val="00324FCA"/>
    <w:rsid w:val="00325C1F"/>
    <w:rsid w:val="0032643B"/>
    <w:rsid w:val="00326533"/>
    <w:rsid w:val="00326C66"/>
    <w:rsid w:val="00326DCB"/>
    <w:rsid w:val="00326F03"/>
    <w:rsid w:val="0032783A"/>
    <w:rsid w:val="00327C4B"/>
    <w:rsid w:val="0033057C"/>
    <w:rsid w:val="00330910"/>
    <w:rsid w:val="003315F2"/>
    <w:rsid w:val="00331CCC"/>
    <w:rsid w:val="00331D9E"/>
    <w:rsid w:val="00331DE6"/>
    <w:rsid w:val="00332378"/>
    <w:rsid w:val="00332A34"/>
    <w:rsid w:val="00332AAA"/>
    <w:rsid w:val="00332FD6"/>
    <w:rsid w:val="003331B9"/>
    <w:rsid w:val="003336CD"/>
    <w:rsid w:val="00334C8C"/>
    <w:rsid w:val="003350BA"/>
    <w:rsid w:val="00335C71"/>
    <w:rsid w:val="00336B5C"/>
    <w:rsid w:val="0034019E"/>
    <w:rsid w:val="0034040E"/>
    <w:rsid w:val="003415D3"/>
    <w:rsid w:val="003416D4"/>
    <w:rsid w:val="0034206B"/>
    <w:rsid w:val="003424A7"/>
    <w:rsid w:val="00342C3E"/>
    <w:rsid w:val="0034340C"/>
    <w:rsid w:val="00343F57"/>
    <w:rsid w:val="00344511"/>
    <w:rsid w:val="00344F74"/>
    <w:rsid w:val="003450BA"/>
    <w:rsid w:val="0034569F"/>
    <w:rsid w:val="00345B72"/>
    <w:rsid w:val="00345EEE"/>
    <w:rsid w:val="00346184"/>
    <w:rsid w:val="00347132"/>
    <w:rsid w:val="003475BD"/>
    <w:rsid w:val="0034767D"/>
    <w:rsid w:val="00347E7C"/>
    <w:rsid w:val="003504BD"/>
    <w:rsid w:val="003507CE"/>
    <w:rsid w:val="00350A2A"/>
    <w:rsid w:val="00350FE8"/>
    <w:rsid w:val="003511CA"/>
    <w:rsid w:val="003512A4"/>
    <w:rsid w:val="00353783"/>
    <w:rsid w:val="003538E1"/>
    <w:rsid w:val="003539CF"/>
    <w:rsid w:val="00353A52"/>
    <w:rsid w:val="00353F55"/>
    <w:rsid w:val="00354DEA"/>
    <w:rsid w:val="00354F56"/>
    <w:rsid w:val="0035607F"/>
    <w:rsid w:val="003562D7"/>
    <w:rsid w:val="00356773"/>
    <w:rsid w:val="0035693B"/>
    <w:rsid w:val="00356C9D"/>
    <w:rsid w:val="00357798"/>
    <w:rsid w:val="00357B8B"/>
    <w:rsid w:val="00360404"/>
    <w:rsid w:val="003616E2"/>
    <w:rsid w:val="00361B94"/>
    <w:rsid w:val="00362058"/>
    <w:rsid w:val="0036261E"/>
    <w:rsid w:val="0036316B"/>
    <w:rsid w:val="00363ABE"/>
    <w:rsid w:val="00365BA7"/>
    <w:rsid w:val="00365D60"/>
    <w:rsid w:val="00365F68"/>
    <w:rsid w:val="00366BFA"/>
    <w:rsid w:val="0036761F"/>
    <w:rsid w:val="003677B9"/>
    <w:rsid w:val="003677E4"/>
    <w:rsid w:val="0037080F"/>
    <w:rsid w:val="00370AFC"/>
    <w:rsid w:val="00371398"/>
    <w:rsid w:val="003717E9"/>
    <w:rsid w:val="003725AF"/>
    <w:rsid w:val="00373080"/>
    <w:rsid w:val="00373171"/>
    <w:rsid w:val="00374354"/>
    <w:rsid w:val="003745F1"/>
    <w:rsid w:val="00374609"/>
    <w:rsid w:val="00375406"/>
    <w:rsid w:val="0037558F"/>
    <w:rsid w:val="00375C36"/>
    <w:rsid w:val="00375E6B"/>
    <w:rsid w:val="00376F67"/>
    <w:rsid w:val="003809E5"/>
    <w:rsid w:val="00380E69"/>
    <w:rsid w:val="0038185C"/>
    <w:rsid w:val="00381A0C"/>
    <w:rsid w:val="00382443"/>
    <w:rsid w:val="00383704"/>
    <w:rsid w:val="00383940"/>
    <w:rsid w:val="00383F08"/>
    <w:rsid w:val="003840C4"/>
    <w:rsid w:val="003842E9"/>
    <w:rsid w:val="00385133"/>
    <w:rsid w:val="003859C9"/>
    <w:rsid w:val="00385D6A"/>
    <w:rsid w:val="0038746D"/>
    <w:rsid w:val="00387AB1"/>
    <w:rsid w:val="00387F92"/>
    <w:rsid w:val="00390187"/>
    <w:rsid w:val="00390421"/>
    <w:rsid w:val="00390789"/>
    <w:rsid w:val="00390EE9"/>
    <w:rsid w:val="00391109"/>
    <w:rsid w:val="00391850"/>
    <w:rsid w:val="00391888"/>
    <w:rsid w:val="003930A7"/>
    <w:rsid w:val="003943E2"/>
    <w:rsid w:val="00394578"/>
    <w:rsid w:val="003948F5"/>
    <w:rsid w:val="00395D20"/>
    <w:rsid w:val="0039616B"/>
    <w:rsid w:val="003965C9"/>
    <w:rsid w:val="00396F98"/>
    <w:rsid w:val="00397B38"/>
    <w:rsid w:val="00397D9E"/>
    <w:rsid w:val="003A07F4"/>
    <w:rsid w:val="003A1103"/>
    <w:rsid w:val="003A17C3"/>
    <w:rsid w:val="003A1BDA"/>
    <w:rsid w:val="003A214C"/>
    <w:rsid w:val="003A26A6"/>
    <w:rsid w:val="003A4502"/>
    <w:rsid w:val="003A4953"/>
    <w:rsid w:val="003A50DA"/>
    <w:rsid w:val="003A5C6E"/>
    <w:rsid w:val="003A5F0F"/>
    <w:rsid w:val="003A6A40"/>
    <w:rsid w:val="003A7D24"/>
    <w:rsid w:val="003B0467"/>
    <w:rsid w:val="003B077A"/>
    <w:rsid w:val="003B0F8A"/>
    <w:rsid w:val="003B13B9"/>
    <w:rsid w:val="003B352A"/>
    <w:rsid w:val="003B37AB"/>
    <w:rsid w:val="003B4266"/>
    <w:rsid w:val="003B433C"/>
    <w:rsid w:val="003B4FF3"/>
    <w:rsid w:val="003B53D1"/>
    <w:rsid w:val="003B65E5"/>
    <w:rsid w:val="003B71A3"/>
    <w:rsid w:val="003B7819"/>
    <w:rsid w:val="003C120B"/>
    <w:rsid w:val="003C1267"/>
    <w:rsid w:val="003C1E1C"/>
    <w:rsid w:val="003C1F6D"/>
    <w:rsid w:val="003C3906"/>
    <w:rsid w:val="003C4269"/>
    <w:rsid w:val="003C66C9"/>
    <w:rsid w:val="003C6788"/>
    <w:rsid w:val="003C6DD7"/>
    <w:rsid w:val="003D004D"/>
    <w:rsid w:val="003D1394"/>
    <w:rsid w:val="003D15A8"/>
    <w:rsid w:val="003D218C"/>
    <w:rsid w:val="003D2A3A"/>
    <w:rsid w:val="003D2A88"/>
    <w:rsid w:val="003D3382"/>
    <w:rsid w:val="003D36C2"/>
    <w:rsid w:val="003D433D"/>
    <w:rsid w:val="003D4B2B"/>
    <w:rsid w:val="003D4BB7"/>
    <w:rsid w:val="003D4E37"/>
    <w:rsid w:val="003D729A"/>
    <w:rsid w:val="003D75BD"/>
    <w:rsid w:val="003D79AD"/>
    <w:rsid w:val="003D7EFF"/>
    <w:rsid w:val="003E0AFF"/>
    <w:rsid w:val="003E13B3"/>
    <w:rsid w:val="003E2F9F"/>
    <w:rsid w:val="003E3728"/>
    <w:rsid w:val="003E5EA0"/>
    <w:rsid w:val="003E6AA4"/>
    <w:rsid w:val="003E7274"/>
    <w:rsid w:val="003E7C11"/>
    <w:rsid w:val="003E7FF5"/>
    <w:rsid w:val="003F03E3"/>
    <w:rsid w:val="003F0673"/>
    <w:rsid w:val="003F074A"/>
    <w:rsid w:val="003F10DC"/>
    <w:rsid w:val="003F144F"/>
    <w:rsid w:val="003F1799"/>
    <w:rsid w:val="003F238A"/>
    <w:rsid w:val="003F3323"/>
    <w:rsid w:val="003F3632"/>
    <w:rsid w:val="003F37D6"/>
    <w:rsid w:val="003F4638"/>
    <w:rsid w:val="003F4F02"/>
    <w:rsid w:val="003F511C"/>
    <w:rsid w:val="003F5E57"/>
    <w:rsid w:val="003F63B0"/>
    <w:rsid w:val="003F66E0"/>
    <w:rsid w:val="003F671F"/>
    <w:rsid w:val="003F6BA7"/>
    <w:rsid w:val="003F6C15"/>
    <w:rsid w:val="003F7015"/>
    <w:rsid w:val="003F7BC4"/>
    <w:rsid w:val="003F7CBE"/>
    <w:rsid w:val="00400583"/>
    <w:rsid w:val="004006AD"/>
    <w:rsid w:val="004024D1"/>
    <w:rsid w:val="00402AAB"/>
    <w:rsid w:val="00402AD4"/>
    <w:rsid w:val="00402C26"/>
    <w:rsid w:val="00402C71"/>
    <w:rsid w:val="00402D0E"/>
    <w:rsid w:val="00403264"/>
    <w:rsid w:val="00403906"/>
    <w:rsid w:val="00404197"/>
    <w:rsid w:val="00404828"/>
    <w:rsid w:val="00404885"/>
    <w:rsid w:val="00404ACF"/>
    <w:rsid w:val="004051D7"/>
    <w:rsid w:val="004052D7"/>
    <w:rsid w:val="0040543A"/>
    <w:rsid w:val="004057EA"/>
    <w:rsid w:val="00405B12"/>
    <w:rsid w:val="0040709F"/>
    <w:rsid w:val="00407583"/>
    <w:rsid w:val="004078BA"/>
    <w:rsid w:val="00407D64"/>
    <w:rsid w:val="00410441"/>
    <w:rsid w:val="0041167B"/>
    <w:rsid w:val="00411BD6"/>
    <w:rsid w:val="00411CB4"/>
    <w:rsid w:val="00412958"/>
    <w:rsid w:val="004132F4"/>
    <w:rsid w:val="004133D0"/>
    <w:rsid w:val="00413DC6"/>
    <w:rsid w:val="00413EDB"/>
    <w:rsid w:val="00414221"/>
    <w:rsid w:val="004158EE"/>
    <w:rsid w:val="00416555"/>
    <w:rsid w:val="00417910"/>
    <w:rsid w:val="00417E25"/>
    <w:rsid w:val="00420706"/>
    <w:rsid w:val="004208D7"/>
    <w:rsid w:val="00422B67"/>
    <w:rsid w:val="0042340F"/>
    <w:rsid w:val="0042365E"/>
    <w:rsid w:val="00423BCB"/>
    <w:rsid w:val="004247FB"/>
    <w:rsid w:val="00424E9D"/>
    <w:rsid w:val="004253BE"/>
    <w:rsid w:val="00426841"/>
    <w:rsid w:val="0042703D"/>
    <w:rsid w:val="0042752A"/>
    <w:rsid w:val="004275FA"/>
    <w:rsid w:val="00427698"/>
    <w:rsid w:val="00430EAB"/>
    <w:rsid w:val="00431930"/>
    <w:rsid w:val="00431CE6"/>
    <w:rsid w:val="00431E28"/>
    <w:rsid w:val="00432563"/>
    <w:rsid w:val="0043376F"/>
    <w:rsid w:val="00433D38"/>
    <w:rsid w:val="00434D33"/>
    <w:rsid w:val="004357A0"/>
    <w:rsid w:val="0043664D"/>
    <w:rsid w:val="00436F88"/>
    <w:rsid w:val="00437114"/>
    <w:rsid w:val="00437830"/>
    <w:rsid w:val="00437A04"/>
    <w:rsid w:val="004409C6"/>
    <w:rsid w:val="00440A42"/>
    <w:rsid w:val="00440E30"/>
    <w:rsid w:val="0044137E"/>
    <w:rsid w:val="00441ADA"/>
    <w:rsid w:val="0044257D"/>
    <w:rsid w:val="00442EA3"/>
    <w:rsid w:val="0044347B"/>
    <w:rsid w:val="00444557"/>
    <w:rsid w:val="004449D7"/>
    <w:rsid w:val="00444ED7"/>
    <w:rsid w:val="00445296"/>
    <w:rsid w:val="00445381"/>
    <w:rsid w:val="004455A0"/>
    <w:rsid w:val="00445756"/>
    <w:rsid w:val="00445A79"/>
    <w:rsid w:val="00445B54"/>
    <w:rsid w:val="00446F24"/>
    <w:rsid w:val="00450153"/>
    <w:rsid w:val="00450FF1"/>
    <w:rsid w:val="004516A8"/>
    <w:rsid w:val="00451B4D"/>
    <w:rsid w:val="0045232E"/>
    <w:rsid w:val="00453486"/>
    <w:rsid w:val="004542CA"/>
    <w:rsid w:val="0045443C"/>
    <w:rsid w:val="004545AF"/>
    <w:rsid w:val="004547BD"/>
    <w:rsid w:val="00454917"/>
    <w:rsid w:val="00454C5D"/>
    <w:rsid w:val="00455329"/>
    <w:rsid w:val="00455F95"/>
    <w:rsid w:val="00456033"/>
    <w:rsid w:val="004560DA"/>
    <w:rsid w:val="00456B96"/>
    <w:rsid w:val="00456E0A"/>
    <w:rsid w:val="00456E32"/>
    <w:rsid w:val="00456FD6"/>
    <w:rsid w:val="00457527"/>
    <w:rsid w:val="00457D30"/>
    <w:rsid w:val="0046025C"/>
    <w:rsid w:val="0046051F"/>
    <w:rsid w:val="0046172C"/>
    <w:rsid w:val="004620D2"/>
    <w:rsid w:val="004623B1"/>
    <w:rsid w:val="00462847"/>
    <w:rsid w:val="00463D4B"/>
    <w:rsid w:val="00464BEC"/>
    <w:rsid w:val="00464CA4"/>
    <w:rsid w:val="00465749"/>
    <w:rsid w:val="00466EA8"/>
    <w:rsid w:val="00467019"/>
    <w:rsid w:val="00467A65"/>
    <w:rsid w:val="00470AD3"/>
    <w:rsid w:val="00471C67"/>
    <w:rsid w:val="004729BD"/>
    <w:rsid w:val="00472C06"/>
    <w:rsid w:val="00472F2A"/>
    <w:rsid w:val="00473778"/>
    <w:rsid w:val="00473F71"/>
    <w:rsid w:val="00473FCF"/>
    <w:rsid w:val="00474014"/>
    <w:rsid w:val="004740F9"/>
    <w:rsid w:val="00474CB3"/>
    <w:rsid w:val="00475032"/>
    <w:rsid w:val="004752ED"/>
    <w:rsid w:val="00475A62"/>
    <w:rsid w:val="004764A3"/>
    <w:rsid w:val="0047684E"/>
    <w:rsid w:val="00476DE5"/>
    <w:rsid w:val="0048092F"/>
    <w:rsid w:val="004813BB"/>
    <w:rsid w:val="0048156A"/>
    <w:rsid w:val="00481A41"/>
    <w:rsid w:val="00481D3E"/>
    <w:rsid w:val="00481F6D"/>
    <w:rsid w:val="004820F5"/>
    <w:rsid w:val="004822BB"/>
    <w:rsid w:val="0048241D"/>
    <w:rsid w:val="00482A36"/>
    <w:rsid w:val="00485339"/>
    <w:rsid w:val="004858AB"/>
    <w:rsid w:val="004904C7"/>
    <w:rsid w:val="00490AFA"/>
    <w:rsid w:val="00490DC0"/>
    <w:rsid w:val="00491162"/>
    <w:rsid w:val="00491A15"/>
    <w:rsid w:val="004929FE"/>
    <w:rsid w:val="00492B56"/>
    <w:rsid w:val="0049319C"/>
    <w:rsid w:val="00493439"/>
    <w:rsid w:val="00493B4D"/>
    <w:rsid w:val="004942CD"/>
    <w:rsid w:val="004967CC"/>
    <w:rsid w:val="0049694B"/>
    <w:rsid w:val="00497B6D"/>
    <w:rsid w:val="004A05B6"/>
    <w:rsid w:val="004A063C"/>
    <w:rsid w:val="004A1936"/>
    <w:rsid w:val="004A19B2"/>
    <w:rsid w:val="004A1E9E"/>
    <w:rsid w:val="004A2793"/>
    <w:rsid w:val="004A2F74"/>
    <w:rsid w:val="004A31D3"/>
    <w:rsid w:val="004A3617"/>
    <w:rsid w:val="004A4102"/>
    <w:rsid w:val="004A43FC"/>
    <w:rsid w:val="004A446A"/>
    <w:rsid w:val="004A4AE1"/>
    <w:rsid w:val="004A5435"/>
    <w:rsid w:val="004A5763"/>
    <w:rsid w:val="004A57CC"/>
    <w:rsid w:val="004A6431"/>
    <w:rsid w:val="004B0241"/>
    <w:rsid w:val="004B0BC4"/>
    <w:rsid w:val="004B29AD"/>
    <w:rsid w:val="004B36C4"/>
    <w:rsid w:val="004B42C7"/>
    <w:rsid w:val="004B49EB"/>
    <w:rsid w:val="004B5B56"/>
    <w:rsid w:val="004B5EB3"/>
    <w:rsid w:val="004B655D"/>
    <w:rsid w:val="004C0D39"/>
    <w:rsid w:val="004C15F9"/>
    <w:rsid w:val="004C182F"/>
    <w:rsid w:val="004C284E"/>
    <w:rsid w:val="004C2AC5"/>
    <w:rsid w:val="004C2EA9"/>
    <w:rsid w:val="004C3B1D"/>
    <w:rsid w:val="004C5618"/>
    <w:rsid w:val="004C5F5E"/>
    <w:rsid w:val="004C656F"/>
    <w:rsid w:val="004C6EA0"/>
    <w:rsid w:val="004C7102"/>
    <w:rsid w:val="004C7156"/>
    <w:rsid w:val="004D0F66"/>
    <w:rsid w:val="004D0F89"/>
    <w:rsid w:val="004D17B6"/>
    <w:rsid w:val="004D18AE"/>
    <w:rsid w:val="004D1D19"/>
    <w:rsid w:val="004D2043"/>
    <w:rsid w:val="004D2C86"/>
    <w:rsid w:val="004D3215"/>
    <w:rsid w:val="004D3440"/>
    <w:rsid w:val="004D414D"/>
    <w:rsid w:val="004D432F"/>
    <w:rsid w:val="004D48D3"/>
    <w:rsid w:val="004D4ADA"/>
    <w:rsid w:val="004D51A7"/>
    <w:rsid w:val="004D589B"/>
    <w:rsid w:val="004D5CAA"/>
    <w:rsid w:val="004D5E7B"/>
    <w:rsid w:val="004D6858"/>
    <w:rsid w:val="004D7F4E"/>
    <w:rsid w:val="004E061F"/>
    <w:rsid w:val="004E0C06"/>
    <w:rsid w:val="004E1166"/>
    <w:rsid w:val="004E2475"/>
    <w:rsid w:val="004E28CD"/>
    <w:rsid w:val="004E2B10"/>
    <w:rsid w:val="004E33AD"/>
    <w:rsid w:val="004E3C54"/>
    <w:rsid w:val="004E40AC"/>
    <w:rsid w:val="004E4136"/>
    <w:rsid w:val="004E4A21"/>
    <w:rsid w:val="004E4F2E"/>
    <w:rsid w:val="004E5955"/>
    <w:rsid w:val="004E5A6C"/>
    <w:rsid w:val="004E6055"/>
    <w:rsid w:val="004E6B57"/>
    <w:rsid w:val="004E6E66"/>
    <w:rsid w:val="004E7329"/>
    <w:rsid w:val="004E74CB"/>
    <w:rsid w:val="004E7748"/>
    <w:rsid w:val="004E78B0"/>
    <w:rsid w:val="004F00D8"/>
    <w:rsid w:val="004F0F47"/>
    <w:rsid w:val="004F115C"/>
    <w:rsid w:val="004F1445"/>
    <w:rsid w:val="004F1B7D"/>
    <w:rsid w:val="004F2385"/>
    <w:rsid w:val="004F47E6"/>
    <w:rsid w:val="004F4BA5"/>
    <w:rsid w:val="004F69C8"/>
    <w:rsid w:val="004F6AC0"/>
    <w:rsid w:val="004F6FD1"/>
    <w:rsid w:val="004F710D"/>
    <w:rsid w:val="004F735B"/>
    <w:rsid w:val="004F747D"/>
    <w:rsid w:val="004F77D1"/>
    <w:rsid w:val="004F7C58"/>
    <w:rsid w:val="004F7CEE"/>
    <w:rsid w:val="00502600"/>
    <w:rsid w:val="0050293A"/>
    <w:rsid w:val="00502CB9"/>
    <w:rsid w:val="00503069"/>
    <w:rsid w:val="00503351"/>
    <w:rsid w:val="00504864"/>
    <w:rsid w:val="0050519A"/>
    <w:rsid w:val="0050520F"/>
    <w:rsid w:val="0050524F"/>
    <w:rsid w:val="005060CD"/>
    <w:rsid w:val="005107B9"/>
    <w:rsid w:val="00510826"/>
    <w:rsid w:val="00510902"/>
    <w:rsid w:val="00510ABE"/>
    <w:rsid w:val="00511532"/>
    <w:rsid w:val="00512B16"/>
    <w:rsid w:val="005142A8"/>
    <w:rsid w:val="0051500D"/>
    <w:rsid w:val="00515432"/>
    <w:rsid w:val="00515AA3"/>
    <w:rsid w:val="00516316"/>
    <w:rsid w:val="005163A7"/>
    <w:rsid w:val="005166C3"/>
    <w:rsid w:val="005167D5"/>
    <w:rsid w:val="00517135"/>
    <w:rsid w:val="00517A73"/>
    <w:rsid w:val="00517B66"/>
    <w:rsid w:val="0052003F"/>
    <w:rsid w:val="0052096A"/>
    <w:rsid w:val="00520CB3"/>
    <w:rsid w:val="00520E01"/>
    <w:rsid w:val="00521046"/>
    <w:rsid w:val="005217E6"/>
    <w:rsid w:val="00522A30"/>
    <w:rsid w:val="00522CDB"/>
    <w:rsid w:val="00522FFE"/>
    <w:rsid w:val="00523072"/>
    <w:rsid w:val="00524173"/>
    <w:rsid w:val="00524746"/>
    <w:rsid w:val="005253C7"/>
    <w:rsid w:val="00527C45"/>
    <w:rsid w:val="00530D2D"/>
    <w:rsid w:val="00531417"/>
    <w:rsid w:val="005317FD"/>
    <w:rsid w:val="00531A30"/>
    <w:rsid w:val="00532008"/>
    <w:rsid w:val="0053354F"/>
    <w:rsid w:val="005337AF"/>
    <w:rsid w:val="00533B06"/>
    <w:rsid w:val="00534C03"/>
    <w:rsid w:val="00535000"/>
    <w:rsid w:val="00535546"/>
    <w:rsid w:val="0053595C"/>
    <w:rsid w:val="00535C97"/>
    <w:rsid w:val="0053621E"/>
    <w:rsid w:val="0053651C"/>
    <w:rsid w:val="0053672C"/>
    <w:rsid w:val="005368D3"/>
    <w:rsid w:val="00537FDC"/>
    <w:rsid w:val="00540C55"/>
    <w:rsid w:val="00541412"/>
    <w:rsid w:val="00543139"/>
    <w:rsid w:val="00543D6A"/>
    <w:rsid w:val="005443F2"/>
    <w:rsid w:val="00544C58"/>
    <w:rsid w:val="00545687"/>
    <w:rsid w:val="00546254"/>
    <w:rsid w:val="005462BF"/>
    <w:rsid w:val="00546369"/>
    <w:rsid w:val="005468C8"/>
    <w:rsid w:val="005474DE"/>
    <w:rsid w:val="0055049C"/>
    <w:rsid w:val="005505D0"/>
    <w:rsid w:val="00551EA1"/>
    <w:rsid w:val="00551F88"/>
    <w:rsid w:val="00552A5C"/>
    <w:rsid w:val="00553B95"/>
    <w:rsid w:val="00553C08"/>
    <w:rsid w:val="005552A7"/>
    <w:rsid w:val="00556857"/>
    <w:rsid w:val="00556D85"/>
    <w:rsid w:val="0055771F"/>
    <w:rsid w:val="005577C6"/>
    <w:rsid w:val="00557B1D"/>
    <w:rsid w:val="00557B5D"/>
    <w:rsid w:val="00557F1D"/>
    <w:rsid w:val="00560873"/>
    <w:rsid w:val="005650D1"/>
    <w:rsid w:val="0056518A"/>
    <w:rsid w:val="005651A0"/>
    <w:rsid w:val="005664B6"/>
    <w:rsid w:val="00566E2F"/>
    <w:rsid w:val="00570115"/>
    <w:rsid w:val="00570B40"/>
    <w:rsid w:val="005713BD"/>
    <w:rsid w:val="00571708"/>
    <w:rsid w:val="005719FA"/>
    <w:rsid w:val="00571B0C"/>
    <w:rsid w:val="00571E22"/>
    <w:rsid w:val="0057228E"/>
    <w:rsid w:val="0057284E"/>
    <w:rsid w:val="00572CCC"/>
    <w:rsid w:val="00573674"/>
    <w:rsid w:val="00574F9A"/>
    <w:rsid w:val="00574FE7"/>
    <w:rsid w:val="0057669B"/>
    <w:rsid w:val="00577459"/>
    <w:rsid w:val="00580F99"/>
    <w:rsid w:val="00581626"/>
    <w:rsid w:val="00582B4C"/>
    <w:rsid w:val="005830CA"/>
    <w:rsid w:val="005835E8"/>
    <w:rsid w:val="005836A4"/>
    <w:rsid w:val="00583ADC"/>
    <w:rsid w:val="005841DB"/>
    <w:rsid w:val="005845CA"/>
    <w:rsid w:val="00584651"/>
    <w:rsid w:val="00585E99"/>
    <w:rsid w:val="005873E3"/>
    <w:rsid w:val="00590B60"/>
    <w:rsid w:val="00591210"/>
    <w:rsid w:val="005917C7"/>
    <w:rsid w:val="005931E3"/>
    <w:rsid w:val="0059340E"/>
    <w:rsid w:val="00593819"/>
    <w:rsid w:val="00593ACF"/>
    <w:rsid w:val="00593F7F"/>
    <w:rsid w:val="00594219"/>
    <w:rsid w:val="005944E1"/>
    <w:rsid w:val="00594F7D"/>
    <w:rsid w:val="00594FCE"/>
    <w:rsid w:val="00595A4C"/>
    <w:rsid w:val="005962E7"/>
    <w:rsid w:val="005972AA"/>
    <w:rsid w:val="00597B0C"/>
    <w:rsid w:val="005A05B0"/>
    <w:rsid w:val="005A097C"/>
    <w:rsid w:val="005A165C"/>
    <w:rsid w:val="005A173B"/>
    <w:rsid w:val="005A1954"/>
    <w:rsid w:val="005A2168"/>
    <w:rsid w:val="005A364E"/>
    <w:rsid w:val="005A3C72"/>
    <w:rsid w:val="005A44A9"/>
    <w:rsid w:val="005A5219"/>
    <w:rsid w:val="005A576C"/>
    <w:rsid w:val="005A70F4"/>
    <w:rsid w:val="005A7435"/>
    <w:rsid w:val="005A7758"/>
    <w:rsid w:val="005B03F5"/>
    <w:rsid w:val="005B0FFA"/>
    <w:rsid w:val="005B105B"/>
    <w:rsid w:val="005B213C"/>
    <w:rsid w:val="005B2A5A"/>
    <w:rsid w:val="005B3A07"/>
    <w:rsid w:val="005B422A"/>
    <w:rsid w:val="005B5586"/>
    <w:rsid w:val="005B56A6"/>
    <w:rsid w:val="005B5D76"/>
    <w:rsid w:val="005B6B46"/>
    <w:rsid w:val="005B6D4A"/>
    <w:rsid w:val="005B7034"/>
    <w:rsid w:val="005B765D"/>
    <w:rsid w:val="005C2A39"/>
    <w:rsid w:val="005C3DF3"/>
    <w:rsid w:val="005C42EA"/>
    <w:rsid w:val="005C4816"/>
    <w:rsid w:val="005C4A39"/>
    <w:rsid w:val="005C691A"/>
    <w:rsid w:val="005C6B97"/>
    <w:rsid w:val="005C77B0"/>
    <w:rsid w:val="005D0601"/>
    <w:rsid w:val="005D1128"/>
    <w:rsid w:val="005D20C8"/>
    <w:rsid w:val="005D2BEA"/>
    <w:rsid w:val="005D4729"/>
    <w:rsid w:val="005D510C"/>
    <w:rsid w:val="005D56D2"/>
    <w:rsid w:val="005D6393"/>
    <w:rsid w:val="005D652B"/>
    <w:rsid w:val="005D76D1"/>
    <w:rsid w:val="005E01B5"/>
    <w:rsid w:val="005E16E1"/>
    <w:rsid w:val="005E1E24"/>
    <w:rsid w:val="005E2C00"/>
    <w:rsid w:val="005E3C92"/>
    <w:rsid w:val="005E4D35"/>
    <w:rsid w:val="005E4FBE"/>
    <w:rsid w:val="005E4FD8"/>
    <w:rsid w:val="005E53EE"/>
    <w:rsid w:val="005E5A3E"/>
    <w:rsid w:val="005E6661"/>
    <w:rsid w:val="005E6F76"/>
    <w:rsid w:val="005F01A4"/>
    <w:rsid w:val="005F046A"/>
    <w:rsid w:val="005F0A3E"/>
    <w:rsid w:val="005F0DD7"/>
    <w:rsid w:val="005F16F2"/>
    <w:rsid w:val="005F1CE3"/>
    <w:rsid w:val="005F25CF"/>
    <w:rsid w:val="005F27DF"/>
    <w:rsid w:val="005F297E"/>
    <w:rsid w:val="005F2D64"/>
    <w:rsid w:val="005F3195"/>
    <w:rsid w:val="005F33A2"/>
    <w:rsid w:val="005F3C2E"/>
    <w:rsid w:val="005F3F5B"/>
    <w:rsid w:val="005F4019"/>
    <w:rsid w:val="005F4737"/>
    <w:rsid w:val="005F4B8C"/>
    <w:rsid w:val="005F4F32"/>
    <w:rsid w:val="005F4F9B"/>
    <w:rsid w:val="005F5639"/>
    <w:rsid w:val="005F6EC5"/>
    <w:rsid w:val="005F71F9"/>
    <w:rsid w:val="005F78D2"/>
    <w:rsid w:val="006001D4"/>
    <w:rsid w:val="00600FE7"/>
    <w:rsid w:val="0060320E"/>
    <w:rsid w:val="00604E3A"/>
    <w:rsid w:val="00604ECE"/>
    <w:rsid w:val="00605644"/>
    <w:rsid w:val="00606007"/>
    <w:rsid w:val="00606620"/>
    <w:rsid w:val="00606A62"/>
    <w:rsid w:val="006121AA"/>
    <w:rsid w:val="00612EF5"/>
    <w:rsid w:val="006130E6"/>
    <w:rsid w:val="006131BD"/>
    <w:rsid w:val="00613334"/>
    <w:rsid w:val="0061417D"/>
    <w:rsid w:val="00615018"/>
    <w:rsid w:val="006179D3"/>
    <w:rsid w:val="00617C9D"/>
    <w:rsid w:val="00620DBF"/>
    <w:rsid w:val="0062141D"/>
    <w:rsid w:val="00622199"/>
    <w:rsid w:val="0062295D"/>
    <w:rsid w:val="00622E1F"/>
    <w:rsid w:val="00623017"/>
    <w:rsid w:val="006234E6"/>
    <w:rsid w:val="0062395F"/>
    <w:rsid w:val="00624741"/>
    <w:rsid w:val="006248A9"/>
    <w:rsid w:val="006248B1"/>
    <w:rsid w:val="00624D03"/>
    <w:rsid w:val="0062527F"/>
    <w:rsid w:val="00625491"/>
    <w:rsid w:val="00625F2C"/>
    <w:rsid w:val="00626BE6"/>
    <w:rsid w:val="00626DFD"/>
    <w:rsid w:val="006311E1"/>
    <w:rsid w:val="00631462"/>
    <w:rsid w:val="006326BC"/>
    <w:rsid w:val="006330D1"/>
    <w:rsid w:val="006336C0"/>
    <w:rsid w:val="00634794"/>
    <w:rsid w:val="00634E23"/>
    <w:rsid w:val="006371EB"/>
    <w:rsid w:val="00637E26"/>
    <w:rsid w:val="006405C4"/>
    <w:rsid w:val="0064094E"/>
    <w:rsid w:val="0064262E"/>
    <w:rsid w:val="00642CB2"/>
    <w:rsid w:val="006433B3"/>
    <w:rsid w:val="00643647"/>
    <w:rsid w:val="00643951"/>
    <w:rsid w:val="00643968"/>
    <w:rsid w:val="006447D2"/>
    <w:rsid w:val="00644E8B"/>
    <w:rsid w:val="0064561D"/>
    <w:rsid w:val="006462B6"/>
    <w:rsid w:val="00646F0A"/>
    <w:rsid w:val="006471A5"/>
    <w:rsid w:val="006476E0"/>
    <w:rsid w:val="006504C3"/>
    <w:rsid w:val="00651630"/>
    <w:rsid w:val="00652B47"/>
    <w:rsid w:val="00653EF1"/>
    <w:rsid w:val="00654343"/>
    <w:rsid w:val="00654FB3"/>
    <w:rsid w:val="006551E8"/>
    <w:rsid w:val="00655A23"/>
    <w:rsid w:val="006575FC"/>
    <w:rsid w:val="006601CC"/>
    <w:rsid w:val="006603B8"/>
    <w:rsid w:val="00660E4C"/>
    <w:rsid w:val="006639C5"/>
    <w:rsid w:val="00663C10"/>
    <w:rsid w:val="00663C3F"/>
    <w:rsid w:val="00664133"/>
    <w:rsid w:val="0066493A"/>
    <w:rsid w:val="00665A32"/>
    <w:rsid w:val="00666729"/>
    <w:rsid w:val="00666F06"/>
    <w:rsid w:val="006708BD"/>
    <w:rsid w:val="00670A82"/>
    <w:rsid w:val="00670F1C"/>
    <w:rsid w:val="00671B70"/>
    <w:rsid w:val="00671CB1"/>
    <w:rsid w:val="00672CB1"/>
    <w:rsid w:val="00672F6A"/>
    <w:rsid w:val="00673BF7"/>
    <w:rsid w:val="00674171"/>
    <w:rsid w:val="00674CD0"/>
    <w:rsid w:val="00675742"/>
    <w:rsid w:val="00676042"/>
    <w:rsid w:val="006760EC"/>
    <w:rsid w:val="0067632F"/>
    <w:rsid w:val="006776A7"/>
    <w:rsid w:val="00677F63"/>
    <w:rsid w:val="006804FF"/>
    <w:rsid w:val="006807F1"/>
    <w:rsid w:val="00681BB8"/>
    <w:rsid w:val="0068214B"/>
    <w:rsid w:val="00683FDD"/>
    <w:rsid w:val="006860BA"/>
    <w:rsid w:val="00687AFB"/>
    <w:rsid w:val="006910CD"/>
    <w:rsid w:val="0069122D"/>
    <w:rsid w:val="006916F6"/>
    <w:rsid w:val="00692B26"/>
    <w:rsid w:val="00692D74"/>
    <w:rsid w:val="00693096"/>
    <w:rsid w:val="0069447E"/>
    <w:rsid w:val="006944C1"/>
    <w:rsid w:val="00694AFF"/>
    <w:rsid w:val="006961BA"/>
    <w:rsid w:val="006965C0"/>
    <w:rsid w:val="006968D3"/>
    <w:rsid w:val="00697095"/>
    <w:rsid w:val="00697129"/>
    <w:rsid w:val="006976D0"/>
    <w:rsid w:val="006A0ABF"/>
    <w:rsid w:val="006A10C5"/>
    <w:rsid w:val="006A1623"/>
    <w:rsid w:val="006A1785"/>
    <w:rsid w:val="006A232F"/>
    <w:rsid w:val="006A2668"/>
    <w:rsid w:val="006A32B6"/>
    <w:rsid w:val="006A404B"/>
    <w:rsid w:val="006A45DB"/>
    <w:rsid w:val="006A50E7"/>
    <w:rsid w:val="006A5AA0"/>
    <w:rsid w:val="006A63BE"/>
    <w:rsid w:val="006A67C0"/>
    <w:rsid w:val="006A7702"/>
    <w:rsid w:val="006B1B7B"/>
    <w:rsid w:val="006B21E7"/>
    <w:rsid w:val="006B2777"/>
    <w:rsid w:val="006B2971"/>
    <w:rsid w:val="006B33A8"/>
    <w:rsid w:val="006B3900"/>
    <w:rsid w:val="006B5549"/>
    <w:rsid w:val="006B5C87"/>
    <w:rsid w:val="006B5DAC"/>
    <w:rsid w:val="006B7CA3"/>
    <w:rsid w:val="006C0A5D"/>
    <w:rsid w:val="006C0DB4"/>
    <w:rsid w:val="006C129E"/>
    <w:rsid w:val="006C1BD5"/>
    <w:rsid w:val="006C1F2A"/>
    <w:rsid w:val="006C214B"/>
    <w:rsid w:val="006C2267"/>
    <w:rsid w:val="006C29DD"/>
    <w:rsid w:val="006C2C45"/>
    <w:rsid w:val="006C2F96"/>
    <w:rsid w:val="006C33DD"/>
    <w:rsid w:val="006C3EF7"/>
    <w:rsid w:val="006C445D"/>
    <w:rsid w:val="006C4911"/>
    <w:rsid w:val="006C4E84"/>
    <w:rsid w:val="006C4EBD"/>
    <w:rsid w:val="006C5C9A"/>
    <w:rsid w:val="006C60AF"/>
    <w:rsid w:val="006C6466"/>
    <w:rsid w:val="006C7273"/>
    <w:rsid w:val="006D03A5"/>
    <w:rsid w:val="006D0907"/>
    <w:rsid w:val="006D1153"/>
    <w:rsid w:val="006D11F2"/>
    <w:rsid w:val="006D1747"/>
    <w:rsid w:val="006D1AF6"/>
    <w:rsid w:val="006D2501"/>
    <w:rsid w:val="006D2A5A"/>
    <w:rsid w:val="006D4840"/>
    <w:rsid w:val="006D4F51"/>
    <w:rsid w:val="006D50C1"/>
    <w:rsid w:val="006D5457"/>
    <w:rsid w:val="006D5901"/>
    <w:rsid w:val="006D5B7A"/>
    <w:rsid w:val="006D5D72"/>
    <w:rsid w:val="006D6E90"/>
    <w:rsid w:val="006D7761"/>
    <w:rsid w:val="006D79D3"/>
    <w:rsid w:val="006D7BAE"/>
    <w:rsid w:val="006D7EFD"/>
    <w:rsid w:val="006E0423"/>
    <w:rsid w:val="006E058F"/>
    <w:rsid w:val="006E1B10"/>
    <w:rsid w:val="006E2A4F"/>
    <w:rsid w:val="006E3D51"/>
    <w:rsid w:val="006E3DBD"/>
    <w:rsid w:val="006E402B"/>
    <w:rsid w:val="006E4F74"/>
    <w:rsid w:val="006E53D7"/>
    <w:rsid w:val="006E5EB1"/>
    <w:rsid w:val="006E7401"/>
    <w:rsid w:val="006F029D"/>
    <w:rsid w:val="006F0B38"/>
    <w:rsid w:val="006F0BF2"/>
    <w:rsid w:val="006F1A5F"/>
    <w:rsid w:val="006F1ADA"/>
    <w:rsid w:val="006F2339"/>
    <w:rsid w:val="006F30E5"/>
    <w:rsid w:val="006F3A63"/>
    <w:rsid w:val="006F3FBE"/>
    <w:rsid w:val="006F527A"/>
    <w:rsid w:val="006F5CD5"/>
    <w:rsid w:val="006F6414"/>
    <w:rsid w:val="006F6839"/>
    <w:rsid w:val="006F6B5A"/>
    <w:rsid w:val="006F753C"/>
    <w:rsid w:val="006F7D1A"/>
    <w:rsid w:val="006F7EC9"/>
    <w:rsid w:val="0070017F"/>
    <w:rsid w:val="007001CC"/>
    <w:rsid w:val="00700936"/>
    <w:rsid w:val="00701E26"/>
    <w:rsid w:val="0070324C"/>
    <w:rsid w:val="007036B4"/>
    <w:rsid w:val="00703ED2"/>
    <w:rsid w:val="0070473A"/>
    <w:rsid w:val="0070499F"/>
    <w:rsid w:val="00704BEB"/>
    <w:rsid w:val="00705BDA"/>
    <w:rsid w:val="00706598"/>
    <w:rsid w:val="00706A30"/>
    <w:rsid w:val="00706BC8"/>
    <w:rsid w:val="00706BF4"/>
    <w:rsid w:val="00710559"/>
    <w:rsid w:val="00710674"/>
    <w:rsid w:val="0071105A"/>
    <w:rsid w:val="00711085"/>
    <w:rsid w:val="0071211A"/>
    <w:rsid w:val="007124EC"/>
    <w:rsid w:val="007137A4"/>
    <w:rsid w:val="00713D4E"/>
    <w:rsid w:val="007158F9"/>
    <w:rsid w:val="00715945"/>
    <w:rsid w:val="00716587"/>
    <w:rsid w:val="007170C6"/>
    <w:rsid w:val="00720033"/>
    <w:rsid w:val="00721319"/>
    <w:rsid w:val="007215E2"/>
    <w:rsid w:val="00721862"/>
    <w:rsid w:val="00721AAE"/>
    <w:rsid w:val="00721C13"/>
    <w:rsid w:val="00722791"/>
    <w:rsid w:val="00723DEE"/>
    <w:rsid w:val="00725167"/>
    <w:rsid w:val="007251F0"/>
    <w:rsid w:val="00725511"/>
    <w:rsid w:val="00725A2D"/>
    <w:rsid w:val="00725FF1"/>
    <w:rsid w:val="007261A1"/>
    <w:rsid w:val="00726A45"/>
    <w:rsid w:val="00726E59"/>
    <w:rsid w:val="007302BE"/>
    <w:rsid w:val="0073165B"/>
    <w:rsid w:val="0073182D"/>
    <w:rsid w:val="00731E27"/>
    <w:rsid w:val="0073229D"/>
    <w:rsid w:val="00732575"/>
    <w:rsid w:val="00732E86"/>
    <w:rsid w:val="007337A1"/>
    <w:rsid w:val="00734099"/>
    <w:rsid w:val="007342F3"/>
    <w:rsid w:val="00734FBA"/>
    <w:rsid w:val="0073670F"/>
    <w:rsid w:val="00736D35"/>
    <w:rsid w:val="007375B6"/>
    <w:rsid w:val="00737B4A"/>
    <w:rsid w:val="00737C9F"/>
    <w:rsid w:val="00737D98"/>
    <w:rsid w:val="007405E6"/>
    <w:rsid w:val="00740DAF"/>
    <w:rsid w:val="00740F69"/>
    <w:rsid w:val="007421F0"/>
    <w:rsid w:val="007427CA"/>
    <w:rsid w:val="0074363B"/>
    <w:rsid w:val="007439E9"/>
    <w:rsid w:val="00744646"/>
    <w:rsid w:val="00744DF4"/>
    <w:rsid w:val="00744EE2"/>
    <w:rsid w:val="00744F72"/>
    <w:rsid w:val="00745831"/>
    <w:rsid w:val="00745ADA"/>
    <w:rsid w:val="0074653A"/>
    <w:rsid w:val="00747AEF"/>
    <w:rsid w:val="007503CC"/>
    <w:rsid w:val="007527E6"/>
    <w:rsid w:val="0075284A"/>
    <w:rsid w:val="00752FD8"/>
    <w:rsid w:val="007532BC"/>
    <w:rsid w:val="0075370B"/>
    <w:rsid w:val="00753DBB"/>
    <w:rsid w:val="00753E2E"/>
    <w:rsid w:val="00754330"/>
    <w:rsid w:val="007549F5"/>
    <w:rsid w:val="007556B7"/>
    <w:rsid w:val="00756B42"/>
    <w:rsid w:val="00756E13"/>
    <w:rsid w:val="007571DD"/>
    <w:rsid w:val="00760D39"/>
    <w:rsid w:val="00761681"/>
    <w:rsid w:val="00762824"/>
    <w:rsid w:val="007629E2"/>
    <w:rsid w:val="00763155"/>
    <w:rsid w:val="00764F75"/>
    <w:rsid w:val="00766040"/>
    <w:rsid w:val="00766586"/>
    <w:rsid w:val="0076666A"/>
    <w:rsid w:val="00766B32"/>
    <w:rsid w:val="007670CC"/>
    <w:rsid w:val="00767369"/>
    <w:rsid w:val="007673DB"/>
    <w:rsid w:val="00767739"/>
    <w:rsid w:val="00767EF9"/>
    <w:rsid w:val="00767EFA"/>
    <w:rsid w:val="00767FDA"/>
    <w:rsid w:val="00770008"/>
    <w:rsid w:val="00770138"/>
    <w:rsid w:val="00771A01"/>
    <w:rsid w:val="0077296D"/>
    <w:rsid w:val="00772A5C"/>
    <w:rsid w:val="00772F95"/>
    <w:rsid w:val="007732A6"/>
    <w:rsid w:val="00774EB4"/>
    <w:rsid w:val="00775ED8"/>
    <w:rsid w:val="00776886"/>
    <w:rsid w:val="00776FF5"/>
    <w:rsid w:val="00777CF0"/>
    <w:rsid w:val="00780155"/>
    <w:rsid w:val="007809FE"/>
    <w:rsid w:val="00780A72"/>
    <w:rsid w:val="00781243"/>
    <w:rsid w:val="00781759"/>
    <w:rsid w:val="007844CB"/>
    <w:rsid w:val="00784933"/>
    <w:rsid w:val="0078569F"/>
    <w:rsid w:val="00786266"/>
    <w:rsid w:val="00786D58"/>
    <w:rsid w:val="00787496"/>
    <w:rsid w:val="0078751F"/>
    <w:rsid w:val="007903E5"/>
    <w:rsid w:val="007904C9"/>
    <w:rsid w:val="00791A77"/>
    <w:rsid w:val="00792018"/>
    <w:rsid w:val="00792514"/>
    <w:rsid w:val="00792B8A"/>
    <w:rsid w:val="007933C2"/>
    <w:rsid w:val="00793729"/>
    <w:rsid w:val="007937AC"/>
    <w:rsid w:val="007947D4"/>
    <w:rsid w:val="0079583C"/>
    <w:rsid w:val="00795C1C"/>
    <w:rsid w:val="00795C4B"/>
    <w:rsid w:val="00795C82"/>
    <w:rsid w:val="007962DF"/>
    <w:rsid w:val="007A0868"/>
    <w:rsid w:val="007A138A"/>
    <w:rsid w:val="007A1625"/>
    <w:rsid w:val="007A1AEB"/>
    <w:rsid w:val="007A1CB2"/>
    <w:rsid w:val="007A3331"/>
    <w:rsid w:val="007A4D45"/>
    <w:rsid w:val="007A4DA6"/>
    <w:rsid w:val="007A507E"/>
    <w:rsid w:val="007A52C3"/>
    <w:rsid w:val="007A5A4E"/>
    <w:rsid w:val="007A60DD"/>
    <w:rsid w:val="007A61B9"/>
    <w:rsid w:val="007A6A96"/>
    <w:rsid w:val="007A7226"/>
    <w:rsid w:val="007B0411"/>
    <w:rsid w:val="007B0FDF"/>
    <w:rsid w:val="007B1239"/>
    <w:rsid w:val="007B242F"/>
    <w:rsid w:val="007B2B05"/>
    <w:rsid w:val="007B4C7E"/>
    <w:rsid w:val="007B4CF0"/>
    <w:rsid w:val="007B4D77"/>
    <w:rsid w:val="007B523D"/>
    <w:rsid w:val="007B65A1"/>
    <w:rsid w:val="007B6A66"/>
    <w:rsid w:val="007B6F85"/>
    <w:rsid w:val="007B784C"/>
    <w:rsid w:val="007B7D2B"/>
    <w:rsid w:val="007C082E"/>
    <w:rsid w:val="007C08BD"/>
    <w:rsid w:val="007C0D4C"/>
    <w:rsid w:val="007C2EFA"/>
    <w:rsid w:val="007C39CE"/>
    <w:rsid w:val="007C3F58"/>
    <w:rsid w:val="007C4466"/>
    <w:rsid w:val="007C4C71"/>
    <w:rsid w:val="007C4F2B"/>
    <w:rsid w:val="007C53BB"/>
    <w:rsid w:val="007C54ED"/>
    <w:rsid w:val="007C6113"/>
    <w:rsid w:val="007C6D6C"/>
    <w:rsid w:val="007C6D6E"/>
    <w:rsid w:val="007C6D7B"/>
    <w:rsid w:val="007C7341"/>
    <w:rsid w:val="007D0F5A"/>
    <w:rsid w:val="007D1DF6"/>
    <w:rsid w:val="007D2A44"/>
    <w:rsid w:val="007D312E"/>
    <w:rsid w:val="007D4350"/>
    <w:rsid w:val="007D436C"/>
    <w:rsid w:val="007D5BC5"/>
    <w:rsid w:val="007D6265"/>
    <w:rsid w:val="007D7CA6"/>
    <w:rsid w:val="007D7D12"/>
    <w:rsid w:val="007E017E"/>
    <w:rsid w:val="007E0282"/>
    <w:rsid w:val="007E0C22"/>
    <w:rsid w:val="007E18E4"/>
    <w:rsid w:val="007E2949"/>
    <w:rsid w:val="007E316C"/>
    <w:rsid w:val="007E3735"/>
    <w:rsid w:val="007E466C"/>
    <w:rsid w:val="007E4959"/>
    <w:rsid w:val="007E4DEA"/>
    <w:rsid w:val="007E5176"/>
    <w:rsid w:val="007E558F"/>
    <w:rsid w:val="007E56F0"/>
    <w:rsid w:val="007E57DF"/>
    <w:rsid w:val="007E5AA9"/>
    <w:rsid w:val="007E63B7"/>
    <w:rsid w:val="007E6652"/>
    <w:rsid w:val="007E6656"/>
    <w:rsid w:val="007E789D"/>
    <w:rsid w:val="007F13EB"/>
    <w:rsid w:val="007F1580"/>
    <w:rsid w:val="007F22FD"/>
    <w:rsid w:val="007F2652"/>
    <w:rsid w:val="007F2734"/>
    <w:rsid w:val="007F2FB7"/>
    <w:rsid w:val="007F35CC"/>
    <w:rsid w:val="007F35EB"/>
    <w:rsid w:val="007F47E9"/>
    <w:rsid w:val="007F58F9"/>
    <w:rsid w:val="007F655A"/>
    <w:rsid w:val="007F6563"/>
    <w:rsid w:val="007F6E7D"/>
    <w:rsid w:val="007F796E"/>
    <w:rsid w:val="007F7EA2"/>
    <w:rsid w:val="008001D8"/>
    <w:rsid w:val="00800209"/>
    <w:rsid w:val="00800403"/>
    <w:rsid w:val="00801832"/>
    <w:rsid w:val="008026AC"/>
    <w:rsid w:val="00802985"/>
    <w:rsid w:val="00803032"/>
    <w:rsid w:val="008032F1"/>
    <w:rsid w:val="00803365"/>
    <w:rsid w:val="00803669"/>
    <w:rsid w:val="00803D19"/>
    <w:rsid w:val="008040D9"/>
    <w:rsid w:val="008048F4"/>
    <w:rsid w:val="00805844"/>
    <w:rsid w:val="00805AE8"/>
    <w:rsid w:val="00805B20"/>
    <w:rsid w:val="00805C06"/>
    <w:rsid w:val="008070A8"/>
    <w:rsid w:val="00807A2F"/>
    <w:rsid w:val="00807F1B"/>
    <w:rsid w:val="00810036"/>
    <w:rsid w:val="008111C5"/>
    <w:rsid w:val="0081123A"/>
    <w:rsid w:val="00811246"/>
    <w:rsid w:val="008115DC"/>
    <w:rsid w:val="008129AF"/>
    <w:rsid w:val="00813E3B"/>
    <w:rsid w:val="00814272"/>
    <w:rsid w:val="0081454C"/>
    <w:rsid w:val="00814B4A"/>
    <w:rsid w:val="00814C16"/>
    <w:rsid w:val="00814F95"/>
    <w:rsid w:val="0081512C"/>
    <w:rsid w:val="00815413"/>
    <w:rsid w:val="00815627"/>
    <w:rsid w:val="0081587C"/>
    <w:rsid w:val="0081648E"/>
    <w:rsid w:val="00816A80"/>
    <w:rsid w:val="00816EC6"/>
    <w:rsid w:val="00820EC4"/>
    <w:rsid w:val="008210AE"/>
    <w:rsid w:val="008211EF"/>
    <w:rsid w:val="0082183C"/>
    <w:rsid w:val="00821A42"/>
    <w:rsid w:val="00821AE0"/>
    <w:rsid w:val="00822193"/>
    <w:rsid w:val="008222CA"/>
    <w:rsid w:val="008231B3"/>
    <w:rsid w:val="0082330D"/>
    <w:rsid w:val="0082339F"/>
    <w:rsid w:val="00823515"/>
    <w:rsid w:val="00823E4D"/>
    <w:rsid w:val="0082425D"/>
    <w:rsid w:val="00824543"/>
    <w:rsid w:val="00824C38"/>
    <w:rsid w:val="008252D5"/>
    <w:rsid w:val="00825966"/>
    <w:rsid w:val="00826242"/>
    <w:rsid w:val="008263A4"/>
    <w:rsid w:val="008275E9"/>
    <w:rsid w:val="00827707"/>
    <w:rsid w:val="00827BC8"/>
    <w:rsid w:val="00827E50"/>
    <w:rsid w:val="00827F5A"/>
    <w:rsid w:val="00830311"/>
    <w:rsid w:val="00830F2C"/>
    <w:rsid w:val="0083166E"/>
    <w:rsid w:val="00831FE0"/>
    <w:rsid w:val="0083237E"/>
    <w:rsid w:val="00832FFB"/>
    <w:rsid w:val="00833120"/>
    <w:rsid w:val="00833DD4"/>
    <w:rsid w:val="00833F65"/>
    <w:rsid w:val="00836451"/>
    <w:rsid w:val="0083709F"/>
    <w:rsid w:val="0084015F"/>
    <w:rsid w:val="008403CF"/>
    <w:rsid w:val="0084089D"/>
    <w:rsid w:val="008418D6"/>
    <w:rsid w:val="008422C1"/>
    <w:rsid w:val="00842F6F"/>
    <w:rsid w:val="00843598"/>
    <w:rsid w:val="008440A9"/>
    <w:rsid w:val="00844668"/>
    <w:rsid w:val="008458BC"/>
    <w:rsid w:val="00846175"/>
    <w:rsid w:val="00846BE3"/>
    <w:rsid w:val="00847508"/>
    <w:rsid w:val="008477FD"/>
    <w:rsid w:val="00847AFB"/>
    <w:rsid w:val="0085051E"/>
    <w:rsid w:val="0085112E"/>
    <w:rsid w:val="008511F5"/>
    <w:rsid w:val="008523B6"/>
    <w:rsid w:val="008523F9"/>
    <w:rsid w:val="00853F8C"/>
    <w:rsid w:val="00854A0F"/>
    <w:rsid w:val="00854CEF"/>
    <w:rsid w:val="00856590"/>
    <w:rsid w:val="008569C4"/>
    <w:rsid w:val="00856A68"/>
    <w:rsid w:val="00857241"/>
    <w:rsid w:val="0085725D"/>
    <w:rsid w:val="00857419"/>
    <w:rsid w:val="00860163"/>
    <w:rsid w:val="0086025F"/>
    <w:rsid w:val="008608AE"/>
    <w:rsid w:val="008612A5"/>
    <w:rsid w:val="00861A1C"/>
    <w:rsid w:val="00862266"/>
    <w:rsid w:val="008628B7"/>
    <w:rsid w:val="00863040"/>
    <w:rsid w:val="00863790"/>
    <w:rsid w:val="0086383F"/>
    <w:rsid w:val="0086385A"/>
    <w:rsid w:val="00864B22"/>
    <w:rsid w:val="00865CE4"/>
    <w:rsid w:val="00866BA8"/>
    <w:rsid w:val="00867317"/>
    <w:rsid w:val="0086758A"/>
    <w:rsid w:val="00867B45"/>
    <w:rsid w:val="0087025B"/>
    <w:rsid w:val="00871C40"/>
    <w:rsid w:val="00871CA7"/>
    <w:rsid w:val="0087270D"/>
    <w:rsid w:val="0087307D"/>
    <w:rsid w:val="0087587F"/>
    <w:rsid w:val="00875A77"/>
    <w:rsid w:val="008763BE"/>
    <w:rsid w:val="00876A85"/>
    <w:rsid w:val="00876C4C"/>
    <w:rsid w:val="00876D88"/>
    <w:rsid w:val="00877526"/>
    <w:rsid w:val="00877DA6"/>
    <w:rsid w:val="00882216"/>
    <w:rsid w:val="008826F5"/>
    <w:rsid w:val="00882BFF"/>
    <w:rsid w:val="0088326C"/>
    <w:rsid w:val="00883A58"/>
    <w:rsid w:val="00883E46"/>
    <w:rsid w:val="00884145"/>
    <w:rsid w:val="00884AA9"/>
    <w:rsid w:val="00890110"/>
    <w:rsid w:val="0089070D"/>
    <w:rsid w:val="00891236"/>
    <w:rsid w:val="008913CE"/>
    <w:rsid w:val="00892359"/>
    <w:rsid w:val="00892BA1"/>
    <w:rsid w:val="00892E87"/>
    <w:rsid w:val="0089337D"/>
    <w:rsid w:val="008933FD"/>
    <w:rsid w:val="00893CF6"/>
    <w:rsid w:val="008948F2"/>
    <w:rsid w:val="008949C9"/>
    <w:rsid w:val="00895B0E"/>
    <w:rsid w:val="0089611F"/>
    <w:rsid w:val="00896C71"/>
    <w:rsid w:val="00896F1C"/>
    <w:rsid w:val="008978D4"/>
    <w:rsid w:val="008A031F"/>
    <w:rsid w:val="008A0CFD"/>
    <w:rsid w:val="008A1B10"/>
    <w:rsid w:val="008A2131"/>
    <w:rsid w:val="008A298A"/>
    <w:rsid w:val="008A31ED"/>
    <w:rsid w:val="008A39F4"/>
    <w:rsid w:val="008A3E6D"/>
    <w:rsid w:val="008A4215"/>
    <w:rsid w:val="008A4C9A"/>
    <w:rsid w:val="008A58FA"/>
    <w:rsid w:val="008A6FC7"/>
    <w:rsid w:val="008A7101"/>
    <w:rsid w:val="008A7113"/>
    <w:rsid w:val="008A748A"/>
    <w:rsid w:val="008A79D5"/>
    <w:rsid w:val="008A7A95"/>
    <w:rsid w:val="008B0F5C"/>
    <w:rsid w:val="008B102F"/>
    <w:rsid w:val="008B11E3"/>
    <w:rsid w:val="008B13B3"/>
    <w:rsid w:val="008B1FE7"/>
    <w:rsid w:val="008B2731"/>
    <w:rsid w:val="008B3B68"/>
    <w:rsid w:val="008B556A"/>
    <w:rsid w:val="008B565F"/>
    <w:rsid w:val="008B5904"/>
    <w:rsid w:val="008B6460"/>
    <w:rsid w:val="008B7190"/>
    <w:rsid w:val="008B7637"/>
    <w:rsid w:val="008C0E1B"/>
    <w:rsid w:val="008C17A1"/>
    <w:rsid w:val="008C1E0B"/>
    <w:rsid w:val="008C1F70"/>
    <w:rsid w:val="008C37C2"/>
    <w:rsid w:val="008C42D1"/>
    <w:rsid w:val="008C4CA7"/>
    <w:rsid w:val="008C5D39"/>
    <w:rsid w:val="008C7278"/>
    <w:rsid w:val="008C7997"/>
    <w:rsid w:val="008D0133"/>
    <w:rsid w:val="008D0322"/>
    <w:rsid w:val="008D0665"/>
    <w:rsid w:val="008D1721"/>
    <w:rsid w:val="008D209D"/>
    <w:rsid w:val="008D2791"/>
    <w:rsid w:val="008D2B06"/>
    <w:rsid w:val="008D2CBB"/>
    <w:rsid w:val="008D3565"/>
    <w:rsid w:val="008D4720"/>
    <w:rsid w:val="008D4FFE"/>
    <w:rsid w:val="008D5D2F"/>
    <w:rsid w:val="008D6432"/>
    <w:rsid w:val="008D6F1B"/>
    <w:rsid w:val="008D72E0"/>
    <w:rsid w:val="008E049A"/>
    <w:rsid w:val="008E39D8"/>
    <w:rsid w:val="008E427C"/>
    <w:rsid w:val="008E449C"/>
    <w:rsid w:val="008E53F8"/>
    <w:rsid w:val="008E62E5"/>
    <w:rsid w:val="008E7A08"/>
    <w:rsid w:val="008E7ED9"/>
    <w:rsid w:val="008F07B1"/>
    <w:rsid w:val="008F0D09"/>
    <w:rsid w:val="008F1077"/>
    <w:rsid w:val="008F1319"/>
    <w:rsid w:val="008F2CF9"/>
    <w:rsid w:val="008F3909"/>
    <w:rsid w:val="008F3E10"/>
    <w:rsid w:val="008F532E"/>
    <w:rsid w:val="008F532F"/>
    <w:rsid w:val="008F533F"/>
    <w:rsid w:val="008F5422"/>
    <w:rsid w:val="008F5DB4"/>
    <w:rsid w:val="008F7490"/>
    <w:rsid w:val="008F76B7"/>
    <w:rsid w:val="008F7EED"/>
    <w:rsid w:val="00900F77"/>
    <w:rsid w:val="009027B0"/>
    <w:rsid w:val="00903C0C"/>
    <w:rsid w:val="0090445B"/>
    <w:rsid w:val="00904829"/>
    <w:rsid w:val="00904C4A"/>
    <w:rsid w:val="0090582E"/>
    <w:rsid w:val="0090584D"/>
    <w:rsid w:val="0090607F"/>
    <w:rsid w:val="0090628A"/>
    <w:rsid w:val="009065C6"/>
    <w:rsid w:val="00906803"/>
    <w:rsid w:val="0090699B"/>
    <w:rsid w:val="00906D96"/>
    <w:rsid w:val="00906EF3"/>
    <w:rsid w:val="0090716C"/>
    <w:rsid w:val="00910B52"/>
    <w:rsid w:val="00911A8E"/>
    <w:rsid w:val="0091261D"/>
    <w:rsid w:val="00912ED9"/>
    <w:rsid w:val="00913D3C"/>
    <w:rsid w:val="00914AC8"/>
    <w:rsid w:val="00914E3E"/>
    <w:rsid w:val="00915C40"/>
    <w:rsid w:val="00915FB2"/>
    <w:rsid w:val="00916430"/>
    <w:rsid w:val="0091752C"/>
    <w:rsid w:val="0091798B"/>
    <w:rsid w:val="00917E60"/>
    <w:rsid w:val="009201C8"/>
    <w:rsid w:val="0092053F"/>
    <w:rsid w:val="00920C72"/>
    <w:rsid w:val="009210FC"/>
    <w:rsid w:val="009213A1"/>
    <w:rsid w:val="0092264A"/>
    <w:rsid w:val="00922AF9"/>
    <w:rsid w:val="0092348D"/>
    <w:rsid w:val="0092385A"/>
    <w:rsid w:val="009239B1"/>
    <w:rsid w:val="00923FBC"/>
    <w:rsid w:val="00925B71"/>
    <w:rsid w:val="00926285"/>
    <w:rsid w:val="0092686C"/>
    <w:rsid w:val="009268DF"/>
    <w:rsid w:val="00926C5C"/>
    <w:rsid w:val="009274F0"/>
    <w:rsid w:val="0093060C"/>
    <w:rsid w:val="00930D02"/>
    <w:rsid w:val="009316E1"/>
    <w:rsid w:val="00934065"/>
    <w:rsid w:val="0093465F"/>
    <w:rsid w:val="0093548D"/>
    <w:rsid w:val="0093581E"/>
    <w:rsid w:val="00935F9F"/>
    <w:rsid w:val="009361C5"/>
    <w:rsid w:val="009404AA"/>
    <w:rsid w:val="00940DE5"/>
    <w:rsid w:val="009411E6"/>
    <w:rsid w:val="0094149E"/>
    <w:rsid w:val="00941692"/>
    <w:rsid w:val="00941A8D"/>
    <w:rsid w:val="009425E5"/>
    <w:rsid w:val="00942644"/>
    <w:rsid w:val="00942732"/>
    <w:rsid w:val="009430FA"/>
    <w:rsid w:val="0094320C"/>
    <w:rsid w:val="00944F98"/>
    <w:rsid w:val="0094566D"/>
    <w:rsid w:val="00945801"/>
    <w:rsid w:val="00945CE7"/>
    <w:rsid w:val="00946AFF"/>
    <w:rsid w:val="009500A1"/>
    <w:rsid w:val="00950167"/>
    <w:rsid w:val="00950E6D"/>
    <w:rsid w:val="009511AE"/>
    <w:rsid w:val="009513F4"/>
    <w:rsid w:val="009516A1"/>
    <w:rsid w:val="009516FE"/>
    <w:rsid w:val="00951EE5"/>
    <w:rsid w:val="00952108"/>
    <w:rsid w:val="009540F0"/>
    <w:rsid w:val="00954EEE"/>
    <w:rsid w:val="009560F1"/>
    <w:rsid w:val="00957241"/>
    <w:rsid w:val="0096135D"/>
    <w:rsid w:val="00961780"/>
    <w:rsid w:val="00961A02"/>
    <w:rsid w:val="00962C0F"/>
    <w:rsid w:val="00962D0D"/>
    <w:rsid w:val="00962F43"/>
    <w:rsid w:val="009638D7"/>
    <w:rsid w:val="00963DF8"/>
    <w:rsid w:val="0096468B"/>
    <w:rsid w:val="009648A5"/>
    <w:rsid w:val="00964C05"/>
    <w:rsid w:val="00964CDE"/>
    <w:rsid w:val="0096593E"/>
    <w:rsid w:val="00966049"/>
    <w:rsid w:val="00966759"/>
    <w:rsid w:val="00967C1A"/>
    <w:rsid w:val="00967CC1"/>
    <w:rsid w:val="00970592"/>
    <w:rsid w:val="00970A05"/>
    <w:rsid w:val="009711A8"/>
    <w:rsid w:val="00971CDC"/>
    <w:rsid w:val="00971E5C"/>
    <w:rsid w:val="009720C5"/>
    <w:rsid w:val="009722A8"/>
    <w:rsid w:val="009727FF"/>
    <w:rsid w:val="00972AB7"/>
    <w:rsid w:val="00972C23"/>
    <w:rsid w:val="00973422"/>
    <w:rsid w:val="00974630"/>
    <w:rsid w:val="00974E87"/>
    <w:rsid w:val="009755B4"/>
    <w:rsid w:val="00975622"/>
    <w:rsid w:val="009759C1"/>
    <w:rsid w:val="00975AFC"/>
    <w:rsid w:val="00975EFE"/>
    <w:rsid w:val="00976035"/>
    <w:rsid w:val="0097632B"/>
    <w:rsid w:val="00976B91"/>
    <w:rsid w:val="00976F65"/>
    <w:rsid w:val="009772FE"/>
    <w:rsid w:val="00977400"/>
    <w:rsid w:val="00977817"/>
    <w:rsid w:val="0098021C"/>
    <w:rsid w:val="00980CE0"/>
    <w:rsid w:val="00980DDE"/>
    <w:rsid w:val="0098108E"/>
    <w:rsid w:val="009814EF"/>
    <w:rsid w:val="00981F7E"/>
    <w:rsid w:val="00981F88"/>
    <w:rsid w:val="00982037"/>
    <w:rsid w:val="00982D86"/>
    <w:rsid w:val="00982EA8"/>
    <w:rsid w:val="00983EE7"/>
    <w:rsid w:val="0098461C"/>
    <w:rsid w:val="009847CD"/>
    <w:rsid w:val="00984F1D"/>
    <w:rsid w:val="00985063"/>
    <w:rsid w:val="00985677"/>
    <w:rsid w:val="009862D6"/>
    <w:rsid w:val="00986AF5"/>
    <w:rsid w:val="00987827"/>
    <w:rsid w:val="00990291"/>
    <w:rsid w:val="00990A18"/>
    <w:rsid w:val="0099100A"/>
    <w:rsid w:val="00991954"/>
    <w:rsid w:val="0099364E"/>
    <w:rsid w:val="00993EC1"/>
    <w:rsid w:val="00994A55"/>
    <w:rsid w:val="00994F66"/>
    <w:rsid w:val="00995BB9"/>
    <w:rsid w:val="00995F93"/>
    <w:rsid w:val="0099612A"/>
    <w:rsid w:val="00996CA3"/>
    <w:rsid w:val="00996CFD"/>
    <w:rsid w:val="009974F8"/>
    <w:rsid w:val="009A006A"/>
    <w:rsid w:val="009A1179"/>
    <w:rsid w:val="009A1A1F"/>
    <w:rsid w:val="009A1C27"/>
    <w:rsid w:val="009A24EA"/>
    <w:rsid w:val="009A27EF"/>
    <w:rsid w:val="009A2D08"/>
    <w:rsid w:val="009A356A"/>
    <w:rsid w:val="009A3BE3"/>
    <w:rsid w:val="009A4A01"/>
    <w:rsid w:val="009A561E"/>
    <w:rsid w:val="009A57CC"/>
    <w:rsid w:val="009A6EC9"/>
    <w:rsid w:val="009B013A"/>
    <w:rsid w:val="009B0917"/>
    <w:rsid w:val="009B15D4"/>
    <w:rsid w:val="009B1CEF"/>
    <w:rsid w:val="009B229B"/>
    <w:rsid w:val="009B2F66"/>
    <w:rsid w:val="009B3009"/>
    <w:rsid w:val="009B343C"/>
    <w:rsid w:val="009B3CA4"/>
    <w:rsid w:val="009B3EE2"/>
    <w:rsid w:val="009B4AD8"/>
    <w:rsid w:val="009B5142"/>
    <w:rsid w:val="009B5726"/>
    <w:rsid w:val="009B6251"/>
    <w:rsid w:val="009B62F7"/>
    <w:rsid w:val="009B6AE2"/>
    <w:rsid w:val="009B6F05"/>
    <w:rsid w:val="009C04BB"/>
    <w:rsid w:val="009C0D33"/>
    <w:rsid w:val="009C1BE3"/>
    <w:rsid w:val="009C3ED9"/>
    <w:rsid w:val="009C4510"/>
    <w:rsid w:val="009C4885"/>
    <w:rsid w:val="009C4B75"/>
    <w:rsid w:val="009C51D6"/>
    <w:rsid w:val="009C5A4C"/>
    <w:rsid w:val="009C6022"/>
    <w:rsid w:val="009C6290"/>
    <w:rsid w:val="009C758C"/>
    <w:rsid w:val="009C7838"/>
    <w:rsid w:val="009C7976"/>
    <w:rsid w:val="009C7FE1"/>
    <w:rsid w:val="009D0D27"/>
    <w:rsid w:val="009D1764"/>
    <w:rsid w:val="009D1C36"/>
    <w:rsid w:val="009D1EDD"/>
    <w:rsid w:val="009D2244"/>
    <w:rsid w:val="009D28E5"/>
    <w:rsid w:val="009D3786"/>
    <w:rsid w:val="009D3E4D"/>
    <w:rsid w:val="009D448E"/>
    <w:rsid w:val="009D4CEA"/>
    <w:rsid w:val="009D5241"/>
    <w:rsid w:val="009D53B7"/>
    <w:rsid w:val="009D55D0"/>
    <w:rsid w:val="009D579A"/>
    <w:rsid w:val="009D5BF3"/>
    <w:rsid w:val="009D5C8C"/>
    <w:rsid w:val="009D7BE9"/>
    <w:rsid w:val="009D7F28"/>
    <w:rsid w:val="009E0C0A"/>
    <w:rsid w:val="009E1D47"/>
    <w:rsid w:val="009E340B"/>
    <w:rsid w:val="009E366B"/>
    <w:rsid w:val="009E3E80"/>
    <w:rsid w:val="009E4242"/>
    <w:rsid w:val="009E4AA3"/>
    <w:rsid w:val="009E51C5"/>
    <w:rsid w:val="009E590C"/>
    <w:rsid w:val="009E5C2A"/>
    <w:rsid w:val="009E643C"/>
    <w:rsid w:val="009E685D"/>
    <w:rsid w:val="009E6C2A"/>
    <w:rsid w:val="009E6DCA"/>
    <w:rsid w:val="009E7B2C"/>
    <w:rsid w:val="009F2C2A"/>
    <w:rsid w:val="009F31D4"/>
    <w:rsid w:val="009F3EC6"/>
    <w:rsid w:val="009F4307"/>
    <w:rsid w:val="009F50F6"/>
    <w:rsid w:val="009F589E"/>
    <w:rsid w:val="009F6BEA"/>
    <w:rsid w:val="009F7364"/>
    <w:rsid w:val="009F766E"/>
    <w:rsid w:val="00A0165A"/>
    <w:rsid w:val="00A016F1"/>
    <w:rsid w:val="00A01AC9"/>
    <w:rsid w:val="00A01B5F"/>
    <w:rsid w:val="00A02028"/>
    <w:rsid w:val="00A02729"/>
    <w:rsid w:val="00A029AD"/>
    <w:rsid w:val="00A02CB5"/>
    <w:rsid w:val="00A03647"/>
    <w:rsid w:val="00A045CF"/>
    <w:rsid w:val="00A04715"/>
    <w:rsid w:val="00A066D4"/>
    <w:rsid w:val="00A0776B"/>
    <w:rsid w:val="00A07A10"/>
    <w:rsid w:val="00A1165B"/>
    <w:rsid w:val="00A11D83"/>
    <w:rsid w:val="00A11EB1"/>
    <w:rsid w:val="00A125CF"/>
    <w:rsid w:val="00A12BB4"/>
    <w:rsid w:val="00A12CB4"/>
    <w:rsid w:val="00A13853"/>
    <w:rsid w:val="00A13CA4"/>
    <w:rsid w:val="00A13F5C"/>
    <w:rsid w:val="00A159FC"/>
    <w:rsid w:val="00A15DE2"/>
    <w:rsid w:val="00A15F40"/>
    <w:rsid w:val="00A1682D"/>
    <w:rsid w:val="00A16E8D"/>
    <w:rsid w:val="00A174B1"/>
    <w:rsid w:val="00A208A4"/>
    <w:rsid w:val="00A20C9D"/>
    <w:rsid w:val="00A222CF"/>
    <w:rsid w:val="00A2315C"/>
    <w:rsid w:val="00A231BB"/>
    <w:rsid w:val="00A2328D"/>
    <w:rsid w:val="00A23920"/>
    <w:rsid w:val="00A2459E"/>
    <w:rsid w:val="00A25839"/>
    <w:rsid w:val="00A25AAF"/>
    <w:rsid w:val="00A26176"/>
    <w:rsid w:val="00A27634"/>
    <w:rsid w:val="00A27CA5"/>
    <w:rsid w:val="00A30A42"/>
    <w:rsid w:val="00A31065"/>
    <w:rsid w:val="00A31192"/>
    <w:rsid w:val="00A3194E"/>
    <w:rsid w:val="00A321D5"/>
    <w:rsid w:val="00A32B50"/>
    <w:rsid w:val="00A33087"/>
    <w:rsid w:val="00A33A62"/>
    <w:rsid w:val="00A353AF"/>
    <w:rsid w:val="00A353CB"/>
    <w:rsid w:val="00A3688A"/>
    <w:rsid w:val="00A36EEE"/>
    <w:rsid w:val="00A37394"/>
    <w:rsid w:val="00A3743B"/>
    <w:rsid w:val="00A377EF"/>
    <w:rsid w:val="00A402A4"/>
    <w:rsid w:val="00A40A6F"/>
    <w:rsid w:val="00A418A8"/>
    <w:rsid w:val="00A42005"/>
    <w:rsid w:val="00A442AB"/>
    <w:rsid w:val="00A44FD6"/>
    <w:rsid w:val="00A4552C"/>
    <w:rsid w:val="00A4553A"/>
    <w:rsid w:val="00A45937"/>
    <w:rsid w:val="00A46756"/>
    <w:rsid w:val="00A46997"/>
    <w:rsid w:val="00A470C0"/>
    <w:rsid w:val="00A514C1"/>
    <w:rsid w:val="00A51DBB"/>
    <w:rsid w:val="00A51EC3"/>
    <w:rsid w:val="00A53CDE"/>
    <w:rsid w:val="00A54111"/>
    <w:rsid w:val="00A548F3"/>
    <w:rsid w:val="00A54AFF"/>
    <w:rsid w:val="00A553C2"/>
    <w:rsid w:val="00A55D96"/>
    <w:rsid w:val="00A55F3F"/>
    <w:rsid w:val="00A56077"/>
    <w:rsid w:val="00A56E0C"/>
    <w:rsid w:val="00A577D6"/>
    <w:rsid w:val="00A605C8"/>
    <w:rsid w:val="00A60A62"/>
    <w:rsid w:val="00A61995"/>
    <w:rsid w:val="00A62384"/>
    <w:rsid w:val="00A62549"/>
    <w:rsid w:val="00A62B96"/>
    <w:rsid w:val="00A63B1F"/>
    <w:rsid w:val="00A643F8"/>
    <w:rsid w:val="00A64477"/>
    <w:rsid w:val="00A647FA"/>
    <w:rsid w:val="00A64854"/>
    <w:rsid w:val="00A65286"/>
    <w:rsid w:val="00A6621F"/>
    <w:rsid w:val="00A665B9"/>
    <w:rsid w:val="00A66B78"/>
    <w:rsid w:val="00A671E4"/>
    <w:rsid w:val="00A6745B"/>
    <w:rsid w:val="00A674B7"/>
    <w:rsid w:val="00A70CAC"/>
    <w:rsid w:val="00A725A5"/>
    <w:rsid w:val="00A73187"/>
    <w:rsid w:val="00A73DBC"/>
    <w:rsid w:val="00A73FA6"/>
    <w:rsid w:val="00A7574A"/>
    <w:rsid w:val="00A75B55"/>
    <w:rsid w:val="00A763A5"/>
    <w:rsid w:val="00A76E4D"/>
    <w:rsid w:val="00A77D6C"/>
    <w:rsid w:val="00A80688"/>
    <w:rsid w:val="00A806EA"/>
    <w:rsid w:val="00A80FB0"/>
    <w:rsid w:val="00A83854"/>
    <w:rsid w:val="00A83C9E"/>
    <w:rsid w:val="00A84E53"/>
    <w:rsid w:val="00A84FD7"/>
    <w:rsid w:val="00A8556C"/>
    <w:rsid w:val="00A8576E"/>
    <w:rsid w:val="00A85D89"/>
    <w:rsid w:val="00A85E32"/>
    <w:rsid w:val="00A861C0"/>
    <w:rsid w:val="00A870FA"/>
    <w:rsid w:val="00A87205"/>
    <w:rsid w:val="00A8746F"/>
    <w:rsid w:val="00A87F6C"/>
    <w:rsid w:val="00A90747"/>
    <w:rsid w:val="00A90A62"/>
    <w:rsid w:val="00A90C4D"/>
    <w:rsid w:val="00A90E8D"/>
    <w:rsid w:val="00A90EE1"/>
    <w:rsid w:val="00A9249A"/>
    <w:rsid w:val="00A938BD"/>
    <w:rsid w:val="00A93EC5"/>
    <w:rsid w:val="00A94292"/>
    <w:rsid w:val="00A94AEF"/>
    <w:rsid w:val="00A94D14"/>
    <w:rsid w:val="00A954ED"/>
    <w:rsid w:val="00A958E3"/>
    <w:rsid w:val="00A95FB7"/>
    <w:rsid w:val="00A962AB"/>
    <w:rsid w:val="00A96A34"/>
    <w:rsid w:val="00A96E26"/>
    <w:rsid w:val="00AA1008"/>
    <w:rsid w:val="00AA252F"/>
    <w:rsid w:val="00AA26EF"/>
    <w:rsid w:val="00AA291B"/>
    <w:rsid w:val="00AA31E4"/>
    <w:rsid w:val="00AA3229"/>
    <w:rsid w:val="00AA32D9"/>
    <w:rsid w:val="00AA33A7"/>
    <w:rsid w:val="00AA3EB1"/>
    <w:rsid w:val="00AA4298"/>
    <w:rsid w:val="00AA4C5A"/>
    <w:rsid w:val="00AA56B0"/>
    <w:rsid w:val="00AA5B9C"/>
    <w:rsid w:val="00AA612A"/>
    <w:rsid w:val="00AA6135"/>
    <w:rsid w:val="00AA657F"/>
    <w:rsid w:val="00AA6BE5"/>
    <w:rsid w:val="00AA6E77"/>
    <w:rsid w:val="00AA7A2E"/>
    <w:rsid w:val="00AB02C9"/>
    <w:rsid w:val="00AB0B71"/>
    <w:rsid w:val="00AB1416"/>
    <w:rsid w:val="00AB2465"/>
    <w:rsid w:val="00AB2DC7"/>
    <w:rsid w:val="00AB30B2"/>
    <w:rsid w:val="00AB30D9"/>
    <w:rsid w:val="00AB3615"/>
    <w:rsid w:val="00AB3B06"/>
    <w:rsid w:val="00AB417E"/>
    <w:rsid w:val="00AB5DE7"/>
    <w:rsid w:val="00AB65AA"/>
    <w:rsid w:val="00AB65D9"/>
    <w:rsid w:val="00AB745F"/>
    <w:rsid w:val="00AB76D8"/>
    <w:rsid w:val="00AC07CA"/>
    <w:rsid w:val="00AC0E6B"/>
    <w:rsid w:val="00AC14DD"/>
    <w:rsid w:val="00AC25A6"/>
    <w:rsid w:val="00AC2C0E"/>
    <w:rsid w:val="00AC330C"/>
    <w:rsid w:val="00AC35C8"/>
    <w:rsid w:val="00AC3C38"/>
    <w:rsid w:val="00AC4BA0"/>
    <w:rsid w:val="00AC51A5"/>
    <w:rsid w:val="00AC5D69"/>
    <w:rsid w:val="00AC5DC9"/>
    <w:rsid w:val="00AC61C7"/>
    <w:rsid w:val="00AC717F"/>
    <w:rsid w:val="00AC7614"/>
    <w:rsid w:val="00AD03DB"/>
    <w:rsid w:val="00AD0474"/>
    <w:rsid w:val="00AD05B9"/>
    <w:rsid w:val="00AD18E4"/>
    <w:rsid w:val="00AD2401"/>
    <w:rsid w:val="00AD265A"/>
    <w:rsid w:val="00AD29B8"/>
    <w:rsid w:val="00AD2A15"/>
    <w:rsid w:val="00AD2B88"/>
    <w:rsid w:val="00AD4D3D"/>
    <w:rsid w:val="00AD5F94"/>
    <w:rsid w:val="00AD657D"/>
    <w:rsid w:val="00AD733C"/>
    <w:rsid w:val="00AD79AC"/>
    <w:rsid w:val="00AE044E"/>
    <w:rsid w:val="00AE05C6"/>
    <w:rsid w:val="00AE0654"/>
    <w:rsid w:val="00AE0F56"/>
    <w:rsid w:val="00AE1321"/>
    <w:rsid w:val="00AE1572"/>
    <w:rsid w:val="00AE1C2E"/>
    <w:rsid w:val="00AE1F55"/>
    <w:rsid w:val="00AE2F33"/>
    <w:rsid w:val="00AE3322"/>
    <w:rsid w:val="00AE388D"/>
    <w:rsid w:val="00AE3971"/>
    <w:rsid w:val="00AE39FB"/>
    <w:rsid w:val="00AE3BBF"/>
    <w:rsid w:val="00AE41FA"/>
    <w:rsid w:val="00AE482D"/>
    <w:rsid w:val="00AE4B81"/>
    <w:rsid w:val="00AE4CA7"/>
    <w:rsid w:val="00AE4FC8"/>
    <w:rsid w:val="00AE6163"/>
    <w:rsid w:val="00AE63BB"/>
    <w:rsid w:val="00AE6585"/>
    <w:rsid w:val="00AE6B5B"/>
    <w:rsid w:val="00AE710E"/>
    <w:rsid w:val="00AE72E8"/>
    <w:rsid w:val="00AE7D83"/>
    <w:rsid w:val="00AF013D"/>
    <w:rsid w:val="00AF01C1"/>
    <w:rsid w:val="00AF0568"/>
    <w:rsid w:val="00AF091F"/>
    <w:rsid w:val="00AF0BCB"/>
    <w:rsid w:val="00AF1BD2"/>
    <w:rsid w:val="00AF1DEE"/>
    <w:rsid w:val="00AF202E"/>
    <w:rsid w:val="00AF2696"/>
    <w:rsid w:val="00AF3CD2"/>
    <w:rsid w:val="00AF46E2"/>
    <w:rsid w:val="00AF4864"/>
    <w:rsid w:val="00AF54E8"/>
    <w:rsid w:val="00AF550A"/>
    <w:rsid w:val="00AF5E44"/>
    <w:rsid w:val="00AF7C75"/>
    <w:rsid w:val="00AF7F36"/>
    <w:rsid w:val="00B0034C"/>
    <w:rsid w:val="00B006A5"/>
    <w:rsid w:val="00B00C6E"/>
    <w:rsid w:val="00B014D7"/>
    <w:rsid w:val="00B023C5"/>
    <w:rsid w:val="00B0294D"/>
    <w:rsid w:val="00B057F7"/>
    <w:rsid w:val="00B07144"/>
    <w:rsid w:val="00B07EC2"/>
    <w:rsid w:val="00B07F21"/>
    <w:rsid w:val="00B10378"/>
    <w:rsid w:val="00B10840"/>
    <w:rsid w:val="00B10A54"/>
    <w:rsid w:val="00B110DB"/>
    <w:rsid w:val="00B11A7F"/>
    <w:rsid w:val="00B11E00"/>
    <w:rsid w:val="00B12A0B"/>
    <w:rsid w:val="00B131F9"/>
    <w:rsid w:val="00B1344A"/>
    <w:rsid w:val="00B1432D"/>
    <w:rsid w:val="00B15941"/>
    <w:rsid w:val="00B15D27"/>
    <w:rsid w:val="00B16972"/>
    <w:rsid w:val="00B16A96"/>
    <w:rsid w:val="00B17D44"/>
    <w:rsid w:val="00B2077D"/>
    <w:rsid w:val="00B20975"/>
    <w:rsid w:val="00B20A21"/>
    <w:rsid w:val="00B21167"/>
    <w:rsid w:val="00B220BE"/>
    <w:rsid w:val="00B2284E"/>
    <w:rsid w:val="00B234A9"/>
    <w:rsid w:val="00B2363E"/>
    <w:rsid w:val="00B23CE4"/>
    <w:rsid w:val="00B23D03"/>
    <w:rsid w:val="00B2415D"/>
    <w:rsid w:val="00B24304"/>
    <w:rsid w:val="00B24C8C"/>
    <w:rsid w:val="00B251C4"/>
    <w:rsid w:val="00B25768"/>
    <w:rsid w:val="00B26703"/>
    <w:rsid w:val="00B26AB2"/>
    <w:rsid w:val="00B275DE"/>
    <w:rsid w:val="00B300A6"/>
    <w:rsid w:val="00B3064D"/>
    <w:rsid w:val="00B31568"/>
    <w:rsid w:val="00B315FD"/>
    <w:rsid w:val="00B316C2"/>
    <w:rsid w:val="00B31CA5"/>
    <w:rsid w:val="00B323CA"/>
    <w:rsid w:val="00B32E9A"/>
    <w:rsid w:val="00B33597"/>
    <w:rsid w:val="00B33820"/>
    <w:rsid w:val="00B33D01"/>
    <w:rsid w:val="00B33D16"/>
    <w:rsid w:val="00B3520B"/>
    <w:rsid w:val="00B36058"/>
    <w:rsid w:val="00B36284"/>
    <w:rsid w:val="00B368F2"/>
    <w:rsid w:val="00B36B85"/>
    <w:rsid w:val="00B36D36"/>
    <w:rsid w:val="00B372D2"/>
    <w:rsid w:val="00B373A6"/>
    <w:rsid w:val="00B376F6"/>
    <w:rsid w:val="00B37983"/>
    <w:rsid w:val="00B37CE1"/>
    <w:rsid w:val="00B37F27"/>
    <w:rsid w:val="00B40FEB"/>
    <w:rsid w:val="00B4107A"/>
    <w:rsid w:val="00B4143C"/>
    <w:rsid w:val="00B41773"/>
    <w:rsid w:val="00B41996"/>
    <w:rsid w:val="00B41D63"/>
    <w:rsid w:val="00B41F31"/>
    <w:rsid w:val="00B421CC"/>
    <w:rsid w:val="00B42C0A"/>
    <w:rsid w:val="00B43983"/>
    <w:rsid w:val="00B443E9"/>
    <w:rsid w:val="00B445F6"/>
    <w:rsid w:val="00B44A48"/>
    <w:rsid w:val="00B451D5"/>
    <w:rsid w:val="00B45399"/>
    <w:rsid w:val="00B45FD6"/>
    <w:rsid w:val="00B46022"/>
    <w:rsid w:val="00B46F58"/>
    <w:rsid w:val="00B47E2E"/>
    <w:rsid w:val="00B50ADB"/>
    <w:rsid w:val="00B511A0"/>
    <w:rsid w:val="00B523FB"/>
    <w:rsid w:val="00B53634"/>
    <w:rsid w:val="00B53704"/>
    <w:rsid w:val="00B544F8"/>
    <w:rsid w:val="00B54830"/>
    <w:rsid w:val="00B55E4D"/>
    <w:rsid w:val="00B5624B"/>
    <w:rsid w:val="00B628A5"/>
    <w:rsid w:val="00B63584"/>
    <w:rsid w:val="00B63AE2"/>
    <w:rsid w:val="00B63D0A"/>
    <w:rsid w:val="00B63E07"/>
    <w:rsid w:val="00B645F4"/>
    <w:rsid w:val="00B6625D"/>
    <w:rsid w:val="00B70264"/>
    <w:rsid w:val="00B710CD"/>
    <w:rsid w:val="00B72506"/>
    <w:rsid w:val="00B72F90"/>
    <w:rsid w:val="00B74753"/>
    <w:rsid w:val="00B758A1"/>
    <w:rsid w:val="00B765B8"/>
    <w:rsid w:val="00B76C49"/>
    <w:rsid w:val="00B808A8"/>
    <w:rsid w:val="00B80BA3"/>
    <w:rsid w:val="00B80FD0"/>
    <w:rsid w:val="00B8140B"/>
    <w:rsid w:val="00B81A06"/>
    <w:rsid w:val="00B8287C"/>
    <w:rsid w:val="00B82D59"/>
    <w:rsid w:val="00B833F0"/>
    <w:rsid w:val="00B83C74"/>
    <w:rsid w:val="00B84D8F"/>
    <w:rsid w:val="00B84DEE"/>
    <w:rsid w:val="00B86979"/>
    <w:rsid w:val="00B87F5C"/>
    <w:rsid w:val="00B90BCD"/>
    <w:rsid w:val="00B91812"/>
    <w:rsid w:val="00B92829"/>
    <w:rsid w:val="00B9288F"/>
    <w:rsid w:val="00B92B16"/>
    <w:rsid w:val="00B92DEB"/>
    <w:rsid w:val="00B93919"/>
    <w:rsid w:val="00B93A33"/>
    <w:rsid w:val="00B93F04"/>
    <w:rsid w:val="00B93FC4"/>
    <w:rsid w:val="00B94E31"/>
    <w:rsid w:val="00B94E57"/>
    <w:rsid w:val="00B952D6"/>
    <w:rsid w:val="00B95A36"/>
    <w:rsid w:val="00B95F9A"/>
    <w:rsid w:val="00B96055"/>
    <w:rsid w:val="00B96877"/>
    <w:rsid w:val="00B968DB"/>
    <w:rsid w:val="00B969C7"/>
    <w:rsid w:val="00B96C48"/>
    <w:rsid w:val="00B96CA9"/>
    <w:rsid w:val="00B9796C"/>
    <w:rsid w:val="00B979FE"/>
    <w:rsid w:val="00B97C03"/>
    <w:rsid w:val="00BA0709"/>
    <w:rsid w:val="00BA215D"/>
    <w:rsid w:val="00BA26EE"/>
    <w:rsid w:val="00BA2946"/>
    <w:rsid w:val="00BA2F90"/>
    <w:rsid w:val="00BA4127"/>
    <w:rsid w:val="00BA4623"/>
    <w:rsid w:val="00BA4E6B"/>
    <w:rsid w:val="00BA4FAA"/>
    <w:rsid w:val="00BA542B"/>
    <w:rsid w:val="00BA5714"/>
    <w:rsid w:val="00BA5D47"/>
    <w:rsid w:val="00BA6B1C"/>
    <w:rsid w:val="00BA6E56"/>
    <w:rsid w:val="00BA7A48"/>
    <w:rsid w:val="00BA7AC4"/>
    <w:rsid w:val="00BA7FE3"/>
    <w:rsid w:val="00BB1340"/>
    <w:rsid w:val="00BB3631"/>
    <w:rsid w:val="00BB3EBD"/>
    <w:rsid w:val="00BB4730"/>
    <w:rsid w:val="00BB4C48"/>
    <w:rsid w:val="00BB4E3B"/>
    <w:rsid w:val="00BB6536"/>
    <w:rsid w:val="00BB69BA"/>
    <w:rsid w:val="00BB7543"/>
    <w:rsid w:val="00BB7AFF"/>
    <w:rsid w:val="00BB7E2B"/>
    <w:rsid w:val="00BC023E"/>
    <w:rsid w:val="00BC0AF8"/>
    <w:rsid w:val="00BC0C43"/>
    <w:rsid w:val="00BC126D"/>
    <w:rsid w:val="00BC1F0A"/>
    <w:rsid w:val="00BC2247"/>
    <w:rsid w:val="00BC2B96"/>
    <w:rsid w:val="00BC2C92"/>
    <w:rsid w:val="00BC2D95"/>
    <w:rsid w:val="00BC3165"/>
    <w:rsid w:val="00BC3B5B"/>
    <w:rsid w:val="00BC3BD5"/>
    <w:rsid w:val="00BC45BE"/>
    <w:rsid w:val="00BC4FEE"/>
    <w:rsid w:val="00BC5D38"/>
    <w:rsid w:val="00BC67DE"/>
    <w:rsid w:val="00BC736A"/>
    <w:rsid w:val="00BC75E3"/>
    <w:rsid w:val="00BC7F34"/>
    <w:rsid w:val="00BD062A"/>
    <w:rsid w:val="00BD0C28"/>
    <w:rsid w:val="00BD1883"/>
    <w:rsid w:val="00BD23F6"/>
    <w:rsid w:val="00BD2D63"/>
    <w:rsid w:val="00BD3893"/>
    <w:rsid w:val="00BD4DC9"/>
    <w:rsid w:val="00BD68DC"/>
    <w:rsid w:val="00BD692B"/>
    <w:rsid w:val="00BD7535"/>
    <w:rsid w:val="00BD7A68"/>
    <w:rsid w:val="00BD7D47"/>
    <w:rsid w:val="00BE166A"/>
    <w:rsid w:val="00BE2874"/>
    <w:rsid w:val="00BE327C"/>
    <w:rsid w:val="00BE4126"/>
    <w:rsid w:val="00BE59A9"/>
    <w:rsid w:val="00BE5ACA"/>
    <w:rsid w:val="00BE5C31"/>
    <w:rsid w:val="00BE5F73"/>
    <w:rsid w:val="00BE6907"/>
    <w:rsid w:val="00BE6A7E"/>
    <w:rsid w:val="00BE7D24"/>
    <w:rsid w:val="00BE7D3A"/>
    <w:rsid w:val="00BE7FCC"/>
    <w:rsid w:val="00BF05EB"/>
    <w:rsid w:val="00BF07D3"/>
    <w:rsid w:val="00BF105E"/>
    <w:rsid w:val="00BF2093"/>
    <w:rsid w:val="00BF25DF"/>
    <w:rsid w:val="00BF30F4"/>
    <w:rsid w:val="00BF3F2E"/>
    <w:rsid w:val="00BF6004"/>
    <w:rsid w:val="00BF604C"/>
    <w:rsid w:val="00BF72EB"/>
    <w:rsid w:val="00BF7C7C"/>
    <w:rsid w:val="00C00D20"/>
    <w:rsid w:val="00C0132E"/>
    <w:rsid w:val="00C015A6"/>
    <w:rsid w:val="00C01824"/>
    <w:rsid w:val="00C026D8"/>
    <w:rsid w:val="00C0292A"/>
    <w:rsid w:val="00C03115"/>
    <w:rsid w:val="00C03F98"/>
    <w:rsid w:val="00C04026"/>
    <w:rsid w:val="00C040ED"/>
    <w:rsid w:val="00C04D39"/>
    <w:rsid w:val="00C05005"/>
    <w:rsid w:val="00C05899"/>
    <w:rsid w:val="00C078D3"/>
    <w:rsid w:val="00C07A87"/>
    <w:rsid w:val="00C11767"/>
    <w:rsid w:val="00C11987"/>
    <w:rsid w:val="00C11E43"/>
    <w:rsid w:val="00C126E8"/>
    <w:rsid w:val="00C1362C"/>
    <w:rsid w:val="00C13858"/>
    <w:rsid w:val="00C138E9"/>
    <w:rsid w:val="00C14086"/>
    <w:rsid w:val="00C14439"/>
    <w:rsid w:val="00C14AA8"/>
    <w:rsid w:val="00C15CF0"/>
    <w:rsid w:val="00C165DE"/>
    <w:rsid w:val="00C166F8"/>
    <w:rsid w:val="00C1699B"/>
    <w:rsid w:val="00C16B42"/>
    <w:rsid w:val="00C16B6B"/>
    <w:rsid w:val="00C16C3E"/>
    <w:rsid w:val="00C16D9F"/>
    <w:rsid w:val="00C17181"/>
    <w:rsid w:val="00C17466"/>
    <w:rsid w:val="00C17831"/>
    <w:rsid w:val="00C208E2"/>
    <w:rsid w:val="00C20945"/>
    <w:rsid w:val="00C20A00"/>
    <w:rsid w:val="00C20CE5"/>
    <w:rsid w:val="00C20CFB"/>
    <w:rsid w:val="00C22F97"/>
    <w:rsid w:val="00C232D4"/>
    <w:rsid w:val="00C24463"/>
    <w:rsid w:val="00C24554"/>
    <w:rsid w:val="00C258E0"/>
    <w:rsid w:val="00C26D31"/>
    <w:rsid w:val="00C26EA8"/>
    <w:rsid w:val="00C27209"/>
    <w:rsid w:val="00C304A3"/>
    <w:rsid w:val="00C307FD"/>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5CDF"/>
    <w:rsid w:val="00C36967"/>
    <w:rsid w:val="00C411B3"/>
    <w:rsid w:val="00C41D7D"/>
    <w:rsid w:val="00C41FF6"/>
    <w:rsid w:val="00C420DF"/>
    <w:rsid w:val="00C42218"/>
    <w:rsid w:val="00C422B9"/>
    <w:rsid w:val="00C432A9"/>
    <w:rsid w:val="00C43B90"/>
    <w:rsid w:val="00C441DD"/>
    <w:rsid w:val="00C44372"/>
    <w:rsid w:val="00C44B74"/>
    <w:rsid w:val="00C45ADD"/>
    <w:rsid w:val="00C4608D"/>
    <w:rsid w:val="00C4615B"/>
    <w:rsid w:val="00C4635E"/>
    <w:rsid w:val="00C46632"/>
    <w:rsid w:val="00C46674"/>
    <w:rsid w:val="00C47E01"/>
    <w:rsid w:val="00C5009F"/>
    <w:rsid w:val="00C50441"/>
    <w:rsid w:val="00C5180E"/>
    <w:rsid w:val="00C52BA0"/>
    <w:rsid w:val="00C53226"/>
    <w:rsid w:val="00C53551"/>
    <w:rsid w:val="00C538E1"/>
    <w:rsid w:val="00C54452"/>
    <w:rsid w:val="00C5446F"/>
    <w:rsid w:val="00C55292"/>
    <w:rsid w:val="00C55447"/>
    <w:rsid w:val="00C554E3"/>
    <w:rsid w:val="00C564F7"/>
    <w:rsid w:val="00C57DAF"/>
    <w:rsid w:val="00C60059"/>
    <w:rsid w:val="00C60385"/>
    <w:rsid w:val="00C603D5"/>
    <w:rsid w:val="00C61551"/>
    <w:rsid w:val="00C61B3E"/>
    <w:rsid w:val="00C61E91"/>
    <w:rsid w:val="00C623D1"/>
    <w:rsid w:val="00C623E5"/>
    <w:rsid w:val="00C634DB"/>
    <w:rsid w:val="00C63586"/>
    <w:rsid w:val="00C64F81"/>
    <w:rsid w:val="00C65058"/>
    <w:rsid w:val="00C65E0E"/>
    <w:rsid w:val="00C6696F"/>
    <w:rsid w:val="00C669B5"/>
    <w:rsid w:val="00C66BEA"/>
    <w:rsid w:val="00C66BF8"/>
    <w:rsid w:val="00C67157"/>
    <w:rsid w:val="00C6735A"/>
    <w:rsid w:val="00C70287"/>
    <w:rsid w:val="00C71A64"/>
    <w:rsid w:val="00C71A83"/>
    <w:rsid w:val="00C722B6"/>
    <w:rsid w:val="00C734DF"/>
    <w:rsid w:val="00C73C79"/>
    <w:rsid w:val="00C73F87"/>
    <w:rsid w:val="00C754DC"/>
    <w:rsid w:val="00C758C7"/>
    <w:rsid w:val="00C75BD1"/>
    <w:rsid w:val="00C75F75"/>
    <w:rsid w:val="00C769A9"/>
    <w:rsid w:val="00C77BB5"/>
    <w:rsid w:val="00C8034C"/>
    <w:rsid w:val="00C81584"/>
    <w:rsid w:val="00C844D3"/>
    <w:rsid w:val="00C84675"/>
    <w:rsid w:val="00C850FF"/>
    <w:rsid w:val="00C85CB1"/>
    <w:rsid w:val="00C85E90"/>
    <w:rsid w:val="00C863C7"/>
    <w:rsid w:val="00C86446"/>
    <w:rsid w:val="00C86ACA"/>
    <w:rsid w:val="00C87086"/>
    <w:rsid w:val="00C871D1"/>
    <w:rsid w:val="00C8737F"/>
    <w:rsid w:val="00C90286"/>
    <w:rsid w:val="00C91DD8"/>
    <w:rsid w:val="00C92DA9"/>
    <w:rsid w:val="00C92F56"/>
    <w:rsid w:val="00C93BD1"/>
    <w:rsid w:val="00C93C7A"/>
    <w:rsid w:val="00C93F4E"/>
    <w:rsid w:val="00C9479F"/>
    <w:rsid w:val="00C94CBD"/>
    <w:rsid w:val="00C94D33"/>
    <w:rsid w:val="00C95504"/>
    <w:rsid w:val="00C96857"/>
    <w:rsid w:val="00C973BD"/>
    <w:rsid w:val="00CA0A44"/>
    <w:rsid w:val="00CA0A85"/>
    <w:rsid w:val="00CA1B11"/>
    <w:rsid w:val="00CA33AF"/>
    <w:rsid w:val="00CA3744"/>
    <w:rsid w:val="00CA3B94"/>
    <w:rsid w:val="00CA3C7B"/>
    <w:rsid w:val="00CA3C9C"/>
    <w:rsid w:val="00CA52F1"/>
    <w:rsid w:val="00CA7207"/>
    <w:rsid w:val="00CA793C"/>
    <w:rsid w:val="00CB289E"/>
    <w:rsid w:val="00CB2B2B"/>
    <w:rsid w:val="00CB3D6A"/>
    <w:rsid w:val="00CB4660"/>
    <w:rsid w:val="00CB52C6"/>
    <w:rsid w:val="00CB5825"/>
    <w:rsid w:val="00CB6D06"/>
    <w:rsid w:val="00CB7081"/>
    <w:rsid w:val="00CC053A"/>
    <w:rsid w:val="00CC1452"/>
    <w:rsid w:val="00CC1942"/>
    <w:rsid w:val="00CC1DD4"/>
    <w:rsid w:val="00CC263C"/>
    <w:rsid w:val="00CC28F7"/>
    <w:rsid w:val="00CC376D"/>
    <w:rsid w:val="00CC41C0"/>
    <w:rsid w:val="00CC4B5A"/>
    <w:rsid w:val="00CC4F3D"/>
    <w:rsid w:val="00CC66B7"/>
    <w:rsid w:val="00CC7084"/>
    <w:rsid w:val="00CC74CA"/>
    <w:rsid w:val="00CC786F"/>
    <w:rsid w:val="00CC7DB9"/>
    <w:rsid w:val="00CD03AA"/>
    <w:rsid w:val="00CD1A21"/>
    <w:rsid w:val="00CD2562"/>
    <w:rsid w:val="00CD27AB"/>
    <w:rsid w:val="00CD38BB"/>
    <w:rsid w:val="00CD3E0F"/>
    <w:rsid w:val="00CD3F2F"/>
    <w:rsid w:val="00CD4A74"/>
    <w:rsid w:val="00CD4CB7"/>
    <w:rsid w:val="00CD507F"/>
    <w:rsid w:val="00CD5731"/>
    <w:rsid w:val="00CD6C3F"/>
    <w:rsid w:val="00CD6EB6"/>
    <w:rsid w:val="00CD71E0"/>
    <w:rsid w:val="00CD7B1F"/>
    <w:rsid w:val="00CD7BE5"/>
    <w:rsid w:val="00CE130F"/>
    <w:rsid w:val="00CE131E"/>
    <w:rsid w:val="00CE1BCC"/>
    <w:rsid w:val="00CE1FEC"/>
    <w:rsid w:val="00CE376B"/>
    <w:rsid w:val="00CE4432"/>
    <w:rsid w:val="00CE44C1"/>
    <w:rsid w:val="00CE4CEF"/>
    <w:rsid w:val="00CE57C1"/>
    <w:rsid w:val="00CE5C10"/>
    <w:rsid w:val="00CE6280"/>
    <w:rsid w:val="00CE6550"/>
    <w:rsid w:val="00CE6BC7"/>
    <w:rsid w:val="00CE6C2D"/>
    <w:rsid w:val="00CE6C6E"/>
    <w:rsid w:val="00CF07FF"/>
    <w:rsid w:val="00CF0AEA"/>
    <w:rsid w:val="00CF22E6"/>
    <w:rsid w:val="00CF26BE"/>
    <w:rsid w:val="00CF2E8E"/>
    <w:rsid w:val="00CF3024"/>
    <w:rsid w:val="00CF32DD"/>
    <w:rsid w:val="00CF3CC6"/>
    <w:rsid w:val="00CF3DAB"/>
    <w:rsid w:val="00CF3E1D"/>
    <w:rsid w:val="00CF4A7D"/>
    <w:rsid w:val="00CF6535"/>
    <w:rsid w:val="00CF6734"/>
    <w:rsid w:val="00CF68FB"/>
    <w:rsid w:val="00CF772F"/>
    <w:rsid w:val="00CF7C7B"/>
    <w:rsid w:val="00D00660"/>
    <w:rsid w:val="00D00941"/>
    <w:rsid w:val="00D00CEC"/>
    <w:rsid w:val="00D0198E"/>
    <w:rsid w:val="00D0266B"/>
    <w:rsid w:val="00D02AB3"/>
    <w:rsid w:val="00D02E89"/>
    <w:rsid w:val="00D03324"/>
    <w:rsid w:val="00D03BC0"/>
    <w:rsid w:val="00D04E8B"/>
    <w:rsid w:val="00D06506"/>
    <w:rsid w:val="00D0729C"/>
    <w:rsid w:val="00D07B47"/>
    <w:rsid w:val="00D1005D"/>
    <w:rsid w:val="00D1247A"/>
    <w:rsid w:val="00D133BD"/>
    <w:rsid w:val="00D1434B"/>
    <w:rsid w:val="00D14C06"/>
    <w:rsid w:val="00D14D18"/>
    <w:rsid w:val="00D15672"/>
    <w:rsid w:val="00D16960"/>
    <w:rsid w:val="00D16E3B"/>
    <w:rsid w:val="00D17348"/>
    <w:rsid w:val="00D17708"/>
    <w:rsid w:val="00D2069E"/>
    <w:rsid w:val="00D20BCB"/>
    <w:rsid w:val="00D20DC0"/>
    <w:rsid w:val="00D213B3"/>
    <w:rsid w:val="00D217FC"/>
    <w:rsid w:val="00D21EAD"/>
    <w:rsid w:val="00D21EC0"/>
    <w:rsid w:val="00D23409"/>
    <w:rsid w:val="00D236AB"/>
    <w:rsid w:val="00D23E71"/>
    <w:rsid w:val="00D249AD"/>
    <w:rsid w:val="00D25713"/>
    <w:rsid w:val="00D25D43"/>
    <w:rsid w:val="00D26807"/>
    <w:rsid w:val="00D27287"/>
    <w:rsid w:val="00D27F4F"/>
    <w:rsid w:val="00D30D21"/>
    <w:rsid w:val="00D30FAD"/>
    <w:rsid w:val="00D3117A"/>
    <w:rsid w:val="00D315AA"/>
    <w:rsid w:val="00D3199D"/>
    <w:rsid w:val="00D31ACF"/>
    <w:rsid w:val="00D31E39"/>
    <w:rsid w:val="00D32693"/>
    <w:rsid w:val="00D3271A"/>
    <w:rsid w:val="00D32BE9"/>
    <w:rsid w:val="00D33001"/>
    <w:rsid w:val="00D33573"/>
    <w:rsid w:val="00D34100"/>
    <w:rsid w:val="00D3427B"/>
    <w:rsid w:val="00D34298"/>
    <w:rsid w:val="00D3471E"/>
    <w:rsid w:val="00D34769"/>
    <w:rsid w:val="00D34BA9"/>
    <w:rsid w:val="00D34C5A"/>
    <w:rsid w:val="00D3579F"/>
    <w:rsid w:val="00D35B77"/>
    <w:rsid w:val="00D369E8"/>
    <w:rsid w:val="00D36FEB"/>
    <w:rsid w:val="00D377B0"/>
    <w:rsid w:val="00D37814"/>
    <w:rsid w:val="00D37F3F"/>
    <w:rsid w:val="00D40828"/>
    <w:rsid w:val="00D40EE9"/>
    <w:rsid w:val="00D40F5E"/>
    <w:rsid w:val="00D42634"/>
    <w:rsid w:val="00D42B0F"/>
    <w:rsid w:val="00D432FB"/>
    <w:rsid w:val="00D439E7"/>
    <w:rsid w:val="00D44AA3"/>
    <w:rsid w:val="00D4516D"/>
    <w:rsid w:val="00D46478"/>
    <w:rsid w:val="00D46807"/>
    <w:rsid w:val="00D47035"/>
    <w:rsid w:val="00D475D7"/>
    <w:rsid w:val="00D479F7"/>
    <w:rsid w:val="00D47A1C"/>
    <w:rsid w:val="00D47E4A"/>
    <w:rsid w:val="00D47E65"/>
    <w:rsid w:val="00D501CB"/>
    <w:rsid w:val="00D50706"/>
    <w:rsid w:val="00D51EDB"/>
    <w:rsid w:val="00D52022"/>
    <w:rsid w:val="00D5203F"/>
    <w:rsid w:val="00D52A9D"/>
    <w:rsid w:val="00D52B4A"/>
    <w:rsid w:val="00D53DE2"/>
    <w:rsid w:val="00D554E0"/>
    <w:rsid w:val="00D55722"/>
    <w:rsid w:val="00D5574A"/>
    <w:rsid w:val="00D55BD5"/>
    <w:rsid w:val="00D5689E"/>
    <w:rsid w:val="00D57B1F"/>
    <w:rsid w:val="00D57D0C"/>
    <w:rsid w:val="00D602DA"/>
    <w:rsid w:val="00D60501"/>
    <w:rsid w:val="00D60BEA"/>
    <w:rsid w:val="00D6140A"/>
    <w:rsid w:val="00D6284B"/>
    <w:rsid w:val="00D62B97"/>
    <w:rsid w:val="00D64191"/>
    <w:rsid w:val="00D64DB4"/>
    <w:rsid w:val="00D65292"/>
    <w:rsid w:val="00D65C8F"/>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5F41"/>
    <w:rsid w:val="00D76651"/>
    <w:rsid w:val="00D7716B"/>
    <w:rsid w:val="00D77402"/>
    <w:rsid w:val="00D77B86"/>
    <w:rsid w:val="00D77CEC"/>
    <w:rsid w:val="00D80567"/>
    <w:rsid w:val="00D808F6"/>
    <w:rsid w:val="00D80ECA"/>
    <w:rsid w:val="00D8164C"/>
    <w:rsid w:val="00D8207A"/>
    <w:rsid w:val="00D82424"/>
    <w:rsid w:val="00D82913"/>
    <w:rsid w:val="00D82C7C"/>
    <w:rsid w:val="00D8374F"/>
    <w:rsid w:val="00D84A50"/>
    <w:rsid w:val="00D8514A"/>
    <w:rsid w:val="00D8580B"/>
    <w:rsid w:val="00D86458"/>
    <w:rsid w:val="00D86D02"/>
    <w:rsid w:val="00D90B5A"/>
    <w:rsid w:val="00D9255E"/>
    <w:rsid w:val="00D92DA6"/>
    <w:rsid w:val="00D953FB"/>
    <w:rsid w:val="00D95D64"/>
    <w:rsid w:val="00D96086"/>
    <w:rsid w:val="00D979A6"/>
    <w:rsid w:val="00DA0925"/>
    <w:rsid w:val="00DA1BC9"/>
    <w:rsid w:val="00DA2631"/>
    <w:rsid w:val="00DA272C"/>
    <w:rsid w:val="00DA2A6E"/>
    <w:rsid w:val="00DA31B4"/>
    <w:rsid w:val="00DA35CD"/>
    <w:rsid w:val="00DA3A00"/>
    <w:rsid w:val="00DA3B06"/>
    <w:rsid w:val="00DA7017"/>
    <w:rsid w:val="00DB020D"/>
    <w:rsid w:val="00DB0603"/>
    <w:rsid w:val="00DB06BC"/>
    <w:rsid w:val="00DB0E23"/>
    <w:rsid w:val="00DB148E"/>
    <w:rsid w:val="00DB2279"/>
    <w:rsid w:val="00DB3815"/>
    <w:rsid w:val="00DB4AFC"/>
    <w:rsid w:val="00DB4E14"/>
    <w:rsid w:val="00DB5098"/>
    <w:rsid w:val="00DB6648"/>
    <w:rsid w:val="00DB6A6E"/>
    <w:rsid w:val="00DB722C"/>
    <w:rsid w:val="00DC010E"/>
    <w:rsid w:val="00DC07EC"/>
    <w:rsid w:val="00DC0885"/>
    <w:rsid w:val="00DC0AB7"/>
    <w:rsid w:val="00DC0DEC"/>
    <w:rsid w:val="00DC175B"/>
    <w:rsid w:val="00DC1768"/>
    <w:rsid w:val="00DC1BFB"/>
    <w:rsid w:val="00DC1C3F"/>
    <w:rsid w:val="00DC1C75"/>
    <w:rsid w:val="00DC22FF"/>
    <w:rsid w:val="00DC3902"/>
    <w:rsid w:val="00DC3AEC"/>
    <w:rsid w:val="00DC4125"/>
    <w:rsid w:val="00DC44EE"/>
    <w:rsid w:val="00DC491A"/>
    <w:rsid w:val="00DC4CF3"/>
    <w:rsid w:val="00DC4D53"/>
    <w:rsid w:val="00DC50C1"/>
    <w:rsid w:val="00DC5149"/>
    <w:rsid w:val="00DC6B6A"/>
    <w:rsid w:val="00DC7781"/>
    <w:rsid w:val="00DC7D23"/>
    <w:rsid w:val="00DD0742"/>
    <w:rsid w:val="00DD1A76"/>
    <w:rsid w:val="00DD1B9B"/>
    <w:rsid w:val="00DD1CE2"/>
    <w:rsid w:val="00DD3D2C"/>
    <w:rsid w:val="00DD3F82"/>
    <w:rsid w:val="00DD4BD1"/>
    <w:rsid w:val="00DD615C"/>
    <w:rsid w:val="00DD634E"/>
    <w:rsid w:val="00DD6B75"/>
    <w:rsid w:val="00DD6FE9"/>
    <w:rsid w:val="00DD7A04"/>
    <w:rsid w:val="00DE18F3"/>
    <w:rsid w:val="00DE1B12"/>
    <w:rsid w:val="00DE21B9"/>
    <w:rsid w:val="00DE27B4"/>
    <w:rsid w:val="00DE2B3F"/>
    <w:rsid w:val="00DE2BB4"/>
    <w:rsid w:val="00DE3A09"/>
    <w:rsid w:val="00DE435A"/>
    <w:rsid w:val="00DE4C28"/>
    <w:rsid w:val="00DE5134"/>
    <w:rsid w:val="00DE54E4"/>
    <w:rsid w:val="00DE63C1"/>
    <w:rsid w:val="00DE6E93"/>
    <w:rsid w:val="00DE76B1"/>
    <w:rsid w:val="00DE77FC"/>
    <w:rsid w:val="00DE7BA3"/>
    <w:rsid w:val="00DF04DF"/>
    <w:rsid w:val="00DF0631"/>
    <w:rsid w:val="00DF0FBC"/>
    <w:rsid w:val="00DF101B"/>
    <w:rsid w:val="00DF19BF"/>
    <w:rsid w:val="00DF1D51"/>
    <w:rsid w:val="00DF21E4"/>
    <w:rsid w:val="00DF2551"/>
    <w:rsid w:val="00DF2CD6"/>
    <w:rsid w:val="00DF30D2"/>
    <w:rsid w:val="00DF3910"/>
    <w:rsid w:val="00DF45AF"/>
    <w:rsid w:val="00DF47DD"/>
    <w:rsid w:val="00DF504D"/>
    <w:rsid w:val="00DF5094"/>
    <w:rsid w:val="00DF55B2"/>
    <w:rsid w:val="00DF5710"/>
    <w:rsid w:val="00DF712F"/>
    <w:rsid w:val="00DF72B6"/>
    <w:rsid w:val="00E004E0"/>
    <w:rsid w:val="00E0064D"/>
    <w:rsid w:val="00E007E2"/>
    <w:rsid w:val="00E01D1A"/>
    <w:rsid w:val="00E01DA1"/>
    <w:rsid w:val="00E02330"/>
    <w:rsid w:val="00E0275A"/>
    <w:rsid w:val="00E02B7B"/>
    <w:rsid w:val="00E02C6B"/>
    <w:rsid w:val="00E02DDA"/>
    <w:rsid w:val="00E030DF"/>
    <w:rsid w:val="00E0330A"/>
    <w:rsid w:val="00E03DA7"/>
    <w:rsid w:val="00E05CF8"/>
    <w:rsid w:val="00E05E9A"/>
    <w:rsid w:val="00E06400"/>
    <w:rsid w:val="00E06601"/>
    <w:rsid w:val="00E067F1"/>
    <w:rsid w:val="00E10545"/>
    <w:rsid w:val="00E10D0E"/>
    <w:rsid w:val="00E11092"/>
    <w:rsid w:val="00E119AF"/>
    <w:rsid w:val="00E11BDA"/>
    <w:rsid w:val="00E11D7D"/>
    <w:rsid w:val="00E13D4D"/>
    <w:rsid w:val="00E13DCD"/>
    <w:rsid w:val="00E15935"/>
    <w:rsid w:val="00E15CA7"/>
    <w:rsid w:val="00E15DD3"/>
    <w:rsid w:val="00E1687B"/>
    <w:rsid w:val="00E16C15"/>
    <w:rsid w:val="00E16D88"/>
    <w:rsid w:val="00E2062E"/>
    <w:rsid w:val="00E212C6"/>
    <w:rsid w:val="00E21D0B"/>
    <w:rsid w:val="00E21EDD"/>
    <w:rsid w:val="00E2228B"/>
    <w:rsid w:val="00E233D1"/>
    <w:rsid w:val="00E247B3"/>
    <w:rsid w:val="00E24D9B"/>
    <w:rsid w:val="00E251B6"/>
    <w:rsid w:val="00E300BB"/>
    <w:rsid w:val="00E302D2"/>
    <w:rsid w:val="00E318B8"/>
    <w:rsid w:val="00E31D30"/>
    <w:rsid w:val="00E322A4"/>
    <w:rsid w:val="00E3317B"/>
    <w:rsid w:val="00E3367B"/>
    <w:rsid w:val="00E33C48"/>
    <w:rsid w:val="00E33F89"/>
    <w:rsid w:val="00E348C4"/>
    <w:rsid w:val="00E35724"/>
    <w:rsid w:val="00E35944"/>
    <w:rsid w:val="00E360AA"/>
    <w:rsid w:val="00E36469"/>
    <w:rsid w:val="00E3685C"/>
    <w:rsid w:val="00E36924"/>
    <w:rsid w:val="00E36D7A"/>
    <w:rsid w:val="00E40404"/>
    <w:rsid w:val="00E41514"/>
    <w:rsid w:val="00E420F1"/>
    <w:rsid w:val="00E42142"/>
    <w:rsid w:val="00E42250"/>
    <w:rsid w:val="00E42F50"/>
    <w:rsid w:val="00E43210"/>
    <w:rsid w:val="00E43D4E"/>
    <w:rsid w:val="00E44022"/>
    <w:rsid w:val="00E441C9"/>
    <w:rsid w:val="00E44291"/>
    <w:rsid w:val="00E44715"/>
    <w:rsid w:val="00E44B74"/>
    <w:rsid w:val="00E466A0"/>
    <w:rsid w:val="00E46747"/>
    <w:rsid w:val="00E471F0"/>
    <w:rsid w:val="00E5004A"/>
    <w:rsid w:val="00E513E0"/>
    <w:rsid w:val="00E520BE"/>
    <w:rsid w:val="00E522AD"/>
    <w:rsid w:val="00E52B5D"/>
    <w:rsid w:val="00E52DDE"/>
    <w:rsid w:val="00E53006"/>
    <w:rsid w:val="00E5511E"/>
    <w:rsid w:val="00E567BB"/>
    <w:rsid w:val="00E6152E"/>
    <w:rsid w:val="00E61F23"/>
    <w:rsid w:val="00E62438"/>
    <w:rsid w:val="00E62484"/>
    <w:rsid w:val="00E62789"/>
    <w:rsid w:val="00E63BA7"/>
    <w:rsid w:val="00E6408E"/>
    <w:rsid w:val="00E65505"/>
    <w:rsid w:val="00E66404"/>
    <w:rsid w:val="00E66A64"/>
    <w:rsid w:val="00E67554"/>
    <w:rsid w:val="00E67786"/>
    <w:rsid w:val="00E67DC6"/>
    <w:rsid w:val="00E70212"/>
    <w:rsid w:val="00E72750"/>
    <w:rsid w:val="00E72869"/>
    <w:rsid w:val="00E72C5F"/>
    <w:rsid w:val="00E73202"/>
    <w:rsid w:val="00E734AC"/>
    <w:rsid w:val="00E742BE"/>
    <w:rsid w:val="00E74802"/>
    <w:rsid w:val="00E75475"/>
    <w:rsid w:val="00E75988"/>
    <w:rsid w:val="00E75B1A"/>
    <w:rsid w:val="00E75BB9"/>
    <w:rsid w:val="00E75C03"/>
    <w:rsid w:val="00E7644C"/>
    <w:rsid w:val="00E76911"/>
    <w:rsid w:val="00E779F1"/>
    <w:rsid w:val="00E77C29"/>
    <w:rsid w:val="00E813BD"/>
    <w:rsid w:val="00E81D17"/>
    <w:rsid w:val="00E82191"/>
    <w:rsid w:val="00E82723"/>
    <w:rsid w:val="00E83194"/>
    <w:rsid w:val="00E83590"/>
    <w:rsid w:val="00E84027"/>
    <w:rsid w:val="00E8594F"/>
    <w:rsid w:val="00E8607B"/>
    <w:rsid w:val="00E86142"/>
    <w:rsid w:val="00E870FB"/>
    <w:rsid w:val="00E87192"/>
    <w:rsid w:val="00E87E9B"/>
    <w:rsid w:val="00E904E9"/>
    <w:rsid w:val="00E90F0C"/>
    <w:rsid w:val="00E91B1C"/>
    <w:rsid w:val="00E91E45"/>
    <w:rsid w:val="00E92445"/>
    <w:rsid w:val="00E9267D"/>
    <w:rsid w:val="00E92919"/>
    <w:rsid w:val="00E92B09"/>
    <w:rsid w:val="00E92D2C"/>
    <w:rsid w:val="00E92EB9"/>
    <w:rsid w:val="00E93EEC"/>
    <w:rsid w:val="00E94135"/>
    <w:rsid w:val="00E9507C"/>
    <w:rsid w:val="00E954B7"/>
    <w:rsid w:val="00E95C5F"/>
    <w:rsid w:val="00E963BD"/>
    <w:rsid w:val="00E96EB0"/>
    <w:rsid w:val="00EA01F1"/>
    <w:rsid w:val="00EA2452"/>
    <w:rsid w:val="00EA2FCB"/>
    <w:rsid w:val="00EA354E"/>
    <w:rsid w:val="00EA35C9"/>
    <w:rsid w:val="00EA51F5"/>
    <w:rsid w:val="00EA6177"/>
    <w:rsid w:val="00EA699A"/>
    <w:rsid w:val="00EA72C5"/>
    <w:rsid w:val="00EA784E"/>
    <w:rsid w:val="00EA7B57"/>
    <w:rsid w:val="00EB00FE"/>
    <w:rsid w:val="00EB04F9"/>
    <w:rsid w:val="00EB108C"/>
    <w:rsid w:val="00EB114D"/>
    <w:rsid w:val="00EB1E47"/>
    <w:rsid w:val="00EB1E87"/>
    <w:rsid w:val="00EB3078"/>
    <w:rsid w:val="00EB34F2"/>
    <w:rsid w:val="00EB37AD"/>
    <w:rsid w:val="00EB3D51"/>
    <w:rsid w:val="00EB4344"/>
    <w:rsid w:val="00EB44BB"/>
    <w:rsid w:val="00EB5DAC"/>
    <w:rsid w:val="00EB6124"/>
    <w:rsid w:val="00EB635E"/>
    <w:rsid w:val="00EB6545"/>
    <w:rsid w:val="00EB65AF"/>
    <w:rsid w:val="00EB6712"/>
    <w:rsid w:val="00EB67DA"/>
    <w:rsid w:val="00EB685D"/>
    <w:rsid w:val="00EB695A"/>
    <w:rsid w:val="00EB69A2"/>
    <w:rsid w:val="00EB6B1B"/>
    <w:rsid w:val="00EB6C08"/>
    <w:rsid w:val="00EB7072"/>
    <w:rsid w:val="00EB73C3"/>
    <w:rsid w:val="00EB77E6"/>
    <w:rsid w:val="00EC070A"/>
    <w:rsid w:val="00EC0EEF"/>
    <w:rsid w:val="00EC0F0C"/>
    <w:rsid w:val="00EC1588"/>
    <w:rsid w:val="00EC15FC"/>
    <w:rsid w:val="00EC1642"/>
    <w:rsid w:val="00EC1892"/>
    <w:rsid w:val="00EC20E9"/>
    <w:rsid w:val="00EC2733"/>
    <w:rsid w:val="00EC2BCA"/>
    <w:rsid w:val="00EC32A5"/>
    <w:rsid w:val="00EC34FC"/>
    <w:rsid w:val="00EC3566"/>
    <w:rsid w:val="00EC3A56"/>
    <w:rsid w:val="00EC4045"/>
    <w:rsid w:val="00EC4923"/>
    <w:rsid w:val="00EC5090"/>
    <w:rsid w:val="00EC7108"/>
    <w:rsid w:val="00EC749A"/>
    <w:rsid w:val="00EC74C3"/>
    <w:rsid w:val="00EC7836"/>
    <w:rsid w:val="00ED0180"/>
    <w:rsid w:val="00ED03F9"/>
    <w:rsid w:val="00ED0AE6"/>
    <w:rsid w:val="00ED0CEA"/>
    <w:rsid w:val="00ED0D40"/>
    <w:rsid w:val="00ED2146"/>
    <w:rsid w:val="00ED3550"/>
    <w:rsid w:val="00ED37D0"/>
    <w:rsid w:val="00ED50CE"/>
    <w:rsid w:val="00ED636F"/>
    <w:rsid w:val="00ED6F6E"/>
    <w:rsid w:val="00ED7A68"/>
    <w:rsid w:val="00EE010D"/>
    <w:rsid w:val="00EE05F3"/>
    <w:rsid w:val="00EE067C"/>
    <w:rsid w:val="00EE0CFA"/>
    <w:rsid w:val="00EE10E7"/>
    <w:rsid w:val="00EE13F3"/>
    <w:rsid w:val="00EE17FE"/>
    <w:rsid w:val="00EE1955"/>
    <w:rsid w:val="00EE2668"/>
    <w:rsid w:val="00EE3540"/>
    <w:rsid w:val="00EE4050"/>
    <w:rsid w:val="00EE45EE"/>
    <w:rsid w:val="00EE5A65"/>
    <w:rsid w:val="00EE60F8"/>
    <w:rsid w:val="00EE631A"/>
    <w:rsid w:val="00EE6B64"/>
    <w:rsid w:val="00EE7C72"/>
    <w:rsid w:val="00EE7D67"/>
    <w:rsid w:val="00EF002A"/>
    <w:rsid w:val="00EF0C82"/>
    <w:rsid w:val="00EF0E82"/>
    <w:rsid w:val="00EF19BD"/>
    <w:rsid w:val="00EF2D7D"/>
    <w:rsid w:val="00EF5047"/>
    <w:rsid w:val="00EF556E"/>
    <w:rsid w:val="00EF6706"/>
    <w:rsid w:val="00EF678C"/>
    <w:rsid w:val="00EF7826"/>
    <w:rsid w:val="00F001CA"/>
    <w:rsid w:val="00F0036D"/>
    <w:rsid w:val="00F0126A"/>
    <w:rsid w:val="00F02677"/>
    <w:rsid w:val="00F02EFC"/>
    <w:rsid w:val="00F0412F"/>
    <w:rsid w:val="00F0479A"/>
    <w:rsid w:val="00F0517B"/>
    <w:rsid w:val="00F05CD3"/>
    <w:rsid w:val="00F05F16"/>
    <w:rsid w:val="00F06CB7"/>
    <w:rsid w:val="00F06F58"/>
    <w:rsid w:val="00F0746F"/>
    <w:rsid w:val="00F07BD8"/>
    <w:rsid w:val="00F10C20"/>
    <w:rsid w:val="00F11249"/>
    <w:rsid w:val="00F11C69"/>
    <w:rsid w:val="00F1232E"/>
    <w:rsid w:val="00F1356E"/>
    <w:rsid w:val="00F13F1B"/>
    <w:rsid w:val="00F14058"/>
    <w:rsid w:val="00F150B7"/>
    <w:rsid w:val="00F16EEA"/>
    <w:rsid w:val="00F174EC"/>
    <w:rsid w:val="00F2098C"/>
    <w:rsid w:val="00F20A4D"/>
    <w:rsid w:val="00F20AD5"/>
    <w:rsid w:val="00F20D3A"/>
    <w:rsid w:val="00F211AB"/>
    <w:rsid w:val="00F215CC"/>
    <w:rsid w:val="00F21E26"/>
    <w:rsid w:val="00F22E04"/>
    <w:rsid w:val="00F2303F"/>
    <w:rsid w:val="00F239C4"/>
    <w:rsid w:val="00F25016"/>
    <w:rsid w:val="00F252F9"/>
    <w:rsid w:val="00F25C46"/>
    <w:rsid w:val="00F26372"/>
    <w:rsid w:val="00F26F82"/>
    <w:rsid w:val="00F27EF3"/>
    <w:rsid w:val="00F30BDA"/>
    <w:rsid w:val="00F30C41"/>
    <w:rsid w:val="00F30EEA"/>
    <w:rsid w:val="00F3120E"/>
    <w:rsid w:val="00F31955"/>
    <w:rsid w:val="00F32175"/>
    <w:rsid w:val="00F321C8"/>
    <w:rsid w:val="00F3268B"/>
    <w:rsid w:val="00F327E4"/>
    <w:rsid w:val="00F32BA5"/>
    <w:rsid w:val="00F3330C"/>
    <w:rsid w:val="00F33752"/>
    <w:rsid w:val="00F33D01"/>
    <w:rsid w:val="00F3609D"/>
    <w:rsid w:val="00F3644B"/>
    <w:rsid w:val="00F37F70"/>
    <w:rsid w:val="00F415B9"/>
    <w:rsid w:val="00F419AB"/>
    <w:rsid w:val="00F41E78"/>
    <w:rsid w:val="00F41E8C"/>
    <w:rsid w:val="00F41F23"/>
    <w:rsid w:val="00F42083"/>
    <w:rsid w:val="00F420DA"/>
    <w:rsid w:val="00F429B2"/>
    <w:rsid w:val="00F42E10"/>
    <w:rsid w:val="00F42EDB"/>
    <w:rsid w:val="00F42F49"/>
    <w:rsid w:val="00F4320A"/>
    <w:rsid w:val="00F44CCD"/>
    <w:rsid w:val="00F44D4E"/>
    <w:rsid w:val="00F44ECD"/>
    <w:rsid w:val="00F454FB"/>
    <w:rsid w:val="00F45F6F"/>
    <w:rsid w:val="00F460A6"/>
    <w:rsid w:val="00F463A4"/>
    <w:rsid w:val="00F46B0E"/>
    <w:rsid w:val="00F46B48"/>
    <w:rsid w:val="00F46BAE"/>
    <w:rsid w:val="00F47693"/>
    <w:rsid w:val="00F47E6E"/>
    <w:rsid w:val="00F50011"/>
    <w:rsid w:val="00F50093"/>
    <w:rsid w:val="00F50FA6"/>
    <w:rsid w:val="00F51D4B"/>
    <w:rsid w:val="00F530EA"/>
    <w:rsid w:val="00F53750"/>
    <w:rsid w:val="00F538C1"/>
    <w:rsid w:val="00F5394F"/>
    <w:rsid w:val="00F53954"/>
    <w:rsid w:val="00F54732"/>
    <w:rsid w:val="00F551BA"/>
    <w:rsid w:val="00F55B8C"/>
    <w:rsid w:val="00F55CDA"/>
    <w:rsid w:val="00F55FE3"/>
    <w:rsid w:val="00F56785"/>
    <w:rsid w:val="00F567D5"/>
    <w:rsid w:val="00F56846"/>
    <w:rsid w:val="00F569EA"/>
    <w:rsid w:val="00F56E07"/>
    <w:rsid w:val="00F576BF"/>
    <w:rsid w:val="00F57E2B"/>
    <w:rsid w:val="00F61565"/>
    <w:rsid w:val="00F61657"/>
    <w:rsid w:val="00F61DB4"/>
    <w:rsid w:val="00F62650"/>
    <w:rsid w:val="00F637B1"/>
    <w:rsid w:val="00F643E6"/>
    <w:rsid w:val="00F644D8"/>
    <w:rsid w:val="00F6515F"/>
    <w:rsid w:val="00F6519C"/>
    <w:rsid w:val="00F651E6"/>
    <w:rsid w:val="00F66DCD"/>
    <w:rsid w:val="00F6786C"/>
    <w:rsid w:val="00F70181"/>
    <w:rsid w:val="00F70799"/>
    <w:rsid w:val="00F70A6D"/>
    <w:rsid w:val="00F70B41"/>
    <w:rsid w:val="00F70D55"/>
    <w:rsid w:val="00F71885"/>
    <w:rsid w:val="00F71910"/>
    <w:rsid w:val="00F71E23"/>
    <w:rsid w:val="00F71EB3"/>
    <w:rsid w:val="00F71EC8"/>
    <w:rsid w:val="00F724EA"/>
    <w:rsid w:val="00F72657"/>
    <w:rsid w:val="00F728EE"/>
    <w:rsid w:val="00F72968"/>
    <w:rsid w:val="00F74198"/>
    <w:rsid w:val="00F747B5"/>
    <w:rsid w:val="00F74B0D"/>
    <w:rsid w:val="00F7558E"/>
    <w:rsid w:val="00F75CDF"/>
    <w:rsid w:val="00F75F69"/>
    <w:rsid w:val="00F75FE5"/>
    <w:rsid w:val="00F760E6"/>
    <w:rsid w:val="00F8002B"/>
    <w:rsid w:val="00F80FC8"/>
    <w:rsid w:val="00F8132B"/>
    <w:rsid w:val="00F81CD5"/>
    <w:rsid w:val="00F8256D"/>
    <w:rsid w:val="00F83977"/>
    <w:rsid w:val="00F83AA7"/>
    <w:rsid w:val="00F84839"/>
    <w:rsid w:val="00F86582"/>
    <w:rsid w:val="00F87168"/>
    <w:rsid w:val="00F8779B"/>
    <w:rsid w:val="00F901CA"/>
    <w:rsid w:val="00F90825"/>
    <w:rsid w:val="00F90E8A"/>
    <w:rsid w:val="00F91DF0"/>
    <w:rsid w:val="00F91FD7"/>
    <w:rsid w:val="00F932A3"/>
    <w:rsid w:val="00F93DAC"/>
    <w:rsid w:val="00F943F6"/>
    <w:rsid w:val="00F944F4"/>
    <w:rsid w:val="00F94655"/>
    <w:rsid w:val="00F9531E"/>
    <w:rsid w:val="00F955CC"/>
    <w:rsid w:val="00F95766"/>
    <w:rsid w:val="00F95B0C"/>
    <w:rsid w:val="00F9721F"/>
    <w:rsid w:val="00F9779A"/>
    <w:rsid w:val="00F97B17"/>
    <w:rsid w:val="00FA04CA"/>
    <w:rsid w:val="00FA1739"/>
    <w:rsid w:val="00FA250A"/>
    <w:rsid w:val="00FA2526"/>
    <w:rsid w:val="00FA32DE"/>
    <w:rsid w:val="00FA3B99"/>
    <w:rsid w:val="00FA4025"/>
    <w:rsid w:val="00FA614C"/>
    <w:rsid w:val="00FA6CE6"/>
    <w:rsid w:val="00FA793C"/>
    <w:rsid w:val="00FA7B67"/>
    <w:rsid w:val="00FB11BC"/>
    <w:rsid w:val="00FB182C"/>
    <w:rsid w:val="00FB30A5"/>
    <w:rsid w:val="00FB3269"/>
    <w:rsid w:val="00FB4E89"/>
    <w:rsid w:val="00FB57C0"/>
    <w:rsid w:val="00FB652B"/>
    <w:rsid w:val="00FB6A46"/>
    <w:rsid w:val="00FB6AAC"/>
    <w:rsid w:val="00FB70B1"/>
    <w:rsid w:val="00FB7286"/>
    <w:rsid w:val="00FB794C"/>
    <w:rsid w:val="00FB7976"/>
    <w:rsid w:val="00FC0EE8"/>
    <w:rsid w:val="00FC1E01"/>
    <w:rsid w:val="00FC3371"/>
    <w:rsid w:val="00FC3E34"/>
    <w:rsid w:val="00FC3FE5"/>
    <w:rsid w:val="00FC4E8D"/>
    <w:rsid w:val="00FC5FEC"/>
    <w:rsid w:val="00FC7C85"/>
    <w:rsid w:val="00FD0716"/>
    <w:rsid w:val="00FD0C5E"/>
    <w:rsid w:val="00FD1DA8"/>
    <w:rsid w:val="00FD2013"/>
    <w:rsid w:val="00FD22F4"/>
    <w:rsid w:val="00FD2A44"/>
    <w:rsid w:val="00FD2BA5"/>
    <w:rsid w:val="00FD2FE3"/>
    <w:rsid w:val="00FD3AFD"/>
    <w:rsid w:val="00FD44E3"/>
    <w:rsid w:val="00FD5995"/>
    <w:rsid w:val="00FD6009"/>
    <w:rsid w:val="00FD6A23"/>
    <w:rsid w:val="00FD6B16"/>
    <w:rsid w:val="00FD74A9"/>
    <w:rsid w:val="00FE08F9"/>
    <w:rsid w:val="00FE1526"/>
    <w:rsid w:val="00FE1B2F"/>
    <w:rsid w:val="00FE1F73"/>
    <w:rsid w:val="00FE278A"/>
    <w:rsid w:val="00FE3F5A"/>
    <w:rsid w:val="00FE6082"/>
    <w:rsid w:val="00FE65CC"/>
    <w:rsid w:val="00FE6DE2"/>
    <w:rsid w:val="00FE6F41"/>
    <w:rsid w:val="00FE75F6"/>
    <w:rsid w:val="00FF0193"/>
    <w:rsid w:val="00FF0334"/>
    <w:rsid w:val="00FF15BF"/>
    <w:rsid w:val="00FF2686"/>
    <w:rsid w:val="00FF3740"/>
    <w:rsid w:val="00FF3D7D"/>
    <w:rsid w:val="00FF431C"/>
    <w:rsid w:val="00FF4E48"/>
    <w:rsid w:val="00FF5CFB"/>
    <w:rsid w:val="00FF60AC"/>
    <w:rsid w:val="00FF6D3F"/>
    <w:rsid w:val="00FF71EB"/>
    <w:rsid w:val="00FF72CE"/>
    <w:rsid w:val="00FF76D9"/>
    <w:rsid w:val="00FF7E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rPr>
      <w:rFonts w:ascii="Arial" w:hAnsi="Arial" w:cs="Times New Roman"/>
      <w:spacing w:val="-5"/>
      <w:sz w:val="20"/>
      <w:szCs w:val="20"/>
      <w:lang w:eastAsia="en-US"/>
    </w:rPr>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rPr>
      <w:rFonts w:ascii="Arial" w:hAnsi="Arial" w:cs="Times New Roman"/>
      <w:spacing w:val="-5"/>
      <w:sz w:val="20"/>
      <w:szCs w:val="20"/>
      <w:lang w:eastAsia="en-US"/>
    </w:rPr>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detableau2">
    <w:name w:val="Table Columns 2"/>
    <w:basedOn w:val="TableauNormal"/>
    <w:uiPriority w:val="99"/>
    <w:rsid w:val="00C33231"/>
    <w:pPr>
      <w:ind w:left="108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1">
    <w:name w:val="Table Columns 1"/>
    <w:basedOn w:val="TableauNormal"/>
    <w:uiPriority w:val="99"/>
    <w:rsid w:val="007C6113"/>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uiPriority w:val="99"/>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 w:type="paragraph" w:styleId="Paragraphedeliste">
    <w:name w:val="List Paragraph"/>
    <w:basedOn w:val="Normal"/>
    <w:uiPriority w:val="34"/>
    <w:qFormat/>
    <w:rsid w:val="002D1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473110353">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948319939">
      <w:bodyDiv w:val="1"/>
      <w:marLeft w:val="0"/>
      <w:marRight w:val="0"/>
      <w:marTop w:val="0"/>
      <w:marBottom w:val="0"/>
      <w:divBdr>
        <w:top w:val="none" w:sz="0" w:space="0" w:color="auto"/>
        <w:left w:val="none" w:sz="0" w:space="0" w:color="auto"/>
        <w:bottom w:val="none" w:sz="0" w:space="0" w:color="auto"/>
        <w:right w:val="none" w:sz="0" w:space="0" w:color="auto"/>
      </w:divBdr>
    </w:div>
    <w:div w:id="975723627">
      <w:bodyDiv w:val="1"/>
      <w:marLeft w:val="0"/>
      <w:marRight w:val="0"/>
      <w:marTop w:val="0"/>
      <w:marBottom w:val="0"/>
      <w:divBdr>
        <w:top w:val="none" w:sz="0" w:space="0" w:color="auto"/>
        <w:left w:val="none" w:sz="0" w:space="0" w:color="auto"/>
        <w:bottom w:val="none" w:sz="0" w:space="0" w:color="auto"/>
        <w:right w:val="none" w:sz="0" w:space="0" w:color="auto"/>
      </w:divBdr>
    </w:div>
    <w:div w:id="1383091877">
      <w:bodyDiv w:val="1"/>
      <w:marLeft w:val="0"/>
      <w:marRight w:val="0"/>
      <w:marTop w:val="0"/>
      <w:marBottom w:val="0"/>
      <w:divBdr>
        <w:top w:val="none" w:sz="0" w:space="0" w:color="auto"/>
        <w:left w:val="none" w:sz="0" w:space="0" w:color="auto"/>
        <w:bottom w:val="none" w:sz="0" w:space="0" w:color="auto"/>
        <w:right w:val="none" w:sz="0" w:space="0" w:color="auto"/>
      </w:divBdr>
    </w:div>
    <w:div w:id="1568297662">
      <w:bodyDiv w:val="1"/>
      <w:marLeft w:val="0"/>
      <w:marRight w:val="0"/>
      <w:marTop w:val="0"/>
      <w:marBottom w:val="8850"/>
      <w:divBdr>
        <w:top w:val="none" w:sz="0" w:space="0" w:color="auto"/>
        <w:left w:val="none" w:sz="0" w:space="0" w:color="auto"/>
        <w:bottom w:val="none" w:sz="0" w:space="0" w:color="auto"/>
        <w:right w:val="none" w:sz="0" w:space="0" w:color="auto"/>
      </w:divBdr>
      <w:divsChild>
        <w:div w:id="1241791994">
          <w:marLeft w:val="0"/>
          <w:marRight w:val="0"/>
          <w:marTop w:val="100"/>
          <w:marBottom w:val="10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1587956370">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1235235722">
                      <w:marLeft w:val="0"/>
                      <w:marRight w:val="0"/>
                      <w:marTop w:val="0"/>
                      <w:marBottom w:val="0"/>
                      <w:divBdr>
                        <w:top w:val="none" w:sz="0" w:space="0" w:color="auto"/>
                        <w:left w:val="none" w:sz="0" w:space="0" w:color="auto"/>
                        <w:bottom w:val="none" w:sz="0" w:space="0" w:color="auto"/>
                        <w:right w:val="none" w:sz="0" w:space="0" w:color="auto"/>
                      </w:divBdr>
                      <w:divsChild>
                        <w:div w:id="862285781">
                          <w:marLeft w:val="0"/>
                          <w:marRight w:val="0"/>
                          <w:marTop w:val="0"/>
                          <w:marBottom w:val="0"/>
                          <w:divBdr>
                            <w:top w:val="none" w:sz="0" w:space="0" w:color="auto"/>
                            <w:left w:val="none" w:sz="0" w:space="0" w:color="auto"/>
                            <w:bottom w:val="none" w:sz="0" w:space="0" w:color="auto"/>
                            <w:right w:val="none" w:sz="0" w:space="0" w:color="auto"/>
                          </w:divBdr>
                          <w:divsChild>
                            <w:div w:id="863060344">
                              <w:marLeft w:val="0"/>
                              <w:marRight w:val="0"/>
                              <w:marTop w:val="0"/>
                              <w:marBottom w:val="0"/>
                              <w:divBdr>
                                <w:top w:val="none" w:sz="0" w:space="0" w:color="auto"/>
                                <w:left w:val="none" w:sz="0" w:space="0" w:color="auto"/>
                                <w:bottom w:val="none" w:sz="0" w:space="0" w:color="auto"/>
                                <w:right w:val="none" w:sz="0" w:space="0" w:color="auto"/>
                              </w:divBdr>
                            </w:div>
                            <w:div w:id="813331512">
                              <w:marLeft w:val="0"/>
                              <w:marRight w:val="0"/>
                              <w:marTop w:val="0"/>
                              <w:marBottom w:val="0"/>
                              <w:divBdr>
                                <w:top w:val="none" w:sz="0" w:space="0" w:color="auto"/>
                                <w:left w:val="none" w:sz="0" w:space="0" w:color="auto"/>
                                <w:bottom w:val="none" w:sz="0" w:space="0" w:color="auto"/>
                                <w:right w:val="none" w:sz="0" w:space="0" w:color="auto"/>
                              </w:divBdr>
                            </w:div>
                          </w:divsChild>
                        </w:div>
                        <w:div w:id="1433361509">
                          <w:marLeft w:val="0"/>
                          <w:marRight w:val="0"/>
                          <w:marTop w:val="75"/>
                          <w:marBottom w:val="0"/>
                          <w:divBdr>
                            <w:top w:val="none" w:sz="0" w:space="0" w:color="auto"/>
                            <w:left w:val="none" w:sz="0" w:space="0" w:color="auto"/>
                            <w:bottom w:val="none" w:sz="0" w:space="0" w:color="auto"/>
                            <w:right w:val="none" w:sz="0" w:space="0" w:color="auto"/>
                          </w:divBdr>
                          <w:divsChild>
                            <w:div w:id="1659728375">
                              <w:marLeft w:val="0"/>
                              <w:marRight w:val="0"/>
                              <w:marTop w:val="0"/>
                              <w:marBottom w:val="0"/>
                              <w:divBdr>
                                <w:top w:val="none" w:sz="0" w:space="0" w:color="auto"/>
                                <w:left w:val="none" w:sz="0" w:space="0" w:color="auto"/>
                                <w:bottom w:val="none" w:sz="0" w:space="0" w:color="auto"/>
                                <w:right w:val="none" w:sz="0" w:space="0" w:color="auto"/>
                              </w:divBdr>
                            </w:div>
                            <w:div w:id="1080130227">
                              <w:marLeft w:val="60"/>
                              <w:marRight w:val="0"/>
                              <w:marTop w:val="0"/>
                              <w:marBottom w:val="0"/>
                              <w:divBdr>
                                <w:top w:val="none" w:sz="0" w:space="0" w:color="auto"/>
                                <w:left w:val="none" w:sz="0" w:space="0" w:color="auto"/>
                                <w:bottom w:val="none" w:sz="0" w:space="0" w:color="auto"/>
                                <w:right w:val="none" w:sz="0" w:space="0" w:color="auto"/>
                              </w:divBdr>
                            </w:div>
                          </w:divsChild>
                        </w:div>
                        <w:div w:id="9781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847">
          <w:marLeft w:val="0"/>
          <w:marRight w:val="0"/>
          <w:marTop w:val="0"/>
          <w:marBottom w:val="0"/>
          <w:divBdr>
            <w:top w:val="none" w:sz="0" w:space="0" w:color="auto"/>
            <w:left w:val="none" w:sz="0" w:space="0" w:color="auto"/>
            <w:bottom w:val="none" w:sz="0" w:space="0" w:color="auto"/>
            <w:right w:val="none" w:sz="0" w:space="0" w:color="auto"/>
          </w:divBdr>
          <w:divsChild>
            <w:div w:id="1223829690">
              <w:marLeft w:val="0"/>
              <w:marRight w:val="0"/>
              <w:marTop w:val="375"/>
              <w:marBottom w:val="1380"/>
              <w:divBdr>
                <w:top w:val="none" w:sz="0" w:space="0" w:color="auto"/>
                <w:left w:val="none" w:sz="0" w:space="0" w:color="auto"/>
                <w:bottom w:val="none" w:sz="0" w:space="0" w:color="auto"/>
                <w:right w:val="none" w:sz="0" w:space="0" w:color="auto"/>
              </w:divBdr>
              <w:divsChild>
                <w:div w:id="103039997">
                  <w:marLeft w:val="0"/>
                  <w:marRight w:val="0"/>
                  <w:marTop w:val="0"/>
                  <w:marBottom w:val="0"/>
                  <w:divBdr>
                    <w:top w:val="none" w:sz="0" w:space="0" w:color="auto"/>
                    <w:left w:val="none" w:sz="0" w:space="0" w:color="auto"/>
                    <w:bottom w:val="none" w:sz="0" w:space="0" w:color="auto"/>
                    <w:right w:val="none" w:sz="0" w:space="0" w:color="auto"/>
                  </w:divBdr>
                </w:div>
                <w:div w:id="658584633">
                  <w:marLeft w:val="0"/>
                  <w:marRight w:val="0"/>
                  <w:marTop w:val="0"/>
                  <w:marBottom w:val="0"/>
                  <w:divBdr>
                    <w:top w:val="none" w:sz="0" w:space="0" w:color="auto"/>
                    <w:left w:val="none" w:sz="0" w:space="0" w:color="auto"/>
                    <w:bottom w:val="none" w:sz="0" w:space="0" w:color="auto"/>
                    <w:right w:val="none" w:sz="0" w:space="0" w:color="auto"/>
                  </w:divBdr>
                  <w:divsChild>
                    <w:div w:id="1564482926">
                      <w:marLeft w:val="0"/>
                      <w:marRight w:val="0"/>
                      <w:marTop w:val="0"/>
                      <w:marBottom w:val="0"/>
                      <w:divBdr>
                        <w:top w:val="none" w:sz="0" w:space="0" w:color="auto"/>
                        <w:left w:val="none" w:sz="0" w:space="0" w:color="auto"/>
                        <w:bottom w:val="none" w:sz="0" w:space="0" w:color="auto"/>
                        <w:right w:val="none" w:sz="0" w:space="0" w:color="auto"/>
                      </w:divBdr>
                      <w:divsChild>
                        <w:div w:id="159535983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00941773">
                  <w:marLeft w:val="0"/>
                  <w:marRight w:val="0"/>
                  <w:marTop w:val="0"/>
                  <w:marBottom w:val="0"/>
                  <w:divBdr>
                    <w:top w:val="none" w:sz="0" w:space="0" w:color="auto"/>
                    <w:left w:val="none" w:sz="0" w:space="0" w:color="auto"/>
                    <w:bottom w:val="none" w:sz="0" w:space="0" w:color="auto"/>
                    <w:right w:val="none" w:sz="0" w:space="0" w:color="auto"/>
                  </w:divBdr>
                </w:div>
                <w:div w:id="1877504579">
                  <w:marLeft w:val="0"/>
                  <w:marRight w:val="0"/>
                  <w:marTop w:val="0"/>
                  <w:marBottom w:val="0"/>
                  <w:divBdr>
                    <w:top w:val="none" w:sz="0" w:space="0" w:color="auto"/>
                    <w:left w:val="none" w:sz="0" w:space="0" w:color="auto"/>
                    <w:bottom w:val="none" w:sz="0" w:space="0" w:color="auto"/>
                    <w:right w:val="none" w:sz="0" w:space="0" w:color="auto"/>
                  </w:divBdr>
                </w:div>
                <w:div w:id="343946157">
                  <w:marLeft w:val="0"/>
                  <w:marRight w:val="0"/>
                  <w:marTop w:val="0"/>
                  <w:marBottom w:val="0"/>
                  <w:divBdr>
                    <w:top w:val="none" w:sz="0" w:space="0" w:color="auto"/>
                    <w:left w:val="none" w:sz="0" w:space="0" w:color="auto"/>
                    <w:bottom w:val="none" w:sz="0" w:space="0" w:color="auto"/>
                    <w:right w:val="none" w:sz="0" w:space="0" w:color="auto"/>
                  </w:divBdr>
                </w:div>
                <w:div w:id="279537526">
                  <w:marLeft w:val="0"/>
                  <w:marRight w:val="0"/>
                  <w:marTop w:val="0"/>
                  <w:marBottom w:val="0"/>
                  <w:divBdr>
                    <w:top w:val="none" w:sz="0" w:space="0" w:color="auto"/>
                    <w:left w:val="none" w:sz="0" w:space="0" w:color="auto"/>
                    <w:bottom w:val="none" w:sz="0" w:space="0" w:color="auto"/>
                    <w:right w:val="none" w:sz="0" w:space="0" w:color="auto"/>
                  </w:divBdr>
                </w:div>
                <w:div w:id="1028489039">
                  <w:marLeft w:val="0"/>
                  <w:marRight w:val="0"/>
                  <w:marTop w:val="0"/>
                  <w:marBottom w:val="0"/>
                  <w:divBdr>
                    <w:top w:val="none" w:sz="0" w:space="0" w:color="auto"/>
                    <w:left w:val="none" w:sz="0" w:space="0" w:color="auto"/>
                    <w:bottom w:val="none" w:sz="0" w:space="0" w:color="auto"/>
                    <w:right w:val="none" w:sz="0" w:space="0" w:color="auto"/>
                  </w:divBdr>
                </w:div>
                <w:div w:id="370344469">
                  <w:marLeft w:val="0"/>
                  <w:marRight w:val="0"/>
                  <w:marTop w:val="0"/>
                  <w:marBottom w:val="0"/>
                  <w:divBdr>
                    <w:top w:val="none" w:sz="0" w:space="0" w:color="auto"/>
                    <w:left w:val="none" w:sz="0" w:space="0" w:color="auto"/>
                    <w:bottom w:val="none" w:sz="0" w:space="0" w:color="auto"/>
                    <w:right w:val="none" w:sz="0" w:space="0" w:color="auto"/>
                  </w:divBdr>
                </w:div>
                <w:div w:id="1511095678">
                  <w:marLeft w:val="0"/>
                  <w:marRight w:val="0"/>
                  <w:marTop w:val="0"/>
                  <w:marBottom w:val="0"/>
                  <w:divBdr>
                    <w:top w:val="none" w:sz="0" w:space="0" w:color="auto"/>
                    <w:left w:val="none" w:sz="0" w:space="0" w:color="auto"/>
                    <w:bottom w:val="none" w:sz="0" w:space="0" w:color="auto"/>
                    <w:right w:val="none" w:sz="0" w:space="0" w:color="auto"/>
                  </w:divBdr>
                </w:div>
                <w:div w:id="1992170084">
                  <w:marLeft w:val="0"/>
                  <w:marRight w:val="0"/>
                  <w:marTop w:val="0"/>
                  <w:marBottom w:val="0"/>
                  <w:divBdr>
                    <w:top w:val="none" w:sz="0" w:space="0" w:color="auto"/>
                    <w:left w:val="none" w:sz="0" w:space="0" w:color="auto"/>
                    <w:bottom w:val="none" w:sz="0" w:space="0" w:color="auto"/>
                    <w:right w:val="none" w:sz="0" w:space="0" w:color="auto"/>
                  </w:divBdr>
                </w:div>
                <w:div w:id="166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6374">
      <w:bodyDiv w:val="1"/>
      <w:marLeft w:val="0"/>
      <w:marRight w:val="0"/>
      <w:marTop w:val="0"/>
      <w:marBottom w:val="8850"/>
      <w:divBdr>
        <w:top w:val="none" w:sz="0" w:space="0" w:color="auto"/>
        <w:left w:val="none" w:sz="0" w:space="0" w:color="auto"/>
        <w:bottom w:val="none" w:sz="0" w:space="0" w:color="auto"/>
        <w:right w:val="none" w:sz="0" w:space="0" w:color="auto"/>
      </w:divBdr>
      <w:divsChild>
        <w:div w:id="526990169">
          <w:marLeft w:val="0"/>
          <w:marRight w:val="0"/>
          <w:marTop w:val="0"/>
          <w:marBottom w:val="0"/>
          <w:divBdr>
            <w:top w:val="single" w:sz="36" w:space="0" w:color="990000"/>
            <w:left w:val="single" w:sz="36" w:space="0" w:color="990000"/>
            <w:bottom w:val="single" w:sz="36" w:space="0" w:color="990000"/>
            <w:right w:val="single" w:sz="36" w:space="0" w:color="990000"/>
          </w:divBdr>
          <w:divsChild>
            <w:div w:id="1869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991670474">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RIX\Note\Note_2015\graph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IX\Note\Note_2015\Note_08_2015\08_2015_xlsx.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4.xml.rels><?xml version="1.0" encoding="UTF-8" standalone="yes"?>
<Relationships xmlns="http://schemas.openxmlformats.org/package/2006/relationships"><Relationship Id="rId1" Type="http://schemas.openxmlformats.org/officeDocument/2006/relationships/oleObject" Target="file:///C:\PRIX\Note\Note_2015\var_8_mo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r-FR" sz="1200" b="1" i="0" baseline="0"/>
              <a:t>Evolution mensuelle de l'IPC en %</a:t>
            </a:r>
            <a:endParaRPr lang="fr-FR" sz="1200"/>
          </a:p>
          <a:p>
            <a:pPr>
              <a:defRPr/>
            </a:pPr>
            <a:r>
              <a:rPr lang="fr-FR" sz="1200" b="1" i="0" baseline="0"/>
              <a:t>ville de casablanca</a:t>
            </a:r>
            <a:endParaRPr lang="fr-FR" sz="1200"/>
          </a:p>
        </c:rich>
      </c:tx>
      <c:overlay val="0"/>
    </c:title>
    <c:autoTitleDeleted val="0"/>
    <c:plotArea>
      <c:layout>
        <c:manualLayout>
          <c:layoutTarget val="inner"/>
          <c:xMode val="edge"/>
          <c:yMode val="edge"/>
          <c:x val="5.5930446194225734E-2"/>
          <c:y val="5.0925925925925986E-2"/>
          <c:w val="0.8879654418197731"/>
          <c:h val="0.89814814814814892"/>
        </c:manualLayout>
      </c:layout>
      <c:scatterChart>
        <c:scatterStyle val="smoothMarker"/>
        <c:varyColors val="0"/>
        <c:ser>
          <c:idx val="0"/>
          <c:order val="0"/>
          <c:marker>
            <c:symbol val="none"/>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Feuil1!$A$29:$A$41</c:f>
              <c:numCache>
                <c:formatCode>mmm\-yy</c:formatCode>
                <c:ptCount val="13"/>
                <c:pt idx="0">
                  <c:v>41852</c:v>
                </c:pt>
                <c:pt idx="1">
                  <c:v>41883</c:v>
                </c:pt>
                <c:pt idx="2">
                  <c:v>41913</c:v>
                </c:pt>
                <c:pt idx="3">
                  <c:v>41944</c:v>
                </c:pt>
                <c:pt idx="4">
                  <c:v>41974</c:v>
                </c:pt>
                <c:pt idx="5">
                  <c:v>42005</c:v>
                </c:pt>
                <c:pt idx="6">
                  <c:v>42036</c:v>
                </c:pt>
                <c:pt idx="7">
                  <c:v>42064</c:v>
                </c:pt>
                <c:pt idx="8">
                  <c:v>42095</c:v>
                </c:pt>
                <c:pt idx="9">
                  <c:v>42125</c:v>
                </c:pt>
                <c:pt idx="10">
                  <c:v>42156</c:v>
                </c:pt>
                <c:pt idx="11">
                  <c:v>42186</c:v>
                </c:pt>
                <c:pt idx="12">
                  <c:v>42217</c:v>
                </c:pt>
              </c:numCache>
            </c:numRef>
          </c:xVal>
          <c:yVal>
            <c:numRef>
              <c:f>Feuil1!$B$29:$B$41</c:f>
              <c:numCache>
                <c:formatCode>General</c:formatCode>
                <c:ptCount val="13"/>
                <c:pt idx="0">
                  <c:v>1</c:v>
                </c:pt>
                <c:pt idx="1">
                  <c:v>0</c:v>
                </c:pt>
                <c:pt idx="2">
                  <c:v>0.4</c:v>
                </c:pt>
                <c:pt idx="3">
                  <c:v>0.5</c:v>
                </c:pt>
                <c:pt idx="4">
                  <c:v>0.2</c:v>
                </c:pt>
                <c:pt idx="5">
                  <c:v>0.5</c:v>
                </c:pt>
                <c:pt idx="6">
                  <c:v>-0.60000000000000064</c:v>
                </c:pt>
                <c:pt idx="7">
                  <c:v>0</c:v>
                </c:pt>
                <c:pt idx="8">
                  <c:v>0.2</c:v>
                </c:pt>
                <c:pt idx="9">
                  <c:v>0.30000000000000032</c:v>
                </c:pt>
                <c:pt idx="10">
                  <c:v>0.1</c:v>
                </c:pt>
                <c:pt idx="11">
                  <c:v>0.4</c:v>
                </c:pt>
                <c:pt idx="12">
                  <c:v>0</c:v>
                </c:pt>
              </c:numCache>
            </c:numRef>
          </c:yVal>
          <c:smooth val="1"/>
        </c:ser>
        <c:dLbls>
          <c:showLegendKey val="0"/>
          <c:showVal val="0"/>
          <c:showCatName val="0"/>
          <c:showSerName val="0"/>
          <c:showPercent val="0"/>
          <c:showBubbleSize val="0"/>
        </c:dLbls>
        <c:axId val="514689544"/>
        <c:axId val="333803504"/>
      </c:scatterChart>
      <c:valAx>
        <c:axId val="514689544"/>
        <c:scaling>
          <c:orientation val="minMax"/>
        </c:scaling>
        <c:delete val="0"/>
        <c:axPos val="b"/>
        <c:numFmt formatCode="mmm\-yy" sourceLinked="1"/>
        <c:majorTickMark val="out"/>
        <c:minorTickMark val="none"/>
        <c:tickLblPos val="nextTo"/>
        <c:crossAx val="333803504"/>
        <c:crosses val="autoZero"/>
        <c:crossBetween val="midCat"/>
        <c:majorUnit val="70"/>
      </c:valAx>
      <c:valAx>
        <c:axId val="333803504"/>
        <c:scaling>
          <c:orientation val="minMax"/>
        </c:scaling>
        <c:delete val="1"/>
        <c:axPos val="l"/>
        <c:numFmt formatCode="General" sourceLinked="1"/>
        <c:majorTickMark val="out"/>
        <c:minorTickMark val="none"/>
        <c:tickLblPos val="none"/>
        <c:crossAx val="51468954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fr-FR" sz="1200"/>
              <a:t>IPC:Glissement annuel </a:t>
            </a:r>
          </a:p>
          <a:p>
            <a:pPr>
              <a:defRPr sz="1200"/>
            </a:pPr>
            <a:r>
              <a:rPr lang="fr-FR" sz="1200"/>
              <a:t>Evolution</a:t>
            </a:r>
            <a:r>
              <a:rPr lang="fr-FR" sz="1200" baseline="0"/>
              <a:t> mensuelle entre 2013 et 2015</a:t>
            </a:r>
            <a:endParaRPr lang="fr-FR" sz="1200"/>
          </a:p>
        </c:rich>
      </c:tx>
      <c:overlay val="0"/>
    </c:title>
    <c:autoTitleDeleted val="0"/>
    <c:plotArea>
      <c:layout/>
      <c:lineChart>
        <c:grouping val="standard"/>
        <c:varyColors val="0"/>
        <c:ser>
          <c:idx val="0"/>
          <c:order val="0"/>
          <c:tx>
            <c:strRef>
              <c:f>GRAPH!$B$6</c:f>
              <c:strCache>
                <c:ptCount val="1"/>
                <c:pt idx="0">
                  <c:v>Casablanca</c:v>
                </c:pt>
              </c:strCache>
            </c:strRef>
          </c:tx>
          <c:marker>
            <c:symbol val="none"/>
          </c:marker>
          <c:dLbls>
            <c:dLbl>
              <c:idx val="31"/>
              <c:dLblPos val="r"/>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GRAPH!$A$31:$A$62</c:f>
              <c:numCache>
                <c:formatCode>mmm\-yy</c:formatCode>
                <c:ptCount val="32"/>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pt idx="14">
                  <c:v>41699</c:v>
                </c:pt>
                <c:pt idx="15">
                  <c:v>41730</c:v>
                </c:pt>
                <c:pt idx="16">
                  <c:v>41760</c:v>
                </c:pt>
                <c:pt idx="17">
                  <c:v>41791</c:v>
                </c:pt>
                <c:pt idx="18">
                  <c:v>41821</c:v>
                </c:pt>
                <c:pt idx="19">
                  <c:v>41852</c:v>
                </c:pt>
                <c:pt idx="20">
                  <c:v>41883</c:v>
                </c:pt>
                <c:pt idx="21">
                  <c:v>41913</c:v>
                </c:pt>
                <c:pt idx="22">
                  <c:v>41944</c:v>
                </c:pt>
                <c:pt idx="23">
                  <c:v>41974</c:v>
                </c:pt>
                <c:pt idx="24">
                  <c:v>42005</c:v>
                </c:pt>
                <c:pt idx="25">
                  <c:v>42036</c:v>
                </c:pt>
                <c:pt idx="26">
                  <c:v>42064</c:v>
                </c:pt>
                <c:pt idx="27">
                  <c:v>42095</c:v>
                </c:pt>
                <c:pt idx="28">
                  <c:v>42125</c:v>
                </c:pt>
                <c:pt idx="29">
                  <c:v>42156</c:v>
                </c:pt>
                <c:pt idx="30">
                  <c:v>42186</c:v>
                </c:pt>
                <c:pt idx="31">
                  <c:v>42217</c:v>
                </c:pt>
              </c:numCache>
            </c:numRef>
          </c:cat>
          <c:val>
            <c:numRef>
              <c:f>GRAPH!$B$31:$B$62</c:f>
              <c:numCache>
                <c:formatCode>0.00%</c:formatCode>
                <c:ptCount val="32"/>
                <c:pt idx="0">
                  <c:v>2.9500000000000002E-2</c:v>
                </c:pt>
                <c:pt idx="1">
                  <c:v>2.1300000000000006E-2</c:v>
                </c:pt>
                <c:pt idx="2">
                  <c:v>2.3199999999999988E-2</c:v>
                </c:pt>
                <c:pt idx="3">
                  <c:v>2.6900000000000011E-2</c:v>
                </c:pt>
                <c:pt idx="4">
                  <c:v>2.9600000000000001E-2</c:v>
                </c:pt>
                <c:pt idx="5">
                  <c:v>2.5900000000000006E-2</c:v>
                </c:pt>
                <c:pt idx="6">
                  <c:v>1.870000000000005E-2</c:v>
                </c:pt>
                <c:pt idx="7">
                  <c:v>1.4999999999999998E-2</c:v>
                </c:pt>
                <c:pt idx="8">
                  <c:v>1.0500000000000021E-2</c:v>
                </c:pt>
                <c:pt idx="9">
                  <c:v>1.0500000000000021E-2</c:v>
                </c:pt>
                <c:pt idx="10">
                  <c:v>1.7000000000000042E-3</c:v>
                </c:pt>
                <c:pt idx="11">
                  <c:v>-1.7000000000000042E-3</c:v>
                </c:pt>
                <c:pt idx="12">
                  <c:v>-9.0000000000000247E-4</c:v>
                </c:pt>
                <c:pt idx="13">
                  <c:v>1.7000000000000042E-3</c:v>
                </c:pt>
                <c:pt idx="14">
                  <c:v>-1.7000000000000042E-3</c:v>
                </c:pt>
                <c:pt idx="15">
                  <c:v>2.5999999999999999E-3</c:v>
                </c:pt>
                <c:pt idx="16">
                  <c:v>-4.4000000000000124E-3</c:v>
                </c:pt>
                <c:pt idx="17">
                  <c:v>-9.0000000000000247E-4</c:v>
                </c:pt>
                <c:pt idx="18">
                  <c:v>4.4000000000000124E-3</c:v>
                </c:pt>
                <c:pt idx="19">
                  <c:v>8.7000000000000046E-3</c:v>
                </c:pt>
                <c:pt idx="20">
                  <c:v>5.1999999999999998E-3</c:v>
                </c:pt>
                <c:pt idx="21">
                  <c:v>7.8000000000000144E-3</c:v>
                </c:pt>
                <c:pt idx="22">
                  <c:v>1.9199999999999998E-2</c:v>
                </c:pt>
                <c:pt idx="23">
                  <c:v>2.0900000000000002E-2</c:v>
                </c:pt>
                <c:pt idx="24">
                  <c:v>2.4299999999999999E-2</c:v>
                </c:pt>
                <c:pt idx="25">
                  <c:v>1.6500000000000049E-2</c:v>
                </c:pt>
                <c:pt idx="26">
                  <c:v>2.3599999999999993E-2</c:v>
                </c:pt>
                <c:pt idx="27">
                  <c:v>2.1800000000000052E-2</c:v>
                </c:pt>
                <c:pt idx="28">
                  <c:v>2.8999999999999998E-2</c:v>
                </c:pt>
                <c:pt idx="29">
                  <c:v>2.5200000000000011E-2</c:v>
                </c:pt>
                <c:pt idx="30" formatCode="0.0%">
                  <c:v>3.0500000000000006E-2</c:v>
                </c:pt>
                <c:pt idx="31" formatCode="0.0%">
                  <c:v>2.07E-2</c:v>
                </c:pt>
              </c:numCache>
            </c:numRef>
          </c:val>
          <c:smooth val="1"/>
        </c:ser>
        <c:ser>
          <c:idx val="1"/>
          <c:order val="1"/>
          <c:tx>
            <c:strRef>
              <c:f>GRAPH!$C$6</c:f>
              <c:strCache>
                <c:ptCount val="1"/>
                <c:pt idx="0">
                  <c:v>Maroc</c:v>
                </c:pt>
              </c:strCache>
            </c:strRef>
          </c:tx>
          <c:marker>
            <c:symbol val="none"/>
          </c:marker>
          <c:dLbls>
            <c:dLbl>
              <c:idx val="31"/>
              <c:dLblPos val="r"/>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GRAPH!$A$31:$A$62</c:f>
              <c:numCache>
                <c:formatCode>mmm\-yy</c:formatCode>
                <c:ptCount val="32"/>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pt idx="14">
                  <c:v>41699</c:v>
                </c:pt>
                <c:pt idx="15">
                  <c:v>41730</c:v>
                </c:pt>
                <c:pt idx="16">
                  <c:v>41760</c:v>
                </c:pt>
                <c:pt idx="17">
                  <c:v>41791</c:v>
                </c:pt>
                <c:pt idx="18">
                  <c:v>41821</c:v>
                </c:pt>
                <c:pt idx="19">
                  <c:v>41852</c:v>
                </c:pt>
                <c:pt idx="20">
                  <c:v>41883</c:v>
                </c:pt>
                <c:pt idx="21">
                  <c:v>41913</c:v>
                </c:pt>
                <c:pt idx="22">
                  <c:v>41944</c:v>
                </c:pt>
                <c:pt idx="23">
                  <c:v>41974</c:v>
                </c:pt>
                <c:pt idx="24">
                  <c:v>42005</c:v>
                </c:pt>
                <c:pt idx="25">
                  <c:v>42036</c:v>
                </c:pt>
                <c:pt idx="26">
                  <c:v>42064</c:v>
                </c:pt>
                <c:pt idx="27">
                  <c:v>42095</c:v>
                </c:pt>
                <c:pt idx="28">
                  <c:v>42125</c:v>
                </c:pt>
                <c:pt idx="29">
                  <c:v>42156</c:v>
                </c:pt>
                <c:pt idx="30">
                  <c:v>42186</c:v>
                </c:pt>
                <c:pt idx="31">
                  <c:v>42217</c:v>
                </c:pt>
              </c:numCache>
            </c:numRef>
          </c:cat>
          <c:val>
            <c:numRef>
              <c:f>GRAPH!$C$31:$C$62</c:f>
              <c:numCache>
                <c:formatCode>0.00%</c:formatCode>
                <c:ptCount val="32"/>
                <c:pt idx="0">
                  <c:v>2.5500000000000002E-2</c:v>
                </c:pt>
                <c:pt idx="1">
                  <c:v>2.1800000000000052E-2</c:v>
                </c:pt>
                <c:pt idx="2">
                  <c:v>2.1800000000000052E-2</c:v>
                </c:pt>
                <c:pt idx="3">
                  <c:v>2.3699999999999999E-2</c:v>
                </c:pt>
                <c:pt idx="4">
                  <c:v>2.8199999999999989E-2</c:v>
                </c:pt>
                <c:pt idx="5">
                  <c:v>2.2600000000000012E-2</c:v>
                </c:pt>
                <c:pt idx="6">
                  <c:v>1.6299999999999999E-2</c:v>
                </c:pt>
                <c:pt idx="7">
                  <c:v>1.8800000000000049E-2</c:v>
                </c:pt>
                <c:pt idx="8">
                  <c:v>1.7000000000000001E-2</c:v>
                </c:pt>
                <c:pt idx="9">
                  <c:v>1.5200000000000003E-2</c:v>
                </c:pt>
                <c:pt idx="10">
                  <c:v>9.8000000000000361E-3</c:v>
                </c:pt>
                <c:pt idx="11">
                  <c:v>4.4000000000000124E-3</c:v>
                </c:pt>
                <c:pt idx="12">
                  <c:v>5.3000000000000104E-3</c:v>
                </c:pt>
                <c:pt idx="13">
                  <c:v>4.4000000000000124E-3</c:v>
                </c:pt>
                <c:pt idx="14">
                  <c:v>3.6000000000000094E-3</c:v>
                </c:pt>
                <c:pt idx="15">
                  <c:v>4.5000000000000014E-3</c:v>
                </c:pt>
                <c:pt idx="16">
                  <c:v>-2.7000000000000066E-3</c:v>
                </c:pt>
                <c:pt idx="17">
                  <c:v>-9.0000000000000247E-4</c:v>
                </c:pt>
                <c:pt idx="18">
                  <c:v>3.6000000000000094E-3</c:v>
                </c:pt>
                <c:pt idx="19">
                  <c:v>0</c:v>
                </c:pt>
                <c:pt idx="20">
                  <c:v>9.0000000000000247E-4</c:v>
                </c:pt>
                <c:pt idx="21">
                  <c:v>6.2000000000000163E-3</c:v>
                </c:pt>
                <c:pt idx="22">
                  <c:v>1.2400000000000001E-2</c:v>
                </c:pt>
                <c:pt idx="23">
                  <c:v>1.5900000000000001E-2</c:v>
                </c:pt>
                <c:pt idx="24">
                  <c:v>1.5900000000000001E-2</c:v>
                </c:pt>
                <c:pt idx="25">
                  <c:v>1.3300000000000034E-2</c:v>
                </c:pt>
                <c:pt idx="26">
                  <c:v>1.6000000000000021E-2</c:v>
                </c:pt>
                <c:pt idx="27">
                  <c:v>1.6799999999999999E-2</c:v>
                </c:pt>
                <c:pt idx="28">
                  <c:v>2.0400000000000001E-2</c:v>
                </c:pt>
                <c:pt idx="29">
                  <c:v>1.9500000000000059E-2</c:v>
                </c:pt>
                <c:pt idx="30" formatCode="0.0%">
                  <c:v>2.3900000000000001E-2</c:v>
                </c:pt>
                <c:pt idx="31" formatCode="0.0%">
                  <c:v>1.6700000000000052E-2</c:v>
                </c:pt>
              </c:numCache>
            </c:numRef>
          </c:val>
          <c:smooth val="1"/>
        </c:ser>
        <c:dLbls>
          <c:showLegendKey val="0"/>
          <c:showVal val="1"/>
          <c:showCatName val="0"/>
          <c:showSerName val="0"/>
          <c:showPercent val="0"/>
          <c:showBubbleSize val="0"/>
        </c:dLbls>
        <c:smooth val="0"/>
        <c:axId val="333804680"/>
        <c:axId val="333805072"/>
      </c:lineChart>
      <c:dateAx>
        <c:axId val="333804680"/>
        <c:scaling>
          <c:orientation val="minMax"/>
        </c:scaling>
        <c:delete val="0"/>
        <c:axPos val="b"/>
        <c:numFmt formatCode="mmm\-yy" sourceLinked="1"/>
        <c:majorTickMark val="none"/>
        <c:minorTickMark val="none"/>
        <c:tickLblPos val="nextTo"/>
        <c:crossAx val="333805072"/>
        <c:crosses val="autoZero"/>
        <c:auto val="1"/>
        <c:lblOffset val="100"/>
        <c:baseTimeUnit val="months"/>
      </c:dateAx>
      <c:valAx>
        <c:axId val="333805072"/>
        <c:scaling>
          <c:orientation val="minMax"/>
          <c:min val="-5.0000000000000114E-3"/>
        </c:scaling>
        <c:delete val="0"/>
        <c:axPos val="l"/>
        <c:numFmt formatCode="0.0%" sourceLinked="0"/>
        <c:majorTickMark val="none"/>
        <c:minorTickMark val="none"/>
        <c:tickLblPos val="nextTo"/>
        <c:crossAx val="3338046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lgn="ctr">
              <a:defRPr sz="1000"/>
            </a:pPr>
            <a:r>
              <a:rPr lang="fr-FR" sz="1000"/>
              <a:t>INDICE DES PRIX A LA CONSOMMATION A CASABLANCA</a:t>
            </a:r>
          </a:p>
          <a:p>
            <a:pPr algn="ctr">
              <a:defRPr sz="1000"/>
            </a:pPr>
            <a:r>
              <a:rPr lang="fr-FR" sz="1000"/>
              <a:t>Evolution annuelle des indices des divisions de produits</a:t>
            </a:r>
          </a:p>
          <a:p>
            <a:pPr algn="ctr">
              <a:defRPr sz="1000"/>
            </a:pPr>
            <a:r>
              <a:rPr lang="fr-FR" sz="1000"/>
              <a:t> (Août 2014 - Août2015)</a:t>
            </a:r>
            <a:endParaRPr lang="en-US" sz="1000"/>
          </a:p>
        </c:rich>
      </c:tx>
      <c:layout>
        <c:manualLayout>
          <c:xMode val="edge"/>
          <c:yMode val="edge"/>
          <c:x val="0.29598408479195615"/>
          <c:y val="0"/>
        </c:manualLayout>
      </c:layout>
      <c:overlay val="1"/>
    </c:title>
    <c:autoTitleDeleted val="0"/>
    <c:plotArea>
      <c:layout>
        <c:manualLayout>
          <c:layoutTarget val="inner"/>
          <c:xMode val="edge"/>
          <c:yMode val="edge"/>
          <c:x val="3.5010448534697487E-2"/>
          <c:y val="0.13288577141256838"/>
          <c:w val="0.9379204814588149"/>
          <c:h val="0.80077294308434754"/>
        </c:manualLayout>
      </c:layout>
      <c:barChart>
        <c:barDir val="bar"/>
        <c:grouping val="clustered"/>
        <c:varyColors val="0"/>
        <c:ser>
          <c:idx val="0"/>
          <c:order val="0"/>
          <c:tx>
            <c:strRef>
              <c:f>Feuil1!$B$1</c:f>
              <c:strCache>
                <c:ptCount val="1"/>
                <c:pt idx="0">
                  <c:v>Evolution (en %)</c:v>
                </c:pt>
              </c:strCache>
            </c:strRef>
          </c:tx>
          <c:invertIfNegative val="0"/>
          <c:dLbls>
            <c:dLbl>
              <c:idx val="0"/>
              <c:layout>
                <c:manualLayout>
                  <c:x val="-1.2055435745691024E-2"/>
                  <c:y val="-1.9851116625310375E-2"/>
                </c:manualLayout>
              </c:layout>
              <c:numFmt formatCode="0.0%" sourceLinked="0"/>
              <c:spPr/>
              <c:txPr>
                <a:bodyPr rot="0" vert="horz" anchor="t" anchorCtr="0"/>
                <a:lstStyle/>
                <a:p>
                  <a:pPr>
                    <a:defRPr sz="1000" b="1" baseline="0"/>
                  </a:pPr>
                  <a:endParaRPr lang="fr-FR"/>
                </a:p>
              </c:txPr>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2.4109011689995041E-3"/>
                  <c:y val="1.6542597187758561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1.4861661400605165E-2"/>
                  <c:y val="-1.0787336446467908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manualLayout>
                  <c:x val="-3.5951318187137489E-2"/>
                  <c:y val="-9.3836637254514042E-3"/>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0.16150475617299456"/>
                  <c:y val="-3.6242102902966332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5"/>
              <c:layout>
                <c:manualLayout>
                  <c:x val="0"/>
                  <c:y val="2.1806853582554696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6"/>
              <c:layout>
                <c:manualLayout>
                  <c:x val="-4.2462845010615823E-3"/>
                  <c:y val="-6.2307748914563537E-3"/>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7"/>
              <c:layout>
                <c:manualLayout>
                  <c:x val="1.3379975592222947E-2"/>
                  <c:y val="-2.8057286883804602E-3"/>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8"/>
              <c:layout>
                <c:manualLayout>
                  <c:x val="-0.25294180584114884"/>
                  <c:y val="-1.9796533697750661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9"/>
              <c:layout>
                <c:manualLayout>
                  <c:x val="-8.1220890382333114E-2"/>
                  <c:y val="4.5198151883907071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0"/>
              <c:layout>
                <c:manualLayout>
                  <c:x val="-1.4178577996221808E-2"/>
                  <c:y val="3.9702210120931156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1"/>
              <c:layout>
                <c:manualLayout>
                  <c:x val="0"/>
                  <c:y val="1.3234077750206782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12"/>
              <c:layout>
                <c:manualLayout>
                  <c:x val="-2.0156477255629788E-3"/>
                  <c:y val="-4.1953786150562958E-2"/>
                </c:manualLayout>
              </c:layout>
              <c:dLblPos val="outEnd"/>
              <c:showLegendKey val="0"/>
              <c:showVal val="1"/>
              <c:showCatName val="1"/>
              <c:showSerName val="0"/>
              <c:showPercent val="0"/>
              <c:showBubbleSize val="0"/>
              <c:separator>
</c:separator>
              <c:extLst>
                <c:ext xmlns:c15="http://schemas.microsoft.com/office/drawing/2012/chart" uri="{CE6537A1-D6FC-4f65-9D91-7224C49458BB}"/>
              </c:extLst>
            </c:dLbl>
            <c:numFmt formatCode="0.0%" sourceLinked="0"/>
            <c:spPr>
              <a:noFill/>
              <a:ln>
                <a:noFill/>
              </a:ln>
              <a:effectLst/>
            </c:spPr>
            <c:txPr>
              <a:bodyPr rot="0" vert="horz" anchor="t" anchorCtr="0"/>
              <a:lstStyle/>
              <a:p>
                <a:pPr>
                  <a:defRPr sz="700" baseline="0"/>
                </a:pPr>
                <a:endParaRPr lang="fr-FR"/>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Feuil1!$A$2:$A$14</c:f>
              <c:strCache>
                <c:ptCount val="13"/>
                <c:pt idx="0">
                  <c:v>GENERAL</c:v>
                </c:pt>
                <c:pt idx="1">
                  <c:v>TRANSPORTS</c:v>
                </c:pt>
                <c:pt idx="2">
                  <c:v>ARTICLES D'HABILLEMENT ET CHAUSSURES</c:v>
                </c:pt>
                <c:pt idx="3">
                  <c:v>COMMUNICATIONS</c:v>
                </c:pt>
                <c:pt idx="4">
                  <c:v>BIENS ET SERVICES DIVERS</c:v>
                </c:pt>
                <c:pt idx="5">
                  <c:v>MEUBLES, ARTICLES DE MENAGE ET ENTRETIEN COURANT DU FOYER</c:v>
                </c:pt>
                <c:pt idx="6">
                  <c:v>LOISIRS ET CULTURE</c:v>
                </c:pt>
                <c:pt idx="7">
                  <c:v>SANTÉ</c:v>
                </c:pt>
                <c:pt idx="8">
                  <c:v>LOGEMENT, EAU, GAZ, ELECTRICITE </c:v>
                </c:pt>
                <c:pt idx="9">
                  <c:v>RESTAURANTS ET HÔTELS</c:v>
                </c:pt>
                <c:pt idx="10">
                  <c:v>PRODUITS ALIMENTAIRES ET BOISSONS NON ALCOOLISÉES</c:v>
                </c:pt>
                <c:pt idx="11">
                  <c:v>ENSEIGNEMENT</c:v>
                </c:pt>
                <c:pt idx="12">
                  <c:v>BOISSONS ALCOOLISÉES, TABAC ET STUPÉFIANTS</c:v>
                </c:pt>
              </c:strCache>
            </c:strRef>
          </c:cat>
          <c:val>
            <c:numRef>
              <c:f>Feuil1!$B$2:$B$14</c:f>
              <c:numCache>
                <c:formatCode>0.0%</c:formatCode>
                <c:ptCount val="13"/>
                <c:pt idx="0" formatCode="0.00%">
                  <c:v>2.1000000000000012E-2</c:v>
                </c:pt>
                <c:pt idx="1">
                  <c:v>-5.0000000000000105E-3</c:v>
                </c:pt>
                <c:pt idx="2">
                  <c:v>-1.0000000000000028E-3</c:v>
                </c:pt>
                <c:pt idx="3">
                  <c:v>0</c:v>
                </c:pt>
                <c:pt idx="4">
                  <c:v>1.0000000000000028E-3</c:v>
                </c:pt>
                <c:pt idx="5">
                  <c:v>2.0000000000000052E-3</c:v>
                </c:pt>
                <c:pt idx="6">
                  <c:v>6.0000000000000114E-3</c:v>
                </c:pt>
                <c:pt idx="7">
                  <c:v>7.0000000000000114E-3</c:v>
                </c:pt>
                <c:pt idx="8">
                  <c:v>8.0000000000000227E-3</c:v>
                </c:pt>
                <c:pt idx="9">
                  <c:v>2.4E-2</c:v>
                </c:pt>
                <c:pt idx="10">
                  <c:v>3.5999999999999997E-2</c:v>
                </c:pt>
                <c:pt idx="11">
                  <c:v>4.2000000000000023E-2</c:v>
                </c:pt>
                <c:pt idx="12">
                  <c:v>5.3999999999999999E-2</c:v>
                </c:pt>
              </c:numCache>
            </c:numRef>
          </c:val>
        </c:ser>
        <c:dLbls>
          <c:showLegendKey val="0"/>
          <c:showVal val="0"/>
          <c:showCatName val="0"/>
          <c:showSerName val="0"/>
          <c:showPercent val="0"/>
          <c:showBubbleSize val="0"/>
        </c:dLbls>
        <c:gapWidth val="75"/>
        <c:overlap val="-36"/>
        <c:axId val="333805856"/>
        <c:axId val="333806248"/>
      </c:barChart>
      <c:catAx>
        <c:axId val="333805856"/>
        <c:scaling>
          <c:orientation val="minMax"/>
        </c:scaling>
        <c:delete val="1"/>
        <c:axPos val="l"/>
        <c:numFmt formatCode="General" sourceLinked="0"/>
        <c:majorTickMark val="out"/>
        <c:minorTickMark val="none"/>
        <c:tickLblPos val="none"/>
        <c:crossAx val="333806248"/>
        <c:crosses val="autoZero"/>
        <c:auto val="1"/>
        <c:lblAlgn val="ctr"/>
        <c:lblOffset val="100"/>
        <c:noMultiLvlLbl val="0"/>
      </c:catAx>
      <c:valAx>
        <c:axId val="333806248"/>
        <c:scaling>
          <c:orientation val="minMax"/>
        </c:scaling>
        <c:delete val="0"/>
        <c:axPos val="b"/>
        <c:numFmt formatCode="0%" sourceLinked="0"/>
        <c:majorTickMark val="out"/>
        <c:minorTickMark val="none"/>
        <c:tickLblPos val="nextTo"/>
        <c:crossAx val="3338058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fr-FR" sz="1200" b="1" i="0" baseline="0"/>
              <a:t>Evolution de l'indice moyen des huit premiers mois </a:t>
            </a:r>
            <a:endParaRPr lang="fr-FR" sz="1200"/>
          </a:p>
          <a:p>
            <a:pPr>
              <a:defRPr/>
            </a:pPr>
            <a:r>
              <a:rPr lang="fr-FR" sz="1200" b="1" i="0" baseline="0"/>
              <a:t>2015/2014</a:t>
            </a:r>
            <a:endParaRPr lang="fr-FR" sz="1200"/>
          </a:p>
          <a:p>
            <a:pPr>
              <a:defRPr/>
            </a:pPr>
            <a:r>
              <a:rPr lang="fr-FR" sz="1200" b="1" i="0" baseline="0"/>
              <a:t>Ville de casablanca</a:t>
            </a:r>
          </a:p>
        </c:rich>
      </c:tx>
      <c:overlay val="0"/>
    </c:title>
    <c:autoTitleDeleted val="0"/>
    <c:plotArea>
      <c:layout/>
      <c:barChart>
        <c:barDir val="bar"/>
        <c:grouping val="clustered"/>
        <c:varyColors val="0"/>
        <c:ser>
          <c:idx val="0"/>
          <c:order val="0"/>
          <c:tx>
            <c:strRef>
              <c:f>'gra08'!$A$5</c:f>
              <c:strCache>
                <c:ptCount val="1"/>
                <c:pt idx="0">
                  <c:v>2014</c:v>
                </c:pt>
              </c:strCache>
            </c:strRef>
          </c:tx>
          <c:invertIfNegative val="0"/>
          <c:cat>
            <c:strRef>
              <c:f>'gra08'!$B$4:$N$4</c:f>
              <c:strCache>
                <c:ptCount val="13"/>
                <c:pt idx="0">
                  <c:v>GENERAL</c:v>
                </c:pt>
                <c:pt idx="1">
                  <c:v>PRODUITS ALIMENTAIRES ET BOISSONS NON ALCOOLISÉES</c:v>
                </c:pt>
                <c:pt idx="2">
                  <c:v>BOISSONS ALCOOLISÉES, TABAC ET STUPÉFIANTS</c:v>
                </c:pt>
                <c:pt idx="3">
                  <c:v>ARTICLES D'HABILLEMENT ET CHAUSSURES</c:v>
                </c:pt>
                <c:pt idx="4">
                  <c:v>LOGEMENT, EAU, GAZ, ELECTRICITE ET AUTRES COMBUSTIBLES</c:v>
                </c:pt>
                <c:pt idx="5">
                  <c:v>MEUBLES, ARTICLES DE MENAGE ET ENTRETIEN COURANT DU FOYER</c:v>
                </c:pt>
                <c:pt idx="6">
                  <c:v>SANTÉ</c:v>
                </c:pt>
                <c:pt idx="7">
                  <c:v>TRANSPORTS</c:v>
                </c:pt>
                <c:pt idx="8">
                  <c:v>COMMUNICATIONS</c:v>
                </c:pt>
                <c:pt idx="9">
                  <c:v>LOISIRS ET CULTURE</c:v>
                </c:pt>
                <c:pt idx="10">
                  <c:v>ENSEIGNEMENT</c:v>
                </c:pt>
                <c:pt idx="11">
                  <c:v>RESTAURANTS ET HÔTELS</c:v>
                </c:pt>
                <c:pt idx="12">
                  <c:v>BIENS ET SERVICES DIVERS</c:v>
                </c:pt>
              </c:strCache>
            </c:strRef>
          </c:cat>
          <c:val>
            <c:numRef>
              <c:f>'gra08'!$B$5:$N$5</c:f>
              <c:numCache>
                <c:formatCode>General</c:formatCode>
                <c:ptCount val="13"/>
                <c:pt idx="0">
                  <c:v>114.925</c:v>
                </c:pt>
                <c:pt idx="1">
                  <c:v>121.57499999999999</c:v>
                </c:pt>
                <c:pt idx="2">
                  <c:v>116.10000000000001</c:v>
                </c:pt>
                <c:pt idx="3">
                  <c:v>122.97499999999999</c:v>
                </c:pt>
                <c:pt idx="4">
                  <c:v>110.5625</c:v>
                </c:pt>
                <c:pt idx="5">
                  <c:v>105.8875</c:v>
                </c:pt>
                <c:pt idx="6">
                  <c:v>105.05</c:v>
                </c:pt>
                <c:pt idx="7">
                  <c:v>114.6875</c:v>
                </c:pt>
                <c:pt idx="8">
                  <c:v>57.4</c:v>
                </c:pt>
                <c:pt idx="9">
                  <c:v>97.024999999999991</c:v>
                </c:pt>
                <c:pt idx="10">
                  <c:v>144.4</c:v>
                </c:pt>
                <c:pt idx="11">
                  <c:v>122.0625</c:v>
                </c:pt>
                <c:pt idx="12">
                  <c:v>106.37499999999999</c:v>
                </c:pt>
              </c:numCache>
            </c:numRef>
          </c:val>
        </c:ser>
        <c:ser>
          <c:idx val="1"/>
          <c:order val="1"/>
          <c:tx>
            <c:strRef>
              <c:f>'gra08'!$A$6</c:f>
              <c:strCache>
                <c:ptCount val="1"/>
                <c:pt idx="0">
                  <c:v>2015</c:v>
                </c:pt>
              </c:strCache>
            </c:strRef>
          </c:tx>
          <c:invertIfNegative val="0"/>
          <c:cat>
            <c:strRef>
              <c:f>'gra08'!$B$4:$N$4</c:f>
              <c:strCache>
                <c:ptCount val="13"/>
                <c:pt idx="0">
                  <c:v>GENERAL</c:v>
                </c:pt>
                <c:pt idx="1">
                  <c:v>PRODUITS ALIMENTAIRES ET BOISSONS NON ALCOOLISÉES</c:v>
                </c:pt>
                <c:pt idx="2">
                  <c:v>BOISSONS ALCOOLISÉES, TABAC ET STUPÉFIANTS</c:v>
                </c:pt>
                <c:pt idx="3">
                  <c:v>ARTICLES D'HABILLEMENT ET CHAUSSURES</c:v>
                </c:pt>
                <c:pt idx="4">
                  <c:v>LOGEMENT, EAU, GAZ, ELECTRICITE ET AUTRES COMBUSTIBLES</c:v>
                </c:pt>
                <c:pt idx="5">
                  <c:v>MEUBLES, ARTICLES DE MENAGE ET ENTRETIEN COURANT DU FOYER</c:v>
                </c:pt>
                <c:pt idx="6">
                  <c:v>SANTÉ</c:v>
                </c:pt>
                <c:pt idx="7">
                  <c:v>TRANSPORTS</c:v>
                </c:pt>
                <c:pt idx="8">
                  <c:v>COMMUNICATIONS</c:v>
                </c:pt>
                <c:pt idx="9">
                  <c:v>LOISIRS ET CULTURE</c:v>
                </c:pt>
                <c:pt idx="10">
                  <c:v>ENSEIGNEMENT</c:v>
                </c:pt>
                <c:pt idx="11">
                  <c:v>RESTAURANTS ET HÔTELS</c:v>
                </c:pt>
                <c:pt idx="12">
                  <c:v>BIENS ET SERVICES DIVERS</c:v>
                </c:pt>
              </c:strCache>
            </c:strRef>
          </c:cat>
          <c:val>
            <c:numRef>
              <c:f>'gra08'!$B$6:$N$6</c:f>
              <c:numCache>
                <c:formatCode>General</c:formatCode>
                <c:ptCount val="13"/>
                <c:pt idx="0" formatCode="0.0">
                  <c:v>117.67499999999998</c:v>
                </c:pt>
                <c:pt idx="1">
                  <c:v>125.925</c:v>
                </c:pt>
                <c:pt idx="2">
                  <c:v>119.6125</c:v>
                </c:pt>
                <c:pt idx="3">
                  <c:v>122.72499999999999</c:v>
                </c:pt>
                <c:pt idx="4">
                  <c:v>115.22499999999999</c:v>
                </c:pt>
                <c:pt idx="5">
                  <c:v>106.35000000000001</c:v>
                </c:pt>
                <c:pt idx="6">
                  <c:v>105.26249999999999</c:v>
                </c:pt>
                <c:pt idx="7">
                  <c:v>113.53750000000002</c:v>
                </c:pt>
                <c:pt idx="8">
                  <c:v>57.4</c:v>
                </c:pt>
                <c:pt idx="9">
                  <c:v>96.6875</c:v>
                </c:pt>
                <c:pt idx="10">
                  <c:v>150.4</c:v>
                </c:pt>
                <c:pt idx="11">
                  <c:v>126.11249999999998</c:v>
                </c:pt>
                <c:pt idx="12">
                  <c:v>106.33749999999999</c:v>
                </c:pt>
              </c:numCache>
            </c:numRef>
          </c:val>
        </c:ser>
        <c:dLbls>
          <c:showLegendKey val="0"/>
          <c:showVal val="0"/>
          <c:showCatName val="0"/>
          <c:showSerName val="0"/>
          <c:showPercent val="0"/>
          <c:showBubbleSize val="0"/>
        </c:dLbls>
        <c:gapWidth val="150"/>
        <c:axId val="333807032"/>
        <c:axId val="515146888"/>
      </c:barChart>
      <c:catAx>
        <c:axId val="333807032"/>
        <c:scaling>
          <c:orientation val="minMax"/>
        </c:scaling>
        <c:delete val="0"/>
        <c:axPos val="l"/>
        <c:numFmt formatCode="General" sourceLinked="0"/>
        <c:majorTickMark val="out"/>
        <c:minorTickMark val="none"/>
        <c:tickLblPos val="nextTo"/>
        <c:crossAx val="515146888"/>
        <c:crosses val="autoZero"/>
        <c:auto val="1"/>
        <c:lblAlgn val="ctr"/>
        <c:lblOffset val="100"/>
        <c:noMultiLvlLbl val="0"/>
      </c:catAx>
      <c:valAx>
        <c:axId val="515146888"/>
        <c:scaling>
          <c:orientation val="minMax"/>
        </c:scaling>
        <c:delete val="0"/>
        <c:axPos val="b"/>
        <c:majorGridlines/>
        <c:numFmt formatCode="General" sourceLinked="1"/>
        <c:majorTickMark val="out"/>
        <c:minorTickMark val="none"/>
        <c:tickLblPos val="nextTo"/>
        <c:crossAx val="3338070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B4BF66-23BF-4655-AD45-E971091F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6</Pages>
  <Words>959</Words>
  <Characters>5277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2015-10-19T10:29:00Z</dcterms:created>
  <dcterms:modified xsi:type="dcterms:W3CDTF">2015-10-19T10:29:00Z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