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6"/>
        <w:gridCol w:w="620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5B30EC" w:rsidRPr="005B30EC" w:rsidRDefault="005B30EC" w:rsidP="00905F33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للأثمان عند الاستهلاك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لشهر </w:t>
      </w:r>
      <w:r w:rsidR="00905F33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BH"/>
        </w:rPr>
        <w:t>يوليوز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Pr="00AB2DC4">
        <w:rPr>
          <w:rFonts w:ascii="Arial" w:eastAsia="Times New Roman" w:hAnsi="Arial" w:cs="Arial"/>
          <w:b/>
          <w:bCs/>
          <w:color w:val="800000"/>
          <w:sz w:val="28"/>
          <w:szCs w:val="28"/>
          <w:rtl/>
          <w:lang w:eastAsia="fr-FR" w:bidi="ar-MA"/>
        </w:rPr>
        <w:t>201</w:t>
      </w:r>
      <w:r w:rsidR="00DD5810" w:rsidRPr="00AB2DC4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/>
        </w:rPr>
        <w:t>6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 xml:space="preserve"> </w:t>
      </w:r>
    </w:p>
    <w:p w:rsidR="00851FA2" w:rsidRPr="005B30EC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5B30EC" w:rsidRPr="0008432D" w:rsidRDefault="00851FA2" w:rsidP="00905F33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8E0CD1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 </w:t>
      </w:r>
      <w:r w:rsidR="008E0CD1" w:rsidRPr="008E0CD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ارتفاع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الرقم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للاثمان عند الاستهلاك </w:t>
      </w:r>
      <w:r w:rsidR="00DD5810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خلال شهر</w:t>
      </w:r>
      <w:r w:rsidR="00DC37C9"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  <w:t xml:space="preserve"> </w:t>
      </w:r>
      <w:r w:rsidR="00905F33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يوليوز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5B30EC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201</w:t>
      </w:r>
      <w:r w:rsidR="00DD5810" w:rsidRPr="00AB2DC4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6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5B30EC" w:rsidRDefault="005B30EC" w:rsidP="005B30EC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851FA2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905F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سجل الرقم الاستدلالي للأثمان عند الاستهلاك خلال شهر </w:t>
      </w:r>
      <w:r w:rsidR="00905F33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يوليوز</w:t>
      </w:r>
      <w:r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201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/>
        </w:rPr>
        <w:t>6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، </w:t>
      </w:r>
      <w:r w:rsidR="008E0CD1">
        <w:rPr>
          <w:rFonts w:ascii="Arial" w:eastAsia="Times New Roman" w:hAnsi="Arial" w:cs="Arial" w:hint="cs"/>
          <w:sz w:val="32"/>
          <w:szCs w:val="32"/>
          <w:rtl/>
          <w:lang w:eastAsia="fr-FR"/>
        </w:rPr>
        <w:t>ارتفاع</w:t>
      </w:r>
      <w:r w:rsidR="008E0CD1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</w:t>
      </w:r>
      <w:r w:rsidR="00B6377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 xml:space="preserve"> بنسبة</w:t>
      </w:r>
      <w:r w:rsidR="00B63777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B63777" w:rsidRPr="00AB2DC4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0,</w:t>
      </w:r>
      <w:r w:rsidR="00905F33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5</w:t>
      </w:r>
      <w:r w:rsidRPr="00AB2DC4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%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 السابق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, نتيجة </w:t>
      </w:r>
      <w:r w:rsidR="00AC0BC4">
        <w:rPr>
          <w:rFonts w:ascii="Arial" w:eastAsia="Times New Roman" w:hAnsi="Arial" w:cs="Arial" w:hint="cs"/>
          <w:sz w:val="32"/>
          <w:szCs w:val="32"/>
          <w:rtl/>
          <w:lang w:eastAsia="fr-FR"/>
        </w:rPr>
        <w:t>ارتفاع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905F33">
        <w:rPr>
          <w:rFonts w:ascii="Arial" w:eastAsia="Times New Roman" w:hAnsi="Arial" w:cs="Arial" w:hint="cs"/>
          <w:sz w:val="28"/>
          <w:szCs w:val="28"/>
          <w:rtl/>
          <w:lang w:eastAsia="fr-FR"/>
        </w:rPr>
        <w:t>1,2</w:t>
      </w:r>
      <w:r w:rsidR="00DD5810" w:rsidRPr="00A342E3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%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8E0CD1" w:rsidRPr="007C1CC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05F33" w:rsidRPr="007C1CC3">
        <w:rPr>
          <w:rFonts w:ascii="Arial" w:eastAsia="Times New Roman" w:hAnsi="Arial" w:cs="Arial" w:hint="cs"/>
          <w:sz w:val="32"/>
          <w:szCs w:val="32"/>
          <w:rtl/>
          <w:lang w:eastAsia="fr-FR"/>
        </w:rPr>
        <w:t>استقرار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المواد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63777" w:rsidRPr="00AB2DC4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3F1569" w:rsidRPr="003F1569" w:rsidRDefault="004463E3" w:rsidP="00015BEB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سجلت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B6377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905F3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يونيو</w:t>
      </w:r>
      <w:r w:rsidR="00AC0B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905F3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يوليوز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D5810" w:rsidRPr="00AB2DC4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2</w:t>
      </w:r>
      <w:r w:rsidR="005B30EC" w:rsidRPr="00AB2DC4">
        <w:rPr>
          <w:rFonts w:ascii="Arial" w:eastAsia="Times New Roman" w:hAnsi="Arial" w:cs="Arial"/>
          <w:sz w:val="28"/>
          <w:szCs w:val="28"/>
          <w:rtl/>
          <w:lang w:eastAsia="fr-FR" w:bidi="ar-MA"/>
        </w:rPr>
        <w:t>01</w:t>
      </w:r>
      <w:r w:rsidR="00DD5810" w:rsidRPr="00AB2DC4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6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, </w:t>
      </w:r>
      <w:r w:rsidR="00AC0BC4">
        <w:rPr>
          <w:rFonts w:ascii="Arial" w:eastAsia="Times New Roman" w:hAnsi="Arial" w:cs="Arial" w:hint="cs"/>
          <w:sz w:val="32"/>
          <w:szCs w:val="32"/>
          <w:rtl/>
          <w:lang w:eastAsia="fr-FR"/>
        </w:rPr>
        <w:t>ارتفاعا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هم على الخصوص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 w:rsidR="00DD581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</w:t>
      </w:r>
      <w:r w:rsidR="00AC0B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للحوم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 w:rsidR="00DD581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905F33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1,6</w:t>
      </w:r>
      <w:r w:rsidR="00DD5810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7C1CC3">
        <w:rPr>
          <w:rFonts w:ascii="Arial" w:eastAsia="Times New Roman" w:hAnsi="Arial" w:cs="Arial" w:hint="cs"/>
          <w:sz w:val="28"/>
          <w:szCs w:val="28"/>
          <w:rtl/>
          <w:lang w:eastAsia="fr-FR"/>
        </w:rPr>
        <w:t>,</w:t>
      </w:r>
      <w:r w:rsidR="00905F33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"ا</w:t>
      </w:r>
      <w:r w:rsidR="00905F33">
        <w:rPr>
          <w:rFonts w:ascii="Arial" w:eastAsia="Times New Roman" w:hAnsi="Arial" w:cs="Arial" w:hint="cs"/>
          <w:sz w:val="32"/>
          <w:szCs w:val="32"/>
          <w:rtl/>
          <w:lang w:eastAsia="fr-FR"/>
        </w:rPr>
        <w:t>لخضر</w:t>
      </w:r>
      <w:r w:rsidR="00905F33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" </w:t>
      </w:r>
      <w:r w:rsidR="00905F33">
        <w:rPr>
          <w:rFonts w:ascii="Arial" w:eastAsia="Times New Roman" w:hAnsi="Arial" w:cs="Arial" w:hint="cs"/>
          <w:sz w:val="32"/>
          <w:szCs w:val="32"/>
          <w:rtl/>
          <w:lang w:eastAsia="fr-FR"/>
        </w:rPr>
        <w:t>ب2,9</w:t>
      </w:r>
      <w:r w:rsidR="00905F33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7C1CC3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</w:t>
      </w:r>
      <w:r w:rsidR="00905F33">
        <w:rPr>
          <w:rFonts w:ascii="Arial" w:eastAsia="Times New Roman" w:hAnsi="Arial" w:cs="Arial" w:hint="cs"/>
          <w:sz w:val="28"/>
          <w:szCs w:val="28"/>
          <w:rtl/>
          <w:lang w:eastAsia="fr-FR"/>
        </w:rPr>
        <w:t>و</w:t>
      </w:r>
      <w:r w:rsidR="00C376E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"ا</w:t>
      </w:r>
      <w:r w:rsidR="00905F33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لأسماك و</w:t>
      </w:r>
      <w:r w:rsidR="00E569F4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ال</w:t>
      </w:r>
      <w:r w:rsidR="00905F33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فواكه البحر</w:t>
      </w:r>
      <w:r w:rsidR="00C376E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 ب</w:t>
      </w:r>
      <w:r w:rsidR="00905F33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3,1</w:t>
      </w:r>
      <w:r w:rsidR="00C376E7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015BEB" w:rsidRPr="00AB2DC4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.</w:t>
      </w:r>
      <w:r w:rsidR="00015BEB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 xml:space="preserve"> </w:t>
      </w:r>
      <w:r w:rsidR="007B0B29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العكس من ذلك </w:t>
      </w:r>
      <w:r w:rsidR="00AC0B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انخفضت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أثمان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 </w:t>
      </w:r>
      <w:r w:rsidR="008E0CD1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 w:rsidR="00905F33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الحليب</w:t>
      </w:r>
      <w:r w:rsidR="00E569F4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و</w:t>
      </w:r>
      <w:r w:rsidR="00905F33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الجبن والبيض</w:t>
      </w:r>
      <w:r w:rsidR="008E0CD1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 ب</w:t>
      </w:r>
      <w:r w:rsidR="00905F33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0,4</w:t>
      </w:r>
      <w:r w:rsidR="008E0CD1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F76C3E" w:rsidRPr="00A342E3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3F1569" w:rsidRPr="003F1569" w:rsidRDefault="004463E3" w:rsidP="00015BEB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بالمقارنة مع نفس الشهر من السنة السابقة،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فقد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 الرقم الاستدلالي للأثمان عند الاستهلاك ارتفاعا ب</w:t>
      </w:r>
      <w:r w:rsidR="00395945" w:rsidRPr="00AB2DC4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1,</w:t>
      </w:r>
      <w:r w:rsidR="007C1CC3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9</w:t>
      </w:r>
      <w:r w:rsidR="005B30EC" w:rsidRPr="00AB2DC4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AB2D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نتيجة </w:t>
      </w:r>
      <w:r w:rsidR="00C74AC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ارتفاع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أثمان المواد الغذائية</w:t>
      </w:r>
      <w:r w:rsidR="00744FF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والمشروبات غير الكحولية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ب</w:t>
      </w:r>
      <w:r w:rsidR="00905F33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3,8</w:t>
      </w:r>
      <w:r w:rsidR="005B30EC" w:rsidRPr="00AB2DC4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B30EC" w:rsidRPr="00AB2DC4">
        <w:rPr>
          <w:rFonts w:ascii="Arial" w:eastAsia="Times New Roman" w:hAnsi="Arial" w:cs="Arial"/>
          <w:sz w:val="28"/>
          <w:szCs w:val="28"/>
          <w:rtl/>
          <w:lang w:eastAsia="fr-FR" w:bidi="ar-MA"/>
        </w:rPr>
        <w:t xml:space="preserve">.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وتراوحت نسب التغير 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لأثمان ا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لمواد غير الغذائية ما بين انخفاض قدره </w:t>
      </w:r>
      <w:r w:rsidR="00905F33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1,2</w:t>
      </w:r>
      <w:r w:rsidR="005B30EC" w:rsidRPr="00411203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بالنسبة  ل"النقل" وارتفاع قدره </w:t>
      </w:r>
      <w:r w:rsidR="00411203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3,</w:t>
      </w:r>
      <w:r w:rsidR="00AC0BC4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3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 بالنسبة ل"</w:t>
      </w:r>
      <w:r w:rsidR="00AC0B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المطاعم والفنادق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"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.   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7D28DC" w:rsidRDefault="005B30EC" w:rsidP="0027379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على المستوى الوطني</w:t>
      </w:r>
      <w:r w:rsidR="004463E3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,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الرقم الاستدلالي للأثمان عند الاستهلاك </w:t>
      </w:r>
      <w:r w:rsidR="0093374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ارتفاعا</w:t>
      </w:r>
      <w:r w:rsidR="00C376E7" w:rsidRPr="003F1569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خلال شهر </w:t>
      </w:r>
      <w:r w:rsidR="0027379D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يوليوز</w:t>
      </w:r>
      <w:r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201</w:t>
      </w:r>
      <w:r w:rsidR="00411203">
        <w:rPr>
          <w:rFonts w:ascii="Arial" w:eastAsia="Times New Roman" w:hAnsi="Arial" w:cs="Arial" w:hint="cs"/>
          <w:sz w:val="28"/>
          <w:szCs w:val="28"/>
          <w:rtl/>
          <w:lang w:eastAsia="fr-FR"/>
        </w:rPr>
        <w:t>6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مقارنة مع الشهر السابق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قدر ب</w:t>
      </w:r>
      <w:r w:rsidR="002236A8" w:rsidRPr="00AB2DC4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0,</w:t>
      </w:r>
      <w:r w:rsidR="00905F33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2</w:t>
      </w:r>
      <w:r w:rsidR="002F5A66" w:rsidRPr="00AB2DC4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%.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وعلى </w:t>
      </w:r>
      <w:r w:rsidR="004463E3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مستوى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4463E3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أهم انخفاض ل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لرقم الاستدلالي </w:t>
      </w:r>
      <w:r w:rsidR="002236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905F3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وجدة</w:t>
      </w:r>
      <w:r w:rsidR="00906C2A" w:rsidRPr="00906C2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05067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(</w:t>
      </w:r>
      <w:r w:rsidR="00905F33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1,1</w:t>
      </w:r>
      <w:r w:rsidR="00105067" w:rsidRPr="00AB2DC4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105067" w:rsidRPr="00AB2DC4">
        <w:rPr>
          <w:rFonts w:ascii="Arial" w:eastAsia="Times New Roman" w:hAnsi="Arial" w:cs="Arial"/>
          <w:sz w:val="28"/>
          <w:szCs w:val="28"/>
          <w:lang w:eastAsia="fr-FR"/>
        </w:rPr>
        <w:t>-</w:t>
      </w:r>
      <w:r w:rsidR="00105067" w:rsidRPr="00AB2DC4">
        <w:rPr>
          <w:rFonts w:ascii="Arial" w:eastAsia="Times New Roman" w:hAnsi="Arial" w:cs="Arial" w:hint="cs"/>
          <w:sz w:val="28"/>
          <w:szCs w:val="28"/>
          <w:rtl/>
          <w:lang w:eastAsia="fr-FR"/>
        </w:rPr>
        <w:t>)</w:t>
      </w:r>
      <w:r w:rsidR="00105067" w:rsidRPr="00AB2DC4">
        <w:rPr>
          <w:rFonts w:ascii="Arial" w:eastAsia="Times New Roman" w:hAnsi="Arial" w:cs="Arial"/>
          <w:sz w:val="28"/>
          <w:szCs w:val="28"/>
          <w:lang w:eastAsia="fr-FR" w:bidi="ar-MA"/>
        </w:rPr>
        <w:t xml:space="preserve"> </w:t>
      </w:r>
      <w:r w:rsidR="00411203" w:rsidRPr="00AB2DC4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 xml:space="preserve"> 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أما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أهم 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رتفاع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فسجل بمدينة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</w:t>
      </w:r>
      <w:r w:rsidR="00905F3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الدار البيضاء والحسيمة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(</w:t>
      </w:r>
      <w:r w:rsidR="00905F33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0,5</w:t>
      </w:r>
      <w:r w:rsidRPr="00AB2DC4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485042" w:rsidRPr="00AB2DC4">
        <w:rPr>
          <w:rFonts w:ascii="Arial" w:eastAsia="Times New Roman" w:hAnsi="Arial" w:cs="Arial"/>
          <w:sz w:val="28"/>
          <w:szCs w:val="28"/>
          <w:lang w:eastAsia="fr-FR"/>
        </w:rPr>
        <w:t>+</w:t>
      </w:r>
      <w:r w:rsidR="0053200B" w:rsidRPr="00AB2DC4">
        <w:rPr>
          <w:rFonts w:ascii="Arial" w:eastAsia="Times New Roman" w:hAnsi="Arial" w:cs="Arial" w:hint="cs"/>
          <w:sz w:val="28"/>
          <w:szCs w:val="28"/>
          <w:rtl/>
          <w:lang w:eastAsia="fr-FR"/>
        </w:rPr>
        <w:t>)</w:t>
      </w:r>
      <w:r w:rsidRPr="00AB2DC4">
        <w:rPr>
          <w:rFonts w:ascii="Arial" w:eastAsia="Times New Roman" w:hAnsi="Arial" w:cs="Arial"/>
          <w:sz w:val="28"/>
          <w:szCs w:val="28"/>
          <w:rtl/>
          <w:lang w:eastAsia="fr-FR"/>
        </w:rPr>
        <w:t>.</w:t>
      </w:r>
    </w:p>
    <w:p w:rsidR="003F1569" w:rsidRPr="003F1569" w:rsidRDefault="005B30EC" w:rsidP="007D28D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r w:rsidRPr="00AB2DC4">
        <w:rPr>
          <w:rFonts w:ascii="Arial" w:eastAsia="Times New Roman" w:hAnsi="Arial" w:cs="Arial"/>
          <w:sz w:val="28"/>
          <w:szCs w:val="28"/>
          <w:rtl/>
          <w:lang w:eastAsia="fr-FR"/>
        </w:rPr>
        <w:t> </w:t>
      </w:r>
    </w:p>
    <w:p w:rsidR="00E974E2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 </w:t>
      </w:r>
    </w:p>
    <w:p w:rsidR="004F22B2" w:rsidRDefault="004F22B2" w:rsidP="004F22B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4F22B2" w:rsidRDefault="004F22B2" w:rsidP="004F22B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lastRenderedPageBreak/>
              <w:t>المملكة المغربية</w:t>
            </w: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401F90" w:rsidRDefault="004A4CB6" w:rsidP="007C1CC3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401F90">
        <w:rPr>
          <w:rFonts w:cs="Arial"/>
          <w:b/>
          <w:bCs/>
          <w:color w:val="C00000"/>
          <w:sz w:val="28"/>
          <w:szCs w:val="28"/>
          <w:rtl/>
          <w:lang w:bidi="ar-MA"/>
        </w:rPr>
        <w:t>الرقم الاستدلالي للاثمان عند الاستهلاك</w:t>
      </w:r>
    </w:p>
    <w:p w:rsidR="004F22B2" w:rsidRPr="00401F90" w:rsidRDefault="004F22B2" w:rsidP="004F22B2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401F90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Default="004A4CB6" w:rsidP="00401F90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rtl/>
          <w:lang w:eastAsia="fr-FR" w:bidi="ar-MA"/>
        </w:rPr>
      </w:pPr>
      <w:r w:rsidRPr="00401F90"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3529"/>
        <w:gridCol w:w="1843"/>
        <w:gridCol w:w="2022"/>
        <w:gridCol w:w="1649"/>
      </w:tblGrid>
      <w:tr w:rsidR="004A4CB6" w:rsidRPr="00401F90" w:rsidTr="00401F90">
        <w:trPr>
          <w:trHeight w:val="227"/>
          <w:jc w:val="center"/>
        </w:trPr>
        <w:tc>
          <w:tcPr>
            <w:tcW w:w="3529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401F9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7B160F">
              <w:rPr>
                <w:rFonts w:ascii="Arial" w:hAnsi="Arial" w:cs="Arial"/>
                <w:b/>
                <w:bCs/>
                <w:rtl/>
                <w:lang w:bidi="ar-MA"/>
              </w:rPr>
              <w:t>أقسام المواد</w:t>
            </w:r>
          </w:p>
        </w:tc>
        <w:tc>
          <w:tcPr>
            <w:tcW w:w="551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7814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7B160F">
              <w:rPr>
                <w:rFonts w:ascii="Arial" w:hAnsi="Arial" w:cs="Arial"/>
                <w:b/>
                <w:bCs/>
                <w:rtl/>
                <w:lang w:bidi="ar-MA"/>
              </w:rPr>
              <w:t>الرقم الاستدلالي الشهري</w:t>
            </w:r>
          </w:p>
        </w:tc>
      </w:tr>
      <w:tr w:rsidR="004A4CB6" w:rsidRPr="00401F90" w:rsidTr="00401F90">
        <w:trPr>
          <w:trHeight w:val="347"/>
          <w:jc w:val="center"/>
        </w:trPr>
        <w:tc>
          <w:tcPr>
            <w:tcW w:w="3529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4A4CB6" w:rsidRPr="007B160F" w:rsidRDefault="004A4CB6" w:rsidP="007814BC">
            <w:pPr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7814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7B160F">
              <w:rPr>
                <w:rFonts w:ascii="Arial" w:hAnsi="Arial" w:cs="Arial"/>
                <w:b/>
                <w:bCs/>
                <w:rtl/>
                <w:lang w:bidi="ar-MA"/>
              </w:rPr>
              <w:t xml:space="preserve">يونيو </w:t>
            </w:r>
            <w:r w:rsidRPr="007B160F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7814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7B160F">
              <w:rPr>
                <w:rFonts w:ascii="Arial" w:hAnsi="Arial" w:cs="Arial"/>
                <w:b/>
                <w:bCs/>
                <w:rtl/>
                <w:lang w:bidi="ar-MA"/>
              </w:rPr>
              <w:t xml:space="preserve">يوليوز </w:t>
            </w:r>
            <w:r w:rsidRPr="007B160F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164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A4CB6" w:rsidRPr="007B160F" w:rsidRDefault="004A4CB6" w:rsidP="007814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7B160F">
              <w:rPr>
                <w:rFonts w:cs="Times New Roman"/>
                <w:b/>
                <w:bCs/>
                <w:lang w:bidi="ar-MA"/>
              </w:rPr>
              <w:t>%</w:t>
            </w:r>
            <w:r w:rsidRPr="007B160F">
              <w:rPr>
                <w:rFonts w:ascii="Arial" w:hAnsi="Arial" w:cs="Arial"/>
                <w:b/>
                <w:bCs/>
                <w:rtl/>
                <w:lang w:bidi="ar-MA"/>
              </w:rPr>
              <w:t>التغير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b/>
                <w:bCs/>
                <w:lang w:bidi="ar-MA"/>
              </w:rPr>
            </w:pPr>
            <w:r w:rsidRPr="007B160F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60F">
              <w:rPr>
                <w:rFonts w:ascii="Arial" w:hAnsi="Arial" w:cs="Arial" w:hint="cs"/>
                <w:b/>
                <w:bCs/>
                <w:rtl/>
              </w:rPr>
              <w:t>129,8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60F">
              <w:rPr>
                <w:rFonts w:ascii="Arial" w:hAnsi="Arial" w:cs="Arial" w:hint="cs"/>
                <w:b/>
                <w:bCs/>
                <w:rtl/>
              </w:rPr>
              <w:t>131,3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60F">
              <w:rPr>
                <w:rFonts w:ascii="Arial" w:hAnsi="Arial" w:cs="Arial" w:hint="cs"/>
                <w:b/>
                <w:bCs/>
                <w:rtl/>
              </w:rPr>
              <w:t>1,2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130,1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131,7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1,2</w:t>
            </w:r>
          </w:p>
        </w:tc>
      </w:tr>
      <w:tr w:rsidR="004A4CB6" w:rsidRPr="00401F90" w:rsidTr="00401F90">
        <w:trPr>
          <w:trHeight w:val="260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122,4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122,4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0,0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b/>
                <w:bCs/>
                <w:lang w:bidi="ar-MA"/>
              </w:rPr>
            </w:pPr>
            <w:r w:rsidRPr="007B160F">
              <w:rPr>
                <w:rFonts w:ascii="Arial" w:hAnsi="Arial" w:cs="Arial"/>
                <w:b/>
                <w:bCs/>
                <w:rtl/>
                <w:lang w:bidi="ar-MA"/>
              </w:rPr>
              <w:t>المواد غير الغذائية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60F">
              <w:rPr>
                <w:rFonts w:ascii="Arial" w:hAnsi="Arial" w:cs="Arial" w:hint="cs"/>
                <w:b/>
                <w:bCs/>
                <w:rtl/>
              </w:rPr>
              <w:t>113,2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60F">
              <w:rPr>
                <w:rFonts w:ascii="Arial" w:hAnsi="Arial" w:cs="Arial" w:hint="cs"/>
                <w:b/>
                <w:bCs/>
                <w:rtl/>
              </w:rPr>
              <w:t>113,2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60F">
              <w:rPr>
                <w:rFonts w:ascii="Arial" w:hAnsi="Arial" w:cs="Arial" w:hint="cs"/>
                <w:b/>
                <w:bCs/>
                <w:rtl/>
              </w:rPr>
              <w:t>0,0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123,8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124,6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0,6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116,5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116,8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0,3</w:t>
            </w:r>
          </w:p>
        </w:tc>
      </w:tr>
      <w:tr w:rsidR="004A4CB6" w:rsidRPr="00401F90" w:rsidTr="00401F90">
        <w:trPr>
          <w:trHeight w:val="314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106,7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106,8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0,1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06 – الصحة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105,2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105,2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0,0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07 – النقل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114,5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113,7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0,7-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08 – المواصلات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57,4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57,4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0,0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99,4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99,4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0,0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10 – التعليم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153,2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153,2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0,0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131,0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131,0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F22B2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0,0</w:t>
            </w:r>
          </w:p>
        </w:tc>
      </w:tr>
      <w:tr w:rsidR="004A4CB6" w:rsidRPr="00401F90" w:rsidTr="00401F90">
        <w:trPr>
          <w:trHeight w:val="315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lang w:bidi="ar-MA"/>
              </w:rPr>
            </w:pPr>
            <w:r w:rsidRPr="007B160F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01F90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105,9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01F90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106,0</w:t>
            </w:r>
          </w:p>
        </w:tc>
        <w:tc>
          <w:tcPr>
            <w:tcW w:w="164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01F90" w:rsidP="00401F90">
            <w:pPr>
              <w:jc w:val="center"/>
              <w:rPr>
                <w:rFonts w:ascii="Arial" w:hAnsi="Arial" w:cs="Arial"/>
              </w:rPr>
            </w:pPr>
            <w:r w:rsidRPr="007B160F">
              <w:rPr>
                <w:rFonts w:ascii="Arial" w:hAnsi="Arial" w:cs="Arial" w:hint="cs"/>
                <w:rtl/>
              </w:rPr>
              <w:t>0,1</w:t>
            </w:r>
          </w:p>
        </w:tc>
      </w:tr>
      <w:tr w:rsidR="004A4CB6" w:rsidRPr="00401F90" w:rsidTr="00401F90">
        <w:trPr>
          <w:trHeight w:val="270"/>
          <w:jc w:val="center"/>
        </w:trPr>
        <w:tc>
          <w:tcPr>
            <w:tcW w:w="352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A4CB6" w:rsidRPr="007B160F" w:rsidRDefault="004A4CB6" w:rsidP="00A643F2">
            <w:pPr>
              <w:jc w:val="right"/>
              <w:rPr>
                <w:rFonts w:ascii="Arial" w:hAnsi="Arial" w:cs="Arial"/>
                <w:b/>
                <w:bCs/>
                <w:lang w:bidi="ar-MA"/>
              </w:rPr>
            </w:pPr>
            <w:r w:rsidRPr="007B160F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01F90" w:rsidP="00401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60F">
              <w:rPr>
                <w:rFonts w:ascii="Arial" w:hAnsi="Arial" w:cs="Arial" w:hint="cs"/>
                <w:b/>
                <w:bCs/>
                <w:rtl/>
              </w:rPr>
              <w:t>120,0</w:t>
            </w:r>
          </w:p>
        </w:tc>
        <w:tc>
          <w:tcPr>
            <w:tcW w:w="2022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01F90" w:rsidP="00401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60F">
              <w:rPr>
                <w:rFonts w:ascii="Arial" w:hAnsi="Arial" w:cs="Arial" w:hint="cs"/>
                <w:b/>
                <w:bCs/>
                <w:rtl/>
              </w:rPr>
              <w:t>120,6</w:t>
            </w:r>
          </w:p>
        </w:tc>
        <w:tc>
          <w:tcPr>
            <w:tcW w:w="164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A4CB6" w:rsidRPr="007B160F" w:rsidRDefault="00401F90" w:rsidP="00401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60F">
              <w:rPr>
                <w:rFonts w:ascii="Arial" w:hAnsi="Arial" w:cs="Arial" w:hint="cs"/>
                <w:b/>
                <w:bCs/>
                <w:rtl/>
              </w:rPr>
              <w:t>0,5</w:t>
            </w:r>
          </w:p>
        </w:tc>
      </w:tr>
    </w:tbl>
    <w:p w:rsidR="009C1128" w:rsidRDefault="009C1128" w:rsidP="00401F90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9C1128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GCAZZ62QxIWQLm62sRtLyJ+7WfY=" w:salt="t+AhHND5tJMTprofFkIzGg=="/>
  <w:defaultTabStop w:val="708"/>
  <w:hyphenationZone w:val="425"/>
  <w:characterSpacingControl w:val="doNotCompress"/>
  <w:compat/>
  <w:rsids>
    <w:rsidRoot w:val="00851FA2"/>
    <w:rsid w:val="000155C8"/>
    <w:rsid w:val="00015BEB"/>
    <w:rsid w:val="00021195"/>
    <w:rsid w:val="00021F3D"/>
    <w:rsid w:val="0006008B"/>
    <w:rsid w:val="0006734C"/>
    <w:rsid w:val="0008432D"/>
    <w:rsid w:val="000D6610"/>
    <w:rsid w:val="00105067"/>
    <w:rsid w:val="00105DEB"/>
    <w:rsid w:val="00126030"/>
    <w:rsid w:val="001413A5"/>
    <w:rsid w:val="001639C3"/>
    <w:rsid w:val="001D4C04"/>
    <w:rsid w:val="001E223B"/>
    <w:rsid w:val="00203612"/>
    <w:rsid w:val="0022033A"/>
    <w:rsid w:val="002236A8"/>
    <w:rsid w:val="0027379D"/>
    <w:rsid w:val="00285C0B"/>
    <w:rsid w:val="00290119"/>
    <w:rsid w:val="002A2D5E"/>
    <w:rsid w:val="002B7E5A"/>
    <w:rsid w:val="002D56D5"/>
    <w:rsid w:val="002F5A66"/>
    <w:rsid w:val="00342D7A"/>
    <w:rsid w:val="00395945"/>
    <w:rsid w:val="003C3F52"/>
    <w:rsid w:val="003E5D51"/>
    <w:rsid w:val="003F1569"/>
    <w:rsid w:val="0040038F"/>
    <w:rsid w:val="00401F90"/>
    <w:rsid w:val="00411203"/>
    <w:rsid w:val="00423FA7"/>
    <w:rsid w:val="004243C8"/>
    <w:rsid w:val="004418D4"/>
    <w:rsid w:val="004463E3"/>
    <w:rsid w:val="00476F31"/>
    <w:rsid w:val="00485042"/>
    <w:rsid w:val="00496298"/>
    <w:rsid w:val="004A4CB6"/>
    <w:rsid w:val="004E0210"/>
    <w:rsid w:val="004F22B2"/>
    <w:rsid w:val="0053200B"/>
    <w:rsid w:val="00550363"/>
    <w:rsid w:val="00571C9D"/>
    <w:rsid w:val="00580B9E"/>
    <w:rsid w:val="005B30EC"/>
    <w:rsid w:val="005D0FE3"/>
    <w:rsid w:val="005E1AEE"/>
    <w:rsid w:val="005F5A7A"/>
    <w:rsid w:val="0062124D"/>
    <w:rsid w:val="00671B9A"/>
    <w:rsid w:val="00701D2C"/>
    <w:rsid w:val="00711ACD"/>
    <w:rsid w:val="0072136D"/>
    <w:rsid w:val="00721B49"/>
    <w:rsid w:val="00744FFA"/>
    <w:rsid w:val="00766C62"/>
    <w:rsid w:val="0077000A"/>
    <w:rsid w:val="0077621C"/>
    <w:rsid w:val="00792066"/>
    <w:rsid w:val="007930B8"/>
    <w:rsid w:val="007B0B29"/>
    <w:rsid w:val="007B160F"/>
    <w:rsid w:val="007B2142"/>
    <w:rsid w:val="007C1CC3"/>
    <w:rsid w:val="007C53B5"/>
    <w:rsid w:val="007D28DC"/>
    <w:rsid w:val="007E4C3C"/>
    <w:rsid w:val="00851FA2"/>
    <w:rsid w:val="00882119"/>
    <w:rsid w:val="0089223E"/>
    <w:rsid w:val="00897D97"/>
    <w:rsid w:val="008A5C95"/>
    <w:rsid w:val="008A5CA3"/>
    <w:rsid w:val="008E0CD1"/>
    <w:rsid w:val="008F018D"/>
    <w:rsid w:val="008F0BAA"/>
    <w:rsid w:val="00905F33"/>
    <w:rsid w:val="00906C2A"/>
    <w:rsid w:val="00924854"/>
    <w:rsid w:val="00933746"/>
    <w:rsid w:val="00951832"/>
    <w:rsid w:val="0098707B"/>
    <w:rsid w:val="009C1128"/>
    <w:rsid w:val="00A072C1"/>
    <w:rsid w:val="00A2155E"/>
    <w:rsid w:val="00A342E3"/>
    <w:rsid w:val="00A43547"/>
    <w:rsid w:val="00A643F2"/>
    <w:rsid w:val="00A71A07"/>
    <w:rsid w:val="00AA72C7"/>
    <w:rsid w:val="00AB2DC4"/>
    <w:rsid w:val="00AC0BC4"/>
    <w:rsid w:val="00AF3974"/>
    <w:rsid w:val="00B06887"/>
    <w:rsid w:val="00B32AD1"/>
    <w:rsid w:val="00B35332"/>
    <w:rsid w:val="00B56913"/>
    <w:rsid w:val="00B63777"/>
    <w:rsid w:val="00BA42DA"/>
    <w:rsid w:val="00C003E0"/>
    <w:rsid w:val="00C009EE"/>
    <w:rsid w:val="00C376E7"/>
    <w:rsid w:val="00C3790C"/>
    <w:rsid w:val="00C47790"/>
    <w:rsid w:val="00C7470A"/>
    <w:rsid w:val="00C74AC8"/>
    <w:rsid w:val="00CE1D9D"/>
    <w:rsid w:val="00D10A62"/>
    <w:rsid w:val="00D32C6D"/>
    <w:rsid w:val="00D4488B"/>
    <w:rsid w:val="00D67B96"/>
    <w:rsid w:val="00D71BFC"/>
    <w:rsid w:val="00DC37C9"/>
    <w:rsid w:val="00DD1C8C"/>
    <w:rsid w:val="00DD5810"/>
    <w:rsid w:val="00E569F4"/>
    <w:rsid w:val="00E711C9"/>
    <w:rsid w:val="00E974E2"/>
    <w:rsid w:val="00EE7168"/>
    <w:rsid w:val="00F0427E"/>
    <w:rsid w:val="00F4560A"/>
    <w:rsid w:val="00F74794"/>
    <w:rsid w:val="00F76C3E"/>
    <w:rsid w:val="00FE7DF2"/>
    <w:rsid w:val="00FF3543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EA432-29C4-44E4-B0DB-3A030A01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Salim</cp:lastModifiedBy>
  <cp:revision>10</cp:revision>
  <cp:lastPrinted>2016-09-08T11:32:00Z</cp:lastPrinted>
  <dcterms:created xsi:type="dcterms:W3CDTF">2016-09-08T12:05:00Z</dcterms:created>
  <dcterms:modified xsi:type="dcterms:W3CDTF">2016-09-09T14:32:00Z</dcterms:modified>
</cp:coreProperties>
</file>