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2B" w:rsidRPr="00CE388F" w:rsidRDefault="00CE388F">
      <w:pPr>
        <w:rPr>
          <w:sz w:val="24"/>
          <w:szCs w:val="24"/>
        </w:rPr>
      </w:pPr>
      <w:r w:rsidRPr="00CE388F">
        <w:rPr>
          <w:rStyle w:val="Strong"/>
          <w:rFonts w:ascii="Arial" w:hAnsi="Arial" w:cs="Arial"/>
          <w:color w:val="D99594" w:themeColor="accent2" w:themeTint="99"/>
          <w:sz w:val="32"/>
          <w:szCs w:val="32"/>
          <w:shd w:val="clear" w:color="auto" w:fill="FFFFFF"/>
        </w:rPr>
        <w:t>Présentation</w:t>
      </w:r>
      <w:r w:rsidRPr="00CE388F">
        <w:rPr>
          <w:rStyle w:val="apple-converted-space"/>
          <w:rFonts w:ascii="Arial" w:hAnsi="Arial" w:cs="Arial"/>
          <w:b/>
          <w:bCs/>
          <w:color w:val="D99594" w:themeColor="accent2" w:themeTint="99"/>
          <w:sz w:val="32"/>
          <w:szCs w:val="32"/>
          <w:shd w:val="clear" w:color="auto" w:fill="FFFFFF"/>
        </w:rPr>
        <w:t> </w:t>
      </w:r>
      <w:r w:rsidRPr="00CE388F">
        <w:rPr>
          <w:rFonts w:ascii="Arial" w:hAnsi="Arial" w:cs="Arial"/>
          <w:color w:val="222222"/>
          <w:sz w:val="18"/>
          <w:szCs w:val="18"/>
        </w:rPr>
        <w:br/>
      </w:r>
      <w:r w:rsidRPr="00CE388F">
        <w:rPr>
          <w:rFonts w:ascii="Arial" w:hAnsi="Arial" w:cs="Arial"/>
          <w:color w:val="222222"/>
          <w:sz w:val="24"/>
          <w:szCs w:val="24"/>
        </w:rPr>
        <w:br/>
      </w:r>
      <w:r w:rsidRPr="00CE388F">
        <w:rPr>
          <w:rFonts w:ascii="Arial" w:hAnsi="Arial" w:cs="Arial"/>
          <w:color w:val="222222"/>
          <w:sz w:val="24"/>
          <w:szCs w:val="24"/>
          <w:shd w:val="clear" w:color="auto" w:fill="FFFFFF"/>
        </w:rPr>
        <w:t>L’enquête Nationale sur les structures économiques 2015 s’assigne pour objectif principal la mise à la disposition des décideurs et des opérateurs économiques, qu’ils soient publics ou privés, une batterie d’indicateurs reflétant aussi bien la structure de production et de consommation par branche que le comportement des chefs d’entreprises dans les domaines de transport, de consommation d’énergie, de gestion ressources humaines, d’investissement, de financement, etc.</w:t>
      </w:r>
      <w:r>
        <w:rPr>
          <w:rFonts w:ascii="Arial" w:hAnsi="Arial" w:cs="Arial"/>
          <w:color w:val="222222"/>
          <w:sz w:val="18"/>
          <w:szCs w:val="18"/>
          <w:shd w:val="clear" w:color="auto" w:fill="FFFFFF"/>
        </w:rPr>
        <w:t> </w:t>
      </w:r>
      <w:r>
        <w:rPr>
          <w:rStyle w:val="apple-converted-space"/>
          <w:rFonts w:ascii="Arial" w:hAnsi="Arial" w:cs="Arial"/>
          <w:color w:val="222222"/>
          <w:sz w:val="18"/>
          <w:szCs w:val="18"/>
          <w:shd w:val="clear" w:color="auto" w:fill="FFFFFF"/>
        </w:rPr>
        <w:t> </w:t>
      </w:r>
      <w:r>
        <w:rPr>
          <w:rFonts w:ascii="Arial" w:hAnsi="Arial" w:cs="Arial"/>
          <w:color w:val="222222"/>
          <w:sz w:val="18"/>
          <w:szCs w:val="18"/>
        </w:rPr>
        <w:br/>
      </w:r>
      <w:r>
        <w:rPr>
          <w:rStyle w:val="Strong"/>
          <w:rFonts w:ascii="Arial" w:hAnsi="Arial" w:cs="Arial"/>
          <w:color w:val="222222"/>
          <w:sz w:val="18"/>
          <w:szCs w:val="18"/>
          <w:shd w:val="clear" w:color="auto" w:fill="FFFFFF"/>
        </w:rPr>
        <w:t> </w:t>
      </w:r>
      <w:r>
        <w:rPr>
          <w:rStyle w:val="apple-converted-space"/>
          <w:rFonts w:ascii="Arial" w:hAnsi="Arial" w:cs="Arial"/>
          <w:color w:val="222222"/>
          <w:sz w:val="18"/>
          <w:szCs w:val="18"/>
          <w:shd w:val="clear" w:color="auto" w:fill="FFFFFF"/>
        </w:rPr>
        <w:t> </w:t>
      </w:r>
      <w:r w:rsidRPr="00CE388F">
        <w:rPr>
          <w:rFonts w:ascii="Arial" w:hAnsi="Arial" w:cs="Arial"/>
          <w:color w:val="D99594" w:themeColor="accent2" w:themeTint="99"/>
          <w:sz w:val="18"/>
          <w:szCs w:val="18"/>
        </w:rPr>
        <w:br/>
      </w:r>
      <w:r w:rsidRPr="00CE388F">
        <w:rPr>
          <w:rStyle w:val="Strong"/>
          <w:rFonts w:ascii="Arial" w:hAnsi="Arial" w:cs="Arial"/>
          <w:color w:val="D99594" w:themeColor="accent2" w:themeTint="99"/>
          <w:sz w:val="32"/>
          <w:szCs w:val="32"/>
          <w:shd w:val="clear" w:color="auto" w:fill="FFFFFF"/>
        </w:rPr>
        <w:t>Opportunité de l’enquête de structures</w:t>
      </w:r>
      <w:r>
        <w:rPr>
          <w:rStyle w:val="apple-converted-space"/>
          <w:rFonts w:ascii="Arial" w:hAnsi="Arial" w:cs="Arial"/>
          <w:color w:val="222222"/>
          <w:sz w:val="18"/>
          <w:szCs w:val="18"/>
          <w:shd w:val="clear" w:color="auto" w:fill="FFFFFF"/>
        </w:rPr>
        <w:t> </w:t>
      </w:r>
      <w:r>
        <w:rPr>
          <w:rFonts w:ascii="Arial" w:hAnsi="Arial" w:cs="Arial"/>
          <w:color w:val="222222"/>
          <w:sz w:val="18"/>
          <w:szCs w:val="18"/>
        </w:rPr>
        <w:br/>
      </w:r>
      <w:r>
        <w:rPr>
          <w:rFonts w:ascii="Arial" w:hAnsi="Arial" w:cs="Arial"/>
          <w:color w:val="222222"/>
          <w:sz w:val="18"/>
          <w:szCs w:val="18"/>
        </w:rPr>
        <w:br/>
      </w:r>
      <w:r w:rsidRPr="00CE388F">
        <w:rPr>
          <w:rFonts w:ascii="Arial" w:hAnsi="Arial" w:cs="Arial"/>
          <w:color w:val="222222"/>
          <w:sz w:val="24"/>
          <w:szCs w:val="24"/>
          <w:shd w:val="clear" w:color="auto" w:fill="FFFFFF"/>
        </w:rPr>
        <w:t>Face à l’ancienneté des données collectées dans la dernière enquête de structures réalisée en 2007 pour l’exercice 2006, et afin de respecter les normes internationales en matière de renouvellement de l’année de base de la comptabilité nationale qui fixe la périodicité des enquêtes de structure à 5 ans, et compte tenu des mutations profondes qu’a connues le tissu économique national ces dernières années, le Haut Commissariat au Plan a décidé la réalisation, en 20015, de l’enquête nationale sur les structures économiques relatives aux secteurs de la pêche, de l’énergie, des mines, de l’industrie manufacturière, du Bâtiment et Travaux Publics, du Commerce et des Services marchands non financiers au titre de l’exercice 2014.</w:t>
      </w:r>
    </w:p>
    <w:sectPr w:rsidR="006B422B" w:rsidRPr="00CE388F" w:rsidSect="006B422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E388F"/>
    <w:rsid w:val="006B422B"/>
    <w:rsid w:val="00CE388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E388F"/>
    <w:rPr>
      <w:b/>
      <w:bCs/>
    </w:rPr>
  </w:style>
  <w:style w:type="character" w:customStyle="1" w:styleId="apple-converted-space">
    <w:name w:val="apple-converted-space"/>
    <w:basedOn w:val="DefaultParagraphFont"/>
    <w:rsid w:val="00CE38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1072</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lasi lali</dc:creator>
  <cp:lastModifiedBy>lasi lali</cp:lastModifiedBy>
  <cp:revision>1</cp:revision>
  <dcterms:created xsi:type="dcterms:W3CDTF">2015-10-07T22:43:00Z</dcterms:created>
  <dcterms:modified xsi:type="dcterms:W3CDTF">2015-10-07T22:46:00Z</dcterms:modified>
</cp:coreProperties>
</file>