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C7" w:rsidRDefault="007220C7"/>
    <w:p w:rsidR="0018177B" w:rsidRDefault="00634F89" w:rsidP="00A14239">
      <w:pPr>
        <w:rPr>
          <w:rFonts w:ascii="Monotype Corsiva" w:hAnsi="Monotype Corsiva"/>
          <w:color w:val="FF0000"/>
          <w:sz w:val="72"/>
          <w:szCs w:val="72"/>
          <w:lang w:bidi="ar-MA"/>
        </w:rPr>
      </w:pPr>
      <w:r w:rsidRPr="00634F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2pt;margin-top:556.85pt;width:333pt;height:268.2pt;z-index:251657216" filled="f" stroked="f">
            <v:textbox style="mso-next-textbox:#_x0000_s1030" inset="6.75pt,3.75pt,6.75pt,3.75pt">
              <w:txbxContent>
                <w:p w:rsidR="00DA0793" w:rsidRDefault="00DA0793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bidi="ar-MA"/>
                    </w:rPr>
                  </w:pPr>
                </w:p>
                <w:p w:rsidR="00DA0793" w:rsidRDefault="00DA0793"/>
              </w:txbxContent>
            </v:textbox>
          </v:shape>
        </w:pict>
      </w:r>
      <w:r w:rsidRPr="00634F89">
        <w:rPr>
          <w:noProof/>
        </w:rPr>
        <w:pict>
          <v:shape id="_x0000_s1034" type="#_x0000_t202" style="position:absolute;margin-left:302.2pt;margin-top:532.5pt;width:108pt;height:36pt;z-index:251658240" filled="f" stroked="f">
            <v:textbox style="mso-next-textbox:#_x0000_s1034" inset="6.75pt,3.75pt,6.75pt,3.75pt">
              <w:txbxContent>
                <w:p w:rsidR="00DA0793" w:rsidRPr="003510AB" w:rsidRDefault="00DA0793" w:rsidP="003510AB"/>
              </w:txbxContent>
            </v:textbox>
          </v:shape>
        </w:pict>
      </w:r>
    </w:p>
    <w:p w:rsidR="00A14239" w:rsidRDefault="00A14239" w:rsidP="00A14239">
      <w:pPr>
        <w:rPr>
          <w:rFonts w:ascii="Monotype Corsiva" w:hAnsi="Monotype Corsiva"/>
          <w:color w:val="FF0000"/>
          <w:sz w:val="72"/>
          <w:szCs w:val="72"/>
          <w:lang w:bidi="ar-MA"/>
        </w:rPr>
      </w:pPr>
    </w:p>
    <w:p w:rsidR="00A14239" w:rsidRDefault="00A14239" w:rsidP="00A14239">
      <w:pPr>
        <w:rPr>
          <w:rFonts w:ascii="Monotype Corsiva" w:hAnsi="Monotype Corsiva"/>
          <w:color w:val="FF0000"/>
          <w:sz w:val="72"/>
          <w:szCs w:val="72"/>
          <w:lang w:bidi="ar-MA"/>
        </w:rPr>
      </w:pPr>
    </w:p>
    <w:p w:rsidR="0018177B" w:rsidRDefault="0018177B" w:rsidP="0018177B">
      <w:pPr>
        <w:pStyle w:val="Titre2"/>
      </w:pPr>
    </w:p>
    <w:p w:rsidR="0018177B" w:rsidRDefault="0018177B" w:rsidP="0018177B">
      <w:pPr>
        <w:pStyle w:val="Titre2"/>
        <w:rPr>
          <w:rFonts w:ascii="Apple Chancery" w:hAnsi="Apple Chancery"/>
          <w:sz w:val="48"/>
          <w:szCs w:val="48"/>
        </w:rPr>
      </w:pPr>
    </w:p>
    <w:p w:rsidR="0018177B" w:rsidRDefault="0018177B" w:rsidP="0018177B">
      <w:pPr>
        <w:pStyle w:val="Titre2"/>
        <w:rPr>
          <w:rFonts w:ascii="Apple Chancery" w:hAnsi="Apple Chancery"/>
          <w:sz w:val="48"/>
          <w:szCs w:val="48"/>
        </w:rPr>
      </w:pPr>
    </w:p>
    <w:p w:rsidR="00A673BB" w:rsidRDefault="00A673BB" w:rsidP="00A673BB"/>
    <w:p w:rsidR="00A673BB" w:rsidRPr="00A673BB" w:rsidRDefault="00A673BB" w:rsidP="00A673BB"/>
    <w:p w:rsidR="0018177B" w:rsidRDefault="0018177B" w:rsidP="0018177B">
      <w:pPr>
        <w:pStyle w:val="Titre2"/>
        <w:rPr>
          <w:rFonts w:ascii="Apple Chancery" w:hAnsi="Apple Chancery"/>
          <w:sz w:val="48"/>
          <w:szCs w:val="48"/>
        </w:rPr>
      </w:pPr>
    </w:p>
    <w:p w:rsidR="0018177B" w:rsidRPr="0018177B" w:rsidRDefault="0018177B" w:rsidP="0018177B">
      <w:pPr>
        <w:pStyle w:val="Titre2"/>
        <w:jc w:val="center"/>
        <w:rPr>
          <w:rFonts w:ascii="Monotype Corsiva" w:hAnsi="Monotype Corsiva"/>
          <w:color w:val="FF0000"/>
          <w:sz w:val="56"/>
          <w:szCs w:val="56"/>
        </w:rPr>
      </w:pPr>
    </w:p>
    <w:p w:rsidR="00D13F21" w:rsidRDefault="00537F9B" w:rsidP="00537F9B">
      <w:pPr>
        <w:pStyle w:val="Titre2"/>
        <w:jc w:val="center"/>
        <w:rPr>
          <w:rFonts w:ascii="Monotype Corsiva" w:hAnsi="Monotype Corsiva"/>
          <w:color w:val="FF0000"/>
          <w:sz w:val="72"/>
          <w:szCs w:val="72"/>
          <w:lang w:bidi="ar-MA"/>
        </w:rPr>
      </w:pPr>
      <w:r>
        <w:rPr>
          <w:rFonts w:ascii="Monotype Corsiva" w:hAnsi="Monotype Corsiva"/>
          <w:color w:val="FF0000"/>
          <w:sz w:val="72"/>
          <w:szCs w:val="72"/>
          <w:lang w:bidi="ar-MA"/>
        </w:rPr>
        <w:t>Aperçu</w:t>
      </w:r>
      <w:r w:rsidR="00D13F21">
        <w:rPr>
          <w:rFonts w:ascii="Monotype Corsiva" w:hAnsi="Monotype Corsiva"/>
          <w:color w:val="FF0000"/>
          <w:sz w:val="72"/>
          <w:szCs w:val="72"/>
          <w:lang w:bidi="ar-MA"/>
        </w:rPr>
        <w:t xml:space="preserve"> sur la population de </w:t>
      </w:r>
    </w:p>
    <w:p w:rsidR="00A673BB" w:rsidRDefault="00D13F21" w:rsidP="00D13F21">
      <w:pPr>
        <w:pStyle w:val="Titre2"/>
        <w:jc w:val="center"/>
      </w:pPr>
      <w:proofErr w:type="gramStart"/>
      <w:r>
        <w:rPr>
          <w:rFonts w:ascii="Monotype Corsiva" w:hAnsi="Monotype Corsiva"/>
          <w:color w:val="FF0000"/>
          <w:sz w:val="72"/>
          <w:szCs w:val="72"/>
          <w:lang w:bidi="ar-MA"/>
        </w:rPr>
        <w:t>la</w:t>
      </w:r>
      <w:proofErr w:type="gramEnd"/>
      <w:r>
        <w:rPr>
          <w:rFonts w:ascii="Monotype Corsiva" w:hAnsi="Monotype Corsiva"/>
          <w:color w:val="FF0000"/>
          <w:sz w:val="72"/>
          <w:szCs w:val="72"/>
          <w:lang w:bidi="ar-MA"/>
        </w:rPr>
        <w:t xml:space="preserve"> région </w:t>
      </w:r>
      <w:proofErr w:type="spellStart"/>
      <w:r>
        <w:rPr>
          <w:rFonts w:ascii="Monotype Corsiva" w:hAnsi="Monotype Corsiva"/>
          <w:color w:val="FF0000"/>
          <w:sz w:val="72"/>
          <w:szCs w:val="72"/>
          <w:lang w:bidi="ar-MA"/>
        </w:rPr>
        <w:t>Souss</w:t>
      </w:r>
      <w:proofErr w:type="spellEnd"/>
      <w:r>
        <w:rPr>
          <w:rFonts w:ascii="Monotype Corsiva" w:hAnsi="Monotype Corsiva"/>
          <w:color w:val="FF0000"/>
          <w:sz w:val="72"/>
          <w:szCs w:val="72"/>
          <w:lang w:bidi="ar-MA"/>
        </w:rPr>
        <w:t xml:space="preserve"> Massa</w:t>
      </w:r>
    </w:p>
    <w:p w:rsidR="00A673BB" w:rsidRPr="00A673BB" w:rsidRDefault="00A673BB" w:rsidP="00A673BB"/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Default="0018177B" w:rsidP="0018177B">
      <w:pPr>
        <w:ind w:left="-142"/>
        <w:jc w:val="both"/>
        <w:rPr>
          <w:rFonts w:eastAsia="Arial Unicode MS"/>
          <w:b/>
          <w:bCs/>
          <w:i/>
          <w:iCs/>
          <w:sz w:val="40"/>
          <w:szCs w:val="40"/>
        </w:rPr>
      </w:pPr>
    </w:p>
    <w:p w:rsidR="0018177B" w:rsidRPr="00233B0A" w:rsidRDefault="0018177B" w:rsidP="00DC214E">
      <w:pPr>
        <w:pStyle w:val="Titre1"/>
        <w:bidi w:val="0"/>
        <w:jc w:val="left"/>
        <w:rPr>
          <w:rFonts w:ascii="Times New Roman" w:hAnsi="Times New Roman"/>
          <w:i/>
          <w:iCs/>
          <w:color w:val="FF0000"/>
          <w:sz w:val="36"/>
          <w:szCs w:val="36"/>
        </w:rPr>
      </w:pPr>
      <w:r w:rsidRPr="00233B0A">
        <w:rPr>
          <w:rFonts w:ascii="Times New Roman" w:hAnsi="Times New Roman"/>
          <w:i/>
          <w:iCs/>
          <w:color w:val="FF0000"/>
          <w:sz w:val="36"/>
          <w:szCs w:val="36"/>
        </w:rPr>
        <w:lastRenderedPageBreak/>
        <w:t xml:space="preserve">I- </w:t>
      </w:r>
      <w:r w:rsidR="00DC214E">
        <w:rPr>
          <w:rFonts w:ascii="Times New Roman" w:hAnsi="Times New Roman"/>
          <w:i/>
          <w:iCs/>
          <w:color w:val="FF0000"/>
          <w:sz w:val="36"/>
          <w:szCs w:val="36"/>
        </w:rPr>
        <w:t>TERRITOIRE</w:t>
      </w:r>
    </w:p>
    <w:p w:rsidR="0018177B" w:rsidRPr="00306648" w:rsidRDefault="0018177B" w:rsidP="0018177B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746604" w:rsidRDefault="0093585B" w:rsidP="00A673BB">
      <w:pPr>
        <w:ind w:left="-142" w:firstLine="862"/>
        <w:jc w:val="both"/>
        <w:rPr>
          <w:sz w:val="32"/>
          <w:szCs w:val="32"/>
        </w:rPr>
      </w:pPr>
      <w:r w:rsidRPr="0093585B">
        <w:rPr>
          <w:rFonts w:eastAsia="Arial Unicode MS"/>
          <w:sz w:val="32"/>
          <w:szCs w:val="32"/>
        </w:rPr>
        <w:t>Selon</w:t>
      </w:r>
      <w:r>
        <w:rPr>
          <w:rFonts w:eastAsia="Arial Unicode MS"/>
          <w:sz w:val="32"/>
          <w:szCs w:val="32"/>
        </w:rPr>
        <w:t xml:space="preserve"> le nouveau découpage </w:t>
      </w:r>
      <w:r w:rsidR="00A673BB">
        <w:rPr>
          <w:rFonts w:eastAsia="Arial Unicode MS"/>
          <w:sz w:val="32"/>
          <w:szCs w:val="32"/>
        </w:rPr>
        <w:t>régio</w:t>
      </w:r>
      <w:r>
        <w:rPr>
          <w:rFonts w:eastAsia="Arial Unicode MS"/>
          <w:sz w:val="32"/>
          <w:szCs w:val="32"/>
        </w:rPr>
        <w:t xml:space="preserve">nal du Royaume, </w:t>
      </w:r>
      <w:r w:rsidRPr="00E07519">
        <w:rPr>
          <w:rFonts w:eastAsia="Arial Unicode MS"/>
          <w:b/>
          <w:bCs/>
          <w:sz w:val="32"/>
          <w:szCs w:val="32"/>
        </w:rPr>
        <w:t xml:space="preserve">la région </w:t>
      </w:r>
      <w:proofErr w:type="spellStart"/>
      <w:r w:rsidRPr="00E07519">
        <w:rPr>
          <w:rFonts w:eastAsia="Arial Unicode MS"/>
          <w:b/>
          <w:bCs/>
          <w:sz w:val="32"/>
          <w:szCs w:val="32"/>
        </w:rPr>
        <w:t>Souss</w:t>
      </w:r>
      <w:proofErr w:type="spellEnd"/>
      <w:r w:rsidRPr="00E07519">
        <w:rPr>
          <w:rFonts w:eastAsia="Arial Unicode MS"/>
          <w:b/>
          <w:bCs/>
          <w:sz w:val="32"/>
          <w:szCs w:val="32"/>
        </w:rPr>
        <w:t xml:space="preserve"> Massa</w:t>
      </w:r>
      <w:r>
        <w:rPr>
          <w:rFonts w:eastAsia="Arial Unicode MS"/>
          <w:sz w:val="32"/>
          <w:szCs w:val="32"/>
        </w:rPr>
        <w:t xml:space="preserve"> comprend 2 préfectures</w:t>
      </w:r>
      <w:r>
        <w:rPr>
          <w:sz w:val="32"/>
          <w:szCs w:val="32"/>
        </w:rPr>
        <w:t> </w:t>
      </w:r>
      <w:proofErr w:type="gramStart"/>
      <w:r>
        <w:rPr>
          <w:sz w:val="32"/>
          <w:szCs w:val="32"/>
        </w:rPr>
        <w:t>:Agadir</w:t>
      </w:r>
      <w:proofErr w:type="gramEnd"/>
      <w:r>
        <w:rPr>
          <w:sz w:val="32"/>
          <w:szCs w:val="32"/>
        </w:rPr>
        <w:t xml:space="preserve"> Ida </w:t>
      </w:r>
      <w:proofErr w:type="spellStart"/>
      <w:r>
        <w:rPr>
          <w:sz w:val="32"/>
          <w:szCs w:val="32"/>
        </w:rPr>
        <w:t>Outanane</w:t>
      </w:r>
      <w:proofErr w:type="spellEnd"/>
      <w:r>
        <w:rPr>
          <w:sz w:val="32"/>
          <w:szCs w:val="32"/>
        </w:rPr>
        <w:t xml:space="preserve"> et </w:t>
      </w:r>
      <w:proofErr w:type="spellStart"/>
      <w:r>
        <w:rPr>
          <w:sz w:val="32"/>
          <w:szCs w:val="32"/>
        </w:rPr>
        <w:t>Inezgane</w:t>
      </w:r>
      <w:proofErr w:type="spellEnd"/>
      <w:r>
        <w:rPr>
          <w:sz w:val="32"/>
          <w:szCs w:val="32"/>
        </w:rPr>
        <w:t xml:space="preserve"> Ait </w:t>
      </w:r>
      <w:proofErr w:type="spellStart"/>
      <w:r>
        <w:rPr>
          <w:sz w:val="32"/>
          <w:szCs w:val="32"/>
        </w:rPr>
        <w:t>Melloul</w:t>
      </w:r>
      <w:proofErr w:type="spellEnd"/>
      <w:r>
        <w:rPr>
          <w:sz w:val="32"/>
          <w:szCs w:val="32"/>
        </w:rPr>
        <w:t xml:space="preserve"> et </w:t>
      </w:r>
      <w:r w:rsidR="00A052A7">
        <w:rPr>
          <w:sz w:val="32"/>
          <w:szCs w:val="32"/>
        </w:rPr>
        <w:t>4</w:t>
      </w:r>
      <w:r>
        <w:rPr>
          <w:sz w:val="32"/>
          <w:szCs w:val="32"/>
        </w:rPr>
        <w:t xml:space="preserve"> provinces : </w:t>
      </w:r>
      <w:proofErr w:type="spellStart"/>
      <w:r>
        <w:rPr>
          <w:sz w:val="32"/>
          <w:szCs w:val="32"/>
        </w:rPr>
        <w:t>Chtouka</w:t>
      </w:r>
      <w:proofErr w:type="spellEnd"/>
      <w:r>
        <w:rPr>
          <w:sz w:val="32"/>
          <w:szCs w:val="32"/>
        </w:rPr>
        <w:t xml:space="preserve"> Ait </w:t>
      </w:r>
      <w:proofErr w:type="spellStart"/>
      <w:r>
        <w:rPr>
          <w:sz w:val="32"/>
          <w:szCs w:val="32"/>
        </w:rPr>
        <w:t>Baha</w:t>
      </w:r>
      <w:proofErr w:type="spellEnd"/>
      <w:r>
        <w:rPr>
          <w:sz w:val="32"/>
          <w:szCs w:val="32"/>
        </w:rPr>
        <w:t xml:space="preserve">, Tiznit, Taroudannt et Tata. </w:t>
      </w:r>
    </w:p>
    <w:p w:rsidR="00746604" w:rsidRDefault="0093585B" w:rsidP="00DC214E">
      <w:pPr>
        <w:ind w:left="-142" w:firstLine="86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Elle compte ainsi 175 communes </w:t>
      </w:r>
      <w:r w:rsidR="00DC214E">
        <w:rPr>
          <w:sz w:val="32"/>
          <w:szCs w:val="32"/>
        </w:rPr>
        <w:t>dont 154</w:t>
      </w:r>
      <w:r>
        <w:rPr>
          <w:sz w:val="32"/>
          <w:szCs w:val="32"/>
        </w:rPr>
        <w:t xml:space="preserve"> communes rurales et 2</w:t>
      </w:r>
      <w:r w:rsidR="00DC214E">
        <w:rPr>
          <w:sz w:val="32"/>
          <w:szCs w:val="32"/>
        </w:rPr>
        <w:t>1</w:t>
      </w:r>
      <w:r>
        <w:rPr>
          <w:sz w:val="32"/>
          <w:szCs w:val="32"/>
        </w:rPr>
        <w:t xml:space="preserve"> municipalités.</w:t>
      </w:r>
      <w:r w:rsidR="00DC214E">
        <w:rPr>
          <w:sz w:val="32"/>
          <w:szCs w:val="32"/>
        </w:rPr>
        <w:t xml:space="preserve"> </w:t>
      </w:r>
    </w:p>
    <w:p w:rsidR="0093585B" w:rsidRDefault="00DC214E" w:rsidP="00DC214E">
      <w:pPr>
        <w:ind w:left="-142" w:firstLine="862"/>
        <w:jc w:val="both"/>
        <w:rPr>
          <w:sz w:val="32"/>
          <w:szCs w:val="32"/>
        </w:rPr>
      </w:pPr>
      <w:r>
        <w:rPr>
          <w:sz w:val="32"/>
          <w:szCs w:val="32"/>
        </w:rPr>
        <w:t>Son territoire s’étend sur une superficie de 53 789 km², soit 7,6 % du territoire national.</w:t>
      </w:r>
    </w:p>
    <w:p w:rsidR="00DC214E" w:rsidRDefault="00DC214E" w:rsidP="00DC214E">
      <w:pPr>
        <w:ind w:left="-142" w:firstLine="862"/>
        <w:jc w:val="both"/>
        <w:rPr>
          <w:sz w:val="32"/>
          <w:szCs w:val="32"/>
        </w:rPr>
      </w:pPr>
    </w:p>
    <w:p w:rsidR="00E07519" w:rsidRDefault="00E07519" w:rsidP="00DC214E">
      <w:pPr>
        <w:ind w:left="-142" w:firstLine="862"/>
        <w:jc w:val="both"/>
        <w:rPr>
          <w:sz w:val="32"/>
          <w:szCs w:val="32"/>
        </w:rPr>
      </w:pPr>
    </w:p>
    <w:p w:rsidR="00DC214E" w:rsidRDefault="00DC214E" w:rsidP="00DC214E">
      <w:pPr>
        <w:ind w:left="-142" w:firstLine="142"/>
        <w:jc w:val="both"/>
        <w:rPr>
          <w:sz w:val="32"/>
          <w:szCs w:val="32"/>
        </w:rPr>
      </w:pPr>
      <w:r w:rsidRPr="00E41662">
        <w:rPr>
          <w:b/>
          <w:bCs/>
          <w:i/>
          <w:iCs/>
          <w:color w:val="FF0000"/>
          <w:sz w:val="36"/>
          <w:szCs w:val="36"/>
        </w:rPr>
        <w:t xml:space="preserve">II- </w:t>
      </w:r>
      <w:r>
        <w:rPr>
          <w:b/>
          <w:bCs/>
          <w:i/>
          <w:iCs/>
          <w:color w:val="FF0000"/>
          <w:sz w:val="36"/>
          <w:szCs w:val="36"/>
        </w:rPr>
        <w:t>POPULATION LEGALE</w:t>
      </w:r>
    </w:p>
    <w:p w:rsidR="0093585B" w:rsidRPr="0093585B" w:rsidRDefault="0093585B" w:rsidP="0093585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Pr="00306648" w:rsidRDefault="0018177B" w:rsidP="00DC214E">
      <w:pPr>
        <w:ind w:left="-142" w:firstLine="862"/>
        <w:jc w:val="both"/>
        <w:rPr>
          <w:rFonts w:eastAsia="Arial Unicode MS"/>
          <w:sz w:val="32"/>
          <w:szCs w:val="32"/>
        </w:rPr>
      </w:pPr>
      <w:r w:rsidRPr="00B76FDE">
        <w:rPr>
          <w:rFonts w:eastAsia="Arial Unicode MS"/>
          <w:b/>
          <w:bCs/>
          <w:sz w:val="40"/>
          <w:szCs w:val="40"/>
        </w:rPr>
        <w:t>A</w:t>
      </w:r>
      <w:r w:rsidRPr="00306648">
        <w:rPr>
          <w:rFonts w:eastAsia="Arial Unicode MS"/>
          <w:sz w:val="32"/>
          <w:szCs w:val="32"/>
        </w:rPr>
        <w:t>u terme du dernier recensement de 20</w:t>
      </w:r>
      <w:r w:rsidR="0093585B">
        <w:rPr>
          <w:rFonts w:eastAsia="Arial Unicode MS"/>
          <w:sz w:val="32"/>
          <w:szCs w:val="32"/>
        </w:rPr>
        <w:t>1</w:t>
      </w:r>
      <w:r w:rsidRPr="00306648">
        <w:rPr>
          <w:rFonts w:eastAsia="Arial Unicode MS"/>
          <w:sz w:val="32"/>
          <w:szCs w:val="32"/>
        </w:rPr>
        <w:t>4</w:t>
      </w:r>
      <w:r>
        <w:rPr>
          <w:rFonts w:eastAsia="Arial Unicode MS"/>
          <w:sz w:val="32"/>
          <w:szCs w:val="32"/>
        </w:rPr>
        <w:t>, l</w:t>
      </w:r>
      <w:r w:rsidRPr="00306648">
        <w:rPr>
          <w:rFonts w:eastAsia="Arial Unicode MS"/>
          <w:sz w:val="32"/>
          <w:szCs w:val="32"/>
        </w:rPr>
        <w:t xml:space="preserve">a </w:t>
      </w:r>
      <w:r>
        <w:rPr>
          <w:rFonts w:eastAsia="Arial Unicode MS"/>
          <w:sz w:val="32"/>
          <w:szCs w:val="32"/>
        </w:rPr>
        <w:t xml:space="preserve">population légale de la région </w:t>
      </w:r>
      <w:proofErr w:type="spellStart"/>
      <w:r>
        <w:rPr>
          <w:rFonts w:eastAsia="Arial Unicode MS"/>
          <w:sz w:val="32"/>
          <w:szCs w:val="32"/>
        </w:rPr>
        <w:t>Souss</w:t>
      </w:r>
      <w:proofErr w:type="spellEnd"/>
      <w:r>
        <w:rPr>
          <w:rFonts w:eastAsia="Arial Unicode MS"/>
          <w:sz w:val="32"/>
          <w:szCs w:val="32"/>
        </w:rPr>
        <w:t xml:space="preserve"> M</w:t>
      </w:r>
      <w:r w:rsidRPr="00306648">
        <w:rPr>
          <w:rFonts w:eastAsia="Arial Unicode MS"/>
          <w:sz w:val="32"/>
          <w:szCs w:val="32"/>
        </w:rPr>
        <w:t>assa s’</w:t>
      </w:r>
      <w:r>
        <w:rPr>
          <w:rFonts w:eastAsia="Arial Unicode MS"/>
          <w:sz w:val="32"/>
          <w:szCs w:val="32"/>
        </w:rPr>
        <w:t xml:space="preserve">est </w:t>
      </w:r>
      <w:r w:rsidR="00555560" w:rsidRPr="00306648">
        <w:rPr>
          <w:rFonts w:eastAsia="Arial Unicode MS"/>
          <w:sz w:val="32"/>
          <w:szCs w:val="32"/>
        </w:rPr>
        <w:t>établie</w:t>
      </w:r>
      <w:r w:rsidRPr="00306648">
        <w:rPr>
          <w:rFonts w:eastAsia="Arial Unicode MS"/>
          <w:sz w:val="32"/>
          <w:szCs w:val="32"/>
        </w:rPr>
        <w:t xml:space="preserve"> à </w:t>
      </w:r>
      <w:r w:rsidR="00DC214E">
        <w:rPr>
          <w:rFonts w:eastAsia="Arial Unicode MS"/>
          <w:sz w:val="32"/>
          <w:szCs w:val="32"/>
        </w:rPr>
        <w:t>2</w:t>
      </w:r>
      <w:r w:rsidRPr="00306648">
        <w:rPr>
          <w:rFonts w:eastAsia="Arial Unicode MS"/>
          <w:sz w:val="32"/>
          <w:szCs w:val="32"/>
        </w:rPr>
        <w:t>.</w:t>
      </w:r>
      <w:r w:rsidR="00DC214E">
        <w:rPr>
          <w:rFonts w:eastAsia="Arial Unicode MS"/>
          <w:sz w:val="32"/>
          <w:szCs w:val="32"/>
        </w:rPr>
        <w:t>676</w:t>
      </w:r>
      <w:r w:rsidRPr="00306648">
        <w:rPr>
          <w:rFonts w:eastAsia="Arial Unicode MS"/>
          <w:sz w:val="32"/>
          <w:szCs w:val="32"/>
        </w:rPr>
        <w:t>.</w:t>
      </w:r>
      <w:r w:rsidR="00DC214E">
        <w:rPr>
          <w:rFonts w:eastAsia="Arial Unicode MS"/>
          <w:sz w:val="32"/>
          <w:szCs w:val="32"/>
        </w:rPr>
        <w:t>847</w:t>
      </w:r>
      <w:r w:rsidRPr="00306648">
        <w:rPr>
          <w:rFonts w:eastAsia="Arial Unicode MS"/>
          <w:sz w:val="32"/>
          <w:szCs w:val="32"/>
        </w:rPr>
        <w:t xml:space="preserve"> habitants (dont </w:t>
      </w:r>
      <w:r w:rsidR="00DC214E">
        <w:rPr>
          <w:rFonts w:eastAsia="Arial Unicode MS"/>
          <w:sz w:val="32"/>
          <w:szCs w:val="32"/>
        </w:rPr>
        <w:t>4914</w:t>
      </w:r>
      <w:r w:rsidRPr="00306648">
        <w:rPr>
          <w:rFonts w:eastAsia="Arial Unicode MS"/>
          <w:sz w:val="32"/>
          <w:szCs w:val="32"/>
        </w:rPr>
        <w:t xml:space="preserve"> de nationalité étrangère). Elle représente près de </w:t>
      </w:r>
      <w:r w:rsidR="00DC214E">
        <w:rPr>
          <w:rFonts w:eastAsia="Arial Unicode MS"/>
          <w:sz w:val="32"/>
          <w:szCs w:val="32"/>
        </w:rPr>
        <w:t>7</w:t>
      </w:r>
      <w:r w:rsidRPr="00306648">
        <w:rPr>
          <w:rFonts w:eastAsia="Arial Unicode MS"/>
          <w:sz w:val="32"/>
          <w:szCs w:val="32"/>
        </w:rPr>
        <w:t>,</w:t>
      </w:r>
      <w:r w:rsidR="00DC214E">
        <w:rPr>
          <w:rFonts w:eastAsia="Arial Unicode MS"/>
          <w:sz w:val="32"/>
          <w:szCs w:val="32"/>
        </w:rPr>
        <w:t>9</w:t>
      </w:r>
      <w:r w:rsidRPr="00306648">
        <w:rPr>
          <w:rFonts w:eastAsia="Arial Unicode MS"/>
          <w:sz w:val="32"/>
          <w:szCs w:val="32"/>
        </w:rPr>
        <w:t>% de la population totale du Maroc.</w:t>
      </w:r>
    </w:p>
    <w:p w:rsidR="0018177B" w:rsidRPr="00306648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Default="0018177B" w:rsidP="00746604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ab/>
        <w:t xml:space="preserve">Cette population s’est </w:t>
      </w:r>
      <w:r w:rsidR="00A673BB" w:rsidRPr="00306648">
        <w:rPr>
          <w:rFonts w:eastAsia="Arial Unicode MS"/>
          <w:sz w:val="32"/>
          <w:szCs w:val="32"/>
        </w:rPr>
        <w:t>ac</w:t>
      </w:r>
      <w:r w:rsidR="00A673BB">
        <w:rPr>
          <w:rFonts w:eastAsia="Arial Unicode MS"/>
          <w:sz w:val="32"/>
          <w:szCs w:val="32"/>
        </w:rPr>
        <w:t>crue</w:t>
      </w:r>
      <w:r w:rsidRPr="00306648">
        <w:rPr>
          <w:rFonts w:eastAsia="Arial Unicode MS"/>
          <w:sz w:val="32"/>
          <w:szCs w:val="32"/>
        </w:rPr>
        <w:t xml:space="preserve"> de </w:t>
      </w:r>
      <w:r w:rsidR="00DC214E">
        <w:rPr>
          <w:rFonts w:eastAsia="Arial Unicode MS"/>
          <w:sz w:val="32"/>
          <w:szCs w:val="32"/>
        </w:rPr>
        <w:t>352</w:t>
      </w:r>
      <w:r w:rsidRPr="00306648">
        <w:rPr>
          <w:rFonts w:eastAsia="Arial Unicode MS"/>
          <w:sz w:val="32"/>
          <w:szCs w:val="32"/>
        </w:rPr>
        <w:t>.</w:t>
      </w:r>
      <w:r w:rsidR="00DC214E">
        <w:rPr>
          <w:rFonts w:eastAsia="Arial Unicode MS"/>
          <w:sz w:val="32"/>
          <w:szCs w:val="32"/>
        </w:rPr>
        <w:t>700</w:t>
      </w:r>
      <w:r w:rsidRPr="00306648">
        <w:rPr>
          <w:rFonts w:eastAsia="Arial Unicode MS"/>
          <w:sz w:val="32"/>
          <w:szCs w:val="32"/>
        </w:rPr>
        <w:t xml:space="preserve"> habitants au cours de la décennie précédente (</w:t>
      </w:r>
      <w:r w:rsidR="00746604">
        <w:rPr>
          <w:rFonts w:eastAsia="Arial Unicode MS"/>
          <w:sz w:val="32"/>
          <w:szCs w:val="32"/>
        </w:rPr>
        <w:t>2004</w:t>
      </w:r>
      <w:r w:rsidRPr="00306648">
        <w:rPr>
          <w:rFonts w:eastAsia="Arial Unicode MS"/>
          <w:sz w:val="32"/>
          <w:szCs w:val="32"/>
        </w:rPr>
        <w:t>-20</w:t>
      </w:r>
      <w:r w:rsidR="00746604">
        <w:rPr>
          <w:rFonts w:eastAsia="Arial Unicode MS"/>
          <w:sz w:val="32"/>
          <w:szCs w:val="32"/>
        </w:rPr>
        <w:t>1</w:t>
      </w:r>
      <w:r w:rsidRPr="00306648">
        <w:rPr>
          <w:rFonts w:eastAsia="Arial Unicode MS"/>
          <w:sz w:val="32"/>
          <w:szCs w:val="32"/>
        </w:rPr>
        <w:t>4). Le taux d’accroissement annuel moyen qui s’en suit est de l’ordre de 1,</w:t>
      </w:r>
      <w:r w:rsidR="00746604">
        <w:rPr>
          <w:rFonts w:eastAsia="Arial Unicode MS"/>
          <w:sz w:val="32"/>
          <w:szCs w:val="32"/>
        </w:rPr>
        <w:t>4</w:t>
      </w:r>
      <w:r w:rsidRPr="00306648">
        <w:rPr>
          <w:rFonts w:eastAsia="Arial Unicode MS"/>
          <w:sz w:val="32"/>
          <w:szCs w:val="32"/>
        </w:rPr>
        <w:t>%, dépassant ainsi la moyenne nationale (1,</w:t>
      </w:r>
      <w:r w:rsidR="00746604">
        <w:rPr>
          <w:rFonts w:eastAsia="Arial Unicode MS"/>
          <w:sz w:val="32"/>
          <w:szCs w:val="32"/>
        </w:rPr>
        <w:t>2</w:t>
      </w:r>
      <w:r w:rsidRPr="00306648">
        <w:rPr>
          <w:rFonts w:eastAsia="Arial Unicode MS"/>
          <w:sz w:val="32"/>
          <w:szCs w:val="32"/>
        </w:rPr>
        <w:t>%).</w:t>
      </w:r>
    </w:p>
    <w:p w:rsidR="00CA472B" w:rsidRDefault="00CA472B" w:rsidP="00746604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E07519" w:rsidRDefault="00E07519" w:rsidP="00746604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CA472B" w:rsidRPr="00233B0A" w:rsidRDefault="00CA472B" w:rsidP="00CA472B">
      <w:pPr>
        <w:pStyle w:val="Titre1"/>
        <w:bidi w:val="0"/>
        <w:jc w:val="left"/>
        <w:rPr>
          <w:rFonts w:ascii="Times New Roman" w:hAnsi="Times New Roman"/>
          <w:i/>
          <w:iCs/>
          <w:color w:val="FF0000"/>
          <w:sz w:val="36"/>
          <w:szCs w:val="36"/>
        </w:rPr>
      </w:pPr>
      <w:r>
        <w:rPr>
          <w:rFonts w:ascii="Times New Roman" w:hAnsi="Times New Roman"/>
          <w:i/>
          <w:iCs/>
          <w:color w:val="FF0000"/>
          <w:sz w:val="36"/>
          <w:szCs w:val="36"/>
        </w:rPr>
        <w:t>II</w:t>
      </w:r>
      <w:r w:rsidRPr="00233B0A">
        <w:rPr>
          <w:rFonts w:ascii="Times New Roman" w:hAnsi="Times New Roman"/>
          <w:i/>
          <w:iCs/>
          <w:color w:val="FF0000"/>
          <w:sz w:val="36"/>
          <w:szCs w:val="36"/>
        </w:rPr>
        <w:t xml:space="preserve">I- EVOLUTION DE </w:t>
      </w:r>
      <w:smartTag w:uri="urn:schemas-microsoft-com:office:smarttags" w:element="PersonName">
        <w:smartTagPr>
          <w:attr w:name="ProductID" w:val="LA POPULATION"/>
        </w:smartTagPr>
        <w:r w:rsidRPr="00233B0A">
          <w:rPr>
            <w:rFonts w:ascii="Times New Roman" w:hAnsi="Times New Roman"/>
            <w:i/>
            <w:iCs/>
            <w:color w:val="FF0000"/>
            <w:sz w:val="36"/>
            <w:szCs w:val="36"/>
          </w:rPr>
          <w:t>LA POPULATION</w:t>
        </w:r>
      </w:smartTag>
    </w:p>
    <w:p w:rsidR="0018177B" w:rsidRPr="00306648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Pr="00913632" w:rsidRDefault="0018177B" w:rsidP="00A673BB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ab/>
      </w:r>
      <w:r w:rsidRPr="00913632">
        <w:rPr>
          <w:rFonts w:eastAsia="Arial Unicode MS"/>
          <w:sz w:val="32"/>
          <w:szCs w:val="32"/>
        </w:rPr>
        <w:t xml:space="preserve">Bien que cette population </w:t>
      </w:r>
      <w:proofErr w:type="gramStart"/>
      <w:r w:rsidRPr="00913632">
        <w:rPr>
          <w:rFonts w:eastAsia="Arial Unicode MS"/>
          <w:sz w:val="32"/>
          <w:szCs w:val="32"/>
        </w:rPr>
        <w:t>a</w:t>
      </w:r>
      <w:proofErr w:type="gramEnd"/>
      <w:r w:rsidRPr="00913632">
        <w:rPr>
          <w:rFonts w:eastAsia="Arial Unicode MS"/>
          <w:sz w:val="32"/>
          <w:szCs w:val="32"/>
        </w:rPr>
        <w:t xml:space="preserve"> connu un </w:t>
      </w:r>
      <w:r w:rsidR="000671B3" w:rsidRPr="00913632">
        <w:rPr>
          <w:rFonts w:eastAsia="Arial Unicode MS"/>
          <w:sz w:val="32"/>
          <w:szCs w:val="32"/>
        </w:rPr>
        <w:t xml:space="preserve">triplement </w:t>
      </w:r>
      <w:r w:rsidRPr="00913632">
        <w:rPr>
          <w:rFonts w:eastAsia="Arial Unicode MS"/>
          <w:sz w:val="32"/>
          <w:szCs w:val="32"/>
        </w:rPr>
        <w:t xml:space="preserve">de son effectif en l’espace </w:t>
      </w:r>
      <w:r w:rsidR="000671B3" w:rsidRPr="00913632">
        <w:rPr>
          <w:rFonts w:eastAsia="Arial Unicode MS"/>
          <w:sz w:val="32"/>
          <w:szCs w:val="32"/>
        </w:rPr>
        <w:t>d’un peu plus de tre</w:t>
      </w:r>
      <w:r w:rsidRPr="00913632">
        <w:rPr>
          <w:rFonts w:eastAsia="Arial Unicode MS"/>
          <w:sz w:val="32"/>
          <w:szCs w:val="32"/>
        </w:rPr>
        <w:t>nte ans</w:t>
      </w:r>
      <w:r w:rsidR="000671B3" w:rsidRPr="00913632">
        <w:rPr>
          <w:rFonts w:eastAsia="Arial Unicode MS"/>
          <w:sz w:val="32"/>
          <w:szCs w:val="32"/>
        </w:rPr>
        <w:t xml:space="preserve"> (1971-2014)</w:t>
      </w:r>
      <w:r w:rsidRPr="00913632">
        <w:rPr>
          <w:rFonts w:eastAsia="Arial Unicode MS"/>
          <w:sz w:val="32"/>
          <w:szCs w:val="32"/>
        </w:rPr>
        <w:t xml:space="preserve">, le rythme de la croissance démographique a enregistré un fléchissement important au cours des deux dernières décennies. Il </w:t>
      </w:r>
      <w:r w:rsidR="00913632" w:rsidRPr="00913632">
        <w:rPr>
          <w:rFonts w:eastAsia="Arial Unicode MS"/>
          <w:sz w:val="32"/>
          <w:szCs w:val="32"/>
        </w:rPr>
        <w:t xml:space="preserve">atteint </w:t>
      </w:r>
      <w:r w:rsidR="00A673BB">
        <w:rPr>
          <w:rFonts w:eastAsia="Arial Unicode MS"/>
          <w:sz w:val="32"/>
          <w:szCs w:val="32"/>
        </w:rPr>
        <w:t>juste</w:t>
      </w:r>
      <w:r w:rsidR="00913632" w:rsidRPr="00913632">
        <w:rPr>
          <w:rFonts w:eastAsia="Arial Unicode MS"/>
          <w:sz w:val="32"/>
          <w:szCs w:val="32"/>
        </w:rPr>
        <w:t xml:space="preserve"> 1</w:t>
      </w:r>
      <w:r w:rsidRPr="00913632">
        <w:rPr>
          <w:rFonts w:eastAsia="Arial Unicode MS"/>
          <w:sz w:val="32"/>
          <w:szCs w:val="32"/>
        </w:rPr>
        <w:t xml:space="preserve">,4% </w:t>
      </w:r>
      <w:r w:rsidR="00913632" w:rsidRPr="00913632">
        <w:rPr>
          <w:rFonts w:eastAsia="Arial Unicode MS"/>
          <w:sz w:val="32"/>
          <w:szCs w:val="32"/>
        </w:rPr>
        <w:t>en 2014, soit la moitié du taux enregistré au cours des années soixante dix.</w:t>
      </w:r>
    </w:p>
    <w:p w:rsidR="0018177B" w:rsidRPr="00913632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Default="0018177B" w:rsidP="00374728">
      <w:pPr>
        <w:ind w:left="-142" w:firstLine="862"/>
        <w:jc w:val="both"/>
        <w:rPr>
          <w:rFonts w:eastAsia="Arial Unicode MS"/>
          <w:color w:val="76923C" w:themeColor="accent3" w:themeShade="BF"/>
          <w:sz w:val="32"/>
          <w:szCs w:val="32"/>
        </w:rPr>
      </w:pPr>
      <w:r w:rsidRPr="00746604">
        <w:rPr>
          <w:rFonts w:eastAsia="Arial Unicode MS"/>
          <w:color w:val="76923C" w:themeColor="accent3" w:themeShade="BF"/>
          <w:sz w:val="32"/>
          <w:szCs w:val="32"/>
        </w:rPr>
        <w:tab/>
      </w:r>
    </w:p>
    <w:p w:rsidR="00E07519" w:rsidRDefault="00E07519" w:rsidP="00374728">
      <w:pPr>
        <w:ind w:left="-142" w:firstLine="862"/>
        <w:jc w:val="both"/>
        <w:rPr>
          <w:rFonts w:eastAsia="Arial Unicode MS"/>
          <w:color w:val="76923C" w:themeColor="accent3" w:themeShade="BF"/>
          <w:sz w:val="32"/>
          <w:szCs w:val="32"/>
        </w:rPr>
      </w:pPr>
    </w:p>
    <w:p w:rsidR="00E07519" w:rsidRDefault="00E07519" w:rsidP="00374728">
      <w:pPr>
        <w:ind w:left="-142" w:firstLine="862"/>
        <w:jc w:val="both"/>
        <w:rPr>
          <w:rFonts w:eastAsia="Arial Unicode MS"/>
          <w:color w:val="76923C" w:themeColor="accent3" w:themeShade="BF"/>
          <w:sz w:val="32"/>
          <w:szCs w:val="32"/>
        </w:rPr>
      </w:pPr>
    </w:p>
    <w:p w:rsidR="00E07519" w:rsidRPr="00913632" w:rsidRDefault="00E07519" w:rsidP="00374728">
      <w:pPr>
        <w:ind w:left="-142" w:firstLine="862"/>
        <w:jc w:val="both"/>
        <w:rPr>
          <w:rFonts w:eastAsia="Arial Unicode MS"/>
          <w:color w:val="FF0000"/>
          <w:sz w:val="32"/>
          <w:szCs w:val="32"/>
        </w:rPr>
      </w:pPr>
    </w:p>
    <w:p w:rsidR="0018177B" w:rsidRPr="00746604" w:rsidRDefault="0018177B" w:rsidP="0018177B">
      <w:pPr>
        <w:jc w:val="both"/>
        <w:rPr>
          <w:rFonts w:ascii="Arial Unicode MS" w:eastAsia="Arial Unicode MS" w:hAnsi="Arial Unicode MS"/>
          <w:color w:val="76923C" w:themeColor="accent3" w:themeShade="BF"/>
          <w:sz w:val="16"/>
          <w:szCs w:val="16"/>
        </w:rPr>
      </w:pPr>
    </w:p>
    <w:p w:rsidR="0018177B" w:rsidRPr="00CA472B" w:rsidRDefault="0018177B" w:rsidP="002E3BBE">
      <w:pPr>
        <w:jc w:val="center"/>
        <w:rPr>
          <w:b/>
          <w:bCs/>
          <w:i/>
          <w:iCs/>
          <w:sz w:val="28"/>
          <w:szCs w:val="28"/>
        </w:rPr>
      </w:pPr>
      <w:r w:rsidRPr="00CA472B">
        <w:rPr>
          <w:b/>
          <w:bCs/>
          <w:i/>
          <w:iCs/>
          <w:sz w:val="28"/>
          <w:szCs w:val="28"/>
        </w:rPr>
        <w:t>Evolution de la population de la région</w:t>
      </w:r>
    </w:p>
    <w:p w:rsidR="0018177B" w:rsidRPr="00CA472B" w:rsidRDefault="0018177B" w:rsidP="00CA472B">
      <w:pPr>
        <w:jc w:val="center"/>
        <w:rPr>
          <w:b/>
          <w:bCs/>
          <w:i/>
          <w:iCs/>
          <w:sz w:val="28"/>
          <w:szCs w:val="28"/>
          <w:rtl/>
        </w:rPr>
      </w:pPr>
      <w:proofErr w:type="spellStart"/>
      <w:r w:rsidRPr="00CA472B">
        <w:rPr>
          <w:b/>
          <w:bCs/>
          <w:i/>
          <w:iCs/>
          <w:sz w:val="28"/>
          <w:szCs w:val="28"/>
        </w:rPr>
        <w:t>Souss</w:t>
      </w:r>
      <w:proofErr w:type="spellEnd"/>
      <w:r w:rsidRPr="00CA472B">
        <w:rPr>
          <w:b/>
          <w:bCs/>
          <w:i/>
          <w:iCs/>
          <w:sz w:val="28"/>
          <w:szCs w:val="28"/>
        </w:rPr>
        <w:t xml:space="preserve"> Massa entre 1960 et 20</w:t>
      </w:r>
      <w:r w:rsidR="00CA472B" w:rsidRPr="00CA472B">
        <w:rPr>
          <w:b/>
          <w:bCs/>
          <w:i/>
          <w:iCs/>
          <w:sz w:val="28"/>
          <w:szCs w:val="28"/>
        </w:rPr>
        <w:t>1</w:t>
      </w:r>
      <w:r w:rsidRPr="00CA472B">
        <w:rPr>
          <w:b/>
          <w:bCs/>
          <w:i/>
          <w:iCs/>
          <w:sz w:val="28"/>
          <w:szCs w:val="28"/>
        </w:rPr>
        <w:t>4</w:t>
      </w:r>
    </w:p>
    <w:p w:rsidR="0018177B" w:rsidRPr="00746604" w:rsidRDefault="0018177B" w:rsidP="0018177B">
      <w:pPr>
        <w:jc w:val="center"/>
        <w:rPr>
          <w:rFonts w:ascii="Arial Unicode MS" w:eastAsia="Arial Unicode MS" w:hAnsi="Arial Unicode MS" w:cs="Arial Unicode MS"/>
          <w:b/>
          <w:bCs/>
          <w:color w:val="76923C" w:themeColor="accent3" w:themeShade="BF"/>
          <w:rtl/>
        </w:rPr>
      </w:pPr>
    </w:p>
    <w:tbl>
      <w:tblPr>
        <w:tblStyle w:val="Grilledutableau"/>
        <w:tblW w:w="8330" w:type="dxa"/>
        <w:tblLayout w:type="fixed"/>
        <w:tblLook w:val="01E0"/>
      </w:tblPr>
      <w:tblGrid>
        <w:gridCol w:w="1796"/>
        <w:gridCol w:w="2281"/>
        <w:gridCol w:w="2127"/>
        <w:gridCol w:w="2126"/>
      </w:tblGrid>
      <w:tr w:rsidR="00913632" w:rsidRPr="00746604" w:rsidTr="00913632">
        <w:tc>
          <w:tcPr>
            <w:tcW w:w="1796" w:type="dxa"/>
            <w:shd w:val="clear" w:color="auto" w:fill="66CCFF"/>
          </w:tcPr>
          <w:p w:rsidR="00913632" w:rsidRPr="00913632" w:rsidRDefault="00913632" w:rsidP="0028621C">
            <w:pPr>
              <w:jc w:val="center"/>
              <w:rPr>
                <w:rFonts w:eastAsia="Arial Unicode MS" w:cs="Traditional Arabic"/>
                <w:sz w:val="28"/>
                <w:szCs w:val="32"/>
              </w:rPr>
            </w:pPr>
            <w:r w:rsidRPr="00913632">
              <w:rPr>
                <w:sz w:val="28"/>
              </w:rPr>
              <w:t>Année</w:t>
            </w:r>
          </w:p>
        </w:tc>
        <w:tc>
          <w:tcPr>
            <w:tcW w:w="2281" w:type="dxa"/>
            <w:shd w:val="clear" w:color="auto" w:fill="66CCFF"/>
          </w:tcPr>
          <w:p w:rsidR="00913632" w:rsidRPr="00913632" w:rsidRDefault="00913632" w:rsidP="0028621C">
            <w:pPr>
              <w:jc w:val="center"/>
              <w:rPr>
                <w:rFonts w:eastAsia="Arial Unicode MS" w:cs="Traditional Arabic"/>
                <w:sz w:val="28"/>
                <w:szCs w:val="32"/>
              </w:rPr>
            </w:pPr>
            <w:r w:rsidRPr="00913632">
              <w:rPr>
                <w:rFonts w:eastAsia="Arial Unicode MS" w:cs="Traditional Arabic"/>
                <w:sz w:val="28"/>
                <w:szCs w:val="32"/>
              </w:rPr>
              <w:t>Population</w:t>
            </w:r>
          </w:p>
        </w:tc>
        <w:tc>
          <w:tcPr>
            <w:tcW w:w="2127" w:type="dxa"/>
            <w:shd w:val="clear" w:color="auto" w:fill="66CCFF"/>
          </w:tcPr>
          <w:p w:rsidR="00913632" w:rsidRPr="00913632" w:rsidRDefault="00913632" w:rsidP="0028621C">
            <w:pPr>
              <w:jc w:val="center"/>
              <w:rPr>
                <w:rFonts w:eastAsia="Arial Unicode MS" w:cs="Traditional Arabic"/>
                <w:sz w:val="28"/>
                <w:szCs w:val="32"/>
              </w:rPr>
            </w:pPr>
            <w:r w:rsidRPr="00913632">
              <w:rPr>
                <w:rFonts w:eastAsia="Arial Unicode MS" w:cs="Traditional Arabic"/>
                <w:sz w:val="28"/>
                <w:szCs w:val="32"/>
              </w:rPr>
              <w:t xml:space="preserve">Taux Accroissement régional </w:t>
            </w:r>
          </w:p>
        </w:tc>
        <w:tc>
          <w:tcPr>
            <w:tcW w:w="2126" w:type="dxa"/>
            <w:shd w:val="clear" w:color="auto" w:fill="66CCFF"/>
          </w:tcPr>
          <w:p w:rsidR="00913632" w:rsidRPr="00913632" w:rsidRDefault="00913632" w:rsidP="00913632">
            <w:pPr>
              <w:jc w:val="center"/>
              <w:rPr>
                <w:rFonts w:eastAsia="Arial Unicode MS" w:cs="Traditional Arabic"/>
                <w:sz w:val="28"/>
                <w:szCs w:val="32"/>
              </w:rPr>
            </w:pPr>
            <w:r w:rsidRPr="00913632">
              <w:rPr>
                <w:rFonts w:eastAsia="Arial Unicode MS" w:cs="Traditional Arabic"/>
                <w:sz w:val="28"/>
                <w:szCs w:val="32"/>
              </w:rPr>
              <w:t>Taux Accroissement national</w:t>
            </w:r>
          </w:p>
        </w:tc>
      </w:tr>
      <w:tr w:rsidR="00374728" w:rsidRPr="00746604" w:rsidTr="00913632">
        <w:tc>
          <w:tcPr>
            <w:tcW w:w="1796" w:type="dxa"/>
          </w:tcPr>
          <w:p w:rsidR="00374728" w:rsidRPr="00374728" w:rsidRDefault="00374728" w:rsidP="0028621C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1960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759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.041</w:t>
            </w:r>
          </w:p>
        </w:tc>
        <w:tc>
          <w:tcPr>
            <w:tcW w:w="2127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-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-</w:t>
            </w:r>
          </w:p>
        </w:tc>
      </w:tr>
      <w:tr w:rsidR="00374728" w:rsidRPr="00746604" w:rsidTr="00913632">
        <w:tc>
          <w:tcPr>
            <w:tcW w:w="1796" w:type="dxa"/>
          </w:tcPr>
          <w:p w:rsidR="00374728" w:rsidRPr="00374728" w:rsidRDefault="00374728" w:rsidP="0028621C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1971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989.636</w:t>
            </w:r>
          </w:p>
        </w:tc>
        <w:tc>
          <w:tcPr>
            <w:tcW w:w="2127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4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8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</w:tr>
      <w:tr w:rsidR="00374728" w:rsidRPr="00746604" w:rsidTr="00913632">
        <w:tc>
          <w:tcPr>
            <w:tcW w:w="1796" w:type="dxa"/>
          </w:tcPr>
          <w:p w:rsidR="00374728" w:rsidRPr="00374728" w:rsidRDefault="00374728" w:rsidP="0028621C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1982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1.370.758</w:t>
            </w:r>
          </w:p>
        </w:tc>
        <w:tc>
          <w:tcPr>
            <w:tcW w:w="2127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9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6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</w:tr>
      <w:tr w:rsidR="00374728" w:rsidRPr="00746604" w:rsidTr="00913632">
        <w:tc>
          <w:tcPr>
            <w:tcW w:w="1796" w:type="dxa"/>
          </w:tcPr>
          <w:p w:rsidR="00374728" w:rsidRPr="00374728" w:rsidRDefault="00374728" w:rsidP="0028621C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1994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1.910.905</w:t>
            </w:r>
          </w:p>
        </w:tc>
        <w:tc>
          <w:tcPr>
            <w:tcW w:w="2127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8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</w:tr>
      <w:tr w:rsidR="00374728" w:rsidRPr="00746604" w:rsidTr="00913632">
        <w:tc>
          <w:tcPr>
            <w:tcW w:w="1796" w:type="dxa"/>
          </w:tcPr>
          <w:p w:rsidR="00374728" w:rsidRPr="00374728" w:rsidRDefault="00374728" w:rsidP="0028621C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2004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2.324.142</w:t>
            </w:r>
          </w:p>
        </w:tc>
        <w:tc>
          <w:tcPr>
            <w:tcW w:w="2127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9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4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</w:tr>
      <w:tr w:rsidR="00374728" w:rsidRPr="00746604" w:rsidTr="00913632">
        <w:tblPrEx>
          <w:tblLook w:val="04A0"/>
        </w:tblPrEx>
        <w:tc>
          <w:tcPr>
            <w:tcW w:w="1796" w:type="dxa"/>
          </w:tcPr>
          <w:p w:rsidR="00374728" w:rsidRPr="00374728" w:rsidRDefault="00374728" w:rsidP="00913632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2014</w:t>
            </w:r>
          </w:p>
        </w:tc>
        <w:tc>
          <w:tcPr>
            <w:tcW w:w="2281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2.676.847</w:t>
            </w:r>
          </w:p>
        </w:tc>
        <w:tc>
          <w:tcPr>
            <w:tcW w:w="2127" w:type="dxa"/>
          </w:tcPr>
          <w:p w:rsidR="00374728" w:rsidRPr="00374728" w:rsidRDefault="00374728" w:rsidP="00913632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1,4%</w:t>
            </w:r>
          </w:p>
        </w:tc>
        <w:tc>
          <w:tcPr>
            <w:tcW w:w="2126" w:type="dxa"/>
          </w:tcPr>
          <w:p w:rsidR="00374728" w:rsidRPr="00374728" w:rsidRDefault="00374728" w:rsidP="00374728">
            <w:pPr>
              <w:jc w:val="center"/>
              <w:rPr>
                <w:rFonts w:eastAsia="Arial Unicode MS" w:cs="Traditional Arabic"/>
                <w:color w:val="000000" w:themeColor="text1"/>
                <w:sz w:val="28"/>
                <w:szCs w:val="32"/>
              </w:rPr>
            </w:pP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1,</w:t>
            </w:r>
            <w:r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2</w:t>
            </w:r>
            <w:r w:rsidRPr="00374728">
              <w:rPr>
                <w:rFonts w:eastAsia="Arial Unicode MS" w:cs="Traditional Arabic"/>
                <w:color w:val="000000" w:themeColor="text1"/>
                <w:sz w:val="28"/>
                <w:szCs w:val="32"/>
              </w:rPr>
              <w:t>%</w:t>
            </w:r>
          </w:p>
        </w:tc>
      </w:tr>
    </w:tbl>
    <w:p w:rsidR="0018177B" w:rsidRPr="00A673BB" w:rsidRDefault="00A673BB" w:rsidP="00A673BB">
      <w:pPr>
        <w:ind w:left="-142"/>
        <w:jc w:val="both"/>
        <w:rPr>
          <w:rFonts w:eastAsia="Arial Unicode MS"/>
          <w:i/>
          <w:iCs/>
          <w:sz w:val="22"/>
          <w:szCs w:val="22"/>
        </w:rPr>
      </w:pPr>
      <w:r w:rsidRPr="00A673BB">
        <w:rPr>
          <w:rFonts w:eastAsia="Arial Unicode MS"/>
          <w:i/>
          <w:iCs/>
          <w:sz w:val="22"/>
          <w:szCs w:val="22"/>
        </w:rPr>
        <w:t>Source : RGPH 1971-1982-1994-2004 et 2014</w:t>
      </w:r>
    </w:p>
    <w:p w:rsidR="0018177B" w:rsidRDefault="0018177B" w:rsidP="0018177B">
      <w:pPr>
        <w:jc w:val="center"/>
        <w:rPr>
          <w:rFonts w:ascii="Arial Unicode MS" w:eastAsia="Arial Unicode MS" w:hAnsi="Arial Unicode MS"/>
          <w:b/>
          <w:bCs/>
        </w:rPr>
      </w:pPr>
    </w:p>
    <w:p w:rsidR="0018177B" w:rsidRDefault="0018177B" w:rsidP="0018177B">
      <w:pPr>
        <w:jc w:val="center"/>
        <w:rPr>
          <w:rFonts w:ascii="Arial Unicode MS" w:eastAsia="Arial Unicode MS" w:hAnsi="Arial Unicode MS"/>
          <w:b/>
          <w:bCs/>
        </w:rPr>
      </w:pPr>
    </w:p>
    <w:p w:rsidR="0018177B" w:rsidRPr="00E41662" w:rsidRDefault="0018177B" w:rsidP="00CA472B">
      <w:pPr>
        <w:ind w:left="-142"/>
        <w:jc w:val="both"/>
        <w:rPr>
          <w:b/>
          <w:bCs/>
          <w:i/>
          <w:iCs/>
          <w:color w:val="FF0000"/>
          <w:sz w:val="36"/>
          <w:szCs w:val="36"/>
        </w:rPr>
      </w:pPr>
      <w:r w:rsidRPr="00E41662">
        <w:rPr>
          <w:b/>
          <w:bCs/>
          <w:i/>
          <w:iCs/>
          <w:color w:val="FF0000"/>
          <w:sz w:val="36"/>
          <w:szCs w:val="36"/>
        </w:rPr>
        <w:t>I</w:t>
      </w:r>
      <w:r w:rsidR="00CA472B">
        <w:rPr>
          <w:b/>
          <w:bCs/>
          <w:i/>
          <w:iCs/>
          <w:color w:val="FF0000"/>
          <w:sz w:val="36"/>
          <w:szCs w:val="36"/>
        </w:rPr>
        <w:t>V</w:t>
      </w:r>
      <w:r w:rsidRPr="00E41662">
        <w:rPr>
          <w:b/>
          <w:bCs/>
          <w:i/>
          <w:iCs/>
          <w:color w:val="FF0000"/>
          <w:sz w:val="36"/>
          <w:szCs w:val="36"/>
        </w:rPr>
        <w:t xml:space="preserve">- REPARTITION </w:t>
      </w:r>
      <w:r w:rsidR="00CA472B">
        <w:rPr>
          <w:b/>
          <w:bCs/>
          <w:i/>
          <w:iCs/>
          <w:color w:val="FF0000"/>
          <w:sz w:val="36"/>
          <w:szCs w:val="36"/>
        </w:rPr>
        <w:t xml:space="preserve">SPATIALE </w:t>
      </w:r>
      <w:r w:rsidRPr="00E41662">
        <w:rPr>
          <w:b/>
          <w:bCs/>
          <w:i/>
          <w:iCs/>
          <w:color w:val="FF0000"/>
          <w:sz w:val="36"/>
          <w:szCs w:val="36"/>
        </w:rPr>
        <w:t>DE LA POPULATION</w:t>
      </w:r>
      <w:r w:rsidR="0038201D">
        <w:rPr>
          <w:b/>
          <w:bCs/>
          <w:i/>
          <w:iCs/>
          <w:color w:val="FF0000"/>
          <w:sz w:val="36"/>
          <w:szCs w:val="36"/>
        </w:rPr>
        <w:t xml:space="preserve"> </w:t>
      </w:r>
    </w:p>
    <w:p w:rsidR="0018177B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ascii="Arial Unicode MS" w:eastAsia="Arial Unicode MS" w:hAnsi="Arial Unicode MS" w:cs="Arial Unicode MS"/>
        </w:rPr>
        <w:t xml:space="preserve"> </w:t>
      </w:r>
      <w:r w:rsidRPr="00306648">
        <w:rPr>
          <w:rFonts w:ascii="Arial Unicode MS" w:eastAsia="Arial Unicode MS" w:hAnsi="Arial Unicode MS" w:cs="Arial Unicode MS"/>
        </w:rPr>
        <w:tab/>
      </w:r>
    </w:p>
    <w:p w:rsidR="0018177B" w:rsidRPr="00306648" w:rsidRDefault="0018177B" w:rsidP="00746604">
      <w:pPr>
        <w:ind w:left="-142" w:firstLine="1560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>La population de la région est répartie en 1.</w:t>
      </w:r>
      <w:r w:rsidR="00746604">
        <w:rPr>
          <w:rFonts w:eastAsia="Arial Unicode MS"/>
          <w:sz w:val="32"/>
          <w:szCs w:val="32"/>
        </w:rPr>
        <w:t>505</w:t>
      </w:r>
      <w:r>
        <w:rPr>
          <w:rFonts w:eastAsia="Arial Unicode MS"/>
          <w:sz w:val="32"/>
          <w:szCs w:val="32"/>
        </w:rPr>
        <w:t>.</w:t>
      </w:r>
      <w:r w:rsidR="00746604">
        <w:rPr>
          <w:rFonts w:eastAsia="Arial Unicode MS"/>
          <w:sz w:val="32"/>
          <w:szCs w:val="32"/>
        </w:rPr>
        <w:t>896</w:t>
      </w:r>
      <w:r w:rsidRPr="00306648">
        <w:rPr>
          <w:rFonts w:eastAsia="Arial Unicode MS"/>
          <w:sz w:val="32"/>
          <w:szCs w:val="32"/>
        </w:rPr>
        <w:t xml:space="preserve"> citadins et 1.</w:t>
      </w:r>
      <w:r w:rsidR="00746604">
        <w:rPr>
          <w:rFonts w:eastAsia="Arial Unicode MS"/>
          <w:sz w:val="32"/>
          <w:szCs w:val="32"/>
        </w:rPr>
        <w:t>170</w:t>
      </w:r>
      <w:r>
        <w:rPr>
          <w:rFonts w:eastAsia="Arial Unicode MS"/>
          <w:sz w:val="32"/>
          <w:szCs w:val="32"/>
        </w:rPr>
        <w:t>.</w:t>
      </w:r>
      <w:r w:rsidR="00746604">
        <w:rPr>
          <w:rFonts w:eastAsia="Arial Unicode MS"/>
          <w:sz w:val="32"/>
          <w:szCs w:val="32"/>
        </w:rPr>
        <w:t>951</w:t>
      </w:r>
      <w:r w:rsidRPr="00306648">
        <w:rPr>
          <w:rFonts w:eastAsia="Arial Unicode MS"/>
          <w:sz w:val="32"/>
          <w:szCs w:val="32"/>
        </w:rPr>
        <w:t xml:space="preserve"> ruraux.</w:t>
      </w:r>
    </w:p>
    <w:p w:rsidR="0018177B" w:rsidRPr="00306648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Pr="00306648" w:rsidRDefault="0018177B" w:rsidP="00884186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ab/>
        <w:t xml:space="preserve">Bien que la région reste marquée par une prédominance rurale, elle connaît cependant une forte urbanisation concrétisée par un taux d’accroissement en </w:t>
      </w:r>
      <w:r>
        <w:rPr>
          <w:rFonts w:eastAsia="Arial Unicode MS"/>
          <w:sz w:val="32"/>
          <w:szCs w:val="32"/>
        </w:rPr>
        <w:t>milieu urbain</w:t>
      </w:r>
      <w:r w:rsidRPr="00306648">
        <w:rPr>
          <w:rFonts w:eastAsia="Arial Unicode MS"/>
          <w:sz w:val="32"/>
          <w:szCs w:val="32"/>
        </w:rPr>
        <w:t xml:space="preserve"> qui est de 3,</w:t>
      </w:r>
      <w:r w:rsidR="00746604">
        <w:rPr>
          <w:rFonts w:eastAsia="Arial Unicode MS"/>
          <w:sz w:val="32"/>
          <w:szCs w:val="32"/>
        </w:rPr>
        <w:t>2</w:t>
      </w:r>
      <w:r w:rsidRPr="00306648">
        <w:rPr>
          <w:rFonts w:eastAsia="Arial Unicode MS"/>
          <w:sz w:val="32"/>
          <w:szCs w:val="32"/>
        </w:rPr>
        <w:t xml:space="preserve">% contre </w:t>
      </w:r>
      <w:r w:rsidR="008524FF">
        <w:rPr>
          <w:rFonts w:eastAsia="Arial Unicode MS"/>
          <w:sz w:val="32"/>
          <w:szCs w:val="32"/>
        </w:rPr>
        <w:t>un</w:t>
      </w:r>
      <w:r w:rsidR="00884186">
        <w:rPr>
          <w:rFonts w:eastAsia="Arial Unicode MS"/>
          <w:sz w:val="32"/>
          <w:szCs w:val="32"/>
        </w:rPr>
        <w:t>e</w:t>
      </w:r>
      <w:r w:rsidR="008524FF">
        <w:rPr>
          <w:rFonts w:eastAsia="Arial Unicode MS"/>
          <w:sz w:val="32"/>
          <w:szCs w:val="32"/>
        </w:rPr>
        <w:t xml:space="preserve"> </w:t>
      </w:r>
      <w:r w:rsidR="00884186">
        <w:rPr>
          <w:rFonts w:eastAsia="Arial Unicode MS"/>
          <w:sz w:val="32"/>
          <w:szCs w:val="32"/>
        </w:rPr>
        <w:t xml:space="preserve">diminution </w:t>
      </w:r>
      <w:r w:rsidR="008524FF">
        <w:rPr>
          <w:rFonts w:eastAsia="Arial Unicode MS"/>
          <w:sz w:val="32"/>
          <w:szCs w:val="32"/>
        </w:rPr>
        <w:t>de  -</w:t>
      </w:r>
      <w:r w:rsidRPr="00306648">
        <w:rPr>
          <w:rFonts w:eastAsia="Arial Unicode MS"/>
          <w:sz w:val="32"/>
          <w:szCs w:val="32"/>
        </w:rPr>
        <w:t xml:space="preserve"> 0,</w:t>
      </w:r>
      <w:r w:rsidR="008524FF">
        <w:rPr>
          <w:rFonts w:eastAsia="Arial Unicode MS"/>
          <w:sz w:val="32"/>
          <w:szCs w:val="32"/>
        </w:rPr>
        <w:t>5</w:t>
      </w:r>
      <w:r w:rsidRPr="00306648">
        <w:rPr>
          <w:rFonts w:eastAsia="Arial Unicode MS"/>
          <w:sz w:val="32"/>
          <w:szCs w:val="32"/>
        </w:rPr>
        <w:t>% en milieu rural.</w:t>
      </w:r>
    </w:p>
    <w:p w:rsidR="0018177B" w:rsidRPr="00306648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Pr="00306648" w:rsidRDefault="0018177B" w:rsidP="009A25D0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ab/>
        <w:t xml:space="preserve">Le taux d’urbanisation de la région atteint ainsi </w:t>
      </w:r>
      <w:r w:rsidR="00746604">
        <w:rPr>
          <w:rFonts w:eastAsia="Arial Unicode MS"/>
          <w:sz w:val="32"/>
          <w:szCs w:val="32"/>
        </w:rPr>
        <w:t>prés de 56,3</w:t>
      </w:r>
      <w:r w:rsidRPr="00306648">
        <w:rPr>
          <w:rFonts w:eastAsia="Arial Unicode MS"/>
          <w:sz w:val="32"/>
          <w:szCs w:val="32"/>
        </w:rPr>
        <w:t>% en 20</w:t>
      </w:r>
      <w:r w:rsidR="00746604">
        <w:rPr>
          <w:rFonts w:eastAsia="Arial Unicode MS"/>
          <w:sz w:val="32"/>
          <w:szCs w:val="32"/>
        </w:rPr>
        <w:t>1</w:t>
      </w:r>
      <w:r w:rsidRPr="00306648">
        <w:rPr>
          <w:rFonts w:eastAsia="Arial Unicode MS"/>
          <w:sz w:val="32"/>
          <w:szCs w:val="32"/>
        </w:rPr>
        <w:t>4</w:t>
      </w:r>
      <w:r w:rsidR="0038201D" w:rsidRPr="0038201D">
        <w:rPr>
          <w:rFonts w:eastAsia="Arial Unicode MS"/>
          <w:sz w:val="32"/>
          <w:szCs w:val="32"/>
        </w:rPr>
        <w:t xml:space="preserve"> </w:t>
      </w:r>
      <w:r w:rsidR="0038201D">
        <w:rPr>
          <w:rFonts w:eastAsia="Arial Unicode MS"/>
          <w:sz w:val="32"/>
          <w:szCs w:val="32"/>
        </w:rPr>
        <w:t>contre 48</w:t>
      </w:r>
      <w:r w:rsidR="0038201D" w:rsidRPr="00306648">
        <w:rPr>
          <w:rFonts w:eastAsia="Arial Unicode MS"/>
          <w:sz w:val="32"/>
          <w:szCs w:val="32"/>
        </w:rPr>
        <w:t>,1%</w:t>
      </w:r>
      <w:r w:rsidR="0038201D">
        <w:rPr>
          <w:rFonts w:eastAsia="Arial Unicode MS"/>
          <w:sz w:val="32"/>
          <w:szCs w:val="32"/>
        </w:rPr>
        <w:t xml:space="preserve"> </w:t>
      </w:r>
      <w:r w:rsidR="0038201D" w:rsidRPr="00306648">
        <w:rPr>
          <w:rFonts w:eastAsia="Arial Unicode MS"/>
          <w:sz w:val="32"/>
          <w:szCs w:val="32"/>
        </w:rPr>
        <w:t xml:space="preserve">en </w:t>
      </w:r>
      <w:r w:rsidR="0038201D">
        <w:rPr>
          <w:rFonts w:eastAsia="Arial Unicode MS"/>
          <w:sz w:val="32"/>
          <w:szCs w:val="32"/>
        </w:rPr>
        <w:t>2004 et 39,5% en 1994.</w:t>
      </w:r>
    </w:p>
    <w:p w:rsidR="0018177B" w:rsidRPr="00306648" w:rsidRDefault="0018177B" w:rsidP="0018177B">
      <w:pPr>
        <w:ind w:left="-142" w:firstLine="862"/>
        <w:jc w:val="both"/>
        <w:rPr>
          <w:rFonts w:eastAsia="Arial Unicode MS"/>
          <w:sz w:val="32"/>
          <w:szCs w:val="32"/>
        </w:rPr>
      </w:pPr>
    </w:p>
    <w:p w:rsidR="0018177B" w:rsidRPr="00306648" w:rsidRDefault="0018177B" w:rsidP="00884186">
      <w:pPr>
        <w:ind w:left="-142" w:firstLine="862"/>
        <w:jc w:val="both"/>
        <w:rPr>
          <w:rFonts w:eastAsia="Arial Unicode MS"/>
          <w:sz w:val="32"/>
          <w:szCs w:val="32"/>
        </w:rPr>
      </w:pPr>
      <w:r w:rsidRPr="00306648">
        <w:rPr>
          <w:rFonts w:eastAsia="Arial Unicode MS"/>
          <w:sz w:val="32"/>
          <w:szCs w:val="32"/>
        </w:rPr>
        <w:tab/>
        <w:t xml:space="preserve">Plusieurs facteurs sont à l’origine de la progression de l’urbanisation, notamment l’accroissement naturel de la population urbaine, </w:t>
      </w:r>
      <w:r w:rsidR="00884186">
        <w:rPr>
          <w:rFonts w:eastAsia="Arial Unicode MS"/>
          <w:sz w:val="32"/>
          <w:szCs w:val="32"/>
        </w:rPr>
        <w:t>l’exode rural</w:t>
      </w:r>
      <w:r w:rsidRPr="00306648">
        <w:rPr>
          <w:rFonts w:eastAsia="Arial Unicode MS"/>
          <w:sz w:val="32"/>
          <w:szCs w:val="32"/>
        </w:rPr>
        <w:t xml:space="preserve"> et l’extension du périmètre urbain par l’intégration de certaines localités rurales.</w:t>
      </w:r>
    </w:p>
    <w:p w:rsidR="0018177B" w:rsidRDefault="0018177B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ab/>
      </w:r>
    </w:p>
    <w:p w:rsidR="00A60E81" w:rsidRDefault="00A60E81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</w:p>
    <w:p w:rsidR="00A60E81" w:rsidRDefault="00A60E81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</w:p>
    <w:p w:rsidR="00537F9B" w:rsidRDefault="00537F9B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</w:p>
    <w:p w:rsidR="00537F9B" w:rsidRDefault="00537F9B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</w:p>
    <w:p w:rsidR="00537F9B" w:rsidRDefault="00537F9B" w:rsidP="00E50017">
      <w:pPr>
        <w:ind w:left="-142"/>
        <w:jc w:val="both"/>
        <w:rPr>
          <w:rFonts w:eastAsia="Arial Unicode MS"/>
          <w:b/>
          <w:bCs/>
          <w:sz w:val="32"/>
          <w:szCs w:val="32"/>
        </w:rPr>
      </w:pPr>
    </w:p>
    <w:p w:rsidR="002E3BBE" w:rsidRDefault="0018177B" w:rsidP="002E3BBE">
      <w:pPr>
        <w:jc w:val="center"/>
        <w:rPr>
          <w:b/>
          <w:bCs/>
          <w:i/>
          <w:iCs/>
          <w:sz w:val="28"/>
          <w:szCs w:val="28"/>
        </w:rPr>
      </w:pPr>
      <w:r w:rsidRPr="002E3BBE">
        <w:rPr>
          <w:b/>
          <w:bCs/>
          <w:i/>
          <w:iCs/>
          <w:sz w:val="28"/>
          <w:szCs w:val="28"/>
        </w:rPr>
        <w:lastRenderedPageBreak/>
        <w:t>Population, superficie et densité selon les provinces et préfectures</w:t>
      </w:r>
    </w:p>
    <w:p w:rsidR="0018177B" w:rsidRPr="002E3BBE" w:rsidRDefault="0018177B" w:rsidP="00E07519">
      <w:pPr>
        <w:jc w:val="center"/>
        <w:rPr>
          <w:b/>
          <w:bCs/>
          <w:i/>
          <w:iCs/>
          <w:sz w:val="28"/>
          <w:szCs w:val="28"/>
        </w:rPr>
      </w:pPr>
      <w:r w:rsidRPr="002E3BBE">
        <w:rPr>
          <w:b/>
          <w:bCs/>
          <w:i/>
          <w:iCs/>
          <w:sz w:val="28"/>
          <w:szCs w:val="28"/>
        </w:rPr>
        <w:t xml:space="preserve"> (Année 20</w:t>
      </w:r>
      <w:r w:rsidR="00E07519">
        <w:rPr>
          <w:b/>
          <w:bCs/>
          <w:i/>
          <w:iCs/>
          <w:sz w:val="28"/>
          <w:szCs w:val="28"/>
        </w:rPr>
        <w:t>1</w:t>
      </w:r>
      <w:r w:rsidRPr="002E3BBE">
        <w:rPr>
          <w:b/>
          <w:bCs/>
          <w:i/>
          <w:iCs/>
          <w:sz w:val="28"/>
          <w:szCs w:val="28"/>
        </w:rPr>
        <w:t>4)</w:t>
      </w:r>
    </w:p>
    <w:tbl>
      <w:tblPr>
        <w:tblW w:w="9781" w:type="dxa"/>
        <w:tblInd w:w="-49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8"/>
        <w:gridCol w:w="992"/>
        <w:gridCol w:w="770"/>
        <w:gridCol w:w="918"/>
        <w:gridCol w:w="770"/>
        <w:gridCol w:w="968"/>
        <w:gridCol w:w="864"/>
        <w:gridCol w:w="1701"/>
      </w:tblGrid>
      <w:tr w:rsidR="00E07519" w:rsidTr="00051F2D">
        <w:trPr>
          <w:cantSplit/>
        </w:trPr>
        <w:tc>
          <w:tcPr>
            <w:tcW w:w="2798" w:type="dxa"/>
            <w:vMerge w:val="restart"/>
            <w:tcBorders>
              <w:top w:val="single" w:sz="4" w:space="0" w:color="auto"/>
              <w:bottom w:val="nil"/>
            </w:tcBorders>
            <w:shd w:val="clear" w:color="auto" w:fill="0DC0FF"/>
            <w:vAlign w:val="center"/>
          </w:tcPr>
          <w:p w:rsidR="00E07519" w:rsidRDefault="00E07519" w:rsidP="0028621C">
            <w:pPr>
              <w:pStyle w:val="Titre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Préfecture et province</w:t>
            </w: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nil"/>
            </w:tcBorders>
            <w:shd w:val="clear" w:color="auto" w:fill="0DC0FF"/>
            <w:vAlign w:val="center"/>
          </w:tcPr>
          <w:p w:rsidR="00E07519" w:rsidRDefault="00E07519" w:rsidP="0028621C">
            <w:pPr>
              <w:pStyle w:val="Titre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Population en milliers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0DC0FF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32"/>
              </w:rPr>
            </w:pPr>
            <w:r>
              <w:rPr>
                <w:rFonts w:eastAsia="Arial Unicode MS"/>
                <w:b/>
                <w:bCs/>
                <w:sz w:val="28"/>
                <w:szCs w:val="32"/>
              </w:rPr>
              <w:t>Densité</w:t>
            </w:r>
          </w:p>
          <w:p w:rsidR="00E07519" w:rsidRPr="003D3684" w:rsidRDefault="00E07519" w:rsidP="00E07519">
            <w:pPr>
              <w:jc w:val="center"/>
              <w:rPr>
                <w:rFonts w:eastAsia="Arial Unicode MS"/>
                <w:b/>
                <w:bCs/>
              </w:rPr>
            </w:pPr>
            <w:r w:rsidRPr="003D3684">
              <w:rPr>
                <w:rFonts w:eastAsia="Arial Unicode MS"/>
                <w:b/>
                <w:bCs/>
              </w:rPr>
              <w:t>(hab</w:t>
            </w:r>
            <w:proofErr w:type="gramStart"/>
            <w:r w:rsidRPr="003D3684">
              <w:rPr>
                <w:rFonts w:eastAsia="Arial Unicode MS"/>
                <w:b/>
                <w:bCs/>
              </w:rPr>
              <w:t>./</w:t>
            </w:r>
            <w:proofErr w:type="gramEnd"/>
            <w:r w:rsidRPr="003D3684">
              <w:rPr>
                <w:rFonts w:eastAsia="Arial Unicode MS"/>
                <w:b/>
                <w:bCs/>
              </w:rPr>
              <w:t xml:space="preserve"> km</w:t>
            </w:r>
            <w:r w:rsidRPr="003D3684">
              <w:rPr>
                <w:rFonts w:eastAsia="Arial Unicode MS"/>
                <w:b/>
                <w:bCs/>
                <w:vertAlign w:val="superscript"/>
              </w:rPr>
              <w:t>2</w:t>
            </w:r>
            <w:r w:rsidRPr="003D3684">
              <w:rPr>
                <w:rFonts w:eastAsia="Arial Unicode MS"/>
                <w:b/>
                <w:bCs/>
              </w:rPr>
              <w:t>)</w:t>
            </w:r>
          </w:p>
        </w:tc>
      </w:tr>
      <w:tr w:rsidR="00E07519" w:rsidTr="00051F2D">
        <w:trPr>
          <w:cantSplit/>
        </w:trPr>
        <w:tc>
          <w:tcPr>
            <w:tcW w:w="279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07519" w:rsidRDefault="00E07519" w:rsidP="0028621C">
            <w:pPr>
              <w:pStyle w:val="Titre2"/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Urbain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Rural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Pr="00461AB4" w:rsidRDefault="00E07519" w:rsidP="0028621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461AB4">
              <w:rPr>
                <w:rFonts w:eastAsia="Arial Unicode MS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32"/>
              </w:rPr>
            </w:pPr>
          </w:p>
        </w:tc>
      </w:tr>
      <w:tr w:rsidR="00E07519" w:rsidTr="00E07519">
        <w:tc>
          <w:tcPr>
            <w:tcW w:w="2798" w:type="dxa"/>
            <w:tcBorders>
              <w:top w:val="single" w:sz="4" w:space="0" w:color="auto"/>
              <w:bottom w:val="nil"/>
            </w:tcBorders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r>
              <w:rPr>
                <w:rFonts w:eastAsia="Arial Unicode MS"/>
                <w:sz w:val="28"/>
              </w:rPr>
              <w:t>A</w:t>
            </w:r>
            <w:r>
              <w:rPr>
                <w:sz w:val="28"/>
              </w:rPr>
              <w:t xml:space="preserve">gadir Ida </w:t>
            </w:r>
            <w:proofErr w:type="spellStart"/>
            <w:r>
              <w:rPr>
                <w:sz w:val="28"/>
              </w:rPr>
              <w:t>Outanane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508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7D71D2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 w:hint="cs"/>
                <w:sz w:val="28"/>
                <w:szCs w:val="28"/>
                <w:rtl/>
              </w:rPr>
              <w:t>3</w:t>
            </w:r>
            <w:r>
              <w:rPr>
                <w:rFonts w:eastAsia="Arial Unicode MS"/>
                <w:sz w:val="28"/>
                <w:szCs w:val="28"/>
              </w:rPr>
              <w:t>3,7</w:t>
            </w:r>
          </w:p>
        </w:tc>
        <w:tc>
          <w:tcPr>
            <w:tcW w:w="918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92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7,9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601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261</w:t>
            </w:r>
          </w:p>
        </w:tc>
      </w:tr>
      <w:tr w:rsidR="00E07519" w:rsidTr="00E07519">
        <w:tc>
          <w:tcPr>
            <w:tcW w:w="2798" w:type="dxa"/>
            <w:tcBorders>
              <w:top w:val="nil"/>
              <w:bottom w:val="nil"/>
            </w:tcBorders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proofErr w:type="spellStart"/>
            <w:r>
              <w:rPr>
                <w:rFonts w:eastAsia="Arial Unicode MS"/>
                <w:sz w:val="28"/>
                <w:szCs w:val="32"/>
              </w:rPr>
              <w:t>Inezgane</w:t>
            </w:r>
            <w:proofErr w:type="spellEnd"/>
            <w:r>
              <w:rPr>
                <w:rFonts w:eastAsia="Arial Unicode MS"/>
                <w:sz w:val="28"/>
                <w:szCs w:val="32"/>
              </w:rPr>
              <w:t xml:space="preserve"> Ait </w:t>
            </w:r>
            <w:proofErr w:type="spellStart"/>
            <w:r>
              <w:rPr>
                <w:rFonts w:eastAsia="Arial Unicode MS"/>
                <w:sz w:val="28"/>
                <w:szCs w:val="32"/>
              </w:rPr>
              <w:t>Melloul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514</w:t>
            </w:r>
          </w:p>
        </w:tc>
        <w:tc>
          <w:tcPr>
            <w:tcW w:w="770" w:type="dxa"/>
            <w:tcBorders>
              <w:top w:val="nil"/>
              <w:bottom w:val="nil"/>
            </w:tcBorders>
            <w:vAlign w:val="center"/>
          </w:tcPr>
          <w:p w:rsidR="00E07519" w:rsidRDefault="00E07519" w:rsidP="007D71D2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34,1</w:t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27</w:t>
            </w:r>
          </w:p>
        </w:tc>
        <w:tc>
          <w:tcPr>
            <w:tcW w:w="770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2,3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541</w: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1847</w:t>
            </w:r>
          </w:p>
        </w:tc>
      </w:tr>
      <w:tr w:rsidR="00E07519" w:rsidTr="00E07519">
        <w:tc>
          <w:tcPr>
            <w:tcW w:w="2798" w:type="dxa"/>
            <w:tcBorders>
              <w:top w:val="nil"/>
            </w:tcBorders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proofErr w:type="spellStart"/>
            <w:r>
              <w:rPr>
                <w:rFonts w:eastAsia="Arial Unicode MS"/>
                <w:sz w:val="28"/>
                <w:szCs w:val="32"/>
              </w:rPr>
              <w:t>Chtouka</w:t>
            </w:r>
            <w:proofErr w:type="spellEnd"/>
            <w:r>
              <w:rPr>
                <w:rFonts w:eastAsia="Arial Unicode MS"/>
                <w:sz w:val="28"/>
                <w:szCs w:val="32"/>
              </w:rPr>
              <w:t xml:space="preserve"> Ait </w:t>
            </w:r>
            <w:proofErr w:type="spellStart"/>
            <w:r>
              <w:rPr>
                <w:rFonts w:eastAsia="Arial Unicode MS"/>
                <w:sz w:val="28"/>
                <w:szCs w:val="32"/>
              </w:rPr>
              <w:t>Baha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114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E07519" w:rsidRDefault="00E07519" w:rsidP="00A052A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7,5</w:t>
            </w:r>
          </w:p>
        </w:tc>
        <w:tc>
          <w:tcPr>
            <w:tcW w:w="918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258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22,0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3714</w:t>
            </w:r>
          </w:p>
        </w:tc>
        <w:tc>
          <w:tcPr>
            <w:tcW w:w="864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13,9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105</w:t>
            </w:r>
          </w:p>
        </w:tc>
      </w:tr>
      <w:tr w:rsidR="00E07519" w:rsidTr="00E07519">
        <w:tc>
          <w:tcPr>
            <w:tcW w:w="2798" w:type="dxa"/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r>
              <w:rPr>
                <w:rFonts w:eastAsia="Arial Unicode MS"/>
                <w:sz w:val="28"/>
                <w:szCs w:val="32"/>
              </w:rPr>
              <w:t>Taroudannt</w:t>
            </w:r>
          </w:p>
        </w:tc>
        <w:tc>
          <w:tcPr>
            <w:tcW w:w="992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249</w:t>
            </w:r>
          </w:p>
        </w:tc>
        <w:tc>
          <w:tcPr>
            <w:tcW w:w="770" w:type="dxa"/>
            <w:vAlign w:val="center"/>
          </w:tcPr>
          <w:p w:rsidR="00E07519" w:rsidRDefault="00E07519" w:rsidP="00A052A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16,5</w:t>
            </w:r>
          </w:p>
        </w:tc>
        <w:tc>
          <w:tcPr>
            <w:tcW w:w="918" w:type="dxa"/>
            <w:vAlign w:val="center"/>
          </w:tcPr>
          <w:p w:rsidR="00E07519" w:rsidRDefault="00E07519" w:rsidP="00A052A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 w:hint="cs"/>
                <w:sz w:val="28"/>
                <w:szCs w:val="28"/>
                <w:rtl/>
              </w:rPr>
              <w:t>59</w:t>
            </w:r>
            <w:r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770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50,4</w:t>
            </w:r>
          </w:p>
        </w:tc>
        <w:tc>
          <w:tcPr>
            <w:tcW w:w="968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839</w:t>
            </w:r>
          </w:p>
        </w:tc>
        <w:tc>
          <w:tcPr>
            <w:tcW w:w="864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31,3</w:t>
            </w:r>
          </w:p>
        </w:tc>
        <w:tc>
          <w:tcPr>
            <w:tcW w:w="1701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51</w:t>
            </w:r>
          </w:p>
        </w:tc>
      </w:tr>
      <w:tr w:rsidR="00E07519" w:rsidTr="00E07519">
        <w:tc>
          <w:tcPr>
            <w:tcW w:w="2798" w:type="dxa"/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r>
              <w:rPr>
                <w:rFonts w:eastAsia="Arial Unicode MS"/>
                <w:sz w:val="28"/>
                <w:szCs w:val="32"/>
              </w:rPr>
              <w:t>Tiznit</w:t>
            </w:r>
          </w:p>
        </w:tc>
        <w:tc>
          <w:tcPr>
            <w:tcW w:w="992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81</w:t>
            </w:r>
          </w:p>
        </w:tc>
        <w:tc>
          <w:tcPr>
            <w:tcW w:w="770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5,4</w:t>
            </w:r>
          </w:p>
        </w:tc>
        <w:tc>
          <w:tcPr>
            <w:tcW w:w="918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126</w:t>
            </w:r>
          </w:p>
        </w:tc>
        <w:tc>
          <w:tcPr>
            <w:tcW w:w="770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10,8</w:t>
            </w:r>
          </w:p>
        </w:tc>
        <w:tc>
          <w:tcPr>
            <w:tcW w:w="968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207</w:t>
            </w:r>
          </w:p>
        </w:tc>
        <w:tc>
          <w:tcPr>
            <w:tcW w:w="864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7,7</w:t>
            </w:r>
          </w:p>
        </w:tc>
        <w:tc>
          <w:tcPr>
            <w:tcW w:w="1701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48</w:t>
            </w:r>
          </w:p>
        </w:tc>
      </w:tr>
      <w:tr w:rsidR="00E07519" w:rsidTr="00E07519">
        <w:tc>
          <w:tcPr>
            <w:tcW w:w="2798" w:type="dxa"/>
          </w:tcPr>
          <w:p w:rsidR="00E07519" w:rsidRDefault="00E07519" w:rsidP="003D3684">
            <w:pPr>
              <w:rPr>
                <w:rFonts w:eastAsia="Arial Unicode MS"/>
                <w:sz w:val="28"/>
                <w:szCs w:val="32"/>
              </w:rPr>
            </w:pPr>
            <w:r>
              <w:rPr>
                <w:rFonts w:eastAsia="Arial Unicode MS"/>
                <w:sz w:val="28"/>
                <w:szCs w:val="32"/>
              </w:rPr>
              <w:t>Tata</w:t>
            </w:r>
          </w:p>
        </w:tc>
        <w:tc>
          <w:tcPr>
            <w:tcW w:w="992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41</w:t>
            </w:r>
          </w:p>
        </w:tc>
        <w:tc>
          <w:tcPr>
            <w:tcW w:w="770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2,7</w:t>
            </w:r>
          </w:p>
        </w:tc>
        <w:tc>
          <w:tcPr>
            <w:tcW w:w="918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77</w:t>
            </w:r>
          </w:p>
        </w:tc>
        <w:tc>
          <w:tcPr>
            <w:tcW w:w="770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6,6</w:t>
            </w:r>
          </w:p>
        </w:tc>
        <w:tc>
          <w:tcPr>
            <w:tcW w:w="968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118</w:t>
            </w:r>
          </w:p>
        </w:tc>
        <w:tc>
          <w:tcPr>
            <w:tcW w:w="864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4,4</w:t>
            </w:r>
          </w:p>
        </w:tc>
        <w:tc>
          <w:tcPr>
            <w:tcW w:w="1701" w:type="dxa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</w:tr>
      <w:tr w:rsidR="00E07519" w:rsidTr="00051F2D">
        <w:tc>
          <w:tcPr>
            <w:tcW w:w="2798" w:type="dxa"/>
            <w:tcBorders>
              <w:top w:val="nil"/>
              <w:bottom w:val="single" w:sz="4" w:space="0" w:color="auto"/>
            </w:tcBorders>
            <w:shd w:val="clear" w:color="auto" w:fill="0DC0FF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32"/>
              </w:rPr>
            </w:pPr>
            <w:r>
              <w:rPr>
                <w:rFonts w:eastAsia="Arial Unicode MS"/>
                <w:b/>
                <w:bCs/>
                <w:sz w:val="28"/>
                <w:szCs w:val="32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7D71D2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1.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506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,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7F0D65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,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005B3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 w:rsidR="00005B36">
              <w:rPr>
                <w:rFonts w:eastAsia="Arial Unicode MS"/>
                <w:b/>
                <w:bCs/>
                <w:sz w:val="28"/>
                <w:szCs w:val="28"/>
              </w:rPr>
              <w:t>.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677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,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0DC0FF"/>
            <w:vAlign w:val="center"/>
          </w:tcPr>
          <w:p w:rsidR="00E07519" w:rsidRDefault="00E07519" w:rsidP="0028621C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50</w:t>
            </w:r>
          </w:p>
        </w:tc>
      </w:tr>
    </w:tbl>
    <w:p w:rsidR="0018177B" w:rsidRDefault="0018177B" w:rsidP="00E07519">
      <w:pPr>
        <w:ind w:left="-142"/>
        <w:jc w:val="both"/>
        <w:rPr>
          <w:rFonts w:eastAsia="Arial Unicode MS"/>
          <w:i/>
          <w:iCs/>
          <w:sz w:val="22"/>
          <w:szCs w:val="22"/>
        </w:rPr>
      </w:pPr>
      <w:r>
        <w:rPr>
          <w:rFonts w:eastAsia="Arial Unicode MS"/>
          <w:b/>
          <w:bCs/>
          <w:sz w:val="32"/>
          <w:szCs w:val="32"/>
        </w:rPr>
        <w:tab/>
      </w:r>
      <w:r>
        <w:rPr>
          <w:rFonts w:eastAsia="Arial Unicode MS"/>
          <w:b/>
          <w:bCs/>
          <w:sz w:val="32"/>
          <w:szCs w:val="32"/>
        </w:rPr>
        <w:tab/>
      </w:r>
      <w:r>
        <w:rPr>
          <w:rFonts w:eastAsia="Arial Unicode MS"/>
          <w:b/>
          <w:bCs/>
          <w:sz w:val="32"/>
          <w:szCs w:val="32"/>
        </w:rPr>
        <w:tab/>
        <w:t xml:space="preserve">                                                              </w:t>
      </w:r>
      <w:r>
        <w:rPr>
          <w:rFonts w:eastAsia="Arial Unicode MS"/>
          <w:i/>
          <w:iCs/>
          <w:sz w:val="22"/>
          <w:szCs w:val="22"/>
        </w:rPr>
        <w:t>Source : RGPH 20</w:t>
      </w:r>
      <w:r w:rsidR="00E07519">
        <w:rPr>
          <w:rFonts w:eastAsia="Arial Unicode MS"/>
          <w:i/>
          <w:iCs/>
          <w:sz w:val="22"/>
          <w:szCs w:val="22"/>
        </w:rPr>
        <w:t>14</w:t>
      </w:r>
    </w:p>
    <w:p w:rsidR="0018177B" w:rsidRPr="00772939" w:rsidRDefault="0018177B" w:rsidP="0018177B">
      <w:pPr>
        <w:ind w:left="-142"/>
        <w:jc w:val="both"/>
        <w:rPr>
          <w:rFonts w:eastAsia="Arial Unicode MS"/>
          <w:b/>
          <w:bCs/>
          <w:color w:val="FF0000"/>
          <w:sz w:val="32"/>
          <w:szCs w:val="32"/>
        </w:rPr>
      </w:pPr>
    </w:p>
    <w:p w:rsidR="0018177B" w:rsidRPr="004C4128" w:rsidRDefault="0018177B" w:rsidP="00F043EF">
      <w:pPr>
        <w:ind w:left="-142" w:firstLine="1276"/>
        <w:jc w:val="both"/>
        <w:rPr>
          <w:rFonts w:eastAsia="Arial Unicode MS"/>
          <w:sz w:val="32"/>
          <w:szCs w:val="32"/>
        </w:rPr>
      </w:pPr>
      <w:r w:rsidRPr="004C4128">
        <w:rPr>
          <w:rFonts w:eastAsia="Arial Unicode MS"/>
          <w:sz w:val="32"/>
          <w:szCs w:val="32"/>
        </w:rPr>
        <w:t xml:space="preserve">La répartition spatiale de la population se caractérise par la concentration de </w:t>
      </w:r>
      <w:r w:rsidR="00D15AE6" w:rsidRPr="004C4128">
        <w:rPr>
          <w:rFonts w:eastAsia="Arial Unicode MS"/>
          <w:sz w:val="32"/>
          <w:szCs w:val="32"/>
        </w:rPr>
        <w:t>prés</w:t>
      </w:r>
      <w:r w:rsidRPr="004C4128">
        <w:rPr>
          <w:rFonts w:eastAsia="Arial Unicode MS"/>
          <w:sz w:val="32"/>
          <w:szCs w:val="32"/>
        </w:rPr>
        <w:t xml:space="preserve"> de </w:t>
      </w:r>
      <w:r w:rsidR="00D15AE6" w:rsidRPr="004C4128">
        <w:rPr>
          <w:rFonts w:eastAsia="Arial Unicode MS"/>
          <w:sz w:val="32"/>
          <w:szCs w:val="32"/>
        </w:rPr>
        <w:t>68</w:t>
      </w:r>
      <w:r w:rsidRPr="004C4128">
        <w:rPr>
          <w:rFonts w:eastAsia="Arial Unicode MS"/>
          <w:sz w:val="32"/>
          <w:szCs w:val="32"/>
        </w:rPr>
        <w:t>% de la population urbaine dans les deux préfectures d’Agadir-Ida</w:t>
      </w:r>
      <w:r w:rsidR="00F043EF">
        <w:rPr>
          <w:rFonts w:eastAsia="Arial Unicode MS"/>
          <w:sz w:val="32"/>
          <w:szCs w:val="32"/>
        </w:rPr>
        <w:t xml:space="preserve"> </w:t>
      </w:r>
      <w:proofErr w:type="spellStart"/>
      <w:r w:rsidRPr="004C4128">
        <w:rPr>
          <w:rFonts w:eastAsia="Arial Unicode MS"/>
          <w:sz w:val="32"/>
          <w:szCs w:val="32"/>
        </w:rPr>
        <w:t>Outanane</w:t>
      </w:r>
      <w:proofErr w:type="spellEnd"/>
      <w:r w:rsidRPr="004C4128">
        <w:rPr>
          <w:rFonts w:eastAsia="Arial Unicode MS"/>
          <w:sz w:val="32"/>
          <w:szCs w:val="32"/>
        </w:rPr>
        <w:t xml:space="preserve"> et </w:t>
      </w:r>
      <w:proofErr w:type="spellStart"/>
      <w:r w:rsidRPr="004C4128">
        <w:rPr>
          <w:rFonts w:eastAsia="Arial Unicode MS"/>
          <w:sz w:val="32"/>
          <w:szCs w:val="32"/>
        </w:rPr>
        <w:t>Inezgane</w:t>
      </w:r>
      <w:proofErr w:type="spellEnd"/>
      <w:r w:rsidR="00555560">
        <w:rPr>
          <w:rFonts w:eastAsia="Arial Unicode MS"/>
          <w:sz w:val="32"/>
          <w:szCs w:val="32"/>
        </w:rPr>
        <w:t>-</w:t>
      </w:r>
      <w:r w:rsidRPr="004C4128">
        <w:rPr>
          <w:rFonts w:eastAsia="Arial Unicode MS"/>
          <w:sz w:val="32"/>
          <w:szCs w:val="32"/>
        </w:rPr>
        <w:t>Ait</w:t>
      </w:r>
      <w:r w:rsidR="00555560">
        <w:rPr>
          <w:rFonts w:eastAsia="Arial Unicode MS"/>
          <w:sz w:val="32"/>
          <w:szCs w:val="32"/>
        </w:rPr>
        <w:t xml:space="preserve"> </w:t>
      </w:r>
      <w:proofErr w:type="spellStart"/>
      <w:r w:rsidRPr="004C4128">
        <w:rPr>
          <w:rFonts w:eastAsia="Arial Unicode MS"/>
          <w:sz w:val="32"/>
          <w:szCs w:val="32"/>
        </w:rPr>
        <w:t>Melloul</w:t>
      </w:r>
      <w:proofErr w:type="spellEnd"/>
      <w:r w:rsidRPr="004C4128">
        <w:rPr>
          <w:rFonts w:eastAsia="Arial Unicode MS"/>
          <w:sz w:val="32"/>
          <w:szCs w:val="32"/>
        </w:rPr>
        <w:t xml:space="preserve">. Ceci s’explique notamment par la dynamique économique et urbaine de ces préfectures. </w:t>
      </w:r>
    </w:p>
    <w:p w:rsidR="0018177B" w:rsidRPr="004C4128" w:rsidRDefault="0018177B" w:rsidP="00597B43">
      <w:pPr>
        <w:ind w:left="-142" w:firstLine="1276"/>
        <w:jc w:val="both"/>
        <w:rPr>
          <w:rFonts w:eastAsia="Arial Unicode MS"/>
          <w:sz w:val="32"/>
          <w:szCs w:val="32"/>
        </w:rPr>
      </w:pPr>
      <w:r w:rsidRPr="004C4128">
        <w:rPr>
          <w:rFonts w:eastAsia="Arial Unicode MS"/>
          <w:sz w:val="32"/>
          <w:szCs w:val="32"/>
        </w:rPr>
        <w:t xml:space="preserve">En revanche, les autres provinces restent marquées par une prédominance du milieu rural, notamment la province de Taroudannt qui abrite à elle seule </w:t>
      </w:r>
      <w:r w:rsidR="00597B43" w:rsidRPr="004C4128">
        <w:rPr>
          <w:rFonts w:eastAsia="Arial Unicode MS"/>
          <w:sz w:val="32"/>
          <w:szCs w:val="32"/>
        </w:rPr>
        <w:t>la moitié (50</w:t>
      </w:r>
      <w:r w:rsidRPr="004C4128">
        <w:rPr>
          <w:rFonts w:eastAsia="Arial Unicode MS"/>
          <w:sz w:val="32"/>
          <w:szCs w:val="32"/>
        </w:rPr>
        <w:t>,</w:t>
      </w:r>
      <w:r w:rsidR="00597B43" w:rsidRPr="004C4128">
        <w:rPr>
          <w:rFonts w:eastAsia="Arial Unicode MS"/>
          <w:sz w:val="32"/>
          <w:szCs w:val="32"/>
        </w:rPr>
        <w:t>4</w:t>
      </w:r>
      <w:r w:rsidRPr="004C4128">
        <w:rPr>
          <w:rFonts w:eastAsia="Arial Unicode MS"/>
          <w:sz w:val="32"/>
          <w:szCs w:val="32"/>
        </w:rPr>
        <w:t>%) de la population rurale régionale.</w:t>
      </w:r>
    </w:p>
    <w:p w:rsidR="0018177B" w:rsidRPr="004C4128" w:rsidRDefault="0018177B" w:rsidP="0018177B">
      <w:pPr>
        <w:ind w:left="-142"/>
        <w:jc w:val="both"/>
        <w:rPr>
          <w:rFonts w:eastAsia="Arial Unicode MS"/>
          <w:sz w:val="32"/>
          <w:szCs w:val="32"/>
        </w:rPr>
      </w:pPr>
    </w:p>
    <w:p w:rsidR="0018177B" w:rsidRPr="004C4128" w:rsidRDefault="0018177B" w:rsidP="00F043EF">
      <w:pPr>
        <w:ind w:left="-142" w:firstLine="1276"/>
        <w:jc w:val="both"/>
        <w:rPr>
          <w:rFonts w:eastAsia="Arial Unicode MS"/>
          <w:sz w:val="32"/>
          <w:szCs w:val="32"/>
        </w:rPr>
      </w:pPr>
      <w:r w:rsidRPr="004C4128">
        <w:rPr>
          <w:rFonts w:eastAsia="Arial Unicode MS"/>
          <w:sz w:val="32"/>
          <w:szCs w:val="32"/>
        </w:rPr>
        <w:t xml:space="preserve">S’agissant de la densité de population, elle s’établit à </w:t>
      </w:r>
      <w:r w:rsidR="004C4128" w:rsidRPr="004C4128">
        <w:rPr>
          <w:rFonts w:eastAsia="Arial Unicode MS"/>
          <w:sz w:val="32"/>
          <w:szCs w:val="32"/>
        </w:rPr>
        <w:t>50</w:t>
      </w:r>
      <w:r w:rsidRPr="004C4128">
        <w:rPr>
          <w:rFonts w:eastAsia="Arial Unicode MS"/>
          <w:sz w:val="32"/>
          <w:szCs w:val="32"/>
        </w:rPr>
        <w:t xml:space="preserve"> habitants au km</w:t>
      </w:r>
      <w:r w:rsidRPr="004C4128">
        <w:rPr>
          <w:rFonts w:eastAsia="Arial Unicode MS"/>
          <w:sz w:val="32"/>
          <w:szCs w:val="32"/>
          <w:vertAlign w:val="superscript"/>
        </w:rPr>
        <w:t>2</w:t>
      </w:r>
      <w:r w:rsidRPr="004C4128">
        <w:rPr>
          <w:rFonts w:eastAsia="Arial Unicode MS"/>
          <w:sz w:val="32"/>
          <w:szCs w:val="32"/>
        </w:rPr>
        <w:t xml:space="preserve">, soit un niveau </w:t>
      </w:r>
      <w:r w:rsidR="004C4128" w:rsidRPr="004C4128">
        <w:rPr>
          <w:rFonts w:eastAsia="Arial Unicode MS"/>
          <w:sz w:val="32"/>
          <w:szCs w:val="32"/>
        </w:rPr>
        <w:t xml:space="preserve">dépassant légèrement </w:t>
      </w:r>
      <w:r w:rsidRPr="004C4128">
        <w:rPr>
          <w:rFonts w:eastAsia="Arial Unicode MS"/>
          <w:sz w:val="32"/>
          <w:szCs w:val="32"/>
        </w:rPr>
        <w:t>la moyenne nationale</w:t>
      </w:r>
      <w:r w:rsidR="00A647BA">
        <w:rPr>
          <w:rFonts w:eastAsia="Arial Unicode MS"/>
          <w:sz w:val="32"/>
          <w:szCs w:val="32"/>
        </w:rPr>
        <w:t xml:space="preserve">  </w:t>
      </w:r>
      <w:r w:rsidRPr="004C4128">
        <w:rPr>
          <w:rFonts w:eastAsia="Arial Unicode MS"/>
          <w:sz w:val="32"/>
          <w:szCs w:val="32"/>
        </w:rPr>
        <w:t xml:space="preserve"> (4</w:t>
      </w:r>
      <w:r w:rsidR="004C4128" w:rsidRPr="004C4128">
        <w:rPr>
          <w:rFonts w:eastAsia="Arial Unicode MS"/>
          <w:sz w:val="32"/>
          <w:szCs w:val="32"/>
        </w:rPr>
        <w:t>7</w:t>
      </w:r>
      <w:r w:rsidRPr="004C4128">
        <w:rPr>
          <w:rFonts w:eastAsia="Arial Unicode MS"/>
          <w:sz w:val="32"/>
          <w:szCs w:val="32"/>
        </w:rPr>
        <w:t xml:space="preserve"> habitants au km</w:t>
      </w:r>
      <w:r w:rsidRPr="004C4128">
        <w:rPr>
          <w:rFonts w:eastAsia="Arial Unicode MS"/>
          <w:sz w:val="32"/>
          <w:szCs w:val="32"/>
          <w:vertAlign w:val="superscript"/>
        </w:rPr>
        <w:t>2</w:t>
      </w:r>
      <w:r w:rsidRPr="004C4128">
        <w:rPr>
          <w:rFonts w:eastAsia="Arial Unicode MS"/>
          <w:sz w:val="32"/>
          <w:szCs w:val="32"/>
        </w:rPr>
        <w:t>). Cet indicateur connaît toutefois de grandes variations selon les provinces et préfectures. En effet la préfecture d'</w:t>
      </w:r>
      <w:proofErr w:type="spellStart"/>
      <w:r w:rsidRPr="004C4128">
        <w:rPr>
          <w:rFonts w:eastAsia="Arial Unicode MS"/>
          <w:sz w:val="32"/>
          <w:szCs w:val="32"/>
        </w:rPr>
        <w:t>Inezgane</w:t>
      </w:r>
      <w:proofErr w:type="spellEnd"/>
      <w:r w:rsidR="00555560">
        <w:rPr>
          <w:rFonts w:eastAsia="Arial Unicode MS"/>
          <w:sz w:val="32"/>
          <w:szCs w:val="32"/>
        </w:rPr>
        <w:t xml:space="preserve"> -</w:t>
      </w:r>
      <w:r w:rsidRPr="004C4128">
        <w:rPr>
          <w:rFonts w:eastAsia="Arial Unicode MS"/>
          <w:sz w:val="32"/>
          <w:szCs w:val="32"/>
        </w:rPr>
        <w:t xml:space="preserve"> Ait </w:t>
      </w:r>
      <w:proofErr w:type="spellStart"/>
      <w:r w:rsidRPr="004C4128">
        <w:rPr>
          <w:rFonts w:eastAsia="Arial Unicode MS"/>
          <w:sz w:val="32"/>
          <w:szCs w:val="32"/>
        </w:rPr>
        <w:t>Melloul</w:t>
      </w:r>
      <w:proofErr w:type="spellEnd"/>
      <w:r w:rsidRPr="004C4128">
        <w:rPr>
          <w:rFonts w:eastAsia="Arial Unicode MS"/>
          <w:sz w:val="32"/>
          <w:szCs w:val="32"/>
        </w:rPr>
        <w:t xml:space="preserve"> supporte une </w:t>
      </w:r>
      <w:r w:rsidR="00F043EF">
        <w:rPr>
          <w:rFonts w:eastAsia="Arial Unicode MS"/>
          <w:sz w:val="32"/>
          <w:szCs w:val="32"/>
        </w:rPr>
        <w:t>importante</w:t>
      </w:r>
      <w:r w:rsidRPr="004C4128">
        <w:rPr>
          <w:rFonts w:eastAsia="Arial Unicode MS"/>
          <w:sz w:val="32"/>
          <w:szCs w:val="32"/>
        </w:rPr>
        <w:t xml:space="preserve"> population, soit </w:t>
      </w:r>
      <w:r w:rsidR="004C4128" w:rsidRPr="004C4128">
        <w:rPr>
          <w:rFonts w:eastAsia="Arial Unicode MS"/>
          <w:sz w:val="32"/>
          <w:szCs w:val="32"/>
        </w:rPr>
        <w:t>1847</w:t>
      </w:r>
      <w:r w:rsidRPr="004C4128">
        <w:rPr>
          <w:rFonts w:eastAsia="Arial Unicode MS"/>
          <w:sz w:val="32"/>
          <w:szCs w:val="32"/>
        </w:rPr>
        <w:t xml:space="preserve"> personnes par km</w:t>
      </w:r>
      <w:r w:rsidRPr="004C4128">
        <w:rPr>
          <w:rFonts w:eastAsia="Arial Unicode MS"/>
          <w:sz w:val="32"/>
          <w:szCs w:val="32"/>
          <w:vertAlign w:val="superscript"/>
        </w:rPr>
        <w:t>2</w:t>
      </w:r>
      <w:r w:rsidRPr="004C4128">
        <w:rPr>
          <w:rFonts w:eastAsia="Arial Unicode MS"/>
          <w:sz w:val="32"/>
          <w:szCs w:val="32"/>
        </w:rPr>
        <w:t xml:space="preserve">. Dans les autres provinces l'intensité de l'occupation de l'espace reste moins forte, elle </w:t>
      </w:r>
      <w:proofErr w:type="gramStart"/>
      <w:r w:rsidRPr="004C4128">
        <w:rPr>
          <w:rFonts w:eastAsia="Arial Unicode MS"/>
          <w:sz w:val="32"/>
          <w:szCs w:val="32"/>
        </w:rPr>
        <w:t>atteint</w:t>
      </w:r>
      <w:proofErr w:type="gramEnd"/>
      <w:r w:rsidRPr="004C4128">
        <w:rPr>
          <w:rFonts w:eastAsia="Arial Unicode MS"/>
          <w:sz w:val="32"/>
          <w:szCs w:val="32"/>
        </w:rPr>
        <w:t xml:space="preserve"> son minimum dans la province de </w:t>
      </w:r>
      <w:r w:rsidR="004C4128" w:rsidRPr="004C4128">
        <w:rPr>
          <w:rFonts w:eastAsia="Arial Unicode MS"/>
          <w:sz w:val="32"/>
          <w:szCs w:val="32"/>
        </w:rPr>
        <w:t>Tata</w:t>
      </w:r>
      <w:r w:rsidRPr="004C4128">
        <w:rPr>
          <w:rFonts w:eastAsia="Arial Unicode MS"/>
          <w:sz w:val="32"/>
          <w:szCs w:val="32"/>
        </w:rPr>
        <w:t xml:space="preserve"> (</w:t>
      </w:r>
      <w:r w:rsidR="004C4128" w:rsidRPr="004C4128">
        <w:rPr>
          <w:rFonts w:eastAsia="Arial Unicode MS"/>
          <w:sz w:val="32"/>
          <w:szCs w:val="32"/>
        </w:rPr>
        <w:t>5</w:t>
      </w:r>
      <w:r w:rsidRPr="004C4128">
        <w:rPr>
          <w:rFonts w:eastAsia="Arial Unicode MS"/>
          <w:sz w:val="32"/>
          <w:szCs w:val="32"/>
        </w:rPr>
        <w:t xml:space="preserve"> habitants au km</w:t>
      </w:r>
      <w:r w:rsidRPr="004C4128">
        <w:rPr>
          <w:rFonts w:eastAsia="Arial Unicode MS"/>
          <w:sz w:val="32"/>
          <w:szCs w:val="32"/>
          <w:vertAlign w:val="superscript"/>
        </w:rPr>
        <w:t>2)</w:t>
      </w:r>
      <w:r w:rsidRPr="004C4128">
        <w:rPr>
          <w:rFonts w:eastAsia="Arial Unicode MS"/>
          <w:sz w:val="32"/>
          <w:szCs w:val="32"/>
        </w:rPr>
        <w:t>.</w:t>
      </w:r>
      <w:r w:rsidR="004C4128">
        <w:rPr>
          <w:rFonts w:eastAsia="Arial Unicode MS"/>
          <w:sz w:val="32"/>
          <w:szCs w:val="32"/>
        </w:rPr>
        <w:t xml:space="preserve"> Il</w:t>
      </w:r>
      <w:r w:rsidR="009A6436">
        <w:rPr>
          <w:rFonts w:eastAsia="Arial Unicode MS"/>
          <w:sz w:val="32"/>
          <w:szCs w:val="32"/>
        </w:rPr>
        <w:t xml:space="preserve"> </w:t>
      </w:r>
      <w:r w:rsidR="004C4128">
        <w:rPr>
          <w:rFonts w:eastAsia="Arial Unicode MS"/>
          <w:sz w:val="32"/>
          <w:szCs w:val="32"/>
        </w:rPr>
        <w:t>y’a</w:t>
      </w:r>
      <w:r w:rsidR="009A6436">
        <w:rPr>
          <w:rFonts w:eastAsia="Arial Unicode MS"/>
          <w:sz w:val="32"/>
          <w:szCs w:val="32"/>
        </w:rPr>
        <w:t xml:space="preserve"> lieu de noter </w:t>
      </w:r>
      <w:r w:rsidR="00DA0793">
        <w:rPr>
          <w:rFonts w:eastAsia="Arial Unicode MS"/>
          <w:sz w:val="32"/>
          <w:szCs w:val="32"/>
        </w:rPr>
        <w:t>également</w:t>
      </w:r>
      <w:r w:rsidR="009A6436">
        <w:rPr>
          <w:rFonts w:eastAsia="Arial Unicode MS"/>
          <w:sz w:val="32"/>
          <w:szCs w:val="32"/>
        </w:rPr>
        <w:t xml:space="preserve"> que </w:t>
      </w:r>
      <w:r w:rsidR="004C4128">
        <w:rPr>
          <w:rFonts w:eastAsia="Arial Unicode MS"/>
          <w:sz w:val="32"/>
          <w:szCs w:val="32"/>
        </w:rPr>
        <w:t xml:space="preserve"> l’espace </w:t>
      </w:r>
      <w:r w:rsidR="004C4128" w:rsidRPr="00F043EF">
        <w:rPr>
          <w:rFonts w:eastAsia="Arial Unicode MS"/>
          <w:sz w:val="32"/>
          <w:szCs w:val="32"/>
        </w:rPr>
        <w:t>urbain</w:t>
      </w:r>
      <w:r w:rsidR="004C4128">
        <w:rPr>
          <w:rFonts w:eastAsia="Arial Unicode MS"/>
          <w:sz w:val="32"/>
          <w:szCs w:val="32"/>
        </w:rPr>
        <w:t xml:space="preserve"> de la </w:t>
      </w:r>
      <w:r w:rsidR="009A6436">
        <w:rPr>
          <w:rFonts w:eastAsia="Arial Unicode MS"/>
          <w:sz w:val="32"/>
          <w:szCs w:val="32"/>
        </w:rPr>
        <w:t>préfecture</w:t>
      </w:r>
      <w:r w:rsidR="004C4128">
        <w:rPr>
          <w:rFonts w:eastAsia="Arial Unicode MS"/>
          <w:sz w:val="32"/>
          <w:szCs w:val="32"/>
        </w:rPr>
        <w:t xml:space="preserve"> d’Agadir-</w:t>
      </w:r>
      <w:proofErr w:type="spellStart"/>
      <w:r w:rsidR="004C4128">
        <w:rPr>
          <w:rFonts w:eastAsia="Arial Unicode MS"/>
          <w:sz w:val="32"/>
          <w:szCs w:val="32"/>
        </w:rPr>
        <w:t>Idaoutanane</w:t>
      </w:r>
      <w:proofErr w:type="spellEnd"/>
      <w:r w:rsidR="004C4128">
        <w:rPr>
          <w:rFonts w:eastAsia="Arial Unicode MS"/>
          <w:sz w:val="32"/>
          <w:szCs w:val="32"/>
        </w:rPr>
        <w:t xml:space="preserve"> qui s’</w:t>
      </w:r>
      <w:r w:rsidR="009A6436">
        <w:rPr>
          <w:rFonts w:eastAsia="Arial Unicode MS"/>
          <w:sz w:val="32"/>
          <w:szCs w:val="32"/>
        </w:rPr>
        <w:t>étend</w:t>
      </w:r>
      <w:r w:rsidR="004C4128">
        <w:rPr>
          <w:rFonts w:eastAsia="Arial Unicode MS"/>
          <w:sz w:val="32"/>
          <w:szCs w:val="32"/>
        </w:rPr>
        <w:t xml:space="preserve"> sur </w:t>
      </w:r>
      <w:r w:rsidR="009A6436">
        <w:rPr>
          <w:rFonts w:eastAsia="Arial Unicode MS"/>
          <w:sz w:val="32"/>
          <w:szCs w:val="32"/>
        </w:rPr>
        <w:t xml:space="preserve">124 </w:t>
      </w:r>
      <w:r w:rsidR="009A6436" w:rsidRPr="004C4128">
        <w:rPr>
          <w:rFonts w:eastAsia="Arial Unicode MS"/>
          <w:sz w:val="32"/>
          <w:szCs w:val="32"/>
        </w:rPr>
        <w:t>km</w:t>
      </w:r>
      <w:r w:rsidR="009A6436" w:rsidRPr="004C4128">
        <w:rPr>
          <w:rFonts w:eastAsia="Arial Unicode MS"/>
          <w:sz w:val="32"/>
          <w:szCs w:val="32"/>
          <w:vertAlign w:val="superscript"/>
        </w:rPr>
        <w:t>2</w:t>
      </w:r>
      <w:r w:rsidR="00DA0793" w:rsidRPr="00DA0793">
        <w:rPr>
          <w:rFonts w:eastAsia="Arial Unicode MS"/>
          <w:sz w:val="32"/>
          <w:szCs w:val="32"/>
        </w:rPr>
        <w:t>,</w:t>
      </w:r>
      <w:r w:rsidR="00DA0793">
        <w:rPr>
          <w:rFonts w:eastAsia="Arial Unicode MS"/>
          <w:sz w:val="32"/>
          <w:szCs w:val="32"/>
        </w:rPr>
        <w:t xml:space="preserve"> </w:t>
      </w:r>
      <w:r w:rsidR="00DA0793" w:rsidRPr="00DA0793">
        <w:rPr>
          <w:rFonts w:eastAsia="Arial Unicode MS"/>
          <w:sz w:val="32"/>
          <w:szCs w:val="32"/>
        </w:rPr>
        <w:t>enregistre</w:t>
      </w:r>
      <w:r w:rsidR="00DA0793">
        <w:rPr>
          <w:rFonts w:eastAsia="Arial Unicode MS"/>
          <w:sz w:val="32"/>
          <w:szCs w:val="32"/>
        </w:rPr>
        <w:t xml:space="preserve"> une très forte densité de population évaluée à 4250 </w:t>
      </w:r>
      <w:r w:rsidR="00DA0793" w:rsidRPr="004C4128">
        <w:rPr>
          <w:rFonts w:eastAsia="Arial Unicode MS"/>
          <w:sz w:val="32"/>
          <w:szCs w:val="32"/>
        </w:rPr>
        <w:t>habitants au km</w:t>
      </w:r>
      <w:r w:rsidR="00DA0793" w:rsidRPr="004C4128">
        <w:rPr>
          <w:rFonts w:eastAsia="Arial Unicode MS"/>
          <w:sz w:val="32"/>
          <w:szCs w:val="32"/>
          <w:vertAlign w:val="superscript"/>
        </w:rPr>
        <w:t>2</w:t>
      </w:r>
      <w:r w:rsidR="00DA0793" w:rsidRPr="00DA0793">
        <w:rPr>
          <w:rFonts w:eastAsia="Arial Unicode MS"/>
          <w:sz w:val="32"/>
          <w:szCs w:val="32"/>
        </w:rPr>
        <w:t>.</w:t>
      </w:r>
    </w:p>
    <w:p w:rsidR="0018177B" w:rsidRPr="00772939" w:rsidRDefault="0018177B" w:rsidP="0018177B">
      <w:pPr>
        <w:ind w:left="-142"/>
        <w:jc w:val="both"/>
        <w:rPr>
          <w:rFonts w:eastAsia="Arial Unicode MS"/>
          <w:color w:val="FF0000"/>
          <w:sz w:val="32"/>
          <w:szCs w:val="32"/>
        </w:rPr>
      </w:pPr>
    </w:p>
    <w:p w:rsidR="0028621C" w:rsidRDefault="0018177B" w:rsidP="00D13F21">
      <w:pPr>
        <w:pStyle w:val="Retraitcorpsdetexte"/>
        <w:ind w:left="-142" w:firstLine="862"/>
        <w:jc w:val="both"/>
        <w:rPr>
          <w:rFonts w:ascii="Apple Chancery" w:hAnsi="Apple Chancery"/>
          <w:i/>
          <w:iCs/>
          <w:sz w:val="48"/>
          <w:szCs w:val="48"/>
        </w:rPr>
      </w:pPr>
      <w:r w:rsidRPr="00DA0793">
        <w:rPr>
          <w:sz w:val="32"/>
          <w:szCs w:val="32"/>
        </w:rPr>
        <w:t xml:space="preserve">Le poids démographique de la région par rapport au niveau national est évalué à </w:t>
      </w:r>
      <w:r w:rsidR="00DA0793" w:rsidRPr="00DA0793">
        <w:rPr>
          <w:sz w:val="32"/>
          <w:szCs w:val="32"/>
        </w:rPr>
        <w:t>7,9</w:t>
      </w:r>
      <w:r w:rsidRPr="00DA0793">
        <w:rPr>
          <w:sz w:val="32"/>
          <w:szCs w:val="32"/>
        </w:rPr>
        <w:t>%, il est de 7,</w:t>
      </w:r>
      <w:r w:rsidR="00DA0793" w:rsidRPr="00DA0793">
        <w:rPr>
          <w:sz w:val="32"/>
          <w:szCs w:val="32"/>
        </w:rPr>
        <w:t>4</w:t>
      </w:r>
      <w:r w:rsidRPr="00DA0793">
        <w:rPr>
          <w:sz w:val="32"/>
          <w:szCs w:val="32"/>
        </w:rPr>
        <w:t xml:space="preserve">% par rapport à l'urbain et </w:t>
      </w:r>
      <w:r w:rsidR="00DA0793" w:rsidRPr="00DA0793">
        <w:rPr>
          <w:sz w:val="32"/>
          <w:szCs w:val="32"/>
        </w:rPr>
        <w:t>8</w:t>
      </w:r>
      <w:r w:rsidRPr="00DA0793">
        <w:rPr>
          <w:sz w:val="32"/>
          <w:szCs w:val="32"/>
        </w:rPr>
        <w:t>,7% par rapport au rural</w:t>
      </w:r>
      <w:r w:rsidRPr="00772939">
        <w:rPr>
          <w:color w:val="FF0000"/>
          <w:sz w:val="32"/>
          <w:szCs w:val="32"/>
        </w:rPr>
        <w:t>.</w:t>
      </w:r>
    </w:p>
    <w:sectPr w:rsidR="0028621C" w:rsidSect="001E7B64">
      <w:headerReference w:type="default" r:id="rId7"/>
      <w:footerReference w:type="even" r:id="rId8"/>
      <w:footerReference w:type="default" r:id="rId9"/>
      <w:endnotePr>
        <w:numFmt w:val="lowerLetter"/>
      </w:endnotePr>
      <w:pgSz w:w="11907" w:h="16840" w:code="9"/>
      <w:pgMar w:top="1134" w:right="1191" w:bottom="1134" w:left="1474" w:header="737" w:footer="1418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73" w:rsidRDefault="00214C73">
      <w:r>
        <w:separator/>
      </w:r>
    </w:p>
  </w:endnote>
  <w:endnote w:type="continuationSeparator" w:id="0">
    <w:p w:rsidR="00214C73" w:rsidRDefault="0021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93" w:rsidRDefault="00634F89" w:rsidP="00714AFE">
    <w:pPr>
      <w:pStyle w:val="Pieddepag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 w:rsidR="00DA0793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DA0793" w:rsidRDefault="00DA0793">
    <w:pPr>
      <w:pStyle w:val="Pieddepage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93" w:rsidRDefault="00634F89" w:rsidP="001A1C3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DA0793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9A25D0">
      <w:rPr>
        <w:rStyle w:val="Numrodepage"/>
        <w:rtl/>
      </w:rPr>
      <w:t>4</w:t>
    </w:r>
    <w:r>
      <w:rPr>
        <w:rStyle w:val="Numrodepage"/>
        <w:rtl/>
      </w:rPr>
      <w:fldChar w:fldCharType="end"/>
    </w:r>
  </w:p>
  <w:p w:rsidR="00DA0793" w:rsidRDefault="00DA0793">
    <w:pPr>
      <w:pStyle w:val="Pieddepage"/>
      <w:framePr w:wrap="around" w:vAnchor="text" w:hAnchor="page" w:x="6022" w:y="56"/>
      <w:rPr>
        <w:rStyle w:val="Numrodepage"/>
        <w:rtl/>
      </w:rPr>
    </w:pPr>
  </w:p>
  <w:p w:rsidR="00DA0793" w:rsidRDefault="00DA0793" w:rsidP="0028621C">
    <w:pPr>
      <w:pStyle w:val="Pieddepage"/>
      <w:bidi w:val="0"/>
      <w:rPr>
        <w:i/>
        <w:iCs/>
        <w:lang w:val="fr-FR"/>
      </w:rPr>
    </w:pPr>
  </w:p>
  <w:p w:rsidR="00DA0793" w:rsidRDefault="00DA0793" w:rsidP="0028621C">
    <w:pPr>
      <w:pStyle w:val="Pieddepage"/>
      <w:framePr w:w="1956" w:h="878" w:hRule="exact" w:wrap="auto" w:vAnchor="text" w:hAnchor="page" w:x="5302"/>
      <w:bidi w:val="0"/>
      <w:rPr>
        <w:rFonts w:ascii="Apple Chancery" w:hAnsi="Apple Chancery"/>
        <w:sz w:val="24"/>
        <w:szCs w:val="24"/>
        <w:lang w:val="fr-FR"/>
      </w:rPr>
    </w:pPr>
  </w:p>
  <w:p w:rsidR="00DA0793" w:rsidRPr="00251959" w:rsidRDefault="00DA0793" w:rsidP="0028621C">
    <w:pPr>
      <w:pStyle w:val="Pieddepage"/>
      <w:bidi w:val="0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73" w:rsidRDefault="00214C73">
      <w:r>
        <w:separator/>
      </w:r>
    </w:p>
  </w:footnote>
  <w:footnote w:type="continuationSeparator" w:id="0">
    <w:p w:rsidR="00214C73" w:rsidRDefault="0021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93" w:rsidRPr="00051F2D" w:rsidRDefault="00DA0793" w:rsidP="00051F2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10"/>
      </v:shape>
    </w:pict>
  </w:numPicBullet>
  <w:abstractNum w:abstractNumId="0">
    <w:nsid w:val="008063AC"/>
    <w:multiLevelType w:val="hybridMultilevel"/>
    <w:tmpl w:val="0B2CEFE6"/>
    <w:lvl w:ilvl="0" w:tplc="6CFA3ED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1B1C75"/>
    <w:multiLevelType w:val="multilevel"/>
    <w:tmpl w:val="EFCAA0C8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6D42090"/>
    <w:multiLevelType w:val="multilevel"/>
    <w:tmpl w:val="B48607BE"/>
    <w:lvl w:ilvl="0">
      <w:start w:val="5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1E37F5"/>
    <w:multiLevelType w:val="hybridMultilevel"/>
    <w:tmpl w:val="F2AE8406"/>
    <w:lvl w:ilvl="0" w:tplc="D1D4447A">
      <w:start w:val="1"/>
      <w:numFmt w:val="bullet"/>
      <w:lvlText w:val="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333399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0C386908"/>
    <w:multiLevelType w:val="hybridMultilevel"/>
    <w:tmpl w:val="80886DA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DD83366">
      <w:numFmt w:val="bullet"/>
      <w:lvlText w:val=""/>
      <w:lvlJc w:val="left"/>
      <w:pPr>
        <w:tabs>
          <w:tab w:val="num" w:pos="2565"/>
        </w:tabs>
        <w:ind w:left="2565" w:hanging="1125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64961"/>
    <w:multiLevelType w:val="hybridMultilevel"/>
    <w:tmpl w:val="9DE279E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26D14"/>
    <w:multiLevelType w:val="hybridMultilevel"/>
    <w:tmpl w:val="A042B118"/>
    <w:lvl w:ilvl="0" w:tplc="411096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B460A97"/>
    <w:multiLevelType w:val="hybridMultilevel"/>
    <w:tmpl w:val="CB0049C2"/>
    <w:lvl w:ilvl="0" w:tplc="A060F4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227E2"/>
    <w:multiLevelType w:val="hybridMultilevel"/>
    <w:tmpl w:val="D2C44934"/>
    <w:lvl w:ilvl="0" w:tplc="9AFAE79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1F16A7"/>
    <w:multiLevelType w:val="hybridMultilevel"/>
    <w:tmpl w:val="AED847FE"/>
    <w:lvl w:ilvl="0" w:tplc="B0C4EF08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435009"/>
    <w:multiLevelType w:val="hybridMultilevel"/>
    <w:tmpl w:val="84121A5C"/>
    <w:lvl w:ilvl="0" w:tplc="6772F4BE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940B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931FF5"/>
    <w:multiLevelType w:val="hybridMultilevel"/>
    <w:tmpl w:val="279AC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42798"/>
    <w:multiLevelType w:val="hybridMultilevel"/>
    <w:tmpl w:val="44BC6E6A"/>
    <w:lvl w:ilvl="0" w:tplc="718C98E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235D7D"/>
    <w:multiLevelType w:val="hybridMultilevel"/>
    <w:tmpl w:val="B2CEF960"/>
    <w:lvl w:ilvl="0" w:tplc="6C428CDE">
      <w:start w:val="1"/>
      <w:numFmt w:val="bullet"/>
      <w:lvlText w:val="-"/>
      <w:lvlJc w:val="left"/>
      <w:pPr>
        <w:tabs>
          <w:tab w:val="num" w:pos="1545"/>
        </w:tabs>
        <w:ind w:left="1545" w:hanging="84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E9F4158"/>
    <w:multiLevelType w:val="multilevel"/>
    <w:tmpl w:val="106A04FC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342"/>
        </w:tabs>
        <w:ind w:left="1342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919"/>
        </w:tabs>
        <w:ind w:left="1919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3748"/>
        </w:tabs>
        <w:ind w:left="374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5262"/>
        </w:tabs>
        <w:ind w:left="526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6776"/>
        </w:tabs>
        <w:ind w:left="6776" w:hanging="2160"/>
      </w:pPr>
      <w:rPr>
        <w:rFonts w:hint="default"/>
      </w:rPr>
    </w:lvl>
  </w:abstractNum>
  <w:abstractNum w:abstractNumId="15">
    <w:nsid w:val="33A56D22"/>
    <w:multiLevelType w:val="hybridMultilevel"/>
    <w:tmpl w:val="0F90526C"/>
    <w:lvl w:ilvl="0" w:tplc="6C428CDE">
      <w:start w:val="1"/>
      <w:numFmt w:val="bullet"/>
      <w:lvlText w:val="-"/>
      <w:lvlJc w:val="left"/>
      <w:pPr>
        <w:tabs>
          <w:tab w:val="num" w:pos="1545"/>
        </w:tabs>
        <w:ind w:left="1545" w:hanging="84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2412D1"/>
    <w:multiLevelType w:val="hybridMultilevel"/>
    <w:tmpl w:val="17AEE56C"/>
    <w:lvl w:ilvl="0" w:tplc="12E899C8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3BF319EE"/>
    <w:multiLevelType w:val="hybridMultilevel"/>
    <w:tmpl w:val="D08AE420"/>
    <w:lvl w:ilvl="0" w:tplc="0BF63FB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>
    <w:nsid w:val="3D743DAD"/>
    <w:multiLevelType w:val="multilevel"/>
    <w:tmpl w:val="9A3C587C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9">
    <w:nsid w:val="3E08021C"/>
    <w:multiLevelType w:val="hybridMultilevel"/>
    <w:tmpl w:val="FE8A7AA8"/>
    <w:lvl w:ilvl="0" w:tplc="A68849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36482D"/>
    <w:multiLevelType w:val="hybridMultilevel"/>
    <w:tmpl w:val="E58830DE"/>
    <w:lvl w:ilvl="0" w:tplc="52C84AC6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55060A7"/>
    <w:multiLevelType w:val="hybridMultilevel"/>
    <w:tmpl w:val="B4967A94"/>
    <w:lvl w:ilvl="0" w:tplc="647E91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31607F"/>
    <w:multiLevelType w:val="hybridMultilevel"/>
    <w:tmpl w:val="191E05D0"/>
    <w:lvl w:ilvl="0" w:tplc="43B616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341D8C"/>
    <w:multiLevelType w:val="hybridMultilevel"/>
    <w:tmpl w:val="6E1CC128"/>
    <w:lvl w:ilvl="0" w:tplc="7B2601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BE7D8E"/>
    <w:multiLevelType w:val="hybridMultilevel"/>
    <w:tmpl w:val="C62E89FC"/>
    <w:lvl w:ilvl="0" w:tplc="FFC60366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4E6E0C2C"/>
    <w:multiLevelType w:val="hybridMultilevel"/>
    <w:tmpl w:val="61A2E39E"/>
    <w:lvl w:ilvl="0" w:tplc="84E00104">
      <w:start w:val="1"/>
      <w:numFmt w:val="bullet"/>
      <w:lvlText w:val=""/>
      <w:lvlJc w:val="left"/>
      <w:pPr>
        <w:tabs>
          <w:tab w:val="num" w:pos="1110"/>
        </w:tabs>
        <w:ind w:left="75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9900DE"/>
    <w:multiLevelType w:val="hybridMultilevel"/>
    <w:tmpl w:val="A3AA5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E53AD6"/>
    <w:multiLevelType w:val="hybridMultilevel"/>
    <w:tmpl w:val="139234BE"/>
    <w:lvl w:ilvl="0" w:tplc="75C810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F3621D"/>
    <w:multiLevelType w:val="multilevel"/>
    <w:tmpl w:val="8AD0E3E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9">
    <w:nsid w:val="58587E4C"/>
    <w:multiLevelType w:val="hybridMultilevel"/>
    <w:tmpl w:val="15E2F0A0"/>
    <w:lvl w:ilvl="0" w:tplc="6E9CE73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2123A"/>
    <w:multiLevelType w:val="hybridMultilevel"/>
    <w:tmpl w:val="D2D0EDD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2C4291"/>
    <w:multiLevelType w:val="hybridMultilevel"/>
    <w:tmpl w:val="C3BC897A"/>
    <w:lvl w:ilvl="0" w:tplc="49E2F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F51F4"/>
    <w:multiLevelType w:val="hybridMultilevel"/>
    <w:tmpl w:val="A01CD37A"/>
    <w:lvl w:ilvl="0" w:tplc="1C8C7D2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4816E5"/>
    <w:multiLevelType w:val="hybridMultilevel"/>
    <w:tmpl w:val="D2D0EDD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4C7B40"/>
    <w:multiLevelType w:val="hybridMultilevel"/>
    <w:tmpl w:val="3BFCB0C0"/>
    <w:lvl w:ilvl="0" w:tplc="993C1398">
      <w:start w:val="1"/>
      <w:numFmt w:val="bullet"/>
      <w:lvlText w:val="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79F11C6"/>
    <w:multiLevelType w:val="hybridMultilevel"/>
    <w:tmpl w:val="345CF968"/>
    <w:lvl w:ilvl="0" w:tplc="040C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6">
    <w:nsid w:val="6A0A5D27"/>
    <w:multiLevelType w:val="hybridMultilevel"/>
    <w:tmpl w:val="C322A204"/>
    <w:lvl w:ilvl="0" w:tplc="8BF00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C45695B"/>
    <w:multiLevelType w:val="hybridMultilevel"/>
    <w:tmpl w:val="4040657E"/>
    <w:lvl w:ilvl="0" w:tplc="84E00104">
      <w:start w:val="1"/>
      <w:numFmt w:val="bullet"/>
      <w:lvlText w:val=""/>
      <w:lvlJc w:val="left"/>
      <w:pPr>
        <w:tabs>
          <w:tab w:val="num" w:pos="1110"/>
        </w:tabs>
        <w:ind w:left="75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707097"/>
    <w:multiLevelType w:val="hybridMultilevel"/>
    <w:tmpl w:val="B008D88E"/>
    <w:lvl w:ilvl="0" w:tplc="6C30F982">
      <w:start w:val="1"/>
      <w:numFmt w:val="decimal"/>
      <w:lvlText w:val="(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9">
    <w:nsid w:val="751F0121"/>
    <w:multiLevelType w:val="hybridMultilevel"/>
    <w:tmpl w:val="C868D4B6"/>
    <w:lvl w:ilvl="0" w:tplc="FC82D04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761E9F"/>
    <w:multiLevelType w:val="hybridMultilevel"/>
    <w:tmpl w:val="D2D0EDD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3628B8"/>
    <w:multiLevelType w:val="hybridMultilevel"/>
    <w:tmpl w:val="AB6E1798"/>
    <w:lvl w:ilvl="0" w:tplc="1EC6D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1"/>
  </w:num>
  <w:num w:numId="5">
    <w:abstractNumId w:val="27"/>
  </w:num>
  <w:num w:numId="6">
    <w:abstractNumId w:val="19"/>
  </w:num>
  <w:num w:numId="7">
    <w:abstractNumId w:val="14"/>
  </w:num>
  <w:num w:numId="8">
    <w:abstractNumId w:val="16"/>
  </w:num>
  <w:num w:numId="9">
    <w:abstractNumId w:val="29"/>
  </w:num>
  <w:num w:numId="10">
    <w:abstractNumId w:val="12"/>
  </w:num>
  <w:num w:numId="11">
    <w:abstractNumId w:val="36"/>
  </w:num>
  <w:num w:numId="12">
    <w:abstractNumId w:val="38"/>
  </w:num>
  <w:num w:numId="13">
    <w:abstractNumId w:val="28"/>
  </w:num>
  <w:num w:numId="14">
    <w:abstractNumId w:val="10"/>
  </w:num>
  <w:num w:numId="15">
    <w:abstractNumId w:val="18"/>
  </w:num>
  <w:num w:numId="16">
    <w:abstractNumId w:val="39"/>
  </w:num>
  <w:num w:numId="17">
    <w:abstractNumId w:val="2"/>
  </w:num>
  <w:num w:numId="18">
    <w:abstractNumId w:val="22"/>
  </w:num>
  <w:num w:numId="19">
    <w:abstractNumId w:val="9"/>
  </w:num>
  <w:num w:numId="20">
    <w:abstractNumId w:val="8"/>
  </w:num>
  <w:num w:numId="21">
    <w:abstractNumId w:val="32"/>
  </w:num>
  <w:num w:numId="22">
    <w:abstractNumId w:val="23"/>
  </w:num>
  <w:num w:numId="23">
    <w:abstractNumId w:val="20"/>
  </w:num>
  <w:num w:numId="24">
    <w:abstractNumId w:val="13"/>
  </w:num>
  <w:num w:numId="25">
    <w:abstractNumId w:val="15"/>
  </w:num>
  <w:num w:numId="26">
    <w:abstractNumId w:val="31"/>
  </w:num>
  <w:num w:numId="27">
    <w:abstractNumId w:val="17"/>
  </w:num>
  <w:num w:numId="28">
    <w:abstractNumId w:val="34"/>
  </w:num>
  <w:num w:numId="29">
    <w:abstractNumId w:val="21"/>
  </w:num>
  <w:num w:numId="30">
    <w:abstractNumId w:val="25"/>
  </w:num>
  <w:num w:numId="31">
    <w:abstractNumId w:val="37"/>
  </w:num>
  <w:num w:numId="32">
    <w:abstractNumId w:val="35"/>
  </w:num>
  <w:num w:numId="33">
    <w:abstractNumId w:val="1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0"/>
  </w:num>
  <w:num w:numId="38">
    <w:abstractNumId w:val="40"/>
  </w:num>
  <w:num w:numId="39">
    <w:abstractNumId w:val="33"/>
  </w:num>
  <w:num w:numId="40">
    <w:abstractNumId w:val="4"/>
  </w:num>
  <w:num w:numId="41">
    <w:abstractNumId w:val="3"/>
  </w:num>
  <w:num w:numId="42">
    <w:abstractNumId w:val="5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C23C19"/>
    <w:rsid w:val="00005B36"/>
    <w:rsid w:val="00011E06"/>
    <w:rsid w:val="000158D9"/>
    <w:rsid w:val="00024095"/>
    <w:rsid w:val="0004797F"/>
    <w:rsid w:val="00050BCF"/>
    <w:rsid w:val="00051F2D"/>
    <w:rsid w:val="00056F2A"/>
    <w:rsid w:val="000671B3"/>
    <w:rsid w:val="000B1E3A"/>
    <w:rsid w:val="001006DD"/>
    <w:rsid w:val="001169B6"/>
    <w:rsid w:val="0014084A"/>
    <w:rsid w:val="00146620"/>
    <w:rsid w:val="00155BE2"/>
    <w:rsid w:val="00177DA8"/>
    <w:rsid w:val="0018177B"/>
    <w:rsid w:val="001A1C33"/>
    <w:rsid w:val="001A7794"/>
    <w:rsid w:val="001C5BB2"/>
    <w:rsid w:val="001E505D"/>
    <w:rsid w:val="001E7B64"/>
    <w:rsid w:val="00207ABF"/>
    <w:rsid w:val="00210594"/>
    <w:rsid w:val="00214C73"/>
    <w:rsid w:val="002271F0"/>
    <w:rsid w:val="00233B0A"/>
    <w:rsid w:val="00264A99"/>
    <w:rsid w:val="002700E9"/>
    <w:rsid w:val="0028621C"/>
    <w:rsid w:val="002C3074"/>
    <w:rsid w:val="002E3BBE"/>
    <w:rsid w:val="00303FD1"/>
    <w:rsid w:val="00306D26"/>
    <w:rsid w:val="003510AB"/>
    <w:rsid w:val="00353937"/>
    <w:rsid w:val="00353F68"/>
    <w:rsid w:val="00367326"/>
    <w:rsid w:val="00374728"/>
    <w:rsid w:val="0038201D"/>
    <w:rsid w:val="0039323E"/>
    <w:rsid w:val="00394B92"/>
    <w:rsid w:val="003B1705"/>
    <w:rsid w:val="003B35E1"/>
    <w:rsid w:val="003B7C25"/>
    <w:rsid w:val="003C3B13"/>
    <w:rsid w:val="003D3684"/>
    <w:rsid w:val="003F3F70"/>
    <w:rsid w:val="00416026"/>
    <w:rsid w:val="00433AC2"/>
    <w:rsid w:val="004375E6"/>
    <w:rsid w:val="004521C7"/>
    <w:rsid w:val="00461AB4"/>
    <w:rsid w:val="00471068"/>
    <w:rsid w:val="00474625"/>
    <w:rsid w:val="00494A22"/>
    <w:rsid w:val="0049775B"/>
    <w:rsid w:val="004B655A"/>
    <w:rsid w:val="004C4128"/>
    <w:rsid w:val="004C7626"/>
    <w:rsid w:val="00504691"/>
    <w:rsid w:val="00515723"/>
    <w:rsid w:val="00516C0A"/>
    <w:rsid w:val="00527424"/>
    <w:rsid w:val="00537F9B"/>
    <w:rsid w:val="005503E1"/>
    <w:rsid w:val="00555560"/>
    <w:rsid w:val="00564F08"/>
    <w:rsid w:val="00567A1C"/>
    <w:rsid w:val="005740AB"/>
    <w:rsid w:val="00584900"/>
    <w:rsid w:val="00597B43"/>
    <w:rsid w:val="005A0B72"/>
    <w:rsid w:val="005B0CDA"/>
    <w:rsid w:val="005D4757"/>
    <w:rsid w:val="0060449A"/>
    <w:rsid w:val="0063497B"/>
    <w:rsid w:val="00634F89"/>
    <w:rsid w:val="00645A18"/>
    <w:rsid w:val="00657332"/>
    <w:rsid w:val="006B04FE"/>
    <w:rsid w:val="006C3EE5"/>
    <w:rsid w:val="006F4668"/>
    <w:rsid w:val="007026EE"/>
    <w:rsid w:val="00714AFE"/>
    <w:rsid w:val="007220C7"/>
    <w:rsid w:val="00745568"/>
    <w:rsid w:val="00746604"/>
    <w:rsid w:val="00752EC7"/>
    <w:rsid w:val="00760587"/>
    <w:rsid w:val="00772939"/>
    <w:rsid w:val="0077342B"/>
    <w:rsid w:val="00777644"/>
    <w:rsid w:val="007953E0"/>
    <w:rsid w:val="007D71C3"/>
    <w:rsid w:val="007D71D2"/>
    <w:rsid w:val="007F0D65"/>
    <w:rsid w:val="007F6032"/>
    <w:rsid w:val="00827C93"/>
    <w:rsid w:val="00846DFE"/>
    <w:rsid w:val="008524FF"/>
    <w:rsid w:val="008763F3"/>
    <w:rsid w:val="00884186"/>
    <w:rsid w:val="00885AB1"/>
    <w:rsid w:val="008B7739"/>
    <w:rsid w:val="008C671F"/>
    <w:rsid w:val="008C7D9F"/>
    <w:rsid w:val="00913632"/>
    <w:rsid w:val="0091716A"/>
    <w:rsid w:val="0093585B"/>
    <w:rsid w:val="009A25D0"/>
    <w:rsid w:val="009A6436"/>
    <w:rsid w:val="009B6186"/>
    <w:rsid w:val="009C7291"/>
    <w:rsid w:val="009D59AE"/>
    <w:rsid w:val="009E3DB8"/>
    <w:rsid w:val="00A052A7"/>
    <w:rsid w:val="00A101BD"/>
    <w:rsid w:val="00A14239"/>
    <w:rsid w:val="00A1603B"/>
    <w:rsid w:val="00A46D29"/>
    <w:rsid w:val="00A47CB1"/>
    <w:rsid w:val="00A55253"/>
    <w:rsid w:val="00A60E81"/>
    <w:rsid w:val="00A647BA"/>
    <w:rsid w:val="00A65D30"/>
    <w:rsid w:val="00A673BB"/>
    <w:rsid w:val="00A841C0"/>
    <w:rsid w:val="00AA5B5B"/>
    <w:rsid w:val="00AB0A81"/>
    <w:rsid w:val="00AB2FCB"/>
    <w:rsid w:val="00AC22B3"/>
    <w:rsid w:val="00AF7D0B"/>
    <w:rsid w:val="00B42235"/>
    <w:rsid w:val="00B50811"/>
    <w:rsid w:val="00B756B2"/>
    <w:rsid w:val="00B87D99"/>
    <w:rsid w:val="00BA5204"/>
    <w:rsid w:val="00BD4B07"/>
    <w:rsid w:val="00BD68E9"/>
    <w:rsid w:val="00C10791"/>
    <w:rsid w:val="00C23C19"/>
    <w:rsid w:val="00C45269"/>
    <w:rsid w:val="00C52639"/>
    <w:rsid w:val="00C56237"/>
    <w:rsid w:val="00C85C30"/>
    <w:rsid w:val="00CA472B"/>
    <w:rsid w:val="00CB3B5C"/>
    <w:rsid w:val="00CC4274"/>
    <w:rsid w:val="00CD0ED4"/>
    <w:rsid w:val="00CF3F0D"/>
    <w:rsid w:val="00D05FCB"/>
    <w:rsid w:val="00D07629"/>
    <w:rsid w:val="00D13F21"/>
    <w:rsid w:val="00D15AE6"/>
    <w:rsid w:val="00D6508A"/>
    <w:rsid w:val="00D739E8"/>
    <w:rsid w:val="00DA0793"/>
    <w:rsid w:val="00DC214E"/>
    <w:rsid w:val="00DE2D42"/>
    <w:rsid w:val="00DF062D"/>
    <w:rsid w:val="00E07519"/>
    <w:rsid w:val="00E220AE"/>
    <w:rsid w:val="00E24B2E"/>
    <w:rsid w:val="00E41662"/>
    <w:rsid w:val="00E50017"/>
    <w:rsid w:val="00E552B4"/>
    <w:rsid w:val="00E5737F"/>
    <w:rsid w:val="00E73EF7"/>
    <w:rsid w:val="00E80AB2"/>
    <w:rsid w:val="00EA3371"/>
    <w:rsid w:val="00EA7EAB"/>
    <w:rsid w:val="00EB33DD"/>
    <w:rsid w:val="00ED247B"/>
    <w:rsid w:val="00ED3158"/>
    <w:rsid w:val="00F043EF"/>
    <w:rsid w:val="00F315A1"/>
    <w:rsid w:val="00F51E27"/>
    <w:rsid w:val="00F55B7B"/>
    <w:rsid w:val="00F81939"/>
    <w:rsid w:val="00FA0782"/>
    <w:rsid w:val="00FA7E0A"/>
    <w:rsid w:val="00FD43A8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3DD"/>
  </w:style>
  <w:style w:type="paragraph" w:styleId="Titre1">
    <w:name w:val="heading 1"/>
    <w:basedOn w:val="Normal"/>
    <w:next w:val="Normal"/>
    <w:qFormat/>
    <w:rsid w:val="00EB33DD"/>
    <w:pPr>
      <w:keepNext/>
      <w:bidi/>
      <w:jc w:val="center"/>
      <w:outlineLvl w:val="0"/>
    </w:pPr>
    <w:rPr>
      <w:rFonts w:ascii="Monotype Corsiva" w:hAnsi="Monotype Corsiva"/>
      <w:b/>
      <w:bCs/>
      <w:sz w:val="60"/>
      <w:szCs w:val="60"/>
    </w:rPr>
  </w:style>
  <w:style w:type="paragraph" w:styleId="Titre2">
    <w:name w:val="heading 2"/>
    <w:basedOn w:val="Normal"/>
    <w:next w:val="Normal"/>
    <w:qFormat/>
    <w:rsid w:val="00EB33DD"/>
    <w:pPr>
      <w:keepNext/>
      <w:bidi/>
      <w:spacing w:line="360" w:lineRule="auto"/>
      <w:jc w:val="lowKashida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EB33DD"/>
    <w:pPr>
      <w:keepNext/>
      <w:jc w:val="center"/>
      <w:outlineLvl w:val="2"/>
    </w:pPr>
    <w:rPr>
      <w:rFonts w:ascii="Monotype Corsiva" w:hAnsi="Monotype Corsiva"/>
      <w:b/>
      <w:bCs/>
      <w:i/>
      <w:iCs/>
      <w:sz w:val="44"/>
      <w:szCs w:val="44"/>
      <w:lang w:bidi="ar-MA"/>
    </w:rPr>
  </w:style>
  <w:style w:type="paragraph" w:styleId="Titre4">
    <w:name w:val="heading 4"/>
    <w:basedOn w:val="Normal"/>
    <w:next w:val="Normal"/>
    <w:qFormat/>
    <w:rsid w:val="00EB33DD"/>
    <w:pPr>
      <w:keepNext/>
      <w:jc w:val="center"/>
      <w:outlineLvl w:val="3"/>
    </w:pPr>
    <w:rPr>
      <w:rFonts w:ascii="Monotype Corsiva" w:hAnsi="Monotype Corsiva" w:cs="Arabic Transparent"/>
      <w:sz w:val="28"/>
      <w:szCs w:val="28"/>
    </w:rPr>
  </w:style>
  <w:style w:type="paragraph" w:styleId="Titre5">
    <w:name w:val="heading 5"/>
    <w:basedOn w:val="Normal"/>
    <w:next w:val="Normal"/>
    <w:qFormat/>
    <w:rsid w:val="0028621C"/>
    <w:pPr>
      <w:keepNext/>
      <w:spacing w:line="360" w:lineRule="auto"/>
      <w:ind w:left="6480" w:firstLine="720"/>
      <w:outlineLvl w:val="4"/>
    </w:pPr>
    <w:rPr>
      <w:noProof/>
      <w:sz w:val="24"/>
      <w:szCs w:val="24"/>
      <w:lang w:eastAsia="ar-SA"/>
    </w:rPr>
  </w:style>
  <w:style w:type="paragraph" w:styleId="Titre6">
    <w:name w:val="heading 6"/>
    <w:basedOn w:val="Normal"/>
    <w:next w:val="Normal"/>
    <w:qFormat/>
    <w:rsid w:val="0028621C"/>
    <w:pPr>
      <w:keepNext/>
      <w:spacing w:line="360" w:lineRule="auto"/>
      <w:jc w:val="both"/>
      <w:outlineLvl w:val="5"/>
    </w:pPr>
    <w:rPr>
      <w:rFonts w:ascii="Tahoma" w:hAnsi="Tahoma" w:cs="Tahoma"/>
      <w:sz w:val="24"/>
      <w:szCs w:val="24"/>
    </w:rPr>
  </w:style>
  <w:style w:type="paragraph" w:styleId="Titre7">
    <w:name w:val="heading 7"/>
    <w:basedOn w:val="Normal"/>
    <w:next w:val="Normal"/>
    <w:qFormat/>
    <w:rsid w:val="0028621C"/>
    <w:pPr>
      <w:keepNext/>
      <w:spacing w:line="360" w:lineRule="auto"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rsid w:val="0028621C"/>
    <w:pPr>
      <w:keepNext/>
      <w:spacing w:line="360" w:lineRule="auto"/>
      <w:outlineLvl w:val="7"/>
    </w:pPr>
    <w:rPr>
      <w:rFonts w:ascii="Tahoma" w:hAnsi="Tahoma" w:cs="Tahoma"/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862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B33DD"/>
    <w:rPr>
      <w:rFonts w:ascii="Monotype Corsiva" w:hAnsi="Monotype Corsiva"/>
      <w:b/>
      <w:bCs/>
      <w:sz w:val="64"/>
      <w:szCs w:val="64"/>
      <w:lang w:bidi="ar-MA"/>
    </w:rPr>
  </w:style>
  <w:style w:type="paragraph" w:styleId="Pieddepage">
    <w:name w:val="footer"/>
    <w:basedOn w:val="Normal"/>
    <w:rsid w:val="00416026"/>
    <w:pPr>
      <w:tabs>
        <w:tab w:val="center" w:pos="4153"/>
        <w:tab w:val="right" w:pos="8306"/>
      </w:tabs>
      <w:bidi/>
    </w:pPr>
    <w:rPr>
      <w:rFonts w:cs="Traditional Arabic"/>
      <w:noProof/>
      <w:lang w:val="en-US" w:eastAsia="ar-SA"/>
    </w:rPr>
  </w:style>
  <w:style w:type="character" w:styleId="Numrodepage">
    <w:name w:val="page number"/>
    <w:basedOn w:val="Policepardfaut"/>
    <w:rsid w:val="00416026"/>
  </w:style>
  <w:style w:type="paragraph" w:styleId="En-tte">
    <w:name w:val="header"/>
    <w:basedOn w:val="Normal"/>
    <w:rsid w:val="00416026"/>
    <w:pPr>
      <w:tabs>
        <w:tab w:val="center" w:pos="4153"/>
        <w:tab w:val="right" w:pos="8306"/>
      </w:tabs>
      <w:bidi/>
    </w:pPr>
    <w:rPr>
      <w:rFonts w:cs="Traditional Arabic"/>
      <w:noProof/>
      <w:lang w:val="en-US" w:eastAsia="ar-SA"/>
    </w:rPr>
  </w:style>
  <w:style w:type="paragraph" w:styleId="Retraitcorpsdetexte">
    <w:name w:val="Body Text Indent"/>
    <w:basedOn w:val="Normal"/>
    <w:rsid w:val="0018177B"/>
    <w:pPr>
      <w:spacing w:after="120"/>
      <w:ind w:left="283"/>
    </w:pPr>
  </w:style>
  <w:style w:type="table" w:styleId="Grilledutableau">
    <w:name w:val="Table Grid"/>
    <w:basedOn w:val="TableauNormal"/>
    <w:rsid w:val="00181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28621C"/>
    <w:pPr>
      <w:spacing w:line="360" w:lineRule="auto"/>
      <w:jc w:val="both"/>
    </w:pPr>
    <w:rPr>
      <w:rFonts w:ascii="Tahoma" w:hAnsi="Tahoma" w:cs="Tahoma"/>
      <w:sz w:val="22"/>
      <w:szCs w:val="22"/>
    </w:rPr>
  </w:style>
  <w:style w:type="paragraph" w:styleId="Lgende">
    <w:name w:val="caption"/>
    <w:basedOn w:val="Normal"/>
    <w:next w:val="Normal"/>
    <w:qFormat/>
    <w:rsid w:val="0028621C"/>
    <w:pPr>
      <w:spacing w:line="360" w:lineRule="auto"/>
      <w:jc w:val="right"/>
    </w:pPr>
    <w:rPr>
      <w:rFonts w:ascii="Tahoma" w:hAnsi="Tahoma" w:cs="Tahoma"/>
      <w:b/>
      <w:bCs/>
      <w:sz w:val="22"/>
      <w:szCs w:val="22"/>
    </w:rPr>
  </w:style>
  <w:style w:type="paragraph" w:styleId="Corpsdetexte3">
    <w:name w:val="Body Text 3"/>
    <w:basedOn w:val="Normal"/>
    <w:rsid w:val="0028621C"/>
    <w:pPr>
      <w:tabs>
        <w:tab w:val="left" w:pos="993"/>
      </w:tabs>
      <w:spacing w:line="360" w:lineRule="auto"/>
    </w:pPr>
    <w:rPr>
      <w:rFonts w:ascii="Tahoma" w:hAnsi="Tahoma" w:cs="Tahoma"/>
      <w:sz w:val="24"/>
      <w:szCs w:val="24"/>
    </w:rPr>
  </w:style>
  <w:style w:type="paragraph" w:styleId="Retraitcorpsdetexte2">
    <w:name w:val="Body Text Indent 2"/>
    <w:basedOn w:val="Normal"/>
    <w:rsid w:val="0028621C"/>
    <w:pPr>
      <w:ind w:left="720" w:firstLine="360"/>
    </w:pPr>
    <w:rPr>
      <w:rFonts w:cs="Traditional Arabic"/>
      <w:noProof/>
      <w:sz w:val="28"/>
      <w:szCs w:val="28"/>
      <w:lang w:eastAsia="en-US"/>
    </w:rPr>
  </w:style>
  <w:style w:type="paragraph" w:styleId="Retraitcorpsdetexte3">
    <w:name w:val="Body Text Indent 3"/>
    <w:basedOn w:val="Normal"/>
    <w:rsid w:val="0028621C"/>
    <w:pPr>
      <w:ind w:firstLine="720"/>
      <w:jc w:val="lowKashida"/>
    </w:pPr>
    <w:rPr>
      <w:rFonts w:cs="Traditional Arabic"/>
      <w:noProof/>
      <w:sz w:val="32"/>
      <w:szCs w:val="32"/>
      <w:lang w:eastAsia="ar-SA" w:bidi="ar-MA"/>
    </w:rPr>
  </w:style>
  <w:style w:type="paragraph" w:styleId="Titre">
    <w:name w:val="Title"/>
    <w:basedOn w:val="Normal"/>
    <w:qFormat/>
    <w:rsid w:val="0028621C"/>
    <w:pPr>
      <w:jc w:val="center"/>
    </w:pPr>
    <w:rPr>
      <w:b/>
      <w:bCs/>
      <w:sz w:val="28"/>
      <w:szCs w:val="28"/>
    </w:rPr>
  </w:style>
  <w:style w:type="paragraph" w:styleId="Normalcentr">
    <w:name w:val="Block Text"/>
    <w:basedOn w:val="Normal"/>
    <w:rsid w:val="0028621C"/>
    <w:pPr>
      <w:ind w:left="-180" w:right="-309"/>
      <w:jc w:val="center"/>
    </w:pPr>
    <w:rPr>
      <w:b/>
      <w:bCs/>
      <w:i/>
      <w:iCs/>
      <w:sz w:val="32"/>
      <w:szCs w:val="32"/>
    </w:rPr>
  </w:style>
  <w:style w:type="paragraph" w:styleId="NormalWeb">
    <w:name w:val="Normal (Web)"/>
    <w:basedOn w:val="Normal"/>
    <w:rsid w:val="007026EE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852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2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aguidar</dc:creator>
  <cp:lastModifiedBy>Dell</cp:lastModifiedBy>
  <cp:revision>6</cp:revision>
  <cp:lastPrinted>2015-08-10T11:45:00Z</cp:lastPrinted>
  <dcterms:created xsi:type="dcterms:W3CDTF">2015-11-22T17:17:00Z</dcterms:created>
  <dcterms:modified xsi:type="dcterms:W3CDTF">2015-11-22T17:59:00Z</dcterms:modified>
</cp:coreProperties>
</file>