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915" w:rsidRPr="00FD2D46" w:rsidRDefault="00A405A2" w:rsidP="00EE58E5">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noProof/>
          <w:sz w:val="26"/>
          <w:szCs w:val="26"/>
          <w:lang w:eastAsia="fr-FR"/>
        </w:rPr>
        <w:pict>
          <v:rect id="_x0000_s1026" style="position:absolute;left:0;text-align:left;margin-left:-144.3pt;margin-top:-88.45pt;width:685.55pt;height:425.7pt;z-index:-251658752" o:preferrelative="t" filled="f" stroked="f" insetpen="t" o:cliptowrap="t">
            <v:imagedata r:id="rId8" o:title=""/>
            <v:path o:extrusionok="f"/>
            <o:lock v:ext="edit" aspectratio="t"/>
            <w10:wrap anchorx="page"/>
          </v:rect>
          <o:OLEObject Type="Embed" ProgID="PBrush" ShapeID="_x0000_s1026" DrawAspect="Content" ObjectID="_1587973871" r:id="rId9"/>
        </w:pict>
      </w:r>
      <w:r w:rsidR="004C1A1D">
        <w:rPr>
          <w:rFonts w:ascii="Times New Roman" w:hAnsi="Times New Roman" w:cs="Times New Roman"/>
          <w:b/>
          <w:bCs/>
          <w:sz w:val="26"/>
          <w:szCs w:val="26"/>
        </w:rPr>
        <w:t xml:space="preserve"> </w:t>
      </w:r>
    </w:p>
    <w:p w:rsidR="00AB0915" w:rsidRPr="00FD2D46" w:rsidRDefault="00AB0915" w:rsidP="00EE58E5">
      <w:pPr>
        <w:autoSpaceDE w:val="0"/>
        <w:autoSpaceDN w:val="0"/>
        <w:adjustRightInd w:val="0"/>
        <w:spacing w:after="0" w:line="240" w:lineRule="auto"/>
        <w:jc w:val="center"/>
        <w:rPr>
          <w:rFonts w:ascii="Times New Roman" w:hAnsi="Times New Roman" w:cs="Times New Roman"/>
          <w:b/>
          <w:bCs/>
          <w:sz w:val="26"/>
          <w:szCs w:val="26"/>
        </w:rPr>
      </w:pPr>
    </w:p>
    <w:p w:rsidR="00AB0915" w:rsidRPr="00FD2D46" w:rsidRDefault="00AB0915" w:rsidP="00EE58E5">
      <w:pPr>
        <w:autoSpaceDE w:val="0"/>
        <w:autoSpaceDN w:val="0"/>
        <w:adjustRightInd w:val="0"/>
        <w:spacing w:after="0" w:line="240" w:lineRule="auto"/>
        <w:jc w:val="center"/>
        <w:rPr>
          <w:rFonts w:ascii="Times New Roman" w:hAnsi="Times New Roman" w:cs="Times New Roman"/>
          <w:b/>
          <w:bCs/>
          <w:sz w:val="26"/>
          <w:szCs w:val="26"/>
        </w:rPr>
      </w:pPr>
    </w:p>
    <w:p w:rsidR="00AB0915" w:rsidRPr="00FD2D46" w:rsidRDefault="00AB0915" w:rsidP="006D31B2">
      <w:pPr>
        <w:autoSpaceDE w:val="0"/>
        <w:autoSpaceDN w:val="0"/>
        <w:adjustRightInd w:val="0"/>
        <w:spacing w:after="0" w:line="240" w:lineRule="auto"/>
        <w:jc w:val="center"/>
        <w:rPr>
          <w:rFonts w:ascii="Times New Roman" w:hAnsi="Times New Roman" w:cs="Times New Roman"/>
          <w:b/>
          <w:bCs/>
          <w:sz w:val="26"/>
          <w:szCs w:val="26"/>
        </w:rPr>
      </w:pPr>
    </w:p>
    <w:p w:rsidR="00A205AA" w:rsidRPr="00FD2D46" w:rsidRDefault="00A205AA" w:rsidP="006D31B2">
      <w:pPr>
        <w:autoSpaceDE w:val="0"/>
        <w:autoSpaceDN w:val="0"/>
        <w:adjustRightInd w:val="0"/>
        <w:spacing w:after="0" w:line="240" w:lineRule="auto"/>
        <w:jc w:val="center"/>
        <w:rPr>
          <w:rFonts w:ascii="Times New Roman" w:hAnsi="Times New Roman" w:cs="Times New Roman"/>
          <w:b/>
          <w:bCs/>
          <w:sz w:val="26"/>
          <w:szCs w:val="26"/>
        </w:rPr>
      </w:pPr>
    </w:p>
    <w:p w:rsidR="00A12FEA" w:rsidRDefault="004D5575" w:rsidP="00A92E83">
      <w:pPr>
        <w:spacing w:before="120" w:after="120" w:line="240" w:lineRule="auto"/>
        <w:jc w:val="center"/>
        <w:rPr>
          <w:rFonts w:ascii="Times New Roman" w:hAnsi="Times New Roman" w:cs="Times New Roman"/>
          <w:b/>
          <w:bCs/>
          <w:color w:val="0000FF"/>
          <w:sz w:val="28"/>
          <w:szCs w:val="24"/>
        </w:rPr>
      </w:pPr>
      <w:r w:rsidRPr="00FD2D46">
        <w:rPr>
          <w:rFonts w:ascii="Times New Roman" w:hAnsi="Times New Roman" w:cs="Times New Roman"/>
          <w:b/>
          <w:bCs/>
          <w:color w:val="0000FF"/>
          <w:sz w:val="28"/>
          <w:szCs w:val="24"/>
        </w:rPr>
        <w:t>L’ADEQUATION</w:t>
      </w:r>
      <w:r w:rsidR="00450668" w:rsidRPr="00FD2D46">
        <w:rPr>
          <w:rFonts w:ascii="Times New Roman" w:hAnsi="Times New Roman" w:cs="Times New Roman"/>
          <w:b/>
          <w:bCs/>
          <w:color w:val="0000FF"/>
          <w:sz w:val="28"/>
          <w:szCs w:val="24"/>
        </w:rPr>
        <w:t xml:space="preserve"> ENTRE</w:t>
      </w:r>
      <w:r w:rsidR="00F52457" w:rsidRPr="00F52457">
        <w:rPr>
          <w:rFonts w:ascii="Times New Roman" w:hAnsi="Times New Roman" w:cs="Times New Roman"/>
          <w:b/>
          <w:bCs/>
          <w:color w:val="0000FF"/>
          <w:sz w:val="28"/>
          <w:szCs w:val="24"/>
        </w:rPr>
        <w:t xml:space="preserve"> </w:t>
      </w:r>
      <w:r w:rsidR="00F52457" w:rsidRPr="00FD2D46">
        <w:rPr>
          <w:rFonts w:ascii="Times New Roman" w:hAnsi="Times New Roman" w:cs="Times New Roman"/>
          <w:b/>
          <w:bCs/>
          <w:color w:val="0000FF"/>
          <w:sz w:val="28"/>
          <w:szCs w:val="24"/>
        </w:rPr>
        <w:t>FORMATION</w:t>
      </w:r>
      <w:r w:rsidR="0051793A" w:rsidRPr="00FD2D46">
        <w:rPr>
          <w:rFonts w:ascii="Times New Roman" w:hAnsi="Times New Roman" w:cs="Times New Roman"/>
          <w:b/>
          <w:bCs/>
          <w:color w:val="0000FF"/>
          <w:sz w:val="28"/>
          <w:szCs w:val="24"/>
        </w:rPr>
        <w:br/>
      </w:r>
      <w:r w:rsidR="00A205AA" w:rsidRPr="00FD2D46">
        <w:rPr>
          <w:rFonts w:ascii="Times New Roman" w:hAnsi="Times New Roman" w:cs="Times New Roman"/>
          <w:b/>
          <w:bCs/>
          <w:color w:val="0000FF"/>
          <w:sz w:val="28"/>
          <w:szCs w:val="24"/>
        </w:rPr>
        <w:t xml:space="preserve">ET </w:t>
      </w:r>
      <w:r w:rsidR="00A12FEA">
        <w:rPr>
          <w:rFonts w:ascii="Times New Roman" w:hAnsi="Times New Roman" w:cs="Times New Roman"/>
          <w:b/>
          <w:bCs/>
          <w:color w:val="0000FF"/>
          <w:sz w:val="28"/>
          <w:szCs w:val="24"/>
        </w:rPr>
        <w:t>EMPLOI AU MAROC</w:t>
      </w:r>
    </w:p>
    <w:p w:rsidR="000307FF" w:rsidRDefault="000307FF" w:rsidP="00A12FEA">
      <w:pPr>
        <w:spacing w:before="120" w:after="120" w:line="240" w:lineRule="auto"/>
        <w:jc w:val="center"/>
        <w:rPr>
          <w:rFonts w:ascii="Times New Roman" w:hAnsi="Times New Roman" w:cs="Times New Roman"/>
          <w:b/>
          <w:bCs/>
          <w:i/>
          <w:iCs/>
          <w:color w:val="0000FF"/>
          <w:sz w:val="28"/>
          <w:szCs w:val="24"/>
          <w:u w:val="single"/>
        </w:rPr>
      </w:pPr>
      <w:r w:rsidRPr="000307FF">
        <w:rPr>
          <w:rFonts w:ascii="Times New Roman" w:hAnsi="Times New Roman" w:cs="Times New Roman"/>
          <w:b/>
          <w:bCs/>
          <w:i/>
          <w:iCs/>
          <w:color w:val="0000FF"/>
          <w:sz w:val="28"/>
          <w:szCs w:val="24"/>
        </w:rPr>
        <w:t>*********</w:t>
      </w:r>
    </w:p>
    <w:p w:rsidR="00A205AA" w:rsidRPr="00FD2D46" w:rsidRDefault="00E1464D" w:rsidP="00D158F8">
      <w:pPr>
        <w:spacing w:before="120" w:after="120" w:line="240" w:lineRule="auto"/>
        <w:jc w:val="center"/>
        <w:rPr>
          <w:rFonts w:ascii="Times New Roman" w:hAnsi="Times New Roman" w:cs="Times New Roman"/>
          <w:b/>
          <w:bCs/>
          <w:color w:val="0000FF"/>
          <w:sz w:val="28"/>
          <w:szCs w:val="24"/>
        </w:rPr>
      </w:pPr>
      <w:r>
        <w:rPr>
          <w:rFonts w:ascii="Times New Roman" w:hAnsi="Times New Roman" w:cs="Times New Roman"/>
          <w:b/>
          <w:bCs/>
          <w:i/>
          <w:iCs/>
          <w:color w:val="0000FF"/>
          <w:sz w:val="28"/>
          <w:szCs w:val="24"/>
          <w:u w:val="single"/>
        </w:rPr>
        <w:t>Note</w:t>
      </w:r>
      <w:r w:rsidR="00A91346">
        <w:rPr>
          <w:rFonts w:ascii="Times New Roman" w:hAnsi="Times New Roman" w:cs="Times New Roman"/>
          <w:b/>
          <w:bCs/>
          <w:i/>
          <w:iCs/>
          <w:color w:val="0000FF"/>
          <w:sz w:val="28"/>
          <w:szCs w:val="24"/>
          <w:u w:val="single"/>
        </w:rPr>
        <w:t xml:space="preserve"> d</w:t>
      </w:r>
      <w:r w:rsidR="001A0CC0">
        <w:rPr>
          <w:rFonts w:ascii="Times New Roman" w:hAnsi="Times New Roman" w:cs="Times New Roman"/>
          <w:b/>
          <w:bCs/>
          <w:i/>
          <w:iCs/>
          <w:color w:val="0000FF"/>
          <w:sz w:val="28"/>
          <w:szCs w:val="24"/>
          <w:u w:val="single"/>
        </w:rPr>
        <w:t xml:space="preserve">e </w:t>
      </w:r>
      <w:r w:rsidR="00D158F8">
        <w:rPr>
          <w:rFonts w:ascii="Times New Roman" w:hAnsi="Times New Roman" w:cs="Times New Roman"/>
          <w:b/>
          <w:bCs/>
          <w:i/>
          <w:iCs/>
          <w:color w:val="0000FF"/>
          <w:sz w:val="28"/>
          <w:szCs w:val="24"/>
          <w:u w:val="single"/>
        </w:rPr>
        <w:t>synthèse</w:t>
      </w:r>
    </w:p>
    <w:p w:rsidR="00B849E1" w:rsidRPr="00FD2D46" w:rsidRDefault="00B849E1" w:rsidP="005C72ED">
      <w:pPr>
        <w:spacing w:after="0" w:line="240" w:lineRule="auto"/>
        <w:rPr>
          <w:rFonts w:ascii="Times New Roman" w:hAnsi="Times New Roman" w:cs="Times New Roman"/>
        </w:rPr>
      </w:pPr>
    </w:p>
    <w:p w:rsidR="00311E1E" w:rsidRPr="00D758CD" w:rsidRDefault="00C46B73" w:rsidP="0000149D">
      <w:pPr>
        <w:spacing w:before="120" w:after="120" w:line="240" w:lineRule="auto"/>
        <w:ind w:firstLine="709"/>
        <w:jc w:val="both"/>
        <w:rPr>
          <w:rFonts w:ascii="Times New Roman" w:hAnsi="Times New Roman" w:cs="Times New Roman"/>
          <w:sz w:val="24"/>
        </w:rPr>
      </w:pPr>
      <w:bookmarkStart w:id="0" w:name="_GoBack"/>
      <w:bookmarkStart w:id="1" w:name="_Toc499036592"/>
      <w:bookmarkEnd w:id="0"/>
      <w:r w:rsidRPr="00D758CD">
        <w:rPr>
          <w:rFonts w:ascii="Times New Roman" w:hAnsi="Times New Roman" w:cs="Times New Roman"/>
          <w:sz w:val="24"/>
          <w:szCs w:val="24"/>
          <w:lang w:bidi="ar-MA"/>
        </w:rPr>
        <w:t xml:space="preserve">Les difficultés d’insertion sur le marché de l’emploi peuvent se manifester par </w:t>
      </w:r>
      <w:r w:rsidR="007B7108" w:rsidRPr="00D758CD">
        <w:rPr>
          <w:rFonts w:ascii="Times New Roman" w:hAnsi="Times New Roman" w:cs="Times New Roman"/>
          <w:sz w:val="24"/>
          <w:szCs w:val="24"/>
          <w:lang w:bidi="ar-MA"/>
        </w:rPr>
        <w:t xml:space="preserve">une situation </w:t>
      </w:r>
      <w:r w:rsidR="00FB48C4">
        <w:rPr>
          <w:rFonts w:ascii="Times New Roman" w:hAnsi="Times New Roman" w:cs="Times New Roman"/>
          <w:sz w:val="24"/>
          <w:szCs w:val="24"/>
          <w:lang w:bidi="ar-MA"/>
        </w:rPr>
        <w:t>d</w:t>
      </w:r>
      <w:r w:rsidR="00736377">
        <w:rPr>
          <w:rFonts w:ascii="Times New Roman" w:hAnsi="Times New Roman" w:cs="Times New Roman"/>
          <w:sz w:val="24"/>
          <w:szCs w:val="24"/>
          <w:lang w:bidi="ar-MA"/>
        </w:rPr>
        <w:t xml:space="preserve">e déclassement </w:t>
      </w:r>
      <w:r w:rsidR="007B7108" w:rsidRPr="00D758CD">
        <w:rPr>
          <w:rFonts w:ascii="Times New Roman" w:hAnsi="Times New Roman" w:cs="Times New Roman"/>
          <w:sz w:val="24"/>
          <w:szCs w:val="24"/>
          <w:lang w:bidi="ar-MA"/>
        </w:rPr>
        <w:t xml:space="preserve">entre les qualifications </w:t>
      </w:r>
      <w:r w:rsidR="00736377">
        <w:rPr>
          <w:rFonts w:ascii="Times New Roman" w:hAnsi="Times New Roman" w:cs="Times New Roman"/>
          <w:sz w:val="24"/>
          <w:szCs w:val="24"/>
          <w:lang w:bidi="ar-MA"/>
        </w:rPr>
        <w:t xml:space="preserve">qu’infèrent le diplôme </w:t>
      </w:r>
      <w:r w:rsidR="00361E80">
        <w:rPr>
          <w:rFonts w:ascii="Times New Roman" w:hAnsi="Times New Roman" w:cs="Times New Roman"/>
          <w:sz w:val="24"/>
          <w:szCs w:val="24"/>
          <w:lang w:bidi="ar-MA"/>
        </w:rPr>
        <w:t xml:space="preserve">possédé </w:t>
      </w:r>
      <w:r w:rsidR="007B7108" w:rsidRPr="00D758CD">
        <w:rPr>
          <w:rFonts w:ascii="Times New Roman" w:hAnsi="Times New Roman" w:cs="Times New Roman"/>
          <w:sz w:val="24"/>
          <w:szCs w:val="24"/>
          <w:lang w:bidi="ar-MA"/>
        </w:rPr>
        <w:t xml:space="preserve">et les </w:t>
      </w:r>
      <w:r w:rsidR="00361E80">
        <w:rPr>
          <w:rFonts w:ascii="Times New Roman" w:hAnsi="Times New Roman" w:cs="Times New Roman"/>
          <w:sz w:val="24"/>
          <w:szCs w:val="24"/>
          <w:lang w:bidi="ar-MA"/>
        </w:rPr>
        <w:t xml:space="preserve">qualifications </w:t>
      </w:r>
      <w:r w:rsidR="00C86603">
        <w:rPr>
          <w:rFonts w:ascii="Times New Roman" w:hAnsi="Times New Roman" w:cs="Times New Roman"/>
          <w:sz w:val="24"/>
          <w:szCs w:val="24"/>
          <w:lang w:bidi="ar-MA"/>
        </w:rPr>
        <w:t>nécessaire</w:t>
      </w:r>
      <w:r w:rsidR="00736377">
        <w:rPr>
          <w:rFonts w:ascii="Times New Roman" w:hAnsi="Times New Roman" w:cs="Times New Roman"/>
          <w:sz w:val="24"/>
          <w:szCs w:val="24"/>
          <w:lang w:bidi="ar-MA"/>
        </w:rPr>
        <w:t>s</w:t>
      </w:r>
      <w:r w:rsidR="00C86603">
        <w:rPr>
          <w:rFonts w:ascii="Times New Roman" w:hAnsi="Times New Roman" w:cs="Times New Roman"/>
          <w:sz w:val="24"/>
          <w:szCs w:val="24"/>
          <w:lang w:bidi="ar-MA"/>
        </w:rPr>
        <w:t xml:space="preserve"> à l’</w:t>
      </w:r>
      <w:r w:rsidR="00736377" w:rsidRPr="00D758CD">
        <w:rPr>
          <w:rFonts w:ascii="Times New Roman" w:hAnsi="Times New Roman" w:cs="Times New Roman"/>
          <w:sz w:val="24"/>
          <w:szCs w:val="24"/>
          <w:lang w:bidi="ar-MA"/>
        </w:rPr>
        <w:t>ex</w:t>
      </w:r>
      <w:r w:rsidR="00736377">
        <w:rPr>
          <w:rFonts w:ascii="Times New Roman" w:hAnsi="Times New Roman" w:cs="Times New Roman"/>
          <w:sz w:val="24"/>
          <w:szCs w:val="24"/>
          <w:lang w:bidi="ar-MA"/>
        </w:rPr>
        <w:t>ercice</w:t>
      </w:r>
      <w:r w:rsidR="00C86603">
        <w:rPr>
          <w:rFonts w:ascii="Times New Roman" w:hAnsi="Times New Roman" w:cs="Times New Roman"/>
          <w:sz w:val="24"/>
          <w:szCs w:val="24"/>
          <w:lang w:bidi="ar-MA"/>
        </w:rPr>
        <w:t xml:space="preserve"> </w:t>
      </w:r>
      <w:r w:rsidR="007B7108" w:rsidRPr="00D758CD">
        <w:rPr>
          <w:rFonts w:ascii="Times New Roman" w:hAnsi="Times New Roman" w:cs="Times New Roman"/>
          <w:sz w:val="24"/>
          <w:szCs w:val="24"/>
          <w:lang w:bidi="ar-MA"/>
        </w:rPr>
        <w:t>d</w:t>
      </w:r>
      <w:r w:rsidR="00C86603">
        <w:rPr>
          <w:rFonts w:ascii="Times New Roman" w:hAnsi="Times New Roman" w:cs="Times New Roman"/>
          <w:sz w:val="24"/>
          <w:szCs w:val="24"/>
          <w:lang w:bidi="ar-MA"/>
        </w:rPr>
        <w:t>’un</w:t>
      </w:r>
      <w:r w:rsidR="0000149D">
        <w:rPr>
          <w:rFonts w:ascii="Times New Roman" w:hAnsi="Times New Roman" w:cs="Times New Roman"/>
          <w:sz w:val="24"/>
          <w:szCs w:val="24"/>
          <w:lang w:bidi="ar-MA"/>
        </w:rPr>
        <w:t xml:space="preserve"> </w:t>
      </w:r>
      <w:r w:rsidR="007B7108" w:rsidRPr="00D758CD">
        <w:rPr>
          <w:rFonts w:ascii="Times New Roman" w:hAnsi="Times New Roman" w:cs="Times New Roman"/>
          <w:sz w:val="24"/>
          <w:szCs w:val="24"/>
          <w:lang w:bidi="ar-MA"/>
        </w:rPr>
        <w:t>e</w:t>
      </w:r>
      <w:r w:rsidR="0000149D">
        <w:rPr>
          <w:rFonts w:ascii="Times New Roman" w:hAnsi="Times New Roman" w:cs="Times New Roman"/>
          <w:sz w:val="24"/>
          <w:szCs w:val="24"/>
          <w:lang w:bidi="ar-MA"/>
        </w:rPr>
        <w:t>mploi</w:t>
      </w:r>
      <w:r w:rsidR="004E01CA" w:rsidRPr="00D758CD">
        <w:rPr>
          <w:rFonts w:ascii="Times New Roman" w:hAnsi="Times New Roman" w:cs="Times New Roman"/>
          <w:sz w:val="24"/>
          <w:szCs w:val="24"/>
          <w:lang w:bidi="ar-MA"/>
        </w:rPr>
        <w:t xml:space="preserve">. </w:t>
      </w:r>
      <w:r w:rsidR="00840755">
        <w:rPr>
          <w:rFonts w:ascii="Times New Roman" w:hAnsi="Times New Roman" w:cs="Times New Roman"/>
          <w:sz w:val="24"/>
          <w:szCs w:val="24"/>
          <w:lang w:bidi="ar-MA"/>
        </w:rPr>
        <w:t xml:space="preserve">La </w:t>
      </w:r>
      <w:r w:rsidR="00840755">
        <w:rPr>
          <w:rFonts w:ascii="Times New Roman" w:hAnsi="Times New Roman" w:cs="Times New Roman"/>
          <w:sz w:val="24"/>
        </w:rPr>
        <w:t>connaissance</w:t>
      </w:r>
      <w:r w:rsidR="00981667" w:rsidRPr="00D758CD">
        <w:rPr>
          <w:rFonts w:ascii="Times New Roman" w:hAnsi="Times New Roman" w:cs="Times New Roman"/>
          <w:sz w:val="24"/>
        </w:rPr>
        <w:t xml:space="preserve"> </w:t>
      </w:r>
      <w:r w:rsidR="00361E80">
        <w:rPr>
          <w:rFonts w:ascii="Times New Roman" w:hAnsi="Times New Roman" w:cs="Times New Roman"/>
          <w:sz w:val="24"/>
        </w:rPr>
        <w:t>de</w:t>
      </w:r>
      <w:r w:rsidR="00736377">
        <w:rPr>
          <w:rFonts w:ascii="Times New Roman" w:hAnsi="Times New Roman" w:cs="Times New Roman"/>
          <w:sz w:val="24"/>
        </w:rPr>
        <w:t>s</w:t>
      </w:r>
      <w:r w:rsidR="00361E80">
        <w:rPr>
          <w:rFonts w:ascii="Times New Roman" w:hAnsi="Times New Roman" w:cs="Times New Roman"/>
          <w:sz w:val="24"/>
        </w:rPr>
        <w:t xml:space="preserve"> </w:t>
      </w:r>
      <w:r w:rsidR="00736377">
        <w:rPr>
          <w:rFonts w:ascii="Times New Roman" w:hAnsi="Times New Roman" w:cs="Times New Roman"/>
          <w:sz w:val="24"/>
        </w:rPr>
        <w:t>diplômés</w:t>
      </w:r>
      <w:r w:rsidR="00361E80" w:rsidRPr="00D758CD">
        <w:rPr>
          <w:rFonts w:ascii="Times New Roman" w:hAnsi="Times New Roman" w:cs="Times New Roman"/>
          <w:sz w:val="24"/>
        </w:rPr>
        <w:t xml:space="preserve"> </w:t>
      </w:r>
      <w:r w:rsidR="009F78F6">
        <w:rPr>
          <w:rFonts w:ascii="Times New Roman" w:hAnsi="Times New Roman" w:cs="Times New Roman"/>
          <w:sz w:val="24"/>
        </w:rPr>
        <w:t>en situation de déclassement</w:t>
      </w:r>
      <w:r w:rsidR="00361E80">
        <w:rPr>
          <w:rFonts w:ascii="Times New Roman" w:hAnsi="Times New Roman" w:cs="Times New Roman"/>
          <w:sz w:val="24"/>
        </w:rPr>
        <w:t xml:space="preserve"> et d</w:t>
      </w:r>
      <w:r w:rsidR="00840755">
        <w:rPr>
          <w:rFonts w:ascii="Times New Roman" w:hAnsi="Times New Roman" w:cs="Times New Roman"/>
          <w:sz w:val="24"/>
        </w:rPr>
        <w:t xml:space="preserve">e </w:t>
      </w:r>
      <w:r w:rsidR="004E01CA" w:rsidRPr="00D758CD">
        <w:rPr>
          <w:rFonts w:ascii="Times New Roman" w:hAnsi="Times New Roman" w:cs="Times New Roman"/>
          <w:sz w:val="24"/>
        </w:rPr>
        <w:t>leur structure</w:t>
      </w:r>
      <w:r w:rsidR="00981667" w:rsidRPr="00D758CD">
        <w:rPr>
          <w:rFonts w:ascii="Times New Roman" w:hAnsi="Times New Roman" w:cs="Times New Roman"/>
          <w:sz w:val="24"/>
        </w:rPr>
        <w:t xml:space="preserve"> </w:t>
      </w:r>
      <w:r w:rsidR="00736377">
        <w:rPr>
          <w:rFonts w:ascii="Times New Roman" w:hAnsi="Times New Roman" w:cs="Times New Roman"/>
          <w:sz w:val="24"/>
        </w:rPr>
        <w:t xml:space="preserve">d’une part </w:t>
      </w:r>
      <w:r w:rsidR="007A6105" w:rsidRPr="00D758CD">
        <w:rPr>
          <w:rFonts w:ascii="Times New Roman" w:hAnsi="Times New Roman" w:cs="Times New Roman"/>
          <w:sz w:val="24"/>
        </w:rPr>
        <w:t xml:space="preserve">et </w:t>
      </w:r>
      <w:r w:rsidR="00361E80">
        <w:rPr>
          <w:rFonts w:ascii="Times New Roman" w:hAnsi="Times New Roman" w:cs="Times New Roman"/>
          <w:sz w:val="24"/>
        </w:rPr>
        <w:t xml:space="preserve">la connaissance </w:t>
      </w:r>
      <w:r w:rsidR="00840755">
        <w:rPr>
          <w:rFonts w:ascii="Times New Roman" w:hAnsi="Times New Roman" w:cs="Times New Roman"/>
          <w:sz w:val="24"/>
        </w:rPr>
        <w:t>d</w:t>
      </w:r>
      <w:r w:rsidR="00874355" w:rsidRPr="00D758CD">
        <w:rPr>
          <w:rFonts w:ascii="Times New Roman" w:hAnsi="Times New Roman" w:cs="Times New Roman"/>
          <w:sz w:val="24"/>
        </w:rPr>
        <w:t xml:space="preserve">es facteurs qui </w:t>
      </w:r>
      <w:r w:rsidR="009F78F6">
        <w:rPr>
          <w:rFonts w:ascii="Times New Roman" w:hAnsi="Times New Roman" w:cs="Times New Roman"/>
          <w:sz w:val="24"/>
        </w:rPr>
        <w:t>favorisent</w:t>
      </w:r>
      <w:r w:rsidR="00874355" w:rsidRPr="00D758CD">
        <w:rPr>
          <w:rFonts w:ascii="Times New Roman" w:hAnsi="Times New Roman" w:cs="Times New Roman"/>
          <w:sz w:val="24"/>
        </w:rPr>
        <w:t xml:space="preserve"> l</w:t>
      </w:r>
      <w:r w:rsidR="009878D3">
        <w:rPr>
          <w:rFonts w:ascii="Times New Roman" w:hAnsi="Times New Roman" w:cs="Times New Roman"/>
          <w:sz w:val="24"/>
        </w:rPr>
        <w:t xml:space="preserve">eur </w:t>
      </w:r>
      <w:r w:rsidR="00874355" w:rsidRPr="00D758CD">
        <w:rPr>
          <w:rFonts w:ascii="Times New Roman" w:hAnsi="Times New Roman" w:cs="Times New Roman"/>
          <w:sz w:val="24"/>
        </w:rPr>
        <w:t>adéquation</w:t>
      </w:r>
      <w:r w:rsidR="00736377">
        <w:rPr>
          <w:rFonts w:ascii="Times New Roman" w:hAnsi="Times New Roman" w:cs="Times New Roman"/>
          <w:sz w:val="24"/>
        </w:rPr>
        <w:t>,</w:t>
      </w:r>
      <w:r w:rsidR="00874355" w:rsidRPr="00D758CD">
        <w:rPr>
          <w:rFonts w:ascii="Times New Roman" w:hAnsi="Times New Roman" w:cs="Times New Roman"/>
          <w:sz w:val="24"/>
        </w:rPr>
        <w:t xml:space="preserve"> </w:t>
      </w:r>
      <w:r w:rsidR="00736377">
        <w:rPr>
          <w:rFonts w:ascii="Times New Roman" w:hAnsi="Times New Roman" w:cs="Times New Roman"/>
          <w:sz w:val="24"/>
        </w:rPr>
        <w:t xml:space="preserve">d’autre part, </w:t>
      </w:r>
      <w:r w:rsidR="004E01CA" w:rsidRPr="00D758CD">
        <w:rPr>
          <w:rFonts w:ascii="Times New Roman" w:hAnsi="Times New Roman" w:cs="Times New Roman"/>
          <w:sz w:val="24"/>
        </w:rPr>
        <w:t>s</w:t>
      </w:r>
      <w:r w:rsidR="00361E80">
        <w:rPr>
          <w:rFonts w:ascii="Times New Roman" w:hAnsi="Times New Roman" w:cs="Times New Roman"/>
          <w:sz w:val="24"/>
        </w:rPr>
        <w:t>on</w:t>
      </w:r>
      <w:r w:rsidR="004E01CA" w:rsidRPr="00D758CD">
        <w:rPr>
          <w:rFonts w:ascii="Times New Roman" w:hAnsi="Times New Roman" w:cs="Times New Roman"/>
          <w:sz w:val="24"/>
        </w:rPr>
        <w:t xml:space="preserve">t </w:t>
      </w:r>
      <w:r w:rsidR="00736377">
        <w:rPr>
          <w:rFonts w:ascii="Times New Roman" w:hAnsi="Times New Roman" w:cs="Times New Roman"/>
          <w:sz w:val="24"/>
        </w:rPr>
        <w:t xml:space="preserve">d’une grande </w:t>
      </w:r>
      <w:r w:rsidR="009F6481">
        <w:rPr>
          <w:rFonts w:ascii="Times New Roman" w:hAnsi="Times New Roman" w:cs="Times New Roman"/>
          <w:sz w:val="24"/>
        </w:rPr>
        <w:t>importan</w:t>
      </w:r>
      <w:r w:rsidR="00736377">
        <w:rPr>
          <w:rFonts w:ascii="Times New Roman" w:hAnsi="Times New Roman" w:cs="Times New Roman"/>
          <w:sz w:val="24"/>
        </w:rPr>
        <w:t>c</w:t>
      </w:r>
      <w:r w:rsidR="00840755">
        <w:rPr>
          <w:rFonts w:ascii="Times New Roman" w:hAnsi="Times New Roman" w:cs="Times New Roman"/>
          <w:sz w:val="24"/>
        </w:rPr>
        <w:t>e</w:t>
      </w:r>
      <w:r w:rsidR="004E01CA" w:rsidRPr="00D758CD">
        <w:rPr>
          <w:rFonts w:ascii="Times New Roman" w:hAnsi="Times New Roman" w:cs="Times New Roman"/>
          <w:sz w:val="24"/>
        </w:rPr>
        <w:t xml:space="preserve"> </w:t>
      </w:r>
      <w:r w:rsidR="00FB48C4">
        <w:rPr>
          <w:rFonts w:ascii="Times New Roman" w:hAnsi="Times New Roman" w:cs="Times New Roman"/>
          <w:sz w:val="24"/>
        </w:rPr>
        <w:t xml:space="preserve">pour </w:t>
      </w:r>
      <w:r w:rsidR="00736377">
        <w:rPr>
          <w:rFonts w:ascii="Times New Roman" w:hAnsi="Times New Roman" w:cs="Times New Roman"/>
          <w:sz w:val="24"/>
        </w:rPr>
        <w:t>l</w:t>
      </w:r>
      <w:r w:rsidR="004E01CA" w:rsidRPr="00D758CD">
        <w:rPr>
          <w:rFonts w:ascii="Times New Roman" w:hAnsi="Times New Roman" w:cs="Times New Roman"/>
          <w:sz w:val="24"/>
        </w:rPr>
        <w:t>a compétitivité</w:t>
      </w:r>
      <w:r w:rsidR="00736377" w:rsidRPr="00736377">
        <w:rPr>
          <w:rFonts w:ascii="Times New Roman" w:hAnsi="Times New Roman" w:cs="Times New Roman"/>
          <w:sz w:val="24"/>
        </w:rPr>
        <w:t xml:space="preserve"> </w:t>
      </w:r>
      <w:r w:rsidR="00736377">
        <w:rPr>
          <w:rFonts w:ascii="Times New Roman" w:hAnsi="Times New Roman" w:cs="Times New Roman"/>
          <w:sz w:val="24"/>
        </w:rPr>
        <w:t>de</w:t>
      </w:r>
      <w:r w:rsidR="00736377" w:rsidRPr="00D758CD">
        <w:rPr>
          <w:rFonts w:ascii="Times New Roman" w:hAnsi="Times New Roman" w:cs="Times New Roman"/>
          <w:sz w:val="24"/>
        </w:rPr>
        <w:t xml:space="preserve"> l’économie </w:t>
      </w:r>
      <w:r w:rsidR="00736377">
        <w:rPr>
          <w:rFonts w:ascii="Times New Roman" w:hAnsi="Times New Roman" w:cs="Times New Roman"/>
          <w:sz w:val="24"/>
        </w:rPr>
        <w:t>nationale</w:t>
      </w:r>
      <w:r w:rsidR="004E01CA" w:rsidRPr="00D758CD">
        <w:rPr>
          <w:rFonts w:ascii="Times New Roman" w:hAnsi="Times New Roman" w:cs="Times New Roman"/>
          <w:sz w:val="24"/>
        </w:rPr>
        <w:t>.</w:t>
      </w:r>
    </w:p>
    <w:p w:rsidR="00311E1E" w:rsidRPr="00D758CD" w:rsidRDefault="00E1464D" w:rsidP="00886A12">
      <w:pPr>
        <w:spacing w:before="12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La présente</w:t>
      </w:r>
      <w:r w:rsidR="00311E1E" w:rsidRPr="00D758CD">
        <w:rPr>
          <w:rFonts w:ascii="Times New Roman" w:hAnsi="Times New Roman" w:cs="Times New Roman"/>
          <w:sz w:val="24"/>
          <w:szCs w:val="24"/>
        </w:rPr>
        <w:t xml:space="preserve"> </w:t>
      </w:r>
      <w:r w:rsidR="00922735" w:rsidRPr="00D758CD">
        <w:rPr>
          <w:rFonts w:ascii="Times New Roman" w:hAnsi="Times New Roman" w:cs="Times New Roman"/>
          <w:sz w:val="24"/>
          <w:szCs w:val="24"/>
        </w:rPr>
        <w:t>étude</w:t>
      </w:r>
      <w:r w:rsidR="00311E1E" w:rsidRPr="00D758CD">
        <w:rPr>
          <w:rFonts w:ascii="Times New Roman" w:hAnsi="Times New Roman" w:cs="Times New Roman"/>
          <w:sz w:val="24"/>
          <w:szCs w:val="24"/>
        </w:rPr>
        <w:t xml:space="preserve"> </w:t>
      </w:r>
      <w:r w:rsidR="002F729D" w:rsidRPr="00D758CD">
        <w:rPr>
          <w:rFonts w:ascii="Times New Roman" w:hAnsi="Times New Roman" w:cs="Times New Roman"/>
          <w:sz w:val="24"/>
          <w:szCs w:val="24"/>
        </w:rPr>
        <w:t>analyse</w:t>
      </w:r>
      <w:r w:rsidR="00311E1E" w:rsidRPr="00D758CD">
        <w:rPr>
          <w:rFonts w:ascii="Times New Roman" w:hAnsi="Times New Roman" w:cs="Times New Roman"/>
          <w:sz w:val="24"/>
          <w:szCs w:val="24"/>
        </w:rPr>
        <w:t xml:space="preserve"> l</w:t>
      </w:r>
      <w:r w:rsidR="00A50198" w:rsidRPr="00D758CD">
        <w:rPr>
          <w:rFonts w:ascii="Times New Roman" w:hAnsi="Times New Roman" w:cs="Times New Roman"/>
          <w:sz w:val="24"/>
          <w:szCs w:val="24"/>
        </w:rPr>
        <w:t>a situation d’adéquation d</w:t>
      </w:r>
      <w:r w:rsidR="00C86603">
        <w:rPr>
          <w:rFonts w:ascii="Times New Roman" w:hAnsi="Times New Roman" w:cs="Times New Roman"/>
          <w:sz w:val="24"/>
          <w:szCs w:val="24"/>
        </w:rPr>
        <w:t>u</w:t>
      </w:r>
      <w:r w:rsidR="00311E1E" w:rsidRPr="00D758CD">
        <w:rPr>
          <w:rFonts w:ascii="Times New Roman" w:hAnsi="Times New Roman" w:cs="Times New Roman"/>
          <w:sz w:val="24"/>
          <w:szCs w:val="24"/>
        </w:rPr>
        <w:t xml:space="preserve"> </w:t>
      </w:r>
      <w:r w:rsidR="00C86603">
        <w:rPr>
          <w:rFonts w:ascii="Times New Roman" w:hAnsi="Times New Roman" w:cs="Times New Roman"/>
          <w:sz w:val="24"/>
          <w:szCs w:val="24"/>
        </w:rPr>
        <w:t>« </w:t>
      </w:r>
      <w:r w:rsidR="00D64100">
        <w:rPr>
          <w:rFonts w:ascii="Times New Roman" w:hAnsi="Times New Roman" w:cs="Times New Roman"/>
          <w:sz w:val="24"/>
          <w:szCs w:val="24"/>
        </w:rPr>
        <w:t xml:space="preserve">plus haut </w:t>
      </w:r>
      <w:r w:rsidR="00311E1E" w:rsidRPr="00D758CD">
        <w:rPr>
          <w:rFonts w:ascii="Times New Roman" w:hAnsi="Times New Roman" w:cs="Times New Roman"/>
          <w:sz w:val="24"/>
          <w:szCs w:val="24"/>
        </w:rPr>
        <w:t xml:space="preserve">diplôme </w:t>
      </w:r>
      <w:r w:rsidR="00D64100">
        <w:rPr>
          <w:rFonts w:ascii="Times New Roman" w:hAnsi="Times New Roman" w:cs="Times New Roman"/>
          <w:sz w:val="24"/>
          <w:szCs w:val="24"/>
        </w:rPr>
        <w:t>obtenu</w:t>
      </w:r>
      <w:r w:rsidR="00C86603">
        <w:rPr>
          <w:rFonts w:ascii="Times New Roman" w:hAnsi="Times New Roman" w:cs="Times New Roman"/>
          <w:sz w:val="24"/>
          <w:szCs w:val="24"/>
        </w:rPr>
        <w:t> »</w:t>
      </w:r>
      <w:r w:rsidR="00D64100">
        <w:rPr>
          <w:rFonts w:ascii="Times New Roman" w:hAnsi="Times New Roman" w:cs="Times New Roman"/>
          <w:sz w:val="24"/>
          <w:szCs w:val="24"/>
        </w:rPr>
        <w:t xml:space="preserve"> avec l</w:t>
      </w:r>
      <w:r w:rsidR="00C86603">
        <w:rPr>
          <w:rFonts w:ascii="Times New Roman" w:hAnsi="Times New Roman" w:cs="Times New Roman"/>
          <w:sz w:val="24"/>
          <w:szCs w:val="24"/>
        </w:rPr>
        <w:t xml:space="preserve">a </w:t>
      </w:r>
      <w:r w:rsidR="00A50198" w:rsidRPr="00D758CD">
        <w:rPr>
          <w:rFonts w:ascii="Times New Roman" w:hAnsi="Times New Roman" w:cs="Times New Roman"/>
          <w:sz w:val="24"/>
          <w:szCs w:val="24"/>
        </w:rPr>
        <w:t>pro</w:t>
      </w:r>
      <w:r w:rsidR="002F729D" w:rsidRPr="00D758CD">
        <w:rPr>
          <w:rFonts w:ascii="Times New Roman" w:hAnsi="Times New Roman" w:cs="Times New Roman"/>
          <w:sz w:val="24"/>
          <w:szCs w:val="24"/>
        </w:rPr>
        <w:t xml:space="preserve">fession </w:t>
      </w:r>
      <w:r w:rsidR="00C86603">
        <w:rPr>
          <w:rFonts w:ascii="Times New Roman" w:hAnsi="Times New Roman" w:cs="Times New Roman"/>
          <w:sz w:val="24"/>
          <w:szCs w:val="24"/>
        </w:rPr>
        <w:t xml:space="preserve">principale </w:t>
      </w:r>
      <w:r w:rsidR="002F729D" w:rsidRPr="00D758CD">
        <w:rPr>
          <w:rFonts w:ascii="Times New Roman" w:hAnsi="Times New Roman" w:cs="Times New Roman"/>
          <w:sz w:val="24"/>
          <w:szCs w:val="24"/>
        </w:rPr>
        <w:t>exercé</w:t>
      </w:r>
      <w:r w:rsidR="00BF2944">
        <w:rPr>
          <w:rFonts w:ascii="Times New Roman" w:hAnsi="Times New Roman" w:cs="Times New Roman"/>
          <w:sz w:val="24"/>
          <w:szCs w:val="24"/>
        </w:rPr>
        <w:t>e</w:t>
      </w:r>
      <w:r w:rsidR="00783C30">
        <w:rPr>
          <w:rFonts w:ascii="Times New Roman" w:hAnsi="Times New Roman" w:cs="Times New Roman"/>
          <w:sz w:val="24"/>
          <w:szCs w:val="24"/>
        </w:rPr>
        <w:t>,</w:t>
      </w:r>
      <w:r w:rsidR="009F6481">
        <w:rPr>
          <w:rFonts w:ascii="Times New Roman" w:hAnsi="Times New Roman" w:cs="Times New Roman"/>
          <w:sz w:val="24"/>
          <w:szCs w:val="24"/>
        </w:rPr>
        <w:t xml:space="preserve"> </w:t>
      </w:r>
      <w:r w:rsidR="00783C30">
        <w:rPr>
          <w:rFonts w:ascii="Times New Roman" w:hAnsi="Times New Roman" w:cs="Times New Roman"/>
          <w:sz w:val="24"/>
          <w:szCs w:val="24"/>
        </w:rPr>
        <w:t xml:space="preserve">déclarée </w:t>
      </w:r>
      <w:r w:rsidR="009F6481">
        <w:rPr>
          <w:rFonts w:ascii="Times New Roman" w:hAnsi="Times New Roman" w:cs="Times New Roman"/>
          <w:sz w:val="24"/>
          <w:szCs w:val="24"/>
        </w:rPr>
        <w:t>lors du recensement de la population de 2014</w:t>
      </w:r>
      <w:r w:rsidR="002F729D" w:rsidRPr="00D758CD">
        <w:rPr>
          <w:rFonts w:ascii="Times New Roman" w:hAnsi="Times New Roman" w:cs="Times New Roman"/>
          <w:sz w:val="24"/>
          <w:szCs w:val="24"/>
        </w:rPr>
        <w:t xml:space="preserve">. Elle </w:t>
      </w:r>
      <w:r>
        <w:rPr>
          <w:rFonts w:ascii="Times New Roman" w:hAnsi="Times New Roman" w:cs="Times New Roman"/>
          <w:sz w:val="24"/>
          <w:szCs w:val="24"/>
        </w:rPr>
        <w:t>identifie</w:t>
      </w:r>
      <w:r w:rsidR="00A50198" w:rsidRPr="00D758CD">
        <w:rPr>
          <w:rFonts w:ascii="Times New Roman" w:hAnsi="Times New Roman" w:cs="Times New Roman"/>
          <w:sz w:val="24"/>
          <w:szCs w:val="24"/>
        </w:rPr>
        <w:t xml:space="preserve"> les diplômes </w:t>
      </w:r>
      <w:r w:rsidR="00311E1E" w:rsidRPr="00D758CD">
        <w:rPr>
          <w:rFonts w:ascii="Times New Roman" w:hAnsi="Times New Roman" w:cs="Times New Roman"/>
          <w:sz w:val="24"/>
          <w:szCs w:val="24"/>
        </w:rPr>
        <w:t xml:space="preserve">les plus soumis au déclassement, les professions exercées par leurs détenteurs et les activités </w:t>
      </w:r>
      <w:r w:rsidR="00A50198" w:rsidRPr="00D758CD">
        <w:rPr>
          <w:rFonts w:ascii="Times New Roman" w:hAnsi="Times New Roman" w:cs="Times New Roman"/>
          <w:sz w:val="24"/>
          <w:szCs w:val="24"/>
        </w:rPr>
        <w:t xml:space="preserve">économiques </w:t>
      </w:r>
      <w:r w:rsidR="0077232E" w:rsidRPr="00D758CD">
        <w:rPr>
          <w:rFonts w:ascii="Times New Roman" w:hAnsi="Times New Roman" w:cs="Times New Roman"/>
          <w:sz w:val="24"/>
          <w:szCs w:val="24"/>
        </w:rPr>
        <w:t xml:space="preserve">des établissements qui </w:t>
      </w:r>
      <w:r w:rsidR="00311E1E" w:rsidRPr="00D758CD">
        <w:rPr>
          <w:rFonts w:ascii="Times New Roman" w:hAnsi="Times New Roman" w:cs="Times New Roman"/>
          <w:sz w:val="24"/>
          <w:szCs w:val="24"/>
        </w:rPr>
        <w:t>les emploient</w:t>
      </w:r>
      <w:r w:rsidR="003159B2">
        <w:rPr>
          <w:rFonts w:ascii="Times New Roman" w:hAnsi="Times New Roman" w:cs="Times New Roman"/>
          <w:sz w:val="24"/>
          <w:szCs w:val="24"/>
        </w:rPr>
        <w:t>.</w:t>
      </w:r>
    </w:p>
    <w:bookmarkEnd w:id="1"/>
    <w:p w:rsidR="009A10CC" w:rsidRPr="00AB366C" w:rsidRDefault="000C3163" w:rsidP="00740D7F">
      <w:pPr>
        <w:pStyle w:val="Titre1"/>
        <w:spacing w:before="120" w:after="120"/>
        <w:rPr>
          <w:rFonts w:ascii="Times New Roman" w:hAnsi="Times New Roman" w:cs="Times New Roman"/>
          <w:b/>
          <w:smallCaps/>
          <w:color w:val="0000FF"/>
          <w:sz w:val="28"/>
          <w:szCs w:val="28"/>
        </w:rPr>
      </w:pPr>
      <w:r w:rsidRPr="00AB366C">
        <w:rPr>
          <w:rFonts w:ascii="Times New Roman" w:hAnsi="Times New Roman" w:cs="Times New Roman"/>
          <w:b/>
          <w:smallCaps/>
          <w:color w:val="0000FF"/>
          <w:sz w:val="28"/>
          <w:szCs w:val="28"/>
        </w:rPr>
        <w:t xml:space="preserve">méthodologie </w:t>
      </w:r>
      <w:r w:rsidR="00DA040E" w:rsidRPr="00AB366C">
        <w:rPr>
          <w:rFonts w:ascii="Times New Roman" w:hAnsi="Times New Roman" w:cs="Times New Roman"/>
          <w:b/>
          <w:smallCaps/>
          <w:color w:val="0000FF"/>
          <w:sz w:val="28"/>
          <w:szCs w:val="28"/>
        </w:rPr>
        <w:t>de l’étude</w:t>
      </w:r>
    </w:p>
    <w:p w:rsidR="00447C2E" w:rsidRDefault="00447C2E" w:rsidP="00E1464D">
      <w:pPr>
        <w:spacing w:before="12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L’</w:t>
      </w:r>
      <w:r w:rsidRPr="004A57F4">
        <w:rPr>
          <w:rFonts w:ascii="Times New Roman" w:hAnsi="Times New Roman" w:cs="Times New Roman"/>
          <w:sz w:val="24"/>
          <w:szCs w:val="24"/>
        </w:rPr>
        <w:t>approche</w:t>
      </w:r>
      <w:r>
        <w:rPr>
          <w:rFonts w:ascii="Times New Roman" w:hAnsi="Times New Roman" w:cs="Times New Roman"/>
          <w:sz w:val="24"/>
          <w:szCs w:val="24"/>
        </w:rPr>
        <w:t xml:space="preserve"> adoptée est </w:t>
      </w:r>
      <w:r w:rsidRPr="004A57F4">
        <w:rPr>
          <w:rFonts w:ascii="Times New Roman" w:hAnsi="Times New Roman" w:cs="Times New Roman"/>
          <w:sz w:val="24"/>
          <w:szCs w:val="24"/>
        </w:rPr>
        <w:t>dite normative</w:t>
      </w:r>
      <w:r>
        <w:rPr>
          <w:rFonts w:ascii="Times New Roman" w:hAnsi="Times New Roman" w:cs="Times New Roman"/>
          <w:sz w:val="24"/>
          <w:szCs w:val="24"/>
        </w:rPr>
        <w:t xml:space="preserve">. Elle </w:t>
      </w:r>
      <w:r w:rsidRPr="004A57F4">
        <w:rPr>
          <w:rFonts w:ascii="Times New Roman" w:hAnsi="Times New Roman" w:cs="Times New Roman"/>
          <w:sz w:val="24"/>
          <w:szCs w:val="24"/>
        </w:rPr>
        <w:t>repose sur la correspondance entre le niveau de formation et le niveau de qualification qu’exige la profession</w:t>
      </w:r>
      <w:r>
        <w:rPr>
          <w:rFonts w:ascii="Times New Roman" w:hAnsi="Times New Roman" w:cs="Times New Roman"/>
          <w:sz w:val="24"/>
          <w:szCs w:val="24"/>
        </w:rPr>
        <w:t xml:space="preserve"> suite à une catégorisation de</w:t>
      </w:r>
      <w:r w:rsidR="00534DBB">
        <w:rPr>
          <w:rFonts w:ascii="Times New Roman" w:hAnsi="Times New Roman" w:cs="Times New Roman"/>
          <w:sz w:val="24"/>
          <w:szCs w:val="24"/>
        </w:rPr>
        <w:t xml:space="preserve"> la population active occupée selon</w:t>
      </w:r>
      <w:r>
        <w:rPr>
          <w:rFonts w:ascii="Times New Roman" w:hAnsi="Times New Roman" w:cs="Times New Roman"/>
          <w:sz w:val="24"/>
          <w:szCs w:val="24"/>
        </w:rPr>
        <w:t xml:space="preserve"> </w:t>
      </w:r>
      <w:r w:rsidRPr="004A57F4">
        <w:rPr>
          <w:rFonts w:ascii="Times New Roman" w:hAnsi="Times New Roman" w:cs="Times New Roman"/>
          <w:sz w:val="24"/>
          <w:szCs w:val="24"/>
        </w:rPr>
        <w:t>la nomenclature analytique des professions 2014 et la nomenclature nationale des diplômes 2014</w:t>
      </w:r>
      <w:r>
        <w:rPr>
          <w:rFonts w:ascii="Times New Roman" w:hAnsi="Times New Roman" w:cs="Times New Roman"/>
          <w:sz w:val="24"/>
          <w:szCs w:val="24"/>
        </w:rPr>
        <w:t xml:space="preserve">. Ces nomenclatures ont été </w:t>
      </w:r>
      <w:r w:rsidRPr="004A57F4">
        <w:rPr>
          <w:rFonts w:ascii="Times New Roman" w:hAnsi="Times New Roman" w:cs="Times New Roman"/>
          <w:sz w:val="24"/>
          <w:szCs w:val="24"/>
        </w:rPr>
        <w:t>révisées en s</w:t>
      </w:r>
      <w:r w:rsidR="00E1464D">
        <w:rPr>
          <w:rFonts w:ascii="Times New Roman" w:hAnsi="Times New Roman" w:cs="Times New Roman"/>
          <w:sz w:val="24"/>
          <w:szCs w:val="24"/>
        </w:rPr>
        <w:t>e référant à</w:t>
      </w:r>
      <w:r w:rsidRPr="004A57F4">
        <w:rPr>
          <w:rFonts w:ascii="Times New Roman" w:hAnsi="Times New Roman" w:cs="Times New Roman"/>
          <w:sz w:val="24"/>
          <w:szCs w:val="24"/>
        </w:rPr>
        <w:t xml:space="preserve"> la classification internationale type des professions (CITP) et </w:t>
      </w:r>
      <w:r w:rsidR="00E1464D">
        <w:rPr>
          <w:rFonts w:ascii="Times New Roman" w:hAnsi="Times New Roman" w:cs="Times New Roman"/>
          <w:sz w:val="24"/>
          <w:szCs w:val="24"/>
        </w:rPr>
        <w:t>à</w:t>
      </w:r>
      <w:r w:rsidRPr="004A57F4">
        <w:rPr>
          <w:rFonts w:ascii="Times New Roman" w:hAnsi="Times New Roman" w:cs="Times New Roman"/>
          <w:sz w:val="24"/>
          <w:szCs w:val="24"/>
        </w:rPr>
        <w:t xml:space="preserve"> la classification internationale type de l’éducation (CITE) et ce dans le but d’assurer la comparabilité des informations au niveau international. </w:t>
      </w:r>
      <w:r w:rsidR="00781DFD">
        <w:rPr>
          <w:rFonts w:ascii="Times New Roman" w:hAnsi="Times New Roman" w:cs="Times New Roman"/>
          <w:sz w:val="24"/>
          <w:szCs w:val="24"/>
        </w:rPr>
        <w:t xml:space="preserve">    </w:t>
      </w:r>
    </w:p>
    <w:p w:rsidR="00E95476" w:rsidRPr="00FD2D46" w:rsidRDefault="0026656B" w:rsidP="00341F38">
      <w:pPr>
        <w:spacing w:before="12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L</w:t>
      </w:r>
      <w:r w:rsidR="00447C2E" w:rsidRPr="00FD2D46">
        <w:rPr>
          <w:rFonts w:ascii="Times New Roman" w:hAnsi="Times New Roman" w:cs="Times New Roman"/>
          <w:sz w:val="24"/>
          <w:szCs w:val="24"/>
        </w:rPr>
        <w:t>a nomenclature nationale des diplômes 2014 a été « </w:t>
      </w:r>
      <w:r w:rsidR="00447C2E" w:rsidRPr="00FD2D46">
        <w:rPr>
          <w:rFonts w:ascii="Times New Roman" w:hAnsi="Times New Roman" w:cs="Times New Roman"/>
          <w:i/>
          <w:iCs/>
          <w:sz w:val="24"/>
          <w:szCs w:val="24"/>
        </w:rPr>
        <w:t>conçue de telle sorte à permettre une ventilation détaillée de la population diplômée selon le niveau de formation et la spécialité d’étude… Apparentée avec la classification des professions, cette nouvelle nomenclature des diplômes devrait faciliter la recherche et l’analyse en matière d’adéquation de la formation avec les besoins du marché de travail</w:t>
      </w:r>
      <w:r w:rsidR="00447C2E" w:rsidRPr="00FD2D46">
        <w:rPr>
          <w:rFonts w:ascii="Times New Roman" w:hAnsi="Times New Roman" w:cs="Times New Roman"/>
          <w:sz w:val="24"/>
          <w:szCs w:val="24"/>
        </w:rPr>
        <w:t>»</w:t>
      </w:r>
      <w:r w:rsidR="00447C2E">
        <w:rPr>
          <w:rFonts w:ascii="Times New Roman" w:hAnsi="Times New Roman" w:cs="Times New Roman"/>
          <w:sz w:val="24"/>
          <w:szCs w:val="24"/>
        </w:rPr>
        <w:t xml:space="preserve"> (HCP, 2014)</w:t>
      </w:r>
      <w:r w:rsidR="00447C2E" w:rsidRPr="00FD2D46">
        <w:rPr>
          <w:rFonts w:ascii="Times New Roman" w:hAnsi="Times New Roman" w:cs="Times New Roman"/>
          <w:sz w:val="24"/>
          <w:szCs w:val="24"/>
        </w:rPr>
        <w:t>. Dans sa mise à jour « </w:t>
      </w:r>
      <w:r w:rsidR="00447C2E" w:rsidRPr="00FD2D46">
        <w:rPr>
          <w:rFonts w:ascii="Times New Roman" w:hAnsi="Times New Roman" w:cs="Times New Roman"/>
          <w:i/>
          <w:iCs/>
          <w:sz w:val="24"/>
          <w:szCs w:val="24"/>
        </w:rPr>
        <w:t>le niveau et la spécialité de la formation représentent les principaux critères de classification</w:t>
      </w:r>
      <w:r w:rsidR="00447C2E" w:rsidRPr="00FD2D46">
        <w:rPr>
          <w:rFonts w:ascii="Times New Roman" w:hAnsi="Times New Roman" w:cs="Times New Roman"/>
          <w:sz w:val="24"/>
          <w:szCs w:val="24"/>
        </w:rPr>
        <w:t> »</w:t>
      </w:r>
      <w:r w:rsidR="00447C2E">
        <w:rPr>
          <w:rFonts w:ascii="Times New Roman" w:hAnsi="Times New Roman" w:cs="Times New Roman"/>
          <w:sz w:val="24"/>
          <w:szCs w:val="24"/>
        </w:rPr>
        <w:t xml:space="preserve"> (HCP,2014)</w:t>
      </w:r>
      <w:r w:rsidR="00FB48C4" w:rsidRPr="00FB48C4">
        <w:rPr>
          <w:rStyle w:val="Appelnotedebasdep"/>
          <w:rFonts w:ascii="Times New Roman" w:hAnsi="Times New Roman" w:cs="Times New Roman"/>
          <w:sz w:val="24"/>
          <w:szCs w:val="24"/>
        </w:rPr>
        <w:t xml:space="preserve"> </w:t>
      </w:r>
      <w:r w:rsidR="00FB48C4" w:rsidRPr="00FD2D46">
        <w:rPr>
          <w:rStyle w:val="Appelnotedebasdep"/>
          <w:rFonts w:ascii="Times New Roman" w:hAnsi="Times New Roman" w:cs="Times New Roman"/>
          <w:sz w:val="24"/>
          <w:szCs w:val="24"/>
        </w:rPr>
        <w:footnoteReference w:id="2"/>
      </w:r>
      <w:r w:rsidR="00447C2E" w:rsidRPr="00FD2D46">
        <w:rPr>
          <w:rFonts w:ascii="Times New Roman" w:hAnsi="Times New Roman" w:cs="Times New Roman"/>
          <w:sz w:val="24"/>
          <w:szCs w:val="24"/>
        </w:rPr>
        <w:t>.</w:t>
      </w:r>
    </w:p>
    <w:p w:rsidR="00E95476" w:rsidRDefault="00447C2E" w:rsidP="00341F38">
      <w:pPr>
        <w:spacing w:before="120" w:after="120" w:line="240" w:lineRule="auto"/>
        <w:ind w:firstLine="709"/>
        <w:jc w:val="both"/>
        <w:rPr>
          <w:rFonts w:ascii="Times New Roman" w:hAnsi="Times New Roman" w:cs="Times New Roman"/>
          <w:sz w:val="24"/>
        </w:rPr>
      </w:pPr>
      <w:r>
        <w:rPr>
          <w:rFonts w:ascii="Times New Roman" w:hAnsi="Times New Roman" w:cs="Times New Roman"/>
          <w:sz w:val="24"/>
        </w:rPr>
        <w:t xml:space="preserve">Dans ce sens, </w:t>
      </w:r>
      <w:r w:rsidR="00E95476">
        <w:rPr>
          <w:rFonts w:ascii="Times New Roman" w:hAnsi="Times New Roman" w:cs="Times New Roman"/>
          <w:sz w:val="24"/>
        </w:rPr>
        <w:t xml:space="preserve">la population active </w:t>
      </w:r>
      <w:r w:rsidR="003B63CA">
        <w:rPr>
          <w:rFonts w:ascii="Times New Roman" w:hAnsi="Times New Roman" w:cs="Times New Roman"/>
          <w:sz w:val="24"/>
        </w:rPr>
        <w:t>occupée</w:t>
      </w:r>
      <w:r w:rsidR="00493B78">
        <w:rPr>
          <w:rStyle w:val="Appelnotedebasdep"/>
          <w:rFonts w:ascii="Times New Roman" w:hAnsi="Times New Roman" w:cs="Times New Roman"/>
          <w:sz w:val="24"/>
        </w:rPr>
        <w:footnoteReference w:id="3"/>
      </w:r>
      <w:r w:rsidR="003B63CA">
        <w:rPr>
          <w:rFonts w:ascii="Times New Roman" w:hAnsi="Times New Roman" w:cs="Times New Roman"/>
          <w:sz w:val="24"/>
        </w:rPr>
        <w:t xml:space="preserve"> </w:t>
      </w:r>
      <w:r w:rsidR="000452CF">
        <w:rPr>
          <w:rFonts w:ascii="Times New Roman" w:hAnsi="Times New Roman" w:cs="Times New Roman"/>
          <w:sz w:val="24"/>
        </w:rPr>
        <w:t xml:space="preserve">a été subdivisée </w:t>
      </w:r>
      <w:r w:rsidR="00E95476">
        <w:rPr>
          <w:rFonts w:ascii="Times New Roman" w:hAnsi="Times New Roman" w:cs="Times New Roman"/>
          <w:sz w:val="24"/>
        </w:rPr>
        <w:t>en trois catégories</w:t>
      </w:r>
      <w:r w:rsidR="000717E4">
        <w:rPr>
          <w:rFonts w:ascii="Times New Roman" w:hAnsi="Times New Roman" w:cs="Times New Roman"/>
          <w:sz w:val="24"/>
        </w:rPr>
        <w:t>, d</w:t>
      </w:r>
      <w:r w:rsidR="00E95476">
        <w:rPr>
          <w:rFonts w:ascii="Times New Roman" w:hAnsi="Times New Roman" w:cs="Times New Roman"/>
          <w:sz w:val="24"/>
        </w:rPr>
        <w:t>’abord selon le « plus haut diplôme obtenu »</w:t>
      </w:r>
      <w:r w:rsidR="00E95476">
        <w:rPr>
          <w:rStyle w:val="Appelnotedebasdep"/>
          <w:rFonts w:ascii="Times New Roman" w:hAnsi="Times New Roman" w:cs="Times New Roman"/>
          <w:sz w:val="24"/>
        </w:rPr>
        <w:footnoteReference w:id="4"/>
      </w:r>
      <w:r w:rsidR="00E95476">
        <w:rPr>
          <w:rFonts w:ascii="Times New Roman" w:hAnsi="Times New Roman" w:cs="Times New Roman"/>
          <w:sz w:val="24"/>
        </w:rPr>
        <w:t xml:space="preserve">, ensuite selon la </w:t>
      </w:r>
      <w:r w:rsidR="00516A53">
        <w:rPr>
          <w:rFonts w:ascii="Times New Roman" w:hAnsi="Times New Roman" w:cs="Times New Roman"/>
          <w:sz w:val="24"/>
        </w:rPr>
        <w:t>« </w:t>
      </w:r>
      <w:r w:rsidR="00E95476">
        <w:rPr>
          <w:rFonts w:ascii="Times New Roman" w:hAnsi="Times New Roman" w:cs="Times New Roman"/>
          <w:sz w:val="24"/>
        </w:rPr>
        <w:t>profession principale</w:t>
      </w:r>
      <w:r w:rsidR="00516A53">
        <w:rPr>
          <w:rFonts w:ascii="Times New Roman" w:hAnsi="Times New Roman" w:cs="Times New Roman"/>
          <w:sz w:val="24"/>
        </w:rPr>
        <w:t> »</w:t>
      </w:r>
      <w:r w:rsidR="00516A53" w:rsidRPr="00516A53">
        <w:rPr>
          <w:rStyle w:val="Appelnotedebasdep"/>
          <w:rFonts w:ascii="Times New Roman" w:hAnsi="Times New Roman" w:cs="Times New Roman"/>
          <w:sz w:val="24"/>
        </w:rPr>
        <w:t xml:space="preserve"> </w:t>
      </w:r>
      <w:r w:rsidR="00516A53">
        <w:rPr>
          <w:rStyle w:val="Appelnotedebasdep"/>
          <w:rFonts w:ascii="Times New Roman" w:hAnsi="Times New Roman" w:cs="Times New Roman"/>
          <w:sz w:val="24"/>
        </w:rPr>
        <w:footnoteReference w:id="5"/>
      </w:r>
      <w:r w:rsidR="00E95476">
        <w:rPr>
          <w:rFonts w:ascii="Times New Roman" w:hAnsi="Times New Roman" w:cs="Times New Roman"/>
          <w:sz w:val="24"/>
        </w:rPr>
        <w:t xml:space="preserve"> exercée lors du recensement de la population et de l’habitat de 2014.</w:t>
      </w:r>
    </w:p>
    <w:p w:rsidR="00DD1A84" w:rsidRDefault="00E95476" w:rsidP="00C975AB">
      <w:pPr>
        <w:spacing w:before="120" w:after="120" w:line="240" w:lineRule="auto"/>
        <w:ind w:firstLine="709"/>
        <w:jc w:val="both"/>
        <w:rPr>
          <w:rFonts w:ascii="Times New Roman" w:hAnsi="Times New Roman" w:cs="Times New Roman"/>
          <w:sz w:val="24"/>
        </w:rPr>
      </w:pPr>
      <w:r>
        <w:rPr>
          <w:rFonts w:ascii="Times New Roman" w:hAnsi="Times New Roman" w:cs="Times New Roman"/>
          <w:sz w:val="24"/>
        </w:rPr>
        <w:lastRenderedPageBreak/>
        <w:t xml:space="preserve">Les trois </w:t>
      </w:r>
      <w:r w:rsidR="00FD227B" w:rsidRPr="004A57F4">
        <w:rPr>
          <w:rFonts w:ascii="Times New Roman" w:hAnsi="Times New Roman" w:cs="Times New Roman"/>
          <w:sz w:val="24"/>
        </w:rPr>
        <w:t>c</w:t>
      </w:r>
      <w:r>
        <w:rPr>
          <w:rFonts w:ascii="Times New Roman" w:hAnsi="Times New Roman" w:cs="Times New Roman"/>
          <w:sz w:val="24"/>
        </w:rPr>
        <w:t xml:space="preserve">atégories </w:t>
      </w:r>
      <w:r w:rsidR="00355536">
        <w:rPr>
          <w:rFonts w:ascii="Times New Roman" w:hAnsi="Times New Roman" w:cs="Times New Roman"/>
          <w:sz w:val="24"/>
        </w:rPr>
        <w:t xml:space="preserve">de formation </w:t>
      </w:r>
      <w:r>
        <w:rPr>
          <w:rFonts w:ascii="Times New Roman" w:hAnsi="Times New Roman" w:cs="Times New Roman"/>
          <w:sz w:val="24"/>
        </w:rPr>
        <w:t xml:space="preserve">de la population active selon </w:t>
      </w:r>
      <w:r w:rsidR="00FD227B" w:rsidRPr="004A57F4">
        <w:rPr>
          <w:rFonts w:ascii="Times New Roman" w:hAnsi="Times New Roman" w:cs="Times New Roman"/>
          <w:sz w:val="24"/>
        </w:rPr>
        <w:t>le</w:t>
      </w:r>
      <w:r w:rsidR="00FD227B">
        <w:rPr>
          <w:rFonts w:ascii="Times New Roman" w:hAnsi="Times New Roman" w:cs="Times New Roman"/>
          <w:sz w:val="24"/>
        </w:rPr>
        <w:t xml:space="preserve"> </w:t>
      </w:r>
      <w:r w:rsidR="009C2973">
        <w:rPr>
          <w:rFonts w:ascii="Times New Roman" w:hAnsi="Times New Roman" w:cs="Times New Roman"/>
          <w:sz w:val="24"/>
        </w:rPr>
        <w:t>« </w:t>
      </w:r>
      <w:r w:rsidR="00FD227B" w:rsidRPr="004A57F4">
        <w:rPr>
          <w:rFonts w:ascii="Times New Roman" w:hAnsi="Times New Roman" w:cs="Times New Roman"/>
          <w:sz w:val="24"/>
        </w:rPr>
        <w:t>plus haut diplôme obtenu</w:t>
      </w:r>
      <w:r w:rsidR="009C2973">
        <w:rPr>
          <w:rFonts w:ascii="Times New Roman" w:hAnsi="Times New Roman" w:cs="Times New Roman"/>
          <w:sz w:val="24"/>
        </w:rPr>
        <w:t> »</w:t>
      </w:r>
      <w:r w:rsidR="00FD227B" w:rsidRPr="004A57F4">
        <w:rPr>
          <w:rFonts w:ascii="Times New Roman" w:hAnsi="Times New Roman" w:cs="Times New Roman"/>
          <w:sz w:val="24"/>
        </w:rPr>
        <w:t xml:space="preserve"> </w:t>
      </w:r>
      <w:r>
        <w:rPr>
          <w:rFonts w:ascii="Times New Roman" w:hAnsi="Times New Roman" w:cs="Times New Roman"/>
          <w:sz w:val="24"/>
        </w:rPr>
        <w:t xml:space="preserve">sont </w:t>
      </w:r>
      <w:r w:rsidR="00C975AB">
        <w:rPr>
          <w:rFonts w:ascii="Times New Roman" w:hAnsi="Times New Roman" w:cs="Times New Roman"/>
          <w:sz w:val="24"/>
        </w:rPr>
        <w:t>comme</w:t>
      </w:r>
      <w:r>
        <w:rPr>
          <w:rFonts w:ascii="Times New Roman" w:hAnsi="Times New Roman" w:cs="Times New Roman"/>
          <w:sz w:val="24"/>
        </w:rPr>
        <w:t xml:space="preserve"> sui</w:t>
      </w:r>
      <w:r w:rsidR="00C975AB">
        <w:rPr>
          <w:rFonts w:ascii="Times New Roman" w:hAnsi="Times New Roman" w:cs="Times New Roman"/>
          <w:sz w:val="24"/>
        </w:rPr>
        <w:t>t</w:t>
      </w:r>
      <w:r w:rsidR="00447C2E">
        <w:rPr>
          <w:rFonts w:ascii="Times New Roman" w:hAnsi="Times New Roman" w:cs="Times New Roman"/>
          <w:sz w:val="24"/>
        </w:rPr>
        <w:t>.</w:t>
      </w:r>
      <w:r w:rsidR="00FD227B" w:rsidRPr="00FD2D46">
        <w:rPr>
          <w:rFonts w:ascii="Times New Roman" w:hAnsi="Times New Roman" w:cs="Times New Roman"/>
          <w:sz w:val="24"/>
        </w:rPr>
        <w:t xml:space="preserve"> </w:t>
      </w:r>
      <w:r w:rsidR="00FD227B">
        <w:rPr>
          <w:rFonts w:ascii="Times New Roman" w:hAnsi="Times New Roman" w:cs="Times New Roman"/>
          <w:sz w:val="24"/>
        </w:rPr>
        <w:t>L</w:t>
      </w:r>
      <w:r w:rsidR="00FD227B" w:rsidRPr="00FD2D46">
        <w:rPr>
          <w:rFonts w:ascii="Times New Roman" w:hAnsi="Times New Roman" w:cs="Times New Roman"/>
          <w:sz w:val="24"/>
        </w:rPr>
        <w:t>a première catégorie est composée des actifs occupés non diplômés</w:t>
      </w:r>
      <w:r w:rsidR="00DD1A84">
        <w:rPr>
          <w:rFonts w:ascii="Times New Roman" w:hAnsi="Times New Roman" w:cs="Times New Roman"/>
          <w:sz w:val="24"/>
        </w:rPr>
        <w:t>,</w:t>
      </w:r>
      <w:r w:rsidR="00FD227B" w:rsidRPr="00FD2D46">
        <w:rPr>
          <w:rFonts w:ascii="Times New Roman" w:hAnsi="Times New Roman" w:cs="Times New Roman"/>
          <w:sz w:val="24"/>
        </w:rPr>
        <w:t xml:space="preserve"> </w:t>
      </w:r>
      <w:r w:rsidR="00FD227B">
        <w:rPr>
          <w:rFonts w:ascii="Times New Roman" w:hAnsi="Times New Roman" w:cs="Times New Roman"/>
          <w:sz w:val="24"/>
        </w:rPr>
        <w:t>des</w:t>
      </w:r>
      <w:r w:rsidR="00FD227B" w:rsidRPr="00FD2D46">
        <w:rPr>
          <w:rFonts w:ascii="Times New Roman" w:hAnsi="Times New Roman" w:cs="Times New Roman"/>
          <w:sz w:val="24"/>
        </w:rPr>
        <w:t xml:space="preserve"> diplôm</w:t>
      </w:r>
      <w:r w:rsidR="00FD227B">
        <w:rPr>
          <w:rFonts w:ascii="Times New Roman" w:hAnsi="Times New Roman" w:cs="Times New Roman"/>
          <w:sz w:val="24"/>
        </w:rPr>
        <w:t>és</w:t>
      </w:r>
      <w:r w:rsidR="00FD227B" w:rsidRPr="00FD2D46">
        <w:rPr>
          <w:rFonts w:ascii="Times New Roman" w:hAnsi="Times New Roman" w:cs="Times New Roman"/>
          <w:sz w:val="24"/>
        </w:rPr>
        <w:t xml:space="preserve"> de l’enseignement primaire</w:t>
      </w:r>
      <w:r w:rsidR="00DD1A84">
        <w:rPr>
          <w:rFonts w:ascii="Times New Roman" w:hAnsi="Times New Roman" w:cs="Times New Roman"/>
          <w:sz w:val="24"/>
        </w:rPr>
        <w:t xml:space="preserve">, </w:t>
      </w:r>
      <w:r w:rsidR="00C64BE6">
        <w:rPr>
          <w:rFonts w:ascii="Times New Roman" w:hAnsi="Times New Roman" w:cs="Times New Roman"/>
          <w:sz w:val="24"/>
        </w:rPr>
        <w:t xml:space="preserve">et </w:t>
      </w:r>
      <w:r w:rsidR="00DD1A84">
        <w:rPr>
          <w:rFonts w:ascii="Times New Roman" w:hAnsi="Times New Roman" w:cs="Times New Roman"/>
          <w:sz w:val="24"/>
        </w:rPr>
        <w:t>des diplômés d’initiation professionnelle</w:t>
      </w:r>
      <w:r w:rsidR="00FD227B" w:rsidRPr="00FD2D46">
        <w:rPr>
          <w:rFonts w:ascii="Times New Roman" w:hAnsi="Times New Roman" w:cs="Times New Roman"/>
          <w:sz w:val="24"/>
        </w:rPr>
        <w:t xml:space="preserve">. </w:t>
      </w:r>
    </w:p>
    <w:p w:rsidR="00C64BE6" w:rsidRDefault="00C64BE6" w:rsidP="009878D3">
      <w:pPr>
        <w:spacing w:before="120" w:after="120" w:line="240" w:lineRule="auto"/>
        <w:ind w:firstLine="709"/>
        <w:jc w:val="both"/>
        <w:rPr>
          <w:rFonts w:ascii="Times New Roman" w:hAnsi="Times New Roman" w:cs="Times New Roman"/>
          <w:sz w:val="24"/>
        </w:rPr>
      </w:pPr>
      <w:r w:rsidRPr="00FD2D46">
        <w:rPr>
          <w:rFonts w:ascii="Times New Roman" w:hAnsi="Times New Roman" w:cs="Times New Roman"/>
          <w:sz w:val="24"/>
        </w:rPr>
        <w:t>La seconde catégorie est constituée des actifs occupés de ni</w:t>
      </w:r>
      <w:r>
        <w:rPr>
          <w:rFonts w:ascii="Times New Roman" w:hAnsi="Times New Roman" w:cs="Times New Roman"/>
          <w:sz w:val="24"/>
        </w:rPr>
        <w:t>veau de formation intermédiaire,</w:t>
      </w:r>
      <w:r w:rsidRPr="00FD2D46">
        <w:rPr>
          <w:rFonts w:ascii="Times New Roman" w:hAnsi="Times New Roman" w:cs="Times New Roman"/>
          <w:sz w:val="24"/>
        </w:rPr>
        <w:t xml:space="preserve"> à savoir </w:t>
      </w:r>
      <w:r>
        <w:rPr>
          <w:rFonts w:ascii="Times New Roman" w:hAnsi="Times New Roman" w:cs="Times New Roman"/>
          <w:sz w:val="24"/>
        </w:rPr>
        <w:t>les</w:t>
      </w:r>
      <w:r w:rsidRPr="00FD2D46">
        <w:rPr>
          <w:rFonts w:ascii="Times New Roman" w:hAnsi="Times New Roman" w:cs="Times New Roman"/>
          <w:sz w:val="24"/>
        </w:rPr>
        <w:t xml:space="preserve"> diplôm</w:t>
      </w:r>
      <w:r>
        <w:rPr>
          <w:rFonts w:ascii="Times New Roman" w:hAnsi="Times New Roman" w:cs="Times New Roman"/>
          <w:sz w:val="24"/>
        </w:rPr>
        <w:t>és</w:t>
      </w:r>
      <w:r w:rsidRPr="00FD2D46">
        <w:rPr>
          <w:rFonts w:ascii="Times New Roman" w:hAnsi="Times New Roman" w:cs="Times New Roman"/>
          <w:sz w:val="24"/>
        </w:rPr>
        <w:t xml:space="preserve"> de l’enseignement collégial</w:t>
      </w:r>
      <w:r>
        <w:rPr>
          <w:rFonts w:ascii="Times New Roman" w:hAnsi="Times New Roman" w:cs="Times New Roman"/>
          <w:sz w:val="24"/>
        </w:rPr>
        <w:t xml:space="preserve">, les diplômés de l’enseignement secondaire, </w:t>
      </w:r>
      <w:r w:rsidR="009878D3">
        <w:rPr>
          <w:rFonts w:ascii="Times New Roman" w:hAnsi="Times New Roman" w:cs="Times New Roman"/>
          <w:sz w:val="24"/>
        </w:rPr>
        <w:t>l</w:t>
      </w:r>
      <w:r>
        <w:rPr>
          <w:rFonts w:ascii="Times New Roman" w:hAnsi="Times New Roman" w:cs="Times New Roman"/>
          <w:sz w:val="24"/>
        </w:rPr>
        <w:t xml:space="preserve">es diplômés de qualification professionnelle et </w:t>
      </w:r>
      <w:r w:rsidR="009878D3">
        <w:rPr>
          <w:rFonts w:ascii="Times New Roman" w:hAnsi="Times New Roman" w:cs="Times New Roman"/>
          <w:sz w:val="24"/>
        </w:rPr>
        <w:t>l</w:t>
      </w:r>
      <w:r>
        <w:rPr>
          <w:rFonts w:ascii="Times New Roman" w:hAnsi="Times New Roman" w:cs="Times New Roman"/>
          <w:sz w:val="24"/>
        </w:rPr>
        <w:t>es diplômés de spécialisation professionnelle.</w:t>
      </w:r>
    </w:p>
    <w:p w:rsidR="00DD1A84" w:rsidRDefault="00C64BE6" w:rsidP="00E71A5A">
      <w:pPr>
        <w:spacing w:before="120" w:after="120" w:line="240" w:lineRule="auto"/>
        <w:ind w:firstLine="709"/>
        <w:jc w:val="both"/>
        <w:rPr>
          <w:rFonts w:ascii="Times New Roman" w:hAnsi="Times New Roman" w:cs="Times New Roman"/>
          <w:sz w:val="24"/>
        </w:rPr>
      </w:pPr>
      <w:r w:rsidRPr="00FD2D46">
        <w:rPr>
          <w:rFonts w:ascii="Times New Roman" w:hAnsi="Times New Roman" w:cs="Times New Roman"/>
          <w:sz w:val="24"/>
        </w:rPr>
        <w:t xml:space="preserve">Enfin la troisième </w:t>
      </w:r>
      <w:r w:rsidR="00A3372A" w:rsidRPr="00FD2D46">
        <w:rPr>
          <w:rFonts w:ascii="Times New Roman" w:hAnsi="Times New Roman" w:cs="Times New Roman"/>
          <w:sz w:val="24"/>
        </w:rPr>
        <w:t xml:space="preserve">catégorie </w:t>
      </w:r>
      <w:r w:rsidR="00FD227B" w:rsidRPr="00FD2D46">
        <w:rPr>
          <w:rFonts w:ascii="Times New Roman" w:hAnsi="Times New Roman" w:cs="Times New Roman"/>
          <w:sz w:val="24"/>
        </w:rPr>
        <w:t>est composée des actifs occupés de niveau de formation élevé</w:t>
      </w:r>
      <w:r w:rsidR="00FD227B">
        <w:rPr>
          <w:rFonts w:ascii="Times New Roman" w:hAnsi="Times New Roman" w:cs="Times New Roman"/>
          <w:sz w:val="24"/>
        </w:rPr>
        <w:t>. Elle englobe</w:t>
      </w:r>
      <w:r w:rsidR="00FD227B" w:rsidRPr="00FD2D46">
        <w:rPr>
          <w:rFonts w:ascii="Times New Roman" w:hAnsi="Times New Roman" w:cs="Times New Roman"/>
          <w:sz w:val="24"/>
        </w:rPr>
        <w:t xml:space="preserve"> </w:t>
      </w:r>
      <w:r w:rsidR="00DD1A84">
        <w:rPr>
          <w:rFonts w:ascii="Times New Roman" w:hAnsi="Times New Roman" w:cs="Times New Roman"/>
          <w:sz w:val="24"/>
        </w:rPr>
        <w:t xml:space="preserve">les diplômés de brevet de technicien supérieur (BTS), </w:t>
      </w:r>
      <w:r w:rsidR="009878D3">
        <w:rPr>
          <w:rFonts w:ascii="Times New Roman" w:hAnsi="Times New Roman" w:cs="Times New Roman"/>
          <w:sz w:val="24"/>
        </w:rPr>
        <w:t>l</w:t>
      </w:r>
      <w:r w:rsidR="00DD1A84">
        <w:rPr>
          <w:rFonts w:ascii="Times New Roman" w:hAnsi="Times New Roman" w:cs="Times New Roman"/>
          <w:sz w:val="24"/>
        </w:rPr>
        <w:t xml:space="preserve">es diplômés des certificats des classes préparatoires aux grandes écoles (CPGE), </w:t>
      </w:r>
      <w:r w:rsidR="009878D3">
        <w:rPr>
          <w:rFonts w:ascii="Times New Roman" w:hAnsi="Times New Roman" w:cs="Times New Roman"/>
          <w:sz w:val="24"/>
        </w:rPr>
        <w:t>l</w:t>
      </w:r>
      <w:r w:rsidR="00DD1A84">
        <w:rPr>
          <w:rFonts w:ascii="Times New Roman" w:hAnsi="Times New Roman" w:cs="Times New Roman"/>
          <w:sz w:val="24"/>
        </w:rPr>
        <w:t>es diplômés du 1</w:t>
      </w:r>
      <w:r w:rsidR="00DD1A84" w:rsidRPr="00DD1A84">
        <w:rPr>
          <w:rFonts w:ascii="Times New Roman" w:hAnsi="Times New Roman" w:cs="Times New Roman"/>
          <w:sz w:val="24"/>
          <w:vertAlign w:val="superscript"/>
        </w:rPr>
        <w:t>er</w:t>
      </w:r>
      <w:r w:rsidR="00DD1A84">
        <w:rPr>
          <w:rFonts w:ascii="Times New Roman" w:hAnsi="Times New Roman" w:cs="Times New Roman"/>
          <w:sz w:val="24"/>
        </w:rPr>
        <w:t xml:space="preserve"> cycle de l’enseignement supérieur et licences, </w:t>
      </w:r>
      <w:r w:rsidR="00E71A5A">
        <w:rPr>
          <w:rFonts w:ascii="Times New Roman" w:hAnsi="Times New Roman" w:cs="Times New Roman"/>
          <w:sz w:val="24"/>
        </w:rPr>
        <w:t>l</w:t>
      </w:r>
      <w:r w:rsidR="00DD1A84">
        <w:rPr>
          <w:rFonts w:ascii="Times New Roman" w:hAnsi="Times New Roman" w:cs="Times New Roman"/>
          <w:sz w:val="24"/>
        </w:rPr>
        <w:t>es diplômés de DE</w:t>
      </w:r>
      <w:r w:rsidR="00D64100">
        <w:rPr>
          <w:rFonts w:ascii="Times New Roman" w:hAnsi="Times New Roman" w:cs="Times New Roman"/>
          <w:sz w:val="24"/>
        </w:rPr>
        <w:t>A</w:t>
      </w:r>
      <w:r w:rsidR="00DD1A84">
        <w:rPr>
          <w:rFonts w:ascii="Times New Roman" w:hAnsi="Times New Roman" w:cs="Times New Roman"/>
          <w:sz w:val="24"/>
        </w:rPr>
        <w:t xml:space="preserve">, DES et Master, </w:t>
      </w:r>
      <w:r w:rsidR="00E71A5A">
        <w:rPr>
          <w:rFonts w:ascii="Times New Roman" w:hAnsi="Times New Roman" w:cs="Times New Roman"/>
          <w:sz w:val="24"/>
        </w:rPr>
        <w:t>l</w:t>
      </w:r>
      <w:r w:rsidR="00DD1A84">
        <w:rPr>
          <w:rFonts w:ascii="Times New Roman" w:hAnsi="Times New Roman" w:cs="Times New Roman"/>
          <w:sz w:val="24"/>
        </w:rPr>
        <w:t xml:space="preserve">es diplômés d’ingénieurs et d’autres diplômes délivrés par les écoles de formation des cadres supérieurs, </w:t>
      </w:r>
      <w:r w:rsidR="00E71A5A">
        <w:rPr>
          <w:rFonts w:ascii="Times New Roman" w:hAnsi="Times New Roman" w:cs="Times New Roman"/>
          <w:sz w:val="24"/>
        </w:rPr>
        <w:t>l</w:t>
      </w:r>
      <w:r w:rsidR="00DD1A84">
        <w:rPr>
          <w:rFonts w:ascii="Times New Roman" w:hAnsi="Times New Roman" w:cs="Times New Roman"/>
          <w:sz w:val="24"/>
        </w:rPr>
        <w:t>es diplômés de doctorats,</w:t>
      </w:r>
      <w:r w:rsidR="00FD227B" w:rsidRPr="00FD2D46">
        <w:rPr>
          <w:rFonts w:ascii="Times New Roman" w:hAnsi="Times New Roman" w:cs="Times New Roman"/>
          <w:sz w:val="24"/>
        </w:rPr>
        <w:t xml:space="preserve"> </w:t>
      </w:r>
      <w:r w:rsidR="00DD1A84">
        <w:rPr>
          <w:rFonts w:ascii="Times New Roman" w:hAnsi="Times New Roman" w:cs="Times New Roman"/>
          <w:sz w:val="24"/>
        </w:rPr>
        <w:t xml:space="preserve">et </w:t>
      </w:r>
      <w:r w:rsidR="00E71A5A">
        <w:rPr>
          <w:rFonts w:ascii="Times New Roman" w:hAnsi="Times New Roman" w:cs="Times New Roman"/>
          <w:sz w:val="24"/>
        </w:rPr>
        <w:t>l</w:t>
      </w:r>
      <w:r w:rsidR="00DD1A84">
        <w:rPr>
          <w:rFonts w:ascii="Times New Roman" w:hAnsi="Times New Roman" w:cs="Times New Roman"/>
          <w:sz w:val="24"/>
        </w:rPr>
        <w:t xml:space="preserve">es lauréats de formation professionnelle tels que les diplômés de techniciens et cadres moyens et </w:t>
      </w:r>
      <w:r w:rsidR="00D64100">
        <w:rPr>
          <w:rFonts w:ascii="Times New Roman" w:hAnsi="Times New Roman" w:cs="Times New Roman"/>
          <w:sz w:val="24"/>
        </w:rPr>
        <w:t>l</w:t>
      </w:r>
      <w:r w:rsidR="00DD1A84">
        <w:rPr>
          <w:rFonts w:ascii="Times New Roman" w:hAnsi="Times New Roman" w:cs="Times New Roman"/>
          <w:sz w:val="24"/>
        </w:rPr>
        <w:t>es diplômés de techniciens spécialisés.</w:t>
      </w:r>
    </w:p>
    <w:p w:rsidR="00FD227B" w:rsidRDefault="00DD7C94" w:rsidP="00E71A5A">
      <w:pPr>
        <w:spacing w:before="120" w:after="120" w:line="240" w:lineRule="auto"/>
        <w:ind w:firstLine="709"/>
        <w:jc w:val="both"/>
        <w:rPr>
          <w:rFonts w:ascii="Times New Roman" w:hAnsi="Times New Roman" w:cs="Times New Roman"/>
          <w:sz w:val="24"/>
        </w:rPr>
      </w:pPr>
      <w:r>
        <w:rPr>
          <w:rFonts w:ascii="Times New Roman" w:hAnsi="Times New Roman" w:cs="Times New Roman"/>
          <w:sz w:val="24"/>
        </w:rPr>
        <w:t xml:space="preserve">Les trois </w:t>
      </w:r>
      <w:r w:rsidR="00FD227B" w:rsidRPr="00FD2D46">
        <w:rPr>
          <w:rFonts w:ascii="Times New Roman" w:hAnsi="Times New Roman" w:cs="Times New Roman"/>
          <w:sz w:val="24"/>
        </w:rPr>
        <w:t xml:space="preserve">catégories </w:t>
      </w:r>
      <w:r w:rsidR="00355536">
        <w:rPr>
          <w:rFonts w:ascii="Times New Roman" w:hAnsi="Times New Roman" w:cs="Times New Roman"/>
          <w:sz w:val="24"/>
        </w:rPr>
        <w:t xml:space="preserve">de qualification </w:t>
      </w:r>
      <w:r w:rsidR="00FD227B" w:rsidRPr="00FD2D46">
        <w:rPr>
          <w:rFonts w:ascii="Times New Roman" w:hAnsi="Times New Roman" w:cs="Times New Roman"/>
          <w:sz w:val="24"/>
        </w:rPr>
        <w:t>selon l</w:t>
      </w:r>
      <w:r>
        <w:rPr>
          <w:rFonts w:ascii="Times New Roman" w:hAnsi="Times New Roman" w:cs="Times New Roman"/>
          <w:sz w:val="24"/>
        </w:rPr>
        <w:t>a « profession principale »</w:t>
      </w:r>
      <w:r w:rsidRPr="00DD7C94">
        <w:rPr>
          <w:rStyle w:val="Appelnotedebasdep"/>
          <w:rFonts w:ascii="Times New Roman" w:hAnsi="Times New Roman" w:cs="Times New Roman"/>
          <w:sz w:val="24"/>
        </w:rPr>
        <w:t xml:space="preserve"> </w:t>
      </w:r>
      <w:r>
        <w:rPr>
          <w:rFonts w:ascii="Times New Roman" w:hAnsi="Times New Roman" w:cs="Times New Roman"/>
          <w:sz w:val="24"/>
        </w:rPr>
        <w:t xml:space="preserve">sont </w:t>
      </w:r>
      <w:r w:rsidR="00C975AB">
        <w:rPr>
          <w:rFonts w:ascii="Times New Roman" w:hAnsi="Times New Roman" w:cs="Times New Roman"/>
          <w:sz w:val="24"/>
        </w:rPr>
        <w:t>comme</w:t>
      </w:r>
      <w:r>
        <w:rPr>
          <w:rFonts w:ascii="Times New Roman" w:hAnsi="Times New Roman" w:cs="Times New Roman"/>
          <w:sz w:val="24"/>
        </w:rPr>
        <w:t xml:space="preserve"> suit</w:t>
      </w:r>
      <w:r w:rsidR="00FD227B" w:rsidRPr="00FD2D46">
        <w:rPr>
          <w:rFonts w:ascii="Times New Roman" w:hAnsi="Times New Roman" w:cs="Times New Roman"/>
          <w:sz w:val="24"/>
        </w:rPr>
        <w:t>.</w:t>
      </w:r>
      <w:r w:rsidR="00794F71">
        <w:rPr>
          <w:rFonts w:ascii="Times New Roman" w:hAnsi="Times New Roman" w:cs="Times New Roman"/>
          <w:sz w:val="24"/>
        </w:rPr>
        <w:t xml:space="preserve"> La première catégorie englobe</w:t>
      </w:r>
      <w:r w:rsidR="00E71A5A">
        <w:rPr>
          <w:rFonts w:ascii="Times New Roman" w:hAnsi="Times New Roman" w:cs="Times New Roman"/>
          <w:sz w:val="24"/>
        </w:rPr>
        <w:t xml:space="preserve"> </w:t>
      </w:r>
      <w:r w:rsidR="00347CBD">
        <w:rPr>
          <w:rFonts w:ascii="Times New Roman" w:hAnsi="Times New Roman" w:cs="Times New Roman"/>
          <w:sz w:val="24"/>
        </w:rPr>
        <w:t xml:space="preserve">les </w:t>
      </w:r>
      <w:r w:rsidR="00E71A5A">
        <w:rPr>
          <w:rFonts w:ascii="Times New Roman" w:hAnsi="Times New Roman" w:cs="Times New Roman"/>
          <w:sz w:val="24"/>
        </w:rPr>
        <w:t>«</w:t>
      </w:r>
      <w:r w:rsidR="00347CBD">
        <w:rPr>
          <w:rFonts w:ascii="Times New Roman" w:hAnsi="Times New Roman" w:cs="Times New Roman"/>
          <w:sz w:val="24"/>
        </w:rPr>
        <w:t>manœuvres non agricoles,</w:t>
      </w:r>
      <w:r w:rsidR="00347CBD" w:rsidRPr="00347CBD">
        <w:rPr>
          <w:rFonts w:ascii="Times New Roman" w:hAnsi="Times New Roman" w:cs="Times New Roman"/>
          <w:sz w:val="24"/>
        </w:rPr>
        <w:t xml:space="preserve"> </w:t>
      </w:r>
      <w:r w:rsidR="00347CBD">
        <w:rPr>
          <w:rFonts w:ascii="Times New Roman" w:hAnsi="Times New Roman" w:cs="Times New Roman"/>
          <w:sz w:val="24"/>
        </w:rPr>
        <w:t>manutentionnaires et travailleurs des petits métiers</w:t>
      </w:r>
      <w:r w:rsidR="007D1824">
        <w:rPr>
          <w:rFonts w:ascii="Times New Roman" w:hAnsi="Times New Roman" w:cs="Times New Roman"/>
          <w:sz w:val="24"/>
        </w:rPr>
        <w:t> »</w:t>
      </w:r>
      <w:r w:rsidR="00347CBD">
        <w:rPr>
          <w:rFonts w:ascii="Times New Roman" w:hAnsi="Times New Roman" w:cs="Times New Roman"/>
          <w:sz w:val="24"/>
        </w:rPr>
        <w:t xml:space="preserve">, les </w:t>
      </w:r>
      <w:r w:rsidR="00E71A5A">
        <w:rPr>
          <w:rFonts w:ascii="Times New Roman" w:hAnsi="Times New Roman" w:cs="Times New Roman"/>
          <w:sz w:val="24"/>
        </w:rPr>
        <w:t>« </w:t>
      </w:r>
      <w:r w:rsidR="00347CBD">
        <w:rPr>
          <w:rFonts w:ascii="Times New Roman" w:hAnsi="Times New Roman" w:cs="Times New Roman"/>
          <w:sz w:val="24"/>
        </w:rPr>
        <w:t>ouvriers et manœuvres agricoles et de la pêche</w:t>
      </w:r>
      <w:r w:rsidR="007D1824">
        <w:rPr>
          <w:rFonts w:ascii="Times New Roman" w:hAnsi="Times New Roman" w:cs="Times New Roman"/>
          <w:sz w:val="24"/>
        </w:rPr>
        <w:t> »</w:t>
      </w:r>
      <w:r w:rsidR="00347CBD">
        <w:rPr>
          <w:rFonts w:ascii="Times New Roman" w:hAnsi="Times New Roman" w:cs="Times New Roman"/>
          <w:sz w:val="24"/>
        </w:rPr>
        <w:t>,</w:t>
      </w:r>
      <w:r w:rsidR="008652A6">
        <w:rPr>
          <w:rFonts w:ascii="Times New Roman" w:hAnsi="Times New Roman" w:cs="Times New Roman"/>
          <w:sz w:val="24"/>
        </w:rPr>
        <w:t xml:space="preserve"> les </w:t>
      </w:r>
      <w:r w:rsidR="00E71A5A">
        <w:rPr>
          <w:rFonts w:ascii="Times New Roman" w:hAnsi="Times New Roman" w:cs="Times New Roman"/>
          <w:sz w:val="24"/>
        </w:rPr>
        <w:t>« </w:t>
      </w:r>
      <w:r w:rsidR="006E11E8">
        <w:rPr>
          <w:rFonts w:ascii="Times New Roman" w:hAnsi="Times New Roman" w:cs="Times New Roman"/>
          <w:sz w:val="24"/>
        </w:rPr>
        <w:t xml:space="preserve">ouvriers et </w:t>
      </w:r>
      <w:r w:rsidR="008652A6">
        <w:rPr>
          <w:rFonts w:ascii="Times New Roman" w:hAnsi="Times New Roman" w:cs="Times New Roman"/>
          <w:sz w:val="24"/>
        </w:rPr>
        <w:t>manœuvres agricoles</w:t>
      </w:r>
      <w:r w:rsidR="007D1824">
        <w:rPr>
          <w:rFonts w:ascii="Times New Roman" w:hAnsi="Times New Roman" w:cs="Times New Roman"/>
          <w:sz w:val="24"/>
        </w:rPr>
        <w:t> »</w:t>
      </w:r>
      <w:r w:rsidR="008652A6">
        <w:rPr>
          <w:rFonts w:ascii="Times New Roman" w:hAnsi="Times New Roman" w:cs="Times New Roman"/>
          <w:sz w:val="24"/>
        </w:rPr>
        <w:t xml:space="preserve">, </w:t>
      </w:r>
      <w:r w:rsidR="006E11E8">
        <w:rPr>
          <w:rFonts w:ascii="Times New Roman" w:hAnsi="Times New Roman" w:cs="Times New Roman"/>
          <w:sz w:val="24"/>
        </w:rPr>
        <w:t xml:space="preserve">les </w:t>
      </w:r>
      <w:r w:rsidR="00E71A5A">
        <w:rPr>
          <w:rFonts w:ascii="Times New Roman" w:hAnsi="Times New Roman" w:cs="Times New Roman"/>
          <w:sz w:val="24"/>
        </w:rPr>
        <w:t>« </w:t>
      </w:r>
      <w:r w:rsidR="006E11E8">
        <w:rPr>
          <w:rFonts w:ascii="Times New Roman" w:hAnsi="Times New Roman" w:cs="Times New Roman"/>
          <w:sz w:val="24"/>
        </w:rPr>
        <w:t>ouvriers et manœuvres de la pêche</w:t>
      </w:r>
      <w:r w:rsidR="007D1824">
        <w:rPr>
          <w:rFonts w:ascii="Times New Roman" w:hAnsi="Times New Roman" w:cs="Times New Roman"/>
          <w:sz w:val="24"/>
        </w:rPr>
        <w:t> »</w:t>
      </w:r>
      <w:r w:rsidR="006E11E8">
        <w:rPr>
          <w:rFonts w:ascii="Times New Roman" w:hAnsi="Times New Roman" w:cs="Times New Roman"/>
          <w:sz w:val="24"/>
        </w:rPr>
        <w:t xml:space="preserve">, et les </w:t>
      </w:r>
      <w:r w:rsidR="00E71A5A">
        <w:rPr>
          <w:rFonts w:ascii="Times New Roman" w:hAnsi="Times New Roman" w:cs="Times New Roman"/>
          <w:sz w:val="24"/>
        </w:rPr>
        <w:t>« </w:t>
      </w:r>
      <w:r w:rsidR="006E11E8">
        <w:rPr>
          <w:rFonts w:ascii="Times New Roman" w:hAnsi="Times New Roman" w:cs="Times New Roman"/>
          <w:sz w:val="24"/>
        </w:rPr>
        <w:t>ouvriers et manœuvres forestiers et ouvriers de la chasse</w:t>
      </w:r>
      <w:r w:rsidR="007D1824">
        <w:rPr>
          <w:rFonts w:ascii="Times New Roman" w:hAnsi="Times New Roman" w:cs="Times New Roman"/>
          <w:sz w:val="24"/>
        </w:rPr>
        <w:t> »</w:t>
      </w:r>
      <w:r w:rsidR="006E11E8">
        <w:rPr>
          <w:rFonts w:ascii="Times New Roman" w:hAnsi="Times New Roman" w:cs="Times New Roman"/>
          <w:sz w:val="24"/>
        </w:rPr>
        <w:t>.</w:t>
      </w:r>
    </w:p>
    <w:p w:rsidR="00366BE7" w:rsidRDefault="00366BE7" w:rsidP="00D65B5F">
      <w:pPr>
        <w:spacing w:before="120" w:after="120" w:line="240" w:lineRule="auto"/>
        <w:ind w:firstLine="709"/>
        <w:jc w:val="both"/>
        <w:rPr>
          <w:rFonts w:ascii="Times New Roman" w:hAnsi="Times New Roman" w:cs="Times New Roman"/>
          <w:sz w:val="24"/>
        </w:rPr>
      </w:pPr>
      <w:r>
        <w:rPr>
          <w:rFonts w:ascii="Times New Roman" w:hAnsi="Times New Roman" w:cs="Times New Roman"/>
          <w:sz w:val="24"/>
        </w:rPr>
        <w:t xml:space="preserve">La deuxième catégorie comprend les </w:t>
      </w:r>
      <w:r w:rsidR="00D65B5F">
        <w:rPr>
          <w:rFonts w:ascii="Times New Roman" w:hAnsi="Times New Roman" w:cs="Times New Roman"/>
          <w:sz w:val="24"/>
        </w:rPr>
        <w:t>« </w:t>
      </w:r>
      <w:r>
        <w:rPr>
          <w:rFonts w:ascii="Times New Roman" w:hAnsi="Times New Roman" w:cs="Times New Roman"/>
          <w:sz w:val="24"/>
        </w:rPr>
        <w:t xml:space="preserve">employés », les </w:t>
      </w:r>
      <w:r w:rsidR="00D65B5F">
        <w:rPr>
          <w:rFonts w:ascii="Times New Roman" w:hAnsi="Times New Roman" w:cs="Times New Roman"/>
          <w:sz w:val="24"/>
        </w:rPr>
        <w:t>« </w:t>
      </w:r>
      <w:r>
        <w:rPr>
          <w:rFonts w:ascii="Times New Roman" w:hAnsi="Times New Roman" w:cs="Times New Roman"/>
          <w:sz w:val="24"/>
        </w:rPr>
        <w:t xml:space="preserve">commerçants et intermédiaires commerciaux et financiers », les </w:t>
      </w:r>
      <w:r w:rsidR="00D65B5F">
        <w:rPr>
          <w:rFonts w:ascii="Times New Roman" w:hAnsi="Times New Roman" w:cs="Times New Roman"/>
          <w:sz w:val="24"/>
        </w:rPr>
        <w:t>« </w:t>
      </w:r>
      <w:r>
        <w:rPr>
          <w:rFonts w:ascii="Times New Roman" w:hAnsi="Times New Roman" w:cs="Times New Roman"/>
          <w:sz w:val="24"/>
        </w:rPr>
        <w:t xml:space="preserve">exploitants agricoles, pêcheurs de poissons et d’autre espèces aquatiques, forestiers, chasseurs et travailleurs assimilés », les </w:t>
      </w:r>
      <w:r w:rsidR="00D65B5F">
        <w:rPr>
          <w:rFonts w:ascii="Times New Roman" w:hAnsi="Times New Roman" w:cs="Times New Roman"/>
          <w:sz w:val="24"/>
        </w:rPr>
        <w:t>« </w:t>
      </w:r>
      <w:r>
        <w:rPr>
          <w:rFonts w:ascii="Times New Roman" w:hAnsi="Times New Roman" w:cs="Times New Roman"/>
          <w:sz w:val="24"/>
        </w:rPr>
        <w:t xml:space="preserve">artisans et ouvriers qualifiés des métiers artisanaux (non compris les ouvriers de l’agriculture) », les </w:t>
      </w:r>
      <w:r w:rsidR="00D65B5F">
        <w:rPr>
          <w:rFonts w:ascii="Times New Roman" w:hAnsi="Times New Roman" w:cs="Times New Roman"/>
          <w:sz w:val="24"/>
        </w:rPr>
        <w:t>« </w:t>
      </w:r>
      <w:r>
        <w:rPr>
          <w:rFonts w:ascii="Times New Roman" w:hAnsi="Times New Roman" w:cs="Times New Roman"/>
          <w:sz w:val="24"/>
        </w:rPr>
        <w:t>ouvriers qualifiés de l’agriculture, de la forêt et de la pêche diplôm</w:t>
      </w:r>
      <w:r w:rsidR="00355536">
        <w:rPr>
          <w:rFonts w:ascii="Times New Roman" w:hAnsi="Times New Roman" w:cs="Times New Roman"/>
          <w:sz w:val="24"/>
        </w:rPr>
        <w:t>é</w:t>
      </w:r>
      <w:r>
        <w:rPr>
          <w:rFonts w:ascii="Times New Roman" w:hAnsi="Times New Roman" w:cs="Times New Roman"/>
          <w:sz w:val="24"/>
        </w:rPr>
        <w:t>s de la formation professionnelle (niveau qualification ou spécialisation) »</w:t>
      </w:r>
      <w:r w:rsidR="00E21E3F">
        <w:rPr>
          <w:rFonts w:ascii="Times New Roman" w:hAnsi="Times New Roman" w:cs="Times New Roman"/>
          <w:sz w:val="24"/>
        </w:rPr>
        <w:t xml:space="preserve">, et les </w:t>
      </w:r>
      <w:r w:rsidR="00D65B5F">
        <w:rPr>
          <w:rFonts w:ascii="Times New Roman" w:hAnsi="Times New Roman" w:cs="Times New Roman"/>
          <w:sz w:val="24"/>
        </w:rPr>
        <w:t>« </w:t>
      </w:r>
      <w:r w:rsidR="00E21E3F">
        <w:rPr>
          <w:rFonts w:ascii="Times New Roman" w:hAnsi="Times New Roman" w:cs="Times New Roman"/>
          <w:sz w:val="24"/>
        </w:rPr>
        <w:t>conducteurs d’installations et de machines et ouvriers de l’assemblage »</w:t>
      </w:r>
      <w:r>
        <w:rPr>
          <w:rFonts w:ascii="Times New Roman" w:hAnsi="Times New Roman" w:cs="Times New Roman"/>
          <w:sz w:val="24"/>
        </w:rPr>
        <w:t>.</w:t>
      </w:r>
    </w:p>
    <w:p w:rsidR="00366BE7" w:rsidRDefault="00E21E3F" w:rsidP="00AF65B1">
      <w:pPr>
        <w:spacing w:before="120" w:after="120" w:line="240" w:lineRule="auto"/>
        <w:ind w:firstLine="709"/>
        <w:jc w:val="both"/>
        <w:rPr>
          <w:rFonts w:ascii="Times New Roman" w:hAnsi="Times New Roman" w:cs="Times New Roman"/>
          <w:sz w:val="24"/>
        </w:rPr>
      </w:pPr>
      <w:r>
        <w:rPr>
          <w:rFonts w:ascii="Times New Roman" w:hAnsi="Times New Roman" w:cs="Times New Roman"/>
          <w:sz w:val="24"/>
        </w:rPr>
        <w:t xml:space="preserve">La troisième catégorie englobe </w:t>
      </w:r>
      <w:r w:rsidR="00597303">
        <w:rPr>
          <w:rFonts w:ascii="Times New Roman" w:hAnsi="Times New Roman" w:cs="Times New Roman"/>
          <w:sz w:val="24"/>
        </w:rPr>
        <w:t xml:space="preserve">les </w:t>
      </w:r>
      <w:r w:rsidR="00AF65B1">
        <w:rPr>
          <w:rFonts w:ascii="Times New Roman" w:hAnsi="Times New Roman" w:cs="Times New Roman"/>
          <w:sz w:val="24"/>
        </w:rPr>
        <w:t>« </w:t>
      </w:r>
      <w:r w:rsidR="00597303">
        <w:rPr>
          <w:rFonts w:ascii="Times New Roman" w:hAnsi="Times New Roman" w:cs="Times New Roman"/>
          <w:sz w:val="24"/>
        </w:rPr>
        <w:t xml:space="preserve">membres des corps législatifs, élus locaux, responsables hiérarchiques de la fonction publique et directeurs et cadres de direction d’entreprises »,  les </w:t>
      </w:r>
      <w:r w:rsidR="00AF65B1">
        <w:rPr>
          <w:rFonts w:ascii="Times New Roman" w:hAnsi="Times New Roman" w:cs="Times New Roman"/>
          <w:sz w:val="24"/>
        </w:rPr>
        <w:t>« </w:t>
      </w:r>
      <w:r w:rsidR="00597303">
        <w:rPr>
          <w:rFonts w:ascii="Times New Roman" w:hAnsi="Times New Roman" w:cs="Times New Roman"/>
          <w:sz w:val="24"/>
        </w:rPr>
        <w:t xml:space="preserve">cadres supérieurs et membres des professions libérales », et les </w:t>
      </w:r>
      <w:r w:rsidR="00AF65B1">
        <w:rPr>
          <w:rFonts w:ascii="Times New Roman" w:hAnsi="Times New Roman" w:cs="Times New Roman"/>
          <w:sz w:val="24"/>
        </w:rPr>
        <w:t>« </w:t>
      </w:r>
      <w:r w:rsidR="00597303">
        <w:rPr>
          <w:rFonts w:ascii="Times New Roman" w:hAnsi="Times New Roman" w:cs="Times New Roman"/>
          <w:sz w:val="24"/>
        </w:rPr>
        <w:t>techniciens et professions intermédiaires ».</w:t>
      </w:r>
    </w:p>
    <w:p w:rsidR="00CF19AD" w:rsidRDefault="00FD227B" w:rsidP="00906834">
      <w:pPr>
        <w:keepLines/>
        <w:spacing w:before="12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Ainsi, u</w:t>
      </w:r>
      <w:r w:rsidRPr="004A57F4">
        <w:rPr>
          <w:rFonts w:ascii="Times New Roman" w:hAnsi="Times New Roman" w:cs="Times New Roman"/>
          <w:sz w:val="24"/>
          <w:szCs w:val="24"/>
        </w:rPr>
        <w:t xml:space="preserve">ne personne active est considérée comme déclassée lorsque son niveau de formation ou d’éducation est supérieur au niveau de qualification théoriquement requis pour la profession exercée. De la même façon sont considérés les cas de surclassement si le diplôme est en deçà des exigences, et d’adéquation si le niveau du diplôme est en conformité </w:t>
      </w:r>
      <w:r w:rsidRPr="006B7E9A">
        <w:rPr>
          <w:rFonts w:ascii="Times New Roman" w:hAnsi="Times New Roman" w:cs="Times New Roman"/>
          <w:sz w:val="24"/>
          <w:szCs w:val="24"/>
        </w:rPr>
        <w:t>avec le niveau de qualification exigé.</w:t>
      </w:r>
    </w:p>
    <w:p w:rsidR="00756DE0" w:rsidRPr="00AB366C" w:rsidRDefault="00756DE0" w:rsidP="006D1475">
      <w:pPr>
        <w:keepNext/>
        <w:keepLines/>
        <w:spacing w:before="120" w:after="120" w:line="240" w:lineRule="auto"/>
        <w:jc w:val="both"/>
        <w:rPr>
          <w:rFonts w:ascii="Times New Roman" w:hAnsi="Times New Roman" w:cs="Times New Roman"/>
          <w:b/>
          <w:bCs/>
          <w:smallCaps/>
          <w:color w:val="0000FF"/>
          <w:sz w:val="28"/>
          <w:szCs w:val="24"/>
        </w:rPr>
      </w:pPr>
      <w:r w:rsidRPr="00AB366C">
        <w:rPr>
          <w:rFonts w:ascii="Times New Roman" w:hAnsi="Times New Roman" w:cs="Times New Roman"/>
          <w:b/>
          <w:bCs/>
          <w:smallCaps/>
          <w:color w:val="0000FF"/>
          <w:sz w:val="28"/>
          <w:szCs w:val="24"/>
        </w:rPr>
        <w:lastRenderedPageBreak/>
        <w:t>L</w:t>
      </w:r>
      <w:r w:rsidR="00955043">
        <w:rPr>
          <w:rFonts w:ascii="Times New Roman" w:hAnsi="Times New Roman" w:cs="Times New Roman"/>
          <w:b/>
          <w:bCs/>
          <w:smallCaps/>
          <w:color w:val="0000FF"/>
          <w:sz w:val="28"/>
          <w:szCs w:val="24"/>
        </w:rPr>
        <w:t xml:space="preserve">a population active </w:t>
      </w:r>
      <w:r w:rsidRPr="00AB366C">
        <w:rPr>
          <w:rFonts w:ascii="Times New Roman" w:hAnsi="Times New Roman" w:cs="Times New Roman"/>
          <w:b/>
          <w:bCs/>
          <w:smallCaps/>
          <w:color w:val="0000FF"/>
          <w:sz w:val="28"/>
          <w:szCs w:val="24"/>
        </w:rPr>
        <w:t>par diplôme</w:t>
      </w:r>
    </w:p>
    <w:p w:rsidR="005D3AA6" w:rsidRPr="00291FE4" w:rsidRDefault="00291FE4" w:rsidP="00CF19AD">
      <w:pPr>
        <w:pStyle w:val="Titre1"/>
        <w:spacing w:before="120" w:after="120"/>
        <w:rPr>
          <w:rFonts w:ascii="Times New Roman" w:hAnsi="Times New Roman" w:cs="Times New Roman"/>
          <w:b/>
          <w:i/>
          <w:iCs/>
          <w:color w:val="0000FF"/>
          <w:sz w:val="24"/>
          <w:szCs w:val="24"/>
        </w:rPr>
      </w:pPr>
      <w:r w:rsidRPr="00291FE4">
        <w:rPr>
          <w:rFonts w:ascii="Times New Roman" w:hAnsi="Times New Roman" w:cs="Times New Roman"/>
          <w:b/>
          <w:i/>
          <w:iCs/>
          <w:color w:val="0000FF"/>
          <w:sz w:val="24"/>
          <w:szCs w:val="24"/>
        </w:rPr>
        <w:t>Plus</w:t>
      </w:r>
      <w:r w:rsidR="00402F60" w:rsidRPr="00291FE4">
        <w:rPr>
          <w:rFonts w:ascii="Times New Roman" w:hAnsi="Times New Roman" w:cs="Times New Roman"/>
          <w:b/>
          <w:i/>
          <w:iCs/>
          <w:color w:val="0000FF"/>
          <w:sz w:val="24"/>
          <w:szCs w:val="24"/>
        </w:rPr>
        <w:t xml:space="preserve"> </w:t>
      </w:r>
      <w:r w:rsidR="00AB366C">
        <w:rPr>
          <w:rFonts w:ascii="Times New Roman" w:hAnsi="Times New Roman" w:cs="Times New Roman"/>
          <w:b/>
          <w:i/>
          <w:iCs/>
          <w:color w:val="0000FF"/>
          <w:sz w:val="24"/>
          <w:szCs w:val="24"/>
        </w:rPr>
        <w:t>l</w:t>
      </w:r>
      <w:r w:rsidR="00402F60" w:rsidRPr="00291FE4">
        <w:rPr>
          <w:rFonts w:ascii="Times New Roman" w:hAnsi="Times New Roman" w:cs="Times New Roman"/>
          <w:b/>
          <w:i/>
          <w:iCs/>
          <w:color w:val="0000FF"/>
          <w:sz w:val="24"/>
          <w:szCs w:val="24"/>
        </w:rPr>
        <w:t xml:space="preserve">e </w:t>
      </w:r>
      <w:r w:rsidR="00AB366C">
        <w:rPr>
          <w:rFonts w:ascii="Times New Roman" w:hAnsi="Times New Roman" w:cs="Times New Roman"/>
          <w:b/>
          <w:i/>
          <w:iCs/>
          <w:color w:val="0000FF"/>
          <w:sz w:val="24"/>
          <w:szCs w:val="24"/>
        </w:rPr>
        <w:t>diplôme de l’enseignement général est élevé plus le taux de chômage est faible</w:t>
      </w:r>
    </w:p>
    <w:p w:rsidR="00F72B19" w:rsidRDefault="000C029B" w:rsidP="00EF4C05">
      <w:pPr>
        <w:keepNext/>
        <w:keepLines/>
        <w:spacing w:before="120" w:after="120" w:line="240" w:lineRule="auto"/>
        <w:ind w:firstLine="709"/>
        <w:jc w:val="both"/>
        <w:rPr>
          <w:rFonts w:ascii="Times New Roman" w:hAnsi="Times New Roman" w:cs="Times New Roman"/>
          <w:sz w:val="24"/>
          <w:szCs w:val="24"/>
        </w:rPr>
      </w:pPr>
      <w:r w:rsidRPr="001649FA">
        <w:rPr>
          <w:rFonts w:ascii="Times New Roman" w:hAnsi="Times New Roman" w:cs="Times New Roman"/>
          <w:sz w:val="24"/>
          <w:szCs w:val="24"/>
        </w:rPr>
        <w:t>P</w:t>
      </w:r>
      <w:r w:rsidR="00E65EF5" w:rsidRPr="001649FA">
        <w:rPr>
          <w:rFonts w:ascii="Times New Roman" w:hAnsi="Times New Roman" w:cs="Times New Roman"/>
          <w:sz w:val="24"/>
          <w:szCs w:val="24"/>
        </w:rPr>
        <w:t xml:space="preserve">lus de la moitié </w:t>
      </w:r>
      <w:r w:rsidR="001639B4" w:rsidRPr="001649FA">
        <w:rPr>
          <w:rFonts w:ascii="Times New Roman" w:hAnsi="Times New Roman" w:cs="Times New Roman"/>
          <w:sz w:val="24"/>
          <w:szCs w:val="24"/>
        </w:rPr>
        <w:t xml:space="preserve">de la population active occupée </w:t>
      </w:r>
      <w:r w:rsidR="00E65EF5" w:rsidRPr="001649FA">
        <w:rPr>
          <w:rFonts w:ascii="Times New Roman" w:hAnsi="Times New Roman" w:cs="Times New Roman"/>
          <w:sz w:val="24"/>
          <w:szCs w:val="24"/>
        </w:rPr>
        <w:t>(52,</w:t>
      </w:r>
      <w:r w:rsidR="006F2F60">
        <w:rPr>
          <w:rFonts w:ascii="Times New Roman" w:hAnsi="Times New Roman" w:cs="Times New Roman"/>
          <w:sz w:val="24"/>
          <w:szCs w:val="24"/>
        </w:rPr>
        <w:t>2</w:t>
      </w:r>
      <w:r w:rsidR="00E65EF5" w:rsidRPr="001649FA">
        <w:rPr>
          <w:rFonts w:ascii="Times New Roman" w:hAnsi="Times New Roman" w:cs="Times New Roman"/>
          <w:sz w:val="24"/>
          <w:szCs w:val="24"/>
        </w:rPr>
        <w:t xml:space="preserve">%) ne détient </w:t>
      </w:r>
      <w:r w:rsidR="000F0871" w:rsidRPr="001649FA">
        <w:rPr>
          <w:rFonts w:ascii="Times New Roman" w:hAnsi="Times New Roman" w:cs="Times New Roman"/>
          <w:sz w:val="24"/>
          <w:szCs w:val="24"/>
        </w:rPr>
        <w:t>aucun</w:t>
      </w:r>
      <w:r w:rsidR="00E65EF5" w:rsidRPr="001649FA">
        <w:rPr>
          <w:rFonts w:ascii="Times New Roman" w:hAnsi="Times New Roman" w:cs="Times New Roman"/>
          <w:sz w:val="24"/>
          <w:szCs w:val="24"/>
        </w:rPr>
        <w:t xml:space="preserve"> diplôme</w:t>
      </w:r>
      <w:r w:rsidR="007E4B5B">
        <w:rPr>
          <w:rFonts w:ascii="Times New Roman" w:hAnsi="Times New Roman" w:cs="Times New Roman"/>
          <w:sz w:val="24"/>
          <w:szCs w:val="24"/>
        </w:rPr>
        <w:t xml:space="preserve"> contre </w:t>
      </w:r>
      <w:r w:rsidR="006F2F60">
        <w:rPr>
          <w:rFonts w:ascii="Times New Roman" w:hAnsi="Times New Roman" w:cs="Times New Roman"/>
          <w:sz w:val="24"/>
          <w:szCs w:val="24"/>
        </w:rPr>
        <w:t>34</w:t>
      </w:r>
      <w:r w:rsidR="007E4B5B">
        <w:rPr>
          <w:rFonts w:ascii="Times New Roman" w:hAnsi="Times New Roman" w:cs="Times New Roman"/>
          <w:sz w:val="24"/>
          <w:szCs w:val="24"/>
        </w:rPr>
        <w:t>,</w:t>
      </w:r>
      <w:r w:rsidR="009440CE">
        <w:rPr>
          <w:rFonts w:ascii="Times New Roman" w:hAnsi="Times New Roman" w:cs="Times New Roman"/>
          <w:sz w:val="24"/>
          <w:szCs w:val="24"/>
        </w:rPr>
        <w:t>2</w:t>
      </w:r>
      <w:r w:rsidR="007E4B5B">
        <w:rPr>
          <w:rFonts w:ascii="Times New Roman" w:hAnsi="Times New Roman" w:cs="Times New Roman"/>
          <w:sz w:val="24"/>
          <w:szCs w:val="24"/>
        </w:rPr>
        <w:t>% pou</w:t>
      </w:r>
      <w:r w:rsidR="001E16C5">
        <w:rPr>
          <w:rFonts w:ascii="Times New Roman" w:hAnsi="Times New Roman" w:cs="Times New Roman"/>
          <w:sz w:val="24"/>
          <w:szCs w:val="24"/>
        </w:rPr>
        <w:t>r</w:t>
      </w:r>
      <w:r w:rsidR="007E4B5B">
        <w:rPr>
          <w:rFonts w:ascii="Times New Roman" w:hAnsi="Times New Roman" w:cs="Times New Roman"/>
          <w:sz w:val="24"/>
          <w:szCs w:val="24"/>
        </w:rPr>
        <w:t xml:space="preserve"> la population en </w:t>
      </w:r>
      <w:r w:rsidR="00AD074E" w:rsidRPr="000928BE">
        <w:rPr>
          <w:rFonts w:ascii="Times New Roman" w:hAnsi="Times New Roman" w:cs="Times New Roman"/>
          <w:sz w:val="24"/>
          <w:szCs w:val="24"/>
        </w:rPr>
        <w:t>chôm</w:t>
      </w:r>
      <w:r w:rsidR="007E4B5B">
        <w:rPr>
          <w:rFonts w:ascii="Times New Roman" w:hAnsi="Times New Roman" w:cs="Times New Roman"/>
          <w:sz w:val="24"/>
          <w:szCs w:val="24"/>
        </w:rPr>
        <w:t>age</w:t>
      </w:r>
      <w:r w:rsidR="00C94599" w:rsidRPr="000928BE">
        <w:rPr>
          <w:rFonts w:ascii="Times New Roman" w:hAnsi="Times New Roman" w:cs="Times New Roman"/>
          <w:sz w:val="24"/>
          <w:szCs w:val="24"/>
        </w:rPr>
        <w:t>.</w:t>
      </w:r>
      <w:r w:rsidR="00F72B19">
        <w:rPr>
          <w:rFonts w:ascii="Times New Roman" w:hAnsi="Times New Roman" w:cs="Times New Roman"/>
          <w:sz w:val="24"/>
          <w:szCs w:val="24"/>
        </w:rPr>
        <w:t xml:space="preserve"> </w:t>
      </w:r>
      <w:r w:rsidR="00941FD0">
        <w:rPr>
          <w:rFonts w:ascii="Times New Roman" w:hAnsi="Times New Roman" w:cs="Times New Roman"/>
          <w:sz w:val="24"/>
          <w:szCs w:val="24"/>
        </w:rPr>
        <w:t xml:space="preserve">Ainsi, </w:t>
      </w:r>
      <w:r w:rsidR="0071134D" w:rsidRPr="000928BE">
        <w:rPr>
          <w:rFonts w:ascii="Times New Roman" w:hAnsi="Times New Roman" w:cs="Times New Roman"/>
          <w:sz w:val="24"/>
          <w:szCs w:val="24"/>
        </w:rPr>
        <w:t>47,</w:t>
      </w:r>
      <w:r w:rsidR="006F2F60">
        <w:rPr>
          <w:rFonts w:ascii="Times New Roman" w:hAnsi="Times New Roman" w:cs="Times New Roman"/>
          <w:sz w:val="24"/>
          <w:szCs w:val="24"/>
        </w:rPr>
        <w:t>8</w:t>
      </w:r>
      <w:r w:rsidR="00C87026" w:rsidRPr="000928BE">
        <w:rPr>
          <w:rFonts w:ascii="Times New Roman" w:hAnsi="Times New Roman" w:cs="Times New Roman"/>
          <w:sz w:val="24"/>
          <w:szCs w:val="24"/>
        </w:rPr>
        <w:t xml:space="preserve">% </w:t>
      </w:r>
      <w:r w:rsidR="007E4B5B">
        <w:rPr>
          <w:rFonts w:ascii="Times New Roman" w:hAnsi="Times New Roman" w:cs="Times New Roman"/>
          <w:sz w:val="24"/>
          <w:szCs w:val="24"/>
        </w:rPr>
        <w:t xml:space="preserve">parmi </w:t>
      </w:r>
      <w:r w:rsidR="00941FD0">
        <w:rPr>
          <w:rFonts w:ascii="Times New Roman" w:hAnsi="Times New Roman" w:cs="Times New Roman"/>
          <w:sz w:val="24"/>
          <w:szCs w:val="24"/>
        </w:rPr>
        <w:t>la première population et</w:t>
      </w:r>
      <w:r w:rsidR="007E4B5B">
        <w:rPr>
          <w:rFonts w:ascii="Times New Roman" w:hAnsi="Times New Roman" w:cs="Times New Roman"/>
          <w:sz w:val="24"/>
          <w:szCs w:val="24"/>
        </w:rPr>
        <w:t xml:space="preserve"> </w:t>
      </w:r>
      <w:r w:rsidR="006F2F60" w:rsidRPr="000928BE">
        <w:rPr>
          <w:rFonts w:ascii="Times New Roman" w:hAnsi="Times New Roman" w:cs="Times New Roman"/>
          <w:sz w:val="24"/>
          <w:szCs w:val="24"/>
        </w:rPr>
        <w:t>6</w:t>
      </w:r>
      <w:r w:rsidR="006F2F60">
        <w:rPr>
          <w:rFonts w:ascii="Times New Roman" w:hAnsi="Times New Roman" w:cs="Times New Roman"/>
          <w:sz w:val="24"/>
          <w:szCs w:val="24"/>
        </w:rPr>
        <w:t>5</w:t>
      </w:r>
      <w:r w:rsidR="0071134D" w:rsidRPr="000928BE">
        <w:rPr>
          <w:rFonts w:ascii="Times New Roman" w:hAnsi="Times New Roman" w:cs="Times New Roman"/>
          <w:sz w:val="24"/>
          <w:szCs w:val="24"/>
        </w:rPr>
        <w:t>,</w:t>
      </w:r>
      <w:r w:rsidR="00F44052">
        <w:rPr>
          <w:rFonts w:ascii="Times New Roman" w:hAnsi="Times New Roman" w:cs="Times New Roman"/>
          <w:sz w:val="24"/>
          <w:szCs w:val="24"/>
        </w:rPr>
        <w:t>8</w:t>
      </w:r>
      <w:r w:rsidR="00941FD0" w:rsidRPr="000928BE">
        <w:rPr>
          <w:rFonts w:ascii="Times New Roman" w:hAnsi="Times New Roman" w:cs="Times New Roman"/>
          <w:sz w:val="24"/>
          <w:szCs w:val="24"/>
        </w:rPr>
        <w:t>% p</w:t>
      </w:r>
      <w:r w:rsidR="00941FD0">
        <w:rPr>
          <w:rFonts w:ascii="Times New Roman" w:hAnsi="Times New Roman" w:cs="Times New Roman"/>
          <w:sz w:val="24"/>
          <w:szCs w:val="24"/>
        </w:rPr>
        <w:t xml:space="preserve">armi la seconde </w:t>
      </w:r>
      <w:r w:rsidR="00C87026" w:rsidRPr="000928BE">
        <w:rPr>
          <w:rFonts w:ascii="Times New Roman" w:hAnsi="Times New Roman" w:cs="Times New Roman"/>
          <w:sz w:val="24"/>
          <w:szCs w:val="24"/>
        </w:rPr>
        <w:t>ont</w:t>
      </w:r>
      <w:r w:rsidR="00450A3C">
        <w:rPr>
          <w:rFonts w:ascii="Times New Roman" w:hAnsi="Times New Roman" w:cs="Times New Roman"/>
          <w:sz w:val="24"/>
          <w:szCs w:val="24"/>
        </w:rPr>
        <w:t xml:space="preserve"> </w:t>
      </w:r>
      <w:r w:rsidR="00C87026" w:rsidRPr="000928BE">
        <w:rPr>
          <w:rFonts w:ascii="Times New Roman" w:hAnsi="Times New Roman" w:cs="Times New Roman"/>
          <w:sz w:val="24"/>
          <w:szCs w:val="24"/>
        </w:rPr>
        <w:t>au moins le certificat primaire</w:t>
      </w:r>
      <w:r w:rsidR="004F325D" w:rsidRPr="000928BE">
        <w:rPr>
          <w:rFonts w:ascii="Times New Roman" w:hAnsi="Times New Roman" w:cs="Times New Roman"/>
          <w:sz w:val="24"/>
          <w:szCs w:val="24"/>
        </w:rPr>
        <w:t>.</w:t>
      </w:r>
      <w:r w:rsidR="00450A3C">
        <w:rPr>
          <w:rFonts w:ascii="Times New Roman" w:hAnsi="Times New Roman" w:cs="Times New Roman"/>
          <w:sz w:val="24"/>
          <w:szCs w:val="24"/>
        </w:rPr>
        <w:t xml:space="preserve"> </w:t>
      </w:r>
      <w:r w:rsidR="00941FD0">
        <w:rPr>
          <w:rFonts w:ascii="Times New Roman" w:hAnsi="Times New Roman" w:cs="Times New Roman"/>
          <w:sz w:val="24"/>
          <w:szCs w:val="24"/>
        </w:rPr>
        <w:t xml:space="preserve">Par conséquent, </w:t>
      </w:r>
      <w:r w:rsidR="00817904">
        <w:rPr>
          <w:rFonts w:ascii="Times New Roman" w:hAnsi="Times New Roman" w:cs="Times New Roman"/>
          <w:sz w:val="24"/>
          <w:szCs w:val="24"/>
        </w:rPr>
        <w:t xml:space="preserve">les actifs chômeurs </w:t>
      </w:r>
      <w:r w:rsidR="00941FD0" w:rsidRPr="000928BE">
        <w:rPr>
          <w:rFonts w:ascii="Times New Roman" w:hAnsi="Times New Roman" w:cs="Times New Roman"/>
          <w:sz w:val="24"/>
          <w:szCs w:val="24"/>
        </w:rPr>
        <w:t>s</w:t>
      </w:r>
      <w:r w:rsidR="00817904">
        <w:rPr>
          <w:rFonts w:ascii="Times New Roman" w:hAnsi="Times New Roman" w:cs="Times New Roman"/>
          <w:sz w:val="24"/>
          <w:szCs w:val="24"/>
        </w:rPr>
        <w:t>on</w:t>
      </w:r>
      <w:r w:rsidR="00941FD0" w:rsidRPr="000928BE">
        <w:rPr>
          <w:rFonts w:ascii="Times New Roman" w:hAnsi="Times New Roman" w:cs="Times New Roman"/>
          <w:sz w:val="24"/>
          <w:szCs w:val="24"/>
        </w:rPr>
        <w:t xml:space="preserve">t relativement </w:t>
      </w:r>
      <w:r w:rsidR="00817904">
        <w:rPr>
          <w:rFonts w:ascii="Times New Roman" w:hAnsi="Times New Roman" w:cs="Times New Roman"/>
          <w:sz w:val="24"/>
          <w:szCs w:val="24"/>
        </w:rPr>
        <w:t>plus</w:t>
      </w:r>
      <w:r w:rsidR="00941FD0" w:rsidRPr="000928BE">
        <w:rPr>
          <w:rFonts w:ascii="Times New Roman" w:hAnsi="Times New Roman" w:cs="Times New Roman"/>
          <w:sz w:val="24"/>
          <w:szCs w:val="24"/>
        </w:rPr>
        <w:t xml:space="preserve"> diplômé</w:t>
      </w:r>
      <w:r w:rsidR="00817904">
        <w:rPr>
          <w:rFonts w:ascii="Times New Roman" w:hAnsi="Times New Roman" w:cs="Times New Roman"/>
          <w:sz w:val="24"/>
          <w:szCs w:val="24"/>
        </w:rPr>
        <w:t>s</w:t>
      </w:r>
      <w:r w:rsidR="00941FD0" w:rsidRPr="000928BE">
        <w:rPr>
          <w:rFonts w:ascii="Times New Roman" w:hAnsi="Times New Roman" w:cs="Times New Roman"/>
          <w:sz w:val="24"/>
          <w:szCs w:val="24"/>
        </w:rPr>
        <w:t xml:space="preserve"> que </w:t>
      </w:r>
      <w:r w:rsidR="00817904">
        <w:rPr>
          <w:rFonts w:ascii="Times New Roman" w:hAnsi="Times New Roman" w:cs="Times New Roman"/>
          <w:sz w:val="24"/>
          <w:szCs w:val="24"/>
        </w:rPr>
        <w:t>l</w:t>
      </w:r>
      <w:r w:rsidR="00941FD0" w:rsidRPr="000928BE">
        <w:rPr>
          <w:rFonts w:ascii="Times New Roman" w:hAnsi="Times New Roman" w:cs="Times New Roman"/>
          <w:sz w:val="24"/>
          <w:szCs w:val="24"/>
        </w:rPr>
        <w:t>es actifs occupés.</w:t>
      </w:r>
    </w:p>
    <w:p w:rsidR="00C241BC" w:rsidRDefault="00744787" w:rsidP="00744787">
      <w:pPr>
        <w:spacing w:before="120" w:after="120" w:line="240" w:lineRule="auto"/>
        <w:ind w:firstLine="709"/>
        <w:jc w:val="both"/>
        <w:rPr>
          <w:rFonts w:ascii="Times New Roman" w:hAnsi="Times New Roman" w:cs="Times New Roman"/>
          <w:sz w:val="24"/>
          <w:szCs w:val="24"/>
        </w:rPr>
      </w:pPr>
      <w:r w:rsidRPr="001649FA">
        <w:rPr>
          <w:rFonts w:ascii="Times New Roman" w:hAnsi="Times New Roman" w:cs="Times New Roman"/>
          <w:sz w:val="24"/>
          <w:szCs w:val="24"/>
        </w:rPr>
        <w:t>3</w:t>
      </w:r>
      <w:r>
        <w:rPr>
          <w:rFonts w:ascii="Times New Roman" w:hAnsi="Times New Roman" w:cs="Times New Roman"/>
          <w:sz w:val="24"/>
          <w:szCs w:val="24"/>
        </w:rPr>
        <w:t>8</w:t>
      </w:r>
      <w:r w:rsidR="00AD074E" w:rsidRPr="001649FA">
        <w:rPr>
          <w:rFonts w:ascii="Times New Roman" w:hAnsi="Times New Roman" w:cs="Times New Roman"/>
          <w:sz w:val="24"/>
          <w:szCs w:val="24"/>
        </w:rPr>
        <w:t>,</w:t>
      </w:r>
      <w:r>
        <w:rPr>
          <w:rFonts w:ascii="Times New Roman" w:hAnsi="Times New Roman" w:cs="Times New Roman"/>
          <w:sz w:val="24"/>
          <w:szCs w:val="24"/>
        </w:rPr>
        <w:t>0</w:t>
      </w:r>
      <w:r w:rsidR="00AD074E" w:rsidRPr="001649FA">
        <w:rPr>
          <w:rFonts w:ascii="Times New Roman" w:hAnsi="Times New Roman" w:cs="Times New Roman"/>
          <w:sz w:val="24"/>
          <w:szCs w:val="24"/>
        </w:rPr>
        <w:t>% des actifs occupés sont diplômés de l’enseignement général</w:t>
      </w:r>
      <w:r w:rsidR="00FC5DCA" w:rsidRPr="001649FA">
        <w:rPr>
          <w:rFonts w:ascii="Times New Roman" w:hAnsi="Times New Roman" w:cs="Times New Roman"/>
          <w:sz w:val="24"/>
          <w:szCs w:val="24"/>
        </w:rPr>
        <w:t xml:space="preserve"> </w:t>
      </w:r>
      <w:r w:rsidR="00AD074E" w:rsidRPr="001649FA">
        <w:rPr>
          <w:rFonts w:ascii="Times New Roman" w:hAnsi="Times New Roman" w:cs="Times New Roman"/>
          <w:sz w:val="24"/>
          <w:szCs w:val="24"/>
        </w:rPr>
        <w:t>et 9,</w:t>
      </w:r>
      <w:r w:rsidR="006F2F60">
        <w:rPr>
          <w:rFonts w:ascii="Times New Roman" w:hAnsi="Times New Roman" w:cs="Times New Roman"/>
          <w:sz w:val="24"/>
          <w:szCs w:val="24"/>
        </w:rPr>
        <w:t>8</w:t>
      </w:r>
      <w:r w:rsidR="00AD074E" w:rsidRPr="001649FA">
        <w:rPr>
          <w:rFonts w:ascii="Times New Roman" w:hAnsi="Times New Roman" w:cs="Times New Roman"/>
          <w:sz w:val="24"/>
          <w:szCs w:val="24"/>
        </w:rPr>
        <w:t>% ont un diplôme de formation professionnelle.</w:t>
      </w:r>
      <w:r w:rsidR="00104376" w:rsidRPr="00D758CD">
        <w:rPr>
          <w:rFonts w:ascii="Times New Roman" w:hAnsi="Times New Roman" w:cs="Times New Roman"/>
          <w:sz w:val="24"/>
          <w:szCs w:val="24"/>
        </w:rPr>
        <w:t xml:space="preserve"> </w:t>
      </w:r>
      <w:r w:rsidR="00EE1C01">
        <w:rPr>
          <w:rFonts w:ascii="Times New Roman" w:hAnsi="Times New Roman" w:cs="Times New Roman"/>
          <w:sz w:val="24"/>
          <w:szCs w:val="24"/>
        </w:rPr>
        <w:t>C</w:t>
      </w:r>
      <w:r w:rsidR="00104376" w:rsidRPr="00D758CD">
        <w:rPr>
          <w:rFonts w:ascii="Times New Roman" w:hAnsi="Times New Roman" w:cs="Times New Roman"/>
          <w:sz w:val="24"/>
          <w:szCs w:val="24"/>
        </w:rPr>
        <w:t>es proportions</w:t>
      </w:r>
      <w:r w:rsidR="00EE1C01">
        <w:rPr>
          <w:rFonts w:ascii="Times New Roman" w:hAnsi="Times New Roman" w:cs="Times New Roman"/>
          <w:sz w:val="24"/>
          <w:szCs w:val="24"/>
        </w:rPr>
        <w:t>,</w:t>
      </w:r>
      <w:r w:rsidR="00104376" w:rsidRPr="00D758CD">
        <w:rPr>
          <w:rFonts w:ascii="Times New Roman" w:hAnsi="Times New Roman" w:cs="Times New Roman"/>
          <w:sz w:val="24"/>
          <w:szCs w:val="24"/>
        </w:rPr>
        <w:t xml:space="preserve"> parmi la population </w:t>
      </w:r>
      <w:r w:rsidR="008252FE">
        <w:rPr>
          <w:rFonts w:ascii="Times New Roman" w:hAnsi="Times New Roman" w:cs="Times New Roman"/>
          <w:sz w:val="24"/>
          <w:szCs w:val="24"/>
        </w:rPr>
        <w:t>en</w:t>
      </w:r>
      <w:r w:rsidR="00104376" w:rsidRPr="00D758CD">
        <w:rPr>
          <w:rFonts w:ascii="Times New Roman" w:hAnsi="Times New Roman" w:cs="Times New Roman"/>
          <w:sz w:val="24"/>
          <w:szCs w:val="24"/>
        </w:rPr>
        <w:t xml:space="preserve"> chôm</w:t>
      </w:r>
      <w:r w:rsidR="008252FE">
        <w:rPr>
          <w:rFonts w:ascii="Times New Roman" w:hAnsi="Times New Roman" w:cs="Times New Roman"/>
          <w:sz w:val="24"/>
          <w:szCs w:val="24"/>
        </w:rPr>
        <w:t>age</w:t>
      </w:r>
      <w:r w:rsidR="00EE1C01">
        <w:rPr>
          <w:rFonts w:ascii="Times New Roman" w:hAnsi="Times New Roman" w:cs="Times New Roman"/>
          <w:sz w:val="24"/>
          <w:szCs w:val="24"/>
        </w:rPr>
        <w:t>,</w:t>
      </w:r>
      <w:r w:rsidR="00104376" w:rsidRPr="00D758CD">
        <w:rPr>
          <w:rFonts w:ascii="Times New Roman" w:hAnsi="Times New Roman" w:cs="Times New Roman"/>
          <w:sz w:val="24"/>
          <w:szCs w:val="24"/>
        </w:rPr>
        <w:t xml:space="preserve"> sont de </w:t>
      </w:r>
      <w:r w:rsidR="006F2F60">
        <w:rPr>
          <w:rFonts w:ascii="Times New Roman" w:hAnsi="Times New Roman" w:cs="Times New Roman"/>
          <w:sz w:val="24"/>
          <w:szCs w:val="24"/>
        </w:rPr>
        <w:t>4</w:t>
      </w:r>
      <w:r w:rsidR="006F2F60" w:rsidRPr="00D758CD">
        <w:rPr>
          <w:rFonts w:ascii="Times New Roman" w:hAnsi="Times New Roman" w:cs="Times New Roman"/>
          <w:sz w:val="24"/>
          <w:szCs w:val="24"/>
        </w:rPr>
        <w:t>8</w:t>
      </w:r>
      <w:r w:rsidR="00C87026">
        <w:rPr>
          <w:rFonts w:ascii="Times New Roman" w:hAnsi="Times New Roman" w:cs="Times New Roman"/>
          <w:sz w:val="24"/>
          <w:szCs w:val="24"/>
        </w:rPr>
        <w:t>,</w:t>
      </w:r>
      <w:r w:rsidR="006F2F60">
        <w:rPr>
          <w:rFonts w:ascii="Times New Roman" w:hAnsi="Times New Roman" w:cs="Times New Roman"/>
          <w:sz w:val="24"/>
          <w:szCs w:val="24"/>
        </w:rPr>
        <w:t>4</w:t>
      </w:r>
      <w:r w:rsidR="00C87026">
        <w:rPr>
          <w:rFonts w:ascii="Times New Roman" w:hAnsi="Times New Roman" w:cs="Times New Roman"/>
          <w:sz w:val="24"/>
          <w:szCs w:val="24"/>
        </w:rPr>
        <w:t xml:space="preserve">% et de </w:t>
      </w:r>
      <w:r w:rsidR="006F2F60">
        <w:rPr>
          <w:rFonts w:ascii="Times New Roman" w:hAnsi="Times New Roman" w:cs="Times New Roman"/>
          <w:sz w:val="24"/>
          <w:szCs w:val="24"/>
        </w:rPr>
        <w:t>17</w:t>
      </w:r>
      <w:r w:rsidR="00C87026">
        <w:rPr>
          <w:rFonts w:ascii="Times New Roman" w:hAnsi="Times New Roman" w:cs="Times New Roman"/>
          <w:sz w:val="24"/>
          <w:szCs w:val="24"/>
        </w:rPr>
        <w:t>,</w:t>
      </w:r>
      <w:r w:rsidR="006F2F60">
        <w:rPr>
          <w:rFonts w:ascii="Times New Roman" w:hAnsi="Times New Roman" w:cs="Times New Roman"/>
          <w:sz w:val="24"/>
          <w:szCs w:val="24"/>
        </w:rPr>
        <w:t>4</w:t>
      </w:r>
      <w:r w:rsidR="00C87026">
        <w:rPr>
          <w:rFonts w:ascii="Times New Roman" w:hAnsi="Times New Roman" w:cs="Times New Roman"/>
          <w:sz w:val="24"/>
          <w:szCs w:val="24"/>
        </w:rPr>
        <w:t>% respectivement.</w:t>
      </w:r>
      <w:r w:rsidR="00D64675">
        <w:rPr>
          <w:rFonts w:ascii="Times New Roman" w:hAnsi="Times New Roman" w:cs="Times New Roman"/>
          <w:sz w:val="24"/>
          <w:szCs w:val="24"/>
        </w:rPr>
        <w:t xml:space="preserve"> </w:t>
      </w:r>
      <w:r w:rsidR="00A222B8" w:rsidRPr="001649FA">
        <w:rPr>
          <w:rFonts w:ascii="Times New Roman" w:hAnsi="Times New Roman" w:cs="Times New Roman"/>
          <w:sz w:val="24"/>
          <w:szCs w:val="24"/>
        </w:rPr>
        <w:t xml:space="preserve">Le taux de chômage des diplômés de l’enseignement général est de </w:t>
      </w:r>
      <w:r w:rsidR="00B55975">
        <w:rPr>
          <w:rFonts w:ascii="Times New Roman" w:hAnsi="Times New Roman" w:cs="Times New Roman"/>
          <w:sz w:val="24"/>
          <w:szCs w:val="24"/>
        </w:rPr>
        <w:t>19</w:t>
      </w:r>
      <w:r w:rsidR="00A222B8" w:rsidRPr="001649FA">
        <w:rPr>
          <w:rFonts w:ascii="Times New Roman" w:hAnsi="Times New Roman" w:cs="Times New Roman"/>
          <w:sz w:val="24"/>
          <w:szCs w:val="24"/>
        </w:rPr>
        <w:t>,</w:t>
      </w:r>
      <w:r w:rsidR="00B55975">
        <w:rPr>
          <w:rFonts w:ascii="Times New Roman" w:hAnsi="Times New Roman" w:cs="Times New Roman"/>
          <w:sz w:val="24"/>
          <w:szCs w:val="24"/>
        </w:rPr>
        <w:t>7</w:t>
      </w:r>
      <w:r w:rsidR="00A222B8" w:rsidRPr="001649FA">
        <w:rPr>
          <w:rFonts w:ascii="Times New Roman" w:hAnsi="Times New Roman" w:cs="Times New Roman"/>
          <w:sz w:val="24"/>
          <w:szCs w:val="24"/>
        </w:rPr>
        <w:t>%</w:t>
      </w:r>
      <w:r w:rsidR="005D01C6" w:rsidRPr="001649FA">
        <w:rPr>
          <w:rFonts w:ascii="Times New Roman" w:hAnsi="Times New Roman" w:cs="Times New Roman"/>
          <w:sz w:val="24"/>
          <w:szCs w:val="24"/>
        </w:rPr>
        <w:t xml:space="preserve"> contre </w:t>
      </w:r>
      <w:r w:rsidR="00B55975">
        <w:rPr>
          <w:rFonts w:ascii="Times New Roman" w:hAnsi="Times New Roman" w:cs="Times New Roman"/>
          <w:sz w:val="24"/>
          <w:szCs w:val="24"/>
        </w:rPr>
        <w:t>25,5</w:t>
      </w:r>
      <w:r w:rsidR="005D01C6" w:rsidRPr="001649FA">
        <w:rPr>
          <w:rFonts w:ascii="Times New Roman" w:hAnsi="Times New Roman" w:cs="Times New Roman"/>
          <w:sz w:val="24"/>
          <w:szCs w:val="24"/>
        </w:rPr>
        <w:t>%</w:t>
      </w:r>
      <w:r w:rsidR="00A222B8" w:rsidRPr="001649FA">
        <w:rPr>
          <w:rFonts w:ascii="Times New Roman" w:hAnsi="Times New Roman" w:cs="Times New Roman"/>
          <w:sz w:val="24"/>
          <w:szCs w:val="24"/>
        </w:rPr>
        <w:t xml:space="preserve"> </w:t>
      </w:r>
      <w:r w:rsidR="005D01C6" w:rsidRPr="001649FA">
        <w:rPr>
          <w:rFonts w:ascii="Times New Roman" w:hAnsi="Times New Roman" w:cs="Times New Roman"/>
          <w:sz w:val="24"/>
          <w:szCs w:val="24"/>
        </w:rPr>
        <w:t>pour l</w:t>
      </w:r>
      <w:r w:rsidR="00A222B8" w:rsidRPr="001649FA">
        <w:rPr>
          <w:rFonts w:ascii="Times New Roman" w:hAnsi="Times New Roman" w:cs="Times New Roman"/>
          <w:sz w:val="24"/>
          <w:szCs w:val="24"/>
        </w:rPr>
        <w:t>es diplômés de la form</w:t>
      </w:r>
      <w:r w:rsidR="005D01C6" w:rsidRPr="001649FA">
        <w:rPr>
          <w:rFonts w:ascii="Times New Roman" w:hAnsi="Times New Roman" w:cs="Times New Roman"/>
          <w:sz w:val="24"/>
          <w:szCs w:val="24"/>
        </w:rPr>
        <w:t>ation professionnelle</w:t>
      </w:r>
      <w:r w:rsidR="008D6460">
        <w:rPr>
          <w:rFonts w:ascii="Times New Roman" w:hAnsi="Times New Roman" w:cs="Times New Roman"/>
          <w:sz w:val="24"/>
          <w:szCs w:val="24"/>
        </w:rPr>
        <w:t xml:space="preserve"> et </w:t>
      </w:r>
      <w:r w:rsidR="00B3596E">
        <w:rPr>
          <w:rFonts w:ascii="Times New Roman" w:hAnsi="Times New Roman" w:cs="Times New Roman"/>
          <w:sz w:val="24"/>
          <w:szCs w:val="24"/>
        </w:rPr>
        <w:t>11</w:t>
      </w:r>
      <w:r w:rsidR="008D6460">
        <w:rPr>
          <w:rFonts w:ascii="Times New Roman" w:hAnsi="Times New Roman" w:cs="Times New Roman"/>
          <w:sz w:val="24"/>
          <w:szCs w:val="24"/>
        </w:rPr>
        <w:t>,</w:t>
      </w:r>
      <w:r w:rsidR="00B3596E">
        <w:rPr>
          <w:rFonts w:ascii="Times New Roman" w:hAnsi="Times New Roman" w:cs="Times New Roman"/>
          <w:sz w:val="24"/>
          <w:szCs w:val="24"/>
        </w:rPr>
        <w:t>2</w:t>
      </w:r>
      <w:r w:rsidR="008D6460">
        <w:rPr>
          <w:rFonts w:ascii="Times New Roman" w:hAnsi="Times New Roman" w:cs="Times New Roman"/>
          <w:sz w:val="24"/>
          <w:szCs w:val="24"/>
        </w:rPr>
        <w:t>% pour les actifs occupés sans diplôme</w:t>
      </w:r>
      <w:r w:rsidR="00F72B19">
        <w:rPr>
          <w:rFonts w:ascii="Times New Roman" w:hAnsi="Times New Roman" w:cs="Times New Roman"/>
          <w:sz w:val="24"/>
          <w:szCs w:val="24"/>
        </w:rPr>
        <w:t>.</w:t>
      </w:r>
    </w:p>
    <w:p w:rsidR="007F06C7" w:rsidRDefault="006D31B2" w:rsidP="00FE3257">
      <w:pPr>
        <w:spacing w:before="12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Aussi</w:t>
      </w:r>
      <w:r w:rsidR="00A222B8" w:rsidRPr="001649FA">
        <w:rPr>
          <w:rFonts w:ascii="Times New Roman" w:hAnsi="Times New Roman" w:cs="Times New Roman"/>
          <w:sz w:val="24"/>
          <w:szCs w:val="24"/>
        </w:rPr>
        <w:t xml:space="preserve">, plus le diplôme </w:t>
      </w:r>
      <w:r w:rsidR="00116DEC" w:rsidRPr="001649FA">
        <w:rPr>
          <w:rFonts w:ascii="Times New Roman" w:hAnsi="Times New Roman" w:cs="Times New Roman"/>
          <w:sz w:val="24"/>
          <w:szCs w:val="24"/>
        </w:rPr>
        <w:t xml:space="preserve">de l’enseignement général est élevé </w:t>
      </w:r>
      <w:r w:rsidR="00A222B8" w:rsidRPr="001649FA">
        <w:rPr>
          <w:rFonts w:ascii="Times New Roman" w:hAnsi="Times New Roman" w:cs="Times New Roman"/>
          <w:sz w:val="24"/>
          <w:szCs w:val="24"/>
        </w:rPr>
        <w:t>plus le taux de chômage est faible</w:t>
      </w:r>
      <w:r w:rsidR="00B3596E">
        <w:rPr>
          <w:rFonts w:ascii="Times New Roman" w:hAnsi="Times New Roman" w:cs="Times New Roman"/>
          <w:sz w:val="24"/>
          <w:szCs w:val="24"/>
        </w:rPr>
        <w:t xml:space="preserve"> </w:t>
      </w:r>
      <w:r w:rsidR="007F06C7">
        <w:rPr>
          <w:rFonts w:ascii="Times New Roman" w:hAnsi="Times New Roman" w:cs="Times New Roman"/>
          <w:sz w:val="24"/>
          <w:szCs w:val="24"/>
        </w:rPr>
        <w:t>sur deux plages de diplôme. Du diplôme de secondaire collégial jusqu’au diplôme des études universitaires le taux de chômage passe de 22,4% à 15,1% respectivement. La seconde plage débute à</w:t>
      </w:r>
      <w:r w:rsidR="00B3596E">
        <w:rPr>
          <w:rFonts w:ascii="Times New Roman" w:hAnsi="Times New Roman" w:cs="Times New Roman"/>
          <w:sz w:val="24"/>
          <w:szCs w:val="24"/>
        </w:rPr>
        <w:t xml:space="preserve"> partir de la licence</w:t>
      </w:r>
      <w:r w:rsidR="007F06C7">
        <w:rPr>
          <w:rFonts w:ascii="Times New Roman" w:hAnsi="Times New Roman" w:cs="Times New Roman"/>
          <w:sz w:val="24"/>
          <w:szCs w:val="24"/>
        </w:rPr>
        <w:t xml:space="preserve"> et va jusqu’aux diplômes de doctorat</w:t>
      </w:r>
      <w:r w:rsidR="003A5E28">
        <w:rPr>
          <w:rFonts w:ascii="Times New Roman" w:hAnsi="Times New Roman" w:cs="Times New Roman"/>
          <w:sz w:val="24"/>
          <w:szCs w:val="24"/>
        </w:rPr>
        <w:t xml:space="preserve">, </w:t>
      </w:r>
      <w:r w:rsidR="007F06C7">
        <w:rPr>
          <w:rFonts w:ascii="Times New Roman" w:hAnsi="Times New Roman" w:cs="Times New Roman"/>
          <w:sz w:val="24"/>
          <w:szCs w:val="24"/>
        </w:rPr>
        <w:t xml:space="preserve">avec </w:t>
      </w:r>
      <w:r w:rsidR="00B3596E">
        <w:rPr>
          <w:rFonts w:ascii="Times New Roman" w:hAnsi="Times New Roman" w:cs="Times New Roman"/>
          <w:sz w:val="24"/>
          <w:szCs w:val="24"/>
        </w:rPr>
        <w:t>18</w:t>
      </w:r>
      <w:r w:rsidR="003A5E28">
        <w:rPr>
          <w:rFonts w:ascii="Times New Roman" w:hAnsi="Times New Roman" w:cs="Times New Roman"/>
          <w:sz w:val="24"/>
          <w:szCs w:val="24"/>
        </w:rPr>
        <w:t>,</w:t>
      </w:r>
      <w:r w:rsidR="00B3596E">
        <w:rPr>
          <w:rFonts w:ascii="Times New Roman" w:hAnsi="Times New Roman" w:cs="Times New Roman"/>
          <w:sz w:val="24"/>
          <w:szCs w:val="24"/>
        </w:rPr>
        <w:t>9</w:t>
      </w:r>
      <w:r w:rsidR="003A5E28">
        <w:rPr>
          <w:rFonts w:ascii="Times New Roman" w:hAnsi="Times New Roman" w:cs="Times New Roman"/>
          <w:sz w:val="24"/>
          <w:szCs w:val="24"/>
        </w:rPr>
        <w:t xml:space="preserve">% pour les licenciés, </w:t>
      </w:r>
      <w:r w:rsidR="00B3596E">
        <w:rPr>
          <w:rFonts w:ascii="Times New Roman" w:hAnsi="Times New Roman" w:cs="Times New Roman"/>
          <w:sz w:val="24"/>
          <w:szCs w:val="24"/>
        </w:rPr>
        <w:t>1</w:t>
      </w:r>
      <w:r w:rsidR="003A5E28">
        <w:rPr>
          <w:rFonts w:ascii="Times New Roman" w:hAnsi="Times New Roman" w:cs="Times New Roman"/>
          <w:sz w:val="24"/>
          <w:szCs w:val="24"/>
        </w:rPr>
        <w:t>5,</w:t>
      </w:r>
      <w:r w:rsidR="00B3596E">
        <w:rPr>
          <w:rFonts w:ascii="Times New Roman" w:hAnsi="Times New Roman" w:cs="Times New Roman"/>
          <w:sz w:val="24"/>
          <w:szCs w:val="24"/>
        </w:rPr>
        <w:t>9</w:t>
      </w:r>
      <w:r w:rsidR="003A5E28">
        <w:rPr>
          <w:rFonts w:ascii="Times New Roman" w:hAnsi="Times New Roman" w:cs="Times New Roman"/>
          <w:sz w:val="24"/>
          <w:szCs w:val="24"/>
        </w:rPr>
        <w:t xml:space="preserve">% pour les diplômés du DEA/DES/Master, </w:t>
      </w:r>
      <w:r w:rsidR="00B3596E">
        <w:rPr>
          <w:rFonts w:ascii="Times New Roman" w:hAnsi="Times New Roman" w:cs="Times New Roman"/>
          <w:sz w:val="24"/>
          <w:szCs w:val="24"/>
        </w:rPr>
        <w:t>7</w:t>
      </w:r>
      <w:r w:rsidR="003A5E28">
        <w:rPr>
          <w:rFonts w:ascii="Times New Roman" w:hAnsi="Times New Roman" w:cs="Times New Roman"/>
          <w:sz w:val="24"/>
          <w:szCs w:val="24"/>
        </w:rPr>
        <w:t>,</w:t>
      </w:r>
      <w:r w:rsidR="00B3596E">
        <w:rPr>
          <w:rFonts w:ascii="Times New Roman" w:hAnsi="Times New Roman" w:cs="Times New Roman"/>
          <w:sz w:val="24"/>
          <w:szCs w:val="24"/>
        </w:rPr>
        <w:t>7</w:t>
      </w:r>
      <w:r w:rsidR="003A5E28">
        <w:rPr>
          <w:rFonts w:ascii="Times New Roman" w:hAnsi="Times New Roman" w:cs="Times New Roman"/>
          <w:sz w:val="24"/>
          <w:szCs w:val="24"/>
        </w:rPr>
        <w:t xml:space="preserve">% pour les ingénieurs/cadres supérieurs et </w:t>
      </w:r>
      <w:r w:rsidR="00B3596E">
        <w:rPr>
          <w:rFonts w:ascii="Times New Roman" w:hAnsi="Times New Roman" w:cs="Times New Roman"/>
          <w:sz w:val="24"/>
          <w:szCs w:val="24"/>
        </w:rPr>
        <w:t>3</w:t>
      </w:r>
      <w:r w:rsidR="003A5E28">
        <w:rPr>
          <w:rFonts w:ascii="Times New Roman" w:hAnsi="Times New Roman" w:cs="Times New Roman"/>
          <w:sz w:val="24"/>
          <w:szCs w:val="24"/>
        </w:rPr>
        <w:t>,</w:t>
      </w:r>
      <w:r w:rsidR="00B3596E">
        <w:rPr>
          <w:rFonts w:ascii="Times New Roman" w:hAnsi="Times New Roman" w:cs="Times New Roman"/>
          <w:sz w:val="24"/>
          <w:szCs w:val="24"/>
        </w:rPr>
        <w:t>9</w:t>
      </w:r>
      <w:r w:rsidR="003A5E28">
        <w:rPr>
          <w:rFonts w:ascii="Times New Roman" w:hAnsi="Times New Roman" w:cs="Times New Roman"/>
          <w:sz w:val="24"/>
          <w:szCs w:val="24"/>
        </w:rPr>
        <w:t>% pour les docteurs</w:t>
      </w:r>
      <w:r w:rsidR="00FE3257">
        <w:rPr>
          <w:rFonts w:ascii="Times New Roman" w:hAnsi="Times New Roman" w:cs="Times New Roman"/>
          <w:sz w:val="24"/>
          <w:szCs w:val="24"/>
        </w:rPr>
        <w:t xml:space="preserve"> (Graphique 1)</w:t>
      </w:r>
      <w:r w:rsidR="00A222B8" w:rsidRPr="001649FA">
        <w:rPr>
          <w:rFonts w:ascii="Times New Roman" w:hAnsi="Times New Roman" w:cs="Times New Roman"/>
          <w:sz w:val="24"/>
          <w:szCs w:val="24"/>
        </w:rPr>
        <w:t xml:space="preserve">. </w:t>
      </w:r>
    </w:p>
    <w:p w:rsidR="00F72351" w:rsidRDefault="00F72351" w:rsidP="00F72351">
      <w:pPr>
        <w:spacing w:after="0" w:line="240" w:lineRule="auto"/>
        <w:jc w:val="center"/>
        <w:rPr>
          <w:rFonts w:ascii="Times New Roman" w:hAnsi="Times New Roman" w:cs="Times New Roman"/>
          <w:sz w:val="24"/>
          <w:szCs w:val="24"/>
        </w:rPr>
      </w:pPr>
      <w:bookmarkStart w:id="2" w:name="RANGE!L18"/>
      <w:r w:rsidRPr="00F72351">
        <w:rPr>
          <w:rFonts w:ascii="Times New Roman" w:eastAsia="Times New Roman" w:hAnsi="Times New Roman" w:cs="Times New Roman"/>
          <w:color w:val="0000FF"/>
          <w:sz w:val="24"/>
          <w:szCs w:val="24"/>
          <w:lang w:eastAsia="fr-FR"/>
        </w:rPr>
        <w:t>Graphique 1: Taux de chômage selon les diplômes</w:t>
      </w:r>
      <w:bookmarkEnd w:id="2"/>
      <w:r>
        <w:rPr>
          <w:rFonts w:ascii="Times New Roman" w:eastAsia="Times New Roman" w:hAnsi="Times New Roman" w:cs="Times New Roman"/>
          <w:color w:val="0000FF"/>
          <w:sz w:val="24"/>
          <w:szCs w:val="24"/>
          <w:lang w:eastAsia="fr-FR"/>
        </w:rPr>
        <w:br/>
      </w:r>
      <w:r w:rsidRPr="00F72351">
        <w:rPr>
          <w:rFonts w:ascii="Times New Roman" w:eastAsia="Times New Roman" w:hAnsi="Times New Roman" w:cs="Times New Roman"/>
          <w:color w:val="0000FF"/>
          <w:sz w:val="24"/>
          <w:szCs w:val="24"/>
          <w:lang w:eastAsia="fr-FR"/>
        </w:rPr>
        <w:t>d’enseignement général, RGPH 2014</w:t>
      </w:r>
    </w:p>
    <w:p w:rsidR="00F72351" w:rsidRDefault="00F72351" w:rsidP="007F06C7">
      <w:pPr>
        <w:spacing w:before="120" w:after="120" w:line="240" w:lineRule="auto"/>
        <w:ind w:firstLine="709"/>
        <w:jc w:val="both"/>
        <w:rPr>
          <w:rFonts w:ascii="Times New Roman" w:hAnsi="Times New Roman" w:cs="Times New Roman"/>
          <w:sz w:val="24"/>
          <w:szCs w:val="24"/>
        </w:rPr>
      </w:pPr>
      <w:r w:rsidRPr="00F72351">
        <w:rPr>
          <w:rFonts w:ascii="Times New Roman" w:hAnsi="Times New Roman" w:cs="Times New Roman"/>
          <w:noProof/>
          <w:sz w:val="24"/>
          <w:szCs w:val="24"/>
          <w:lang w:eastAsia="fr-FR"/>
        </w:rPr>
        <w:drawing>
          <wp:inline distT="0" distB="0" distL="0" distR="0">
            <wp:extent cx="4572000" cy="2857500"/>
            <wp:effectExtent l="0" t="0" r="0"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241BC" w:rsidRDefault="00A222B8" w:rsidP="00FE3257">
      <w:pPr>
        <w:spacing w:before="120" w:after="120" w:line="240" w:lineRule="auto"/>
        <w:ind w:firstLine="709"/>
        <w:jc w:val="both"/>
        <w:rPr>
          <w:rFonts w:ascii="Times New Roman" w:hAnsi="Times New Roman" w:cs="Times New Roman"/>
          <w:sz w:val="24"/>
          <w:szCs w:val="24"/>
        </w:rPr>
      </w:pPr>
      <w:r w:rsidRPr="001649FA">
        <w:rPr>
          <w:rFonts w:ascii="Times New Roman" w:hAnsi="Times New Roman" w:cs="Times New Roman"/>
          <w:sz w:val="24"/>
          <w:szCs w:val="24"/>
        </w:rPr>
        <w:t xml:space="preserve">En revanche, les taux de chômage </w:t>
      </w:r>
      <w:r w:rsidR="0075784E" w:rsidRPr="001649FA">
        <w:rPr>
          <w:rFonts w:ascii="Times New Roman" w:hAnsi="Times New Roman" w:cs="Times New Roman"/>
          <w:sz w:val="24"/>
          <w:szCs w:val="24"/>
        </w:rPr>
        <w:t>augmentent avec le diplôme</w:t>
      </w:r>
      <w:r w:rsidR="008C1F14" w:rsidRPr="001649FA">
        <w:rPr>
          <w:rFonts w:ascii="Times New Roman" w:hAnsi="Times New Roman" w:cs="Times New Roman"/>
          <w:sz w:val="24"/>
          <w:szCs w:val="24"/>
        </w:rPr>
        <w:t xml:space="preserve"> </w:t>
      </w:r>
      <w:r w:rsidR="00A327F5" w:rsidRPr="001649FA">
        <w:rPr>
          <w:rFonts w:ascii="Times New Roman" w:hAnsi="Times New Roman" w:cs="Times New Roman"/>
          <w:sz w:val="24"/>
          <w:szCs w:val="24"/>
        </w:rPr>
        <w:t>de la formation professionnelle</w:t>
      </w:r>
      <w:r w:rsidR="003A5E28">
        <w:rPr>
          <w:rFonts w:ascii="Times New Roman" w:hAnsi="Times New Roman" w:cs="Times New Roman"/>
          <w:sz w:val="24"/>
          <w:szCs w:val="24"/>
        </w:rPr>
        <w:t xml:space="preserve">, soit </w:t>
      </w:r>
      <w:r w:rsidR="00B3596E">
        <w:rPr>
          <w:rFonts w:ascii="Times New Roman" w:hAnsi="Times New Roman" w:cs="Times New Roman"/>
          <w:sz w:val="24"/>
          <w:szCs w:val="24"/>
        </w:rPr>
        <w:t>2</w:t>
      </w:r>
      <w:r w:rsidR="003A5E28">
        <w:rPr>
          <w:rFonts w:ascii="Times New Roman" w:hAnsi="Times New Roman" w:cs="Times New Roman"/>
          <w:sz w:val="24"/>
          <w:szCs w:val="24"/>
        </w:rPr>
        <w:t>1,</w:t>
      </w:r>
      <w:r w:rsidR="00B3596E">
        <w:rPr>
          <w:rFonts w:ascii="Times New Roman" w:hAnsi="Times New Roman" w:cs="Times New Roman"/>
          <w:sz w:val="24"/>
          <w:szCs w:val="24"/>
        </w:rPr>
        <w:t>3</w:t>
      </w:r>
      <w:r w:rsidR="003A5E28">
        <w:rPr>
          <w:rFonts w:ascii="Times New Roman" w:hAnsi="Times New Roman" w:cs="Times New Roman"/>
          <w:sz w:val="24"/>
          <w:szCs w:val="24"/>
        </w:rPr>
        <w:t xml:space="preserve">% pour les </w:t>
      </w:r>
      <w:r w:rsidR="00C12EB8">
        <w:rPr>
          <w:rFonts w:ascii="Times New Roman" w:hAnsi="Times New Roman" w:cs="Times New Roman"/>
          <w:sz w:val="24"/>
          <w:szCs w:val="24"/>
        </w:rPr>
        <w:t>diplômés d’initiation professionnelle</w:t>
      </w:r>
      <w:r w:rsidR="003A5E28">
        <w:rPr>
          <w:rFonts w:ascii="Times New Roman" w:hAnsi="Times New Roman" w:cs="Times New Roman"/>
          <w:sz w:val="24"/>
          <w:szCs w:val="24"/>
        </w:rPr>
        <w:t xml:space="preserve">, </w:t>
      </w:r>
      <w:r w:rsidR="00B3596E">
        <w:rPr>
          <w:rFonts w:ascii="Times New Roman" w:hAnsi="Times New Roman" w:cs="Times New Roman"/>
          <w:sz w:val="24"/>
          <w:szCs w:val="24"/>
        </w:rPr>
        <w:t>26</w:t>
      </w:r>
      <w:r w:rsidR="003A5E28">
        <w:rPr>
          <w:rFonts w:ascii="Times New Roman" w:hAnsi="Times New Roman" w:cs="Times New Roman"/>
          <w:sz w:val="24"/>
          <w:szCs w:val="24"/>
        </w:rPr>
        <w:t>,</w:t>
      </w:r>
      <w:r w:rsidR="00B3596E">
        <w:rPr>
          <w:rFonts w:ascii="Times New Roman" w:hAnsi="Times New Roman" w:cs="Times New Roman"/>
          <w:sz w:val="24"/>
          <w:szCs w:val="24"/>
        </w:rPr>
        <w:t>5</w:t>
      </w:r>
      <w:r w:rsidR="003A5E28">
        <w:rPr>
          <w:rFonts w:ascii="Times New Roman" w:hAnsi="Times New Roman" w:cs="Times New Roman"/>
          <w:sz w:val="24"/>
          <w:szCs w:val="24"/>
        </w:rPr>
        <w:t>% pour les diplômés de spécialisation professionnelle</w:t>
      </w:r>
      <w:r w:rsidR="00C12EB8">
        <w:rPr>
          <w:rFonts w:ascii="Times New Roman" w:hAnsi="Times New Roman" w:cs="Times New Roman"/>
          <w:sz w:val="24"/>
          <w:szCs w:val="24"/>
        </w:rPr>
        <w:t>,</w:t>
      </w:r>
      <w:r w:rsidR="003A5E28">
        <w:rPr>
          <w:rFonts w:ascii="Times New Roman" w:hAnsi="Times New Roman" w:cs="Times New Roman"/>
          <w:sz w:val="24"/>
          <w:szCs w:val="24"/>
        </w:rPr>
        <w:t xml:space="preserve"> </w:t>
      </w:r>
      <w:r w:rsidR="00B3596E">
        <w:rPr>
          <w:rFonts w:ascii="Times New Roman" w:hAnsi="Times New Roman" w:cs="Times New Roman"/>
          <w:sz w:val="24"/>
          <w:szCs w:val="24"/>
        </w:rPr>
        <w:t>28</w:t>
      </w:r>
      <w:r w:rsidR="003A5E28">
        <w:rPr>
          <w:rFonts w:ascii="Times New Roman" w:hAnsi="Times New Roman" w:cs="Times New Roman"/>
          <w:sz w:val="24"/>
          <w:szCs w:val="24"/>
        </w:rPr>
        <w:t>,</w:t>
      </w:r>
      <w:r w:rsidR="00B3596E">
        <w:rPr>
          <w:rFonts w:ascii="Times New Roman" w:hAnsi="Times New Roman" w:cs="Times New Roman"/>
          <w:sz w:val="24"/>
          <w:szCs w:val="24"/>
        </w:rPr>
        <w:t>4</w:t>
      </w:r>
      <w:r w:rsidR="003A5E28">
        <w:rPr>
          <w:rFonts w:ascii="Times New Roman" w:hAnsi="Times New Roman" w:cs="Times New Roman"/>
          <w:sz w:val="24"/>
          <w:szCs w:val="24"/>
        </w:rPr>
        <w:t>% pour les diplômés</w:t>
      </w:r>
      <w:r w:rsidR="00C12EB8">
        <w:rPr>
          <w:rFonts w:ascii="Times New Roman" w:hAnsi="Times New Roman" w:cs="Times New Roman"/>
          <w:sz w:val="24"/>
          <w:szCs w:val="24"/>
        </w:rPr>
        <w:t xml:space="preserve"> de qualification professionnelle et </w:t>
      </w:r>
      <w:r w:rsidR="00B3596E">
        <w:rPr>
          <w:rFonts w:ascii="Times New Roman" w:hAnsi="Times New Roman" w:cs="Times New Roman"/>
          <w:sz w:val="24"/>
          <w:szCs w:val="24"/>
        </w:rPr>
        <w:t>26</w:t>
      </w:r>
      <w:r w:rsidR="00C12EB8">
        <w:rPr>
          <w:rFonts w:ascii="Times New Roman" w:hAnsi="Times New Roman" w:cs="Times New Roman"/>
          <w:sz w:val="24"/>
          <w:szCs w:val="24"/>
        </w:rPr>
        <w:t>,</w:t>
      </w:r>
      <w:r w:rsidR="00B3596E">
        <w:rPr>
          <w:rFonts w:ascii="Times New Roman" w:hAnsi="Times New Roman" w:cs="Times New Roman"/>
          <w:sz w:val="24"/>
          <w:szCs w:val="24"/>
        </w:rPr>
        <w:t>4</w:t>
      </w:r>
      <w:r w:rsidR="00C12EB8">
        <w:rPr>
          <w:rFonts w:ascii="Times New Roman" w:hAnsi="Times New Roman" w:cs="Times New Roman"/>
          <w:sz w:val="24"/>
          <w:szCs w:val="24"/>
        </w:rPr>
        <w:t>% pour les techniciens spécialisés</w:t>
      </w:r>
      <w:r w:rsidR="00FE3257">
        <w:rPr>
          <w:rFonts w:ascii="Times New Roman" w:hAnsi="Times New Roman" w:cs="Times New Roman"/>
          <w:sz w:val="24"/>
          <w:szCs w:val="24"/>
        </w:rPr>
        <w:t xml:space="preserve"> (Graphique 2)</w:t>
      </w:r>
      <w:r w:rsidRPr="001649FA">
        <w:rPr>
          <w:rFonts w:ascii="Times New Roman" w:hAnsi="Times New Roman" w:cs="Times New Roman"/>
          <w:sz w:val="24"/>
          <w:szCs w:val="24"/>
        </w:rPr>
        <w:t>.</w:t>
      </w:r>
    </w:p>
    <w:p w:rsidR="00FE3257" w:rsidRDefault="00FE3257" w:rsidP="007F06C7">
      <w:pPr>
        <w:spacing w:before="120" w:after="120" w:line="240" w:lineRule="auto"/>
        <w:ind w:firstLine="709"/>
        <w:jc w:val="both"/>
        <w:rPr>
          <w:rFonts w:ascii="Times New Roman" w:hAnsi="Times New Roman" w:cs="Times New Roman"/>
          <w:sz w:val="24"/>
          <w:szCs w:val="24"/>
        </w:rPr>
      </w:pPr>
    </w:p>
    <w:p w:rsidR="00FE3257" w:rsidRDefault="00FE3257" w:rsidP="007F06C7">
      <w:pPr>
        <w:spacing w:before="120" w:after="120" w:line="240" w:lineRule="auto"/>
        <w:ind w:firstLine="709"/>
        <w:jc w:val="both"/>
        <w:rPr>
          <w:rFonts w:ascii="Times New Roman" w:hAnsi="Times New Roman" w:cs="Times New Roman"/>
          <w:sz w:val="24"/>
          <w:szCs w:val="24"/>
        </w:rPr>
      </w:pPr>
    </w:p>
    <w:p w:rsidR="00FE3257" w:rsidRDefault="00FE3257" w:rsidP="007F06C7">
      <w:pPr>
        <w:spacing w:before="120" w:after="120" w:line="240" w:lineRule="auto"/>
        <w:ind w:firstLine="709"/>
        <w:jc w:val="both"/>
        <w:rPr>
          <w:rFonts w:ascii="Times New Roman" w:hAnsi="Times New Roman" w:cs="Times New Roman"/>
          <w:sz w:val="24"/>
          <w:szCs w:val="24"/>
        </w:rPr>
      </w:pPr>
    </w:p>
    <w:p w:rsidR="00FE3257" w:rsidRDefault="00FE3257" w:rsidP="007F06C7">
      <w:pPr>
        <w:spacing w:before="120" w:after="120" w:line="240" w:lineRule="auto"/>
        <w:ind w:firstLine="709"/>
        <w:jc w:val="both"/>
        <w:rPr>
          <w:rFonts w:ascii="Times New Roman" w:hAnsi="Times New Roman" w:cs="Times New Roman"/>
          <w:sz w:val="24"/>
          <w:szCs w:val="24"/>
        </w:rPr>
      </w:pPr>
    </w:p>
    <w:p w:rsidR="00FE3257" w:rsidRDefault="00FE3257" w:rsidP="007F06C7">
      <w:pPr>
        <w:spacing w:before="120" w:after="120" w:line="240" w:lineRule="auto"/>
        <w:ind w:firstLine="709"/>
        <w:jc w:val="both"/>
        <w:rPr>
          <w:rFonts w:ascii="Times New Roman" w:hAnsi="Times New Roman" w:cs="Times New Roman"/>
          <w:sz w:val="24"/>
          <w:szCs w:val="24"/>
        </w:rPr>
      </w:pPr>
    </w:p>
    <w:p w:rsidR="00C44336" w:rsidRPr="00C44336" w:rsidRDefault="00C44336" w:rsidP="00C44336">
      <w:pPr>
        <w:spacing w:after="0" w:line="240" w:lineRule="auto"/>
        <w:jc w:val="center"/>
        <w:rPr>
          <w:rFonts w:ascii="Times New Roman" w:eastAsia="Times New Roman" w:hAnsi="Times New Roman" w:cs="Times New Roman"/>
          <w:color w:val="0000FF"/>
          <w:sz w:val="24"/>
          <w:szCs w:val="24"/>
          <w:lang w:eastAsia="fr-FR"/>
        </w:rPr>
      </w:pPr>
      <w:bookmarkStart w:id="3" w:name="RANGE!L36"/>
      <w:r w:rsidRPr="00C44336">
        <w:rPr>
          <w:rFonts w:ascii="Times New Roman" w:eastAsia="Times New Roman" w:hAnsi="Times New Roman" w:cs="Times New Roman"/>
          <w:color w:val="0000FF"/>
          <w:sz w:val="24"/>
          <w:szCs w:val="24"/>
          <w:lang w:eastAsia="fr-FR"/>
        </w:rPr>
        <w:lastRenderedPageBreak/>
        <w:t>Graphique 2: Taux de chômage selon les diplômes</w:t>
      </w:r>
      <w:bookmarkEnd w:id="3"/>
      <w:r>
        <w:rPr>
          <w:rFonts w:ascii="Times New Roman" w:eastAsia="Times New Roman" w:hAnsi="Times New Roman" w:cs="Times New Roman"/>
          <w:color w:val="0000FF"/>
          <w:sz w:val="24"/>
          <w:szCs w:val="24"/>
          <w:lang w:eastAsia="fr-FR"/>
        </w:rPr>
        <w:br/>
      </w:r>
      <w:r w:rsidRPr="00C44336">
        <w:rPr>
          <w:rFonts w:ascii="Times New Roman" w:eastAsia="Times New Roman" w:hAnsi="Times New Roman" w:cs="Times New Roman"/>
          <w:color w:val="0000FF"/>
          <w:sz w:val="24"/>
          <w:szCs w:val="24"/>
          <w:lang w:eastAsia="fr-FR"/>
        </w:rPr>
        <w:t>de formation professionnelle, RGPH 2014</w:t>
      </w:r>
    </w:p>
    <w:p w:rsidR="00F72351" w:rsidRDefault="00C44336" w:rsidP="007F06C7">
      <w:pPr>
        <w:spacing w:before="120" w:after="120" w:line="240" w:lineRule="auto"/>
        <w:ind w:firstLine="709"/>
        <w:jc w:val="both"/>
        <w:rPr>
          <w:rFonts w:ascii="Times New Roman" w:hAnsi="Times New Roman" w:cs="Times New Roman"/>
          <w:sz w:val="24"/>
          <w:szCs w:val="24"/>
        </w:rPr>
      </w:pPr>
      <w:r w:rsidRPr="00C44336">
        <w:rPr>
          <w:rFonts w:ascii="Times New Roman" w:hAnsi="Times New Roman" w:cs="Times New Roman"/>
          <w:noProof/>
          <w:sz w:val="24"/>
          <w:szCs w:val="24"/>
          <w:lang w:eastAsia="fr-FR"/>
        </w:rPr>
        <w:drawing>
          <wp:inline distT="0" distB="0" distL="0" distR="0">
            <wp:extent cx="4572000" cy="2857500"/>
            <wp:effectExtent l="0" t="0" r="0"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441DD" w:rsidRPr="00E441DD" w:rsidRDefault="00E441DD" w:rsidP="008F0366">
      <w:pPr>
        <w:spacing w:before="120" w:after="120" w:line="240" w:lineRule="auto"/>
        <w:jc w:val="both"/>
        <w:rPr>
          <w:rFonts w:ascii="Times New Roman" w:hAnsi="Times New Roman" w:cs="Times New Roman"/>
          <w:b/>
          <w:bCs/>
          <w:smallCaps/>
          <w:color w:val="0000FF"/>
          <w:sz w:val="28"/>
          <w:szCs w:val="24"/>
        </w:rPr>
      </w:pPr>
      <w:r w:rsidRPr="00E441DD">
        <w:rPr>
          <w:rFonts w:ascii="Times New Roman" w:hAnsi="Times New Roman" w:cs="Times New Roman"/>
          <w:b/>
          <w:bCs/>
          <w:smallCaps/>
          <w:color w:val="0000FF"/>
          <w:sz w:val="28"/>
          <w:szCs w:val="24"/>
        </w:rPr>
        <w:t>La structure de l’adéquation</w:t>
      </w:r>
    </w:p>
    <w:p w:rsidR="005522F3" w:rsidRPr="00E441DD" w:rsidRDefault="00953BE6" w:rsidP="00953BE6">
      <w:pPr>
        <w:pStyle w:val="Titre1"/>
        <w:spacing w:before="120" w:after="120"/>
        <w:rPr>
          <w:rFonts w:ascii="Times New Roman" w:hAnsi="Times New Roman" w:cs="Times New Roman"/>
          <w:b/>
          <w:i/>
          <w:iCs/>
          <w:color w:val="0000FF"/>
          <w:sz w:val="24"/>
          <w:szCs w:val="24"/>
        </w:rPr>
      </w:pPr>
      <w:r>
        <w:rPr>
          <w:rFonts w:ascii="Times New Roman" w:hAnsi="Times New Roman" w:cs="Times New Roman"/>
          <w:b/>
          <w:i/>
          <w:iCs/>
          <w:color w:val="0000FF"/>
          <w:sz w:val="24"/>
          <w:szCs w:val="24"/>
        </w:rPr>
        <w:t>Neuf actifs occupés sur dix sont en situation d’adéquation ou de surclassement</w:t>
      </w:r>
    </w:p>
    <w:p w:rsidR="00FA0134" w:rsidRDefault="00CF40DA" w:rsidP="001D5258">
      <w:pPr>
        <w:spacing w:before="120" w:after="120" w:line="240" w:lineRule="auto"/>
        <w:ind w:firstLine="709"/>
        <w:jc w:val="both"/>
        <w:rPr>
          <w:rFonts w:ascii="Times New Roman" w:hAnsi="Times New Roman" w:cs="Times New Roman"/>
          <w:sz w:val="24"/>
        </w:rPr>
      </w:pPr>
      <w:r w:rsidRPr="00DD59E9">
        <w:rPr>
          <w:rFonts w:ascii="Times New Roman" w:hAnsi="Times New Roman" w:cs="Times New Roman"/>
          <w:sz w:val="24"/>
        </w:rPr>
        <w:t>L</w:t>
      </w:r>
      <w:r w:rsidR="0026145C" w:rsidRPr="00DD59E9">
        <w:rPr>
          <w:rFonts w:ascii="Times New Roman" w:hAnsi="Times New Roman" w:cs="Times New Roman"/>
          <w:sz w:val="24"/>
        </w:rPr>
        <w:t xml:space="preserve">a correspondance entre </w:t>
      </w:r>
      <w:r w:rsidR="005522F3" w:rsidRPr="00DD59E9">
        <w:rPr>
          <w:rFonts w:ascii="Times New Roman" w:hAnsi="Times New Roman" w:cs="Times New Roman"/>
          <w:sz w:val="24"/>
        </w:rPr>
        <w:t xml:space="preserve">les </w:t>
      </w:r>
      <w:r w:rsidR="00120E7C">
        <w:rPr>
          <w:rFonts w:ascii="Times New Roman" w:hAnsi="Times New Roman" w:cs="Times New Roman"/>
          <w:sz w:val="24"/>
        </w:rPr>
        <w:t xml:space="preserve">catégories selon le </w:t>
      </w:r>
      <w:r w:rsidR="005522F3" w:rsidRPr="00DD59E9">
        <w:rPr>
          <w:rFonts w:ascii="Times New Roman" w:hAnsi="Times New Roman" w:cs="Times New Roman"/>
          <w:sz w:val="24"/>
        </w:rPr>
        <w:t xml:space="preserve">diplôme et </w:t>
      </w:r>
      <w:r w:rsidR="00120E7C">
        <w:rPr>
          <w:rFonts w:ascii="Times New Roman" w:hAnsi="Times New Roman" w:cs="Times New Roman"/>
          <w:sz w:val="24"/>
        </w:rPr>
        <w:t>cel</w:t>
      </w:r>
      <w:r w:rsidR="005522F3" w:rsidRPr="00DD59E9">
        <w:rPr>
          <w:rFonts w:ascii="Times New Roman" w:hAnsi="Times New Roman" w:cs="Times New Roman"/>
          <w:sz w:val="24"/>
        </w:rPr>
        <w:t xml:space="preserve">les </w:t>
      </w:r>
      <w:r w:rsidR="00120E7C">
        <w:rPr>
          <w:rFonts w:ascii="Times New Roman" w:hAnsi="Times New Roman" w:cs="Times New Roman"/>
          <w:sz w:val="24"/>
        </w:rPr>
        <w:t xml:space="preserve">selon la </w:t>
      </w:r>
      <w:r w:rsidR="005522F3" w:rsidRPr="00DD59E9">
        <w:rPr>
          <w:rFonts w:ascii="Times New Roman" w:hAnsi="Times New Roman" w:cs="Times New Roman"/>
          <w:sz w:val="24"/>
        </w:rPr>
        <w:t>profession</w:t>
      </w:r>
      <w:r w:rsidRPr="00DD59E9">
        <w:rPr>
          <w:rFonts w:ascii="Times New Roman" w:hAnsi="Times New Roman" w:cs="Times New Roman"/>
          <w:sz w:val="24"/>
        </w:rPr>
        <w:t xml:space="preserve"> exercée </w:t>
      </w:r>
      <w:r w:rsidR="009440CE">
        <w:rPr>
          <w:rFonts w:ascii="Times New Roman" w:hAnsi="Times New Roman" w:cs="Times New Roman"/>
          <w:sz w:val="24"/>
        </w:rPr>
        <w:t>montre</w:t>
      </w:r>
      <w:r w:rsidRPr="00DD59E9">
        <w:rPr>
          <w:rFonts w:ascii="Times New Roman" w:hAnsi="Times New Roman" w:cs="Times New Roman"/>
          <w:sz w:val="24"/>
        </w:rPr>
        <w:t xml:space="preserve"> </w:t>
      </w:r>
      <w:r w:rsidR="00521FDB">
        <w:rPr>
          <w:rFonts w:ascii="Times New Roman" w:hAnsi="Times New Roman" w:cs="Times New Roman"/>
          <w:sz w:val="24"/>
        </w:rPr>
        <w:t xml:space="preserve">que </w:t>
      </w:r>
      <w:r w:rsidR="00DE6DA8" w:rsidRPr="00DD59E9">
        <w:rPr>
          <w:rFonts w:ascii="Times New Roman" w:hAnsi="Times New Roman" w:cs="Times New Roman"/>
          <w:sz w:val="24"/>
        </w:rPr>
        <w:t xml:space="preserve">45,7% </w:t>
      </w:r>
      <w:r w:rsidR="00856B58" w:rsidRPr="00DD59E9">
        <w:rPr>
          <w:rFonts w:ascii="Times New Roman" w:hAnsi="Times New Roman" w:cs="Times New Roman"/>
          <w:sz w:val="24"/>
        </w:rPr>
        <w:t xml:space="preserve">de la population active </w:t>
      </w:r>
      <w:r w:rsidR="00DE6DA8" w:rsidRPr="00DD59E9">
        <w:rPr>
          <w:rFonts w:ascii="Times New Roman" w:hAnsi="Times New Roman" w:cs="Times New Roman"/>
          <w:sz w:val="24"/>
        </w:rPr>
        <w:t xml:space="preserve">occupée </w:t>
      </w:r>
      <w:r w:rsidR="00521FDB">
        <w:rPr>
          <w:rFonts w:ascii="Times New Roman" w:hAnsi="Times New Roman" w:cs="Times New Roman"/>
          <w:sz w:val="24"/>
        </w:rPr>
        <w:t xml:space="preserve">est </w:t>
      </w:r>
      <w:r w:rsidR="00FF5EA7" w:rsidRPr="00DD59E9">
        <w:rPr>
          <w:rFonts w:ascii="Times New Roman" w:hAnsi="Times New Roman" w:cs="Times New Roman"/>
          <w:sz w:val="24"/>
        </w:rPr>
        <w:t>en situation d’adéquation,</w:t>
      </w:r>
      <w:r w:rsidR="00A330DB" w:rsidRPr="00DD59E9">
        <w:rPr>
          <w:rFonts w:ascii="Times New Roman" w:hAnsi="Times New Roman" w:cs="Times New Roman"/>
          <w:sz w:val="24"/>
        </w:rPr>
        <w:t xml:space="preserve"> </w:t>
      </w:r>
      <w:r w:rsidR="005522F3" w:rsidRPr="00DD59E9">
        <w:rPr>
          <w:rFonts w:ascii="Times New Roman" w:hAnsi="Times New Roman" w:cs="Times New Roman"/>
          <w:sz w:val="24"/>
        </w:rPr>
        <w:t>7,</w:t>
      </w:r>
      <w:r w:rsidR="00DE6DA8" w:rsidRPr="00DD59E9">
        <w:rPr>
          <w:rFonts w:ascii="Times New Roman" w:hAnsi="Times New Roman" w:cs="Times New Roman"/>
          <w:sz w:val="24"/>
        </w:rPr>
        <w:t>6</w:t>
      </w:r>
      <w:r w:rsidR="005522F3" w:rsidRPr="00DD59E9">
        <w:rPr>
          <w:rFonts w:ascii="Times New Roman" w:hAnsi="Times New Roman" w:cs="Times New Roman"/>
          <w:sz w:val="24"/>
        </w:rPr>
        <w:t>% en situation de déclassement et 4</w:t>
      </w:r>
      <w:r w:rsidR="00DE6DA8" w:rsidRPr="00DD59E9">
        <w:rPr>
          <w:rFonts w:ascii="Times New Roman" w:hAnsi="Times New Roman" w:cs="Times New Roman"/>
          <w:sz w:val="24"/>
        </w:rPr>
        <w:t>6</w:t>
      </w:r>
      <w:r w:rsidR="005522F3" w:rsidRPr="00DD59E9">
        <w:rPr>
          <w:rFonts w:ascii="Times New Roman" w:hAnsi="Times New Roman" w:cs="Times New Roman"/>
          <w:sz w:val="24"/>
        </w:rPr>
        <w:t>,</w:t>
      </w:r>
      <w:r w:rsidR="00DE6DA8" w:rsidRPr="00DD59E9">
        <w:rPr>
          <w:rFonts w:ascii="Times New Roman" w:hAnsi="Times New Roman" w:cs="Times New Roman"/>
          <w:sz w:val="24"/>
        </w:rPr>
        <w:t>7</w:t>
      </w:r>
      <w:r w:rsidR="005522F3" w:rsidRPr="00DD59E9">
        <w:rPr>
          <w:rFonts w:ascii="Times New Roman" w:hAnsi="Times New Roman" w:cs="Times New Roman"/>
          <w:sz w:val="24"/>
        </w:rPr>
        <w:t>% en situation de surclassement</w:t>
      </w:r>
      <w:r w:rsidR="001D5258">
        <w:rPr>
          <w:rFonts w:ascii="Times New Roman" w:hAnsi="Times New Roman" w:cs="Times New Roman"/>
          <w:sz w:val="24"/>
        </w:rPr>
        <w:t xml:space="preserve"> </w:t>
      </w:r>
      <w:r w:rsidR="001D5258">
        <w:rPr>
          <w:rFonts w:ascii="Times New Roman" w:hAnsi="Times New Roman" w:cs="Times New Roman"/>
          <w:sz w:val="24"/>
          <w:szCs w:val="24"/>
        </w:rPr>
        <w:t>(Graphique 3)</w:t>
      </w:r>
      <w:r w:rsidR="005522F3" w:rsidRPr="00DD59E9">
        <w:rPr>
          <w:rFonts w:ascii="Times New Roman" w:hAnsi="Times New Roman" w:cs="Times New Roman"/>
          <w:sz w:val="24"/>
        </w:rPr>
        <w:t>.</w:t>
      </w:r>
    </w:p>
    <w:p w:rsidR="00FA2968" w:rsidRPr="001D5258" w:rsidRDefault="00FA2968" w:rsidP="001D5258">
      <w:pPr>
        <w:spacing w:after="0" w:line="240" w:lineRule="auto"/>
        <w:jc w:val="center"/>
        <w:rPr>
          <w:rFonts w:ascii="Times New Roman" w:hAnsi="Times New Roman" w:cs="Times New Roman"/>
          <w:color w:val="0000FF"/>
          <w:sz w:val="24"/>
        </w:rPr>
      </w:pPr>
      <w:r w:rsidRPr="00FA2968">
        <w:rPr>
          <w:rFonts w:ascii="Calibri" w:eastAsia="Times New Roman" w:hAnsi="Calibri" w:cs="Times New Roman"/>
          <w:b/>
          <w:bCs/>
          <w:color w:val="0000FF"/>
          <w:lang w:eastAsia="fr-FR"/>
        </w:rPr>
        <w:t xml:space="preserve">Graphique 3: Taux d'adéquation, de déclassement et de </w:t>
      </w:r>
      <w:r w:rsidR="001D5258" w:rsidRPr="001D5258">
        <w:rPr>
          <w:rFonts w:ascii="Calibri" w:eastAsia="Times New Roman" w:hAnsi="Calibri" w:cs="Times New Roman"/>
          <w:b/>
          <w:bCs/>
          <w:color w:val="0000FF"/>
          <w:lang w:eastAsia="fr-FR"/>
        </w:rPr>
        <w:br/>
      </w:r>
      <w:r w:rsidR="001D5258" w:rsidRPr="00FA2968">
        <w:rPr>
          <w:rFonts w:ascii="Calibri" w:eastAsia="Times New Roman" w:hAnsi="Calibri" w:cs="Times New Roman"/>
          <w:b/>
          <w:bCs/>
          <w:color w:val="0000FF"/>
          <w:lang w:eastAsia="fr-FR"/>
        </w:rPr>
        <w:t xml:space="preserve">surclassement </w:t>
      </w:r>
      <w:r w:rsidRPr="00FA2968">
        <w:rPr>
          <w:rFonts w:ascii="Calibri" w:eastAsia="Times New Roman" w:hAnsi="Calibri" w:cs="Times New Roman"/>
          <w:b/>
          <w:bCs/>
          <w:color w:val="0000FF"/>
          <w:lang w:eastAsia="fr-FR"/>
        </w:rPr>
        <w:t>de la population active occupée, RGPH 2014</w:t>
      </w:r>
    </w:p>
    <w:p w:rsidR="00FA2968" w:rsidRDefault="00FA2968" w:rsidP="00A056D5">
      <w:pPr>
        <w:spacing w:before="120" w:after="120" w:line="240" w:lineRule="auto"/>
        <w:jc w:val="center"/>
        <w:rPr>
          <w:rFonts w:ascii="Times New Roman" w:hAnsi="Times New Roman" w:cs="Times New Roman"/>
          <w:sz w:val="24"/>
          <w:szCs w:val="24"/>
        </w:rPr>
      </w:pPr>
      <w:r w:rsidRPr="00FA2968">
        <w:rPr>
          <w:rFonts w:ascii="Times New Roman" w:hAnsi="Times New Roman" w:cs="Times New Roman"/>
          <w:noProof/>
          <w:sz w:val="24"/>
          <w:szCs w:val="24"/>
          <w:lang w:eastAsia="fr-FR"/>
        </w:rPr>
        <w:drawing>
          <wp:inline distT="0" distB="0" distL="0" distR="0">
            <wp:extent cx="4317558" cy="2464904"/>
            <wp:effectExtent l="19050" t="0" r="6792"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83C48" w:rsidRPr="00FD2D46" w:rsidRDefault="00283C48" w:rsidP="00AA53A3">
      <w:pPr>
        <w:spacing w:before="120"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Le taux de déclassement</w:t>
      </w:r>
      <w:r w:rsidRPr="00FA36AA">
        <w:rPr>
          <w:rFonts w:ascii="Times New Roman" w:hAnsi="Times New Roman" w:cs="Times New Roman"/>
          <w:sz w:val="24"/>
          <w:szCs w:val="24"/>
        </w:rPr>
        <w:t xml:space="preserve"> </w:t>
      </w:r>
      <w:r>
        <w:rPr>
          <w:rFonts w:ascii="Times New Roman" w:hAnsi="Times New Roman" w:cs="Times New Roman"/>
          <w:sz w:val="24"/>
          <w:szCs w:val="24"/>
        </w:rPr>
        <w:t>augmente en restreignant la population cible. Ainsi, le taux de déclassement passe au double si l’on se limite aux diplômés seulement en écartant les sans diplômes (16,1%). Parmi les diplômés, en écartant les détenteurs du certificat du primaire ou du diplôme d’initiation professionnelle, le taux de déclassement augmente à 26,4%. Il passe à 29,4% pour les diplômés d’enseignement général du niveau supérieur. Parallèlement à la hausse du taux de déclassement, le taux d’adéquation augmente et passe respectivement de 52,9% à 66,6% et à 70,6%.</w:t>
      </w:r>
    </w:p>
    <w:p w:rsidR="001E16C5" w:rsidRPr="00111C88" w:rsidRDefault="001E16C5" w:rsidP="00290D5B">
      <w:pPr>
        <w:spacing w:before="120" w:after="120" w:line="240" w:lineRule="auto"/>
        <w:ind w:firstLine="709"/>
        <w:jc w:val="both"/>
        <w:rPr>
          <w:rFonts w:ascii="Times New Roman" w:hAnsi="Times New Roman" w:cs="Times New Roman"/>
          <w:sz w:val="24"/>
        </w:rPr>
      </w:pPr>
      <w:r>
        <w:rPr>
          <w:rFonts w:ascii="Times New Roman" w:hAnsi="Times New Roman" w:cs="Times New Roman"/>
          <w:sz w:val="24"/>
        </w:rPr>
        <w:lastRenderedPageBreak/>
        <w:t xml:space="preserve">La </w:t>
      </w:r>
      <w:r w:rsidR="00586D68">
        <w:rPr>
          <w:rFonts w:ascii="Times New Roman" w:hAnsi="Times New Roman" w:cs="Times New Roman"/>
          <w:sz w:val="24"/>
        </w:rPr>
        <w:t>structure</w:t>
      </w:r>
      <w:r>
        <w:rPr>
          <w:rFonts w:ascii="Times New Roman" w:hAnsi="Times New Roman" w:cs="Times New Roman"/>
          <w:sz w:val="24"/>
        </w:rPr>
        <w:t xml:space="preserve"> selon l’âge montre l’importance des jeunes</w:t>
      </w:r>
      <w:r w:rsidR="00586D68" w:rsidRPr="00586D68">
        <w:rPr>
          <w:rFonts w:ascii="Times New Roman" w:hAnsi="Times New Roman" w:cs="Times New Roman"/>
          <w:sz w:val="24"/>
        </w:rPr>
        <w:t xml:space="preserve"> </w:t>
      </w:r>
      <w:r w:rsidR="00586D68">
        <w:rPr>
          <w:rFonts w:ascii="Times New Roman" w:hAnsi="Times New Roman" w:cs="Times New Roman"/>
          <w:sz w:val="24"/>
        </w:rPr>
        <w:t>parmi les actifs occupés avec</w:t>
      </w:r>
      <w:r>
        <w:rPr>
          <w:rFonts w:ascii="Times New Roman" w:hAnsi="Times New Roman" w:cs="Times New Roman"/>
          <w:sz w:val="24"/>
        </w:rPr>
        <w:t xml:space="preserve"> 56,1% ont moins de 40 ans et 28,8% moins de 30 ans. Cette importance se reflète </w:t>
      </w:r>
      <w:r w:rsidR="00586D68">
        <w:rPr>
          <w:rFonts w:ascii="Times New Roman" w:hAnsi="Times New Roman" w:cs="Times New Roman"/>
          <w:sz w:val="24"/>
        </w:rPr>
        <w:t xml:space="preserve">également </w:t>
      </w:r>
      <w:r>
        <w:rPr>
          <w:rFonts w:ascii="Times New Roman" w:hAnsi="Times New Roman" w:cs="Times New Roman"/>
          <w:sz w:val="24"/>
        </w:rPr>
        <w:t>aux niveaux des différentes situations</w:t>
      </w:r>
      <w:r w:rsidR="0061446F">
        <w:rPr>
          <w:rFonts w:ascii="Times New Roman" w:hAnsi="Times New Roman" w:cs="Times New Roman"/>
          <w:sz w:val="24"/>
        </w:rPr>
        <w:t xml:space="preserve"> d’adéquation</w:t>
      </w:r>
      <w:r>
        <w:rPr>
          <w:rFonts w:ascii="Times New Roman" w:hAnsi="Times New Roman" w:cs="Times New Roman"/>
          <w:sz w:val="24"/>
        </w:rPr>
        <w:t>,</w:t>
      </w:r>
      <w:r w:rsidR="00586D68">
        <w:rPr>
          <w:rFonts w:ascii="Times New Roman" w:hAnsi="Times New Roman" w:cs="Times New Roman"/>
          <w:sz w:val="24"/>
        </w:rPr>
        <w:t xml:space="preserve"> avec</w:t>
      </w:r>
      <w:r w:rsidR="0061446F">
        <w:rPr>
          <w:rFonts w:ascii="Times New Roman" w:hAnsi="Times New Roman" w:cs="Times New Roman"/>
          <w:sz w:val="24"/>
        </w:rPr>
        <w:t xml:space="preserve"> respectivement</w:t>
      </w:r>
      <w:r>
        <w:rPr>
          <w:rFonts w:ascii="Times New Roman" w:hAnsi="Times New Roman" w:cs="Times New Roman"/>
          <w:sz w:val="24"/>
        </w:rPr>
        <w:t xml:space="preserve"> 60,4% contre 32,3%</w:t>
      </w:r>
      <w:r w:rsidR="00586D68">
        <w:rPr>
          <w:rFonts w:ascii="Times New Roman" w:hAnsi="Times New Roman" w:cs="Times New Roman"/>
          <w:sz w:val="24"/>
        </w:rPr>
        <w:t xml:space="preserve"> parmi la population active occupée en situation d’adéquation</w:t>
      </w:r>
      <w:r>
        <w:rPr>
          <w:rFonts w:ascii="Times New Roman" w:hAnsi="Times New Roman" w:cs="Times New Roman"/>
          <w:sz w:val="24"/>
        </w:rPr>
        <w:t xml:space="preserve">, 67,9% contre 36,5% </w:t>
      </w:r>
      <w:r w:rsidR="006D31B2">
        <w:rPr>
          <w:rFonts w:ascii="Times New Roman" w:hAnsi="Times New Roman" w:cs="Times New Roman"/>
          <w:sz w:val="24"/>
        </w:rPr>
        <w:t xml:space="preserve">parmi la population active occupée </w:t>
      </w:r>
      <w:r w:rsidR="0061446F">
        <w:rPr>
          <w:rFonts w:ascii="Times New Roman" w:hAnsi="Times New Roman" w:cs="Times New Roman"/>
          <w:sz w:val="24"/>
        </w:rPr>
        <w:t>en situation de déclassement</w:t>
      </w:r>
      <w:r>
        <w:rPr>
          <w:rFonts w:ascii="Times New Roman" w:hAnsi="Times New Roman" w:cs="Times New Roman"/>
          <w:sz w:val="24"/>
        </w:rPr>
        <w:t xml:space="preserve">, </w:t>
      </w:r>
      <w:r w:rsidR="0061446F">
        <w:rPr>
          <w:rFonts w:ascii="Times New Roman" w:hAnsi="Times New Roman" w:cs="Times New Roman"/>
          <w:sz w:val="24"/>
        </w:rPr>
        <w:t xml:space="preserve">et </w:t>
      </w:r>
      <w:r>
        <w:rPr>
          <w:rFonts w:ascii="Times New Roman" w:hAnsi="Times New Roman" w:cs="Times New Roman"/>
          <w:sz w:val="24"/>
        </w:rPr>
        <w:t>49,9% contre 24,0%</w:t>
      </w:r>
      <w:r w:rsidR="0061446F">
        <w:rPr>
          <w:rFonts w:ascii="Times New Roman" w:hAnsi="Times New Roman" w:cs="Times New Roman"/>
          <w:sz w:val="24"/>
        </w:rPr>
        <w:t xml:space="preserve"> </w:t>
      </w:r>
      <w:r w:rsidR="006D31B2">
        <w:rPr>
          <w:rFonts w:ascii="Times New Roman" w:hAnsi="Times New Roman" w:cs="Times New Roman"/>
          <w:sz w:val="24"/>
        </w:rPr>
        <w:t xml:space="preserve">parmi la population active occupée </w:t>
      </w:r>
      <w:r w:rsidR="0061446F">
        <w:rPr>
          <w:rFonts w:ascii="Times New Roman" w:hAnsi="Times New Roman" w:cs="Times New Roman"/>
          <w:sz w:val="24"/>
        </w:rPr>
        <w:t>en situation</w:t>
      </w:r>
      <w:r>
        <w:rPr>
          <w:rFonts w:ascii="Times New Roman" w:hAnsi="Times New Roman" w:cs="Times New Roman"/>
          <w:sz w:val="24"/>
        </w:rPr>
        <w:t xml:space="preserve"> </w:t>
      </w:r>
      <w:r w:rsidR="0061446F">
        <w:rPr>
          <w:rFonts w:ascii="Times New Roman" w:hAnsi="Times New Roman" w:cs="Times New Roman"/>
          <w:sz w:val="24"/>
        </w:rPr>
        <w:t>de surclassement</w:t>
      </w:r>
      <w:r w:rsidR="00290D5B">
        <w:rPr>
          <w:rFonts w:ascii="Times New Roman" w:hAnsi="Times New Roman" w:cs="Times New Roman"/>
          <w:sz w:val="24"/>
        </w:rPr>
        <w:t xml:space="preserve"> </w:t>
      </w:r>
      <w:r w:rsidR="00290D5B">
        <w:rPr>
          <w:rFonts w:ascii="Times New Roman" w:hAnsi="Times New Roman" w:cs="Times New Roman"/>
          <w:sz w:val="24"/>
          <w:szCs w:val="24"/>
        </w:rPr>
        <w:t>(Graphique 4)</w:t>
      </w:r>
      <w:r w:rsidR="0061446F">
        <w:rPr>
          <w:rFonts w:ascii="Times New Roman" w:hAnsi="Times New Roman" w:cs="Times New Roman"/>
          <w:sz w:val="24"/>
        </w:rPr>
        <w:t>.</w:t>
      </w:r>
    </w:p>
    <w:p w:rsidR="007C248A" w:rsidRPr="007C248A" w:rsidRDefault="007C248A" w:rsidP="00290D5B">
      <w:pPr>
        <w:spacing w:after="0" w:line="240" w:lineRule="auto"/>
        <w:jc w:val="center"/>
        <w:rPr>
          <w:rFonts w:ascii="Times New Roman" w:eastAsia="Times New Roman" w:hAnsi="Times New Roman" w:cs="Times New Roman"/>
          <w:color w:val="0000FF"/>
          <w:sz w:val="24"/>
          <w:szCs w:val="24"/>
          <w:lang w:eastAsia="fr-FR"/>
        </w:rPr>
      </w:pPr>
      <w:bookmarkStart w:id="4" w:name="RANGE!G3"/>
      <w:r w:rsidRPr="007C248A">
        <w:rPr>
          <w:rFonts w:ascii="Times New Roman" w:eastAsia="Times New Roman" w:hAnsi="Times New Roman" w:cs="Times New Roman"/>
          <w:color w:val="0000FF"/>
          <w:sz w:val="24"/>
          <w:szCs w:val="24"/>
          <w:lang w:eastAsia="fr-FR"/>
        </w:rPr>
        <w:t xml:space="preserve">Graphique </w:t>
      </w:r>
      <w:r w:rsidR="00290D5B">
        <w:rPr>
          <w:rFonts w:ascii="Times New Roman" w:eastAsia="Times New Roman" w:hAnsi="Times New Roman" w:cs="Times New Roman"/>
          <w:color w:val="0000FF"/>
          <w:sz w:val="24"/>
          <w:szCs w:val="24"/>
          <w:lang w:eastAsia="fr-FR"/>
        </w:rPr>
        <w:t>4</w:t>
      </w:r>
      <w:r w:rsidRPr="007C248A">
        <w:rPr>
          <w:rFonts w:ascii="Times New Roman" w:eastAsia="Times New Roman" w:hAnsi="Times New Roman" w:cs="Times New Roman"/>
          <w:color w:val="0000FF"/>
          <w:sz w:val="24"/>
          <w:szCs w:val="24"/>
          <w:lang w:eastAsia="fr-FR"/>
        </w:rPr>
        <w:t>: Evolutions des parts d'adéquation, de surclassement</w:t>
      </w:r>
      <w:bookmarkEnd w:id="4"/>
      <w:r>
        <w:rPr>
          <w:rFonts w:ascii="Times New Roman" w:eastAsia="Times New Roman" w:hAnsi="Times New Roman" w:cs="Times New Roman"/>
          <w:color w:val="0000FF"/>
          <w:sz w:val="24"/>
          <w:szCs w:val="24"/>
          <w:lang w:eastAsia="fr-FR"/>
        </w:rPr>
        <w:br/>
      </w:r>
      <w:r w:rsidRPr="007C248A">
        <w:rPr>
          <w:rFonts w:ascii="Times New Roman" w:eastAsia="Times New Roman" w:hAnsi="Times New Roman" w:cs="Times New Roman"/>
          <w:color w:val="0000FF"/>
          <w:sz w:val="24"/>
          <w:szCs w:val="24"/>
          <w:lang w:eastAsia="fr-FR"/>
        </w:rPr>
        <w:t xml:space="preserve"> et de déclassement selon l'âge des actifs occupés</w:t>
      </w:r>
    </w:p>
    <w:p w:rsidR="007C248A" w:rsidRDefault="007C248A" w:rsidP="001E16C5">
      <w:pPr>
        <w:spacing w:before="120" w:after="120" w:line="240" w:lineRule="auto"/>
        <w:ind w:firstLine="709"/>
        <w:jc w:val="both"/>
        <w:rPr>
          <w:rFonts w:ascii="Times New Roman" w:hAnsi="Times New Roman" w:cs="Times New Roman"/>
          <w:sz w:val="24"/>
        </w:rPr>
      </w:pPr>
      <w:r w:rsidRPr="007C248A">
        <w:rPr>
          <w:rFonts w:ascii="Times New Roman" w:hAnsi="Times New Roman" w:cs="Times New Roman"/>
          <w:noProof/>
          <w:sz w:val="24"/>
          <w:lang w:eastAsia="fr-FR"/>
        </w:rPr>
        <w:drawing>
          <wp:inline distT="0" distB="0" distL="0" distR="0">
            <wp:extent cx="5200650" cy="2743200"/>
            <wp:effectExtent l="0" t="0" r="0" b="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C4A5F" w:rsidRDefault="00FC4A5F" w:rsidP="00290D5B">
      <w:pPr>
        <w:spacing w:before="120" w:after="120" w:line="240" w:lineRule="auto"/>
        <w:ind w:firstLine="709"/>
        <w:jc w:val="both"/>
        <w:rPr>
          <w:rFonts w:ascii="Times New Roman" w:hAnsi="Times New Roman" w:cs="Times New Roman"/>
          <w:sz w:val="24"/>
        </w:rPr>
      </w:pPr>
      <w:r>
        <w:rPr>
          <w:rFonts w:ascii="Times New Roman" w:hAnsi="Times New Roman" w:cs="Times New Roman"/>
          <w:sz w:val="24"/>
        </w:rPr>
        <w:t>L</w:t>
      </w:r>
      <w:r w:rsidRPr="006A27EB">
        <w:rPr>
          <w:rFonts w:ascii="Times New Roman" w:hAnsi="Times New Roman" w:cs="Times New Roman"/>
          <w:sz w:val="24"/>
        </w:rPr>
        <w:t>e surclassement croit avec l’âge</w:t>
      </w:r>
      <w:r>
        <w:rPr>
          <w:rFonts w:ascii="Times New Roman" w:hAnsi="Times New Roman" w:cs="Times New Roman"/>
          <w:sz w:val="24"/>
        </w:rPr>
        <w:t xml:space="preserve"> des actifs occupés et l</w:t>
      </w:r>
      <w:r w:rsidRPr="006A27EB">
        <w:rPr>
          <w:rFonts w:ascii="Times New Roman" w:hAnsi="Times New Roman" w:cs="Times New Roman"/>
          <w:sz w:val="24"/>
        </w:rPr>
        <w:t xml:space="preserve">’adéquation baisse d’une façon continue. Par contre le déclassement n’entame une décroissance qu’après l’âge </w:t>
      </w:r>
      <w:r>
        <w:rPr>
          <w:rFonts w:ascii="Times New Roman" w:hAnsi="Times New Roman" w:cs="Times New Roman"/>
          <w:sz w:val="24"/>
        </w:rPr>
        <w:t xml:space="preserve">de 30 ans, </w:t>
      </w:r>
      <w:r w:rsidRPr="006A27EB">
        <w:rPr>
          <w:rFonts w:ascii="Times New Roman" w:hAnsi="Times New Roman" w:cs="Times New Roman"/>
          <w:sz w:val="24"/>
        </w:rPr>
        <w:t>montr</w:t>
      </w:r>
      <w:r>
        <w:rPr>
          <w:rFonts w:ascii="Times New Roman" w:hAnsi="Times New Roman" w:cs="Times New Roman"/>
          <w:sz w:val="24"/>
        </w:rPr>
        <w:t>ant</w:t>
      </w:r>
      <w:r w:rsidRPr="006A27EB">
        <w:rPr>
          <w:rFonts w:ascii="Times New Roman" w:hAnsi="Times New Roman" w:cs="Times New Roman"/>
          <w:sz w:val="24"/>
        </w:rPr>
        <w:t xml:space="preserve"> les difficultés d’insertion des jeunes générations dans le marché de l’emploi </w:t>
      </w:r>
      <w:r>
        <w:rPr>
          <w:rFonts w:ascii="Times New Roman" w:hAnsi="Times New Roman" w:cs="Times New Roman"/>
          <w:sz w:val="24"/>
        </w:rPr>
        <w:t>avant</w:t>
      </w:r>
      <w:r w:rsidRPr="006A27EB">
        <w:rPr>
          <w:rFonts w:ascii="Times New Roman" w:hAnsi="Times New Roman" w:cs="Times New Roman"/>
          <w:sz w:val="24"/>
        </w:rPr>
        <w:t xml:space="preserve"> </w:t>
      </w:r>
      <w:r>
        <w:rPr>
          <w:rFonts w:ascii="Times New Roman" w:hAnsi="Times New Roman" w:cs="Times New Roman"/>
          <w:sz w:val="24"/>
        </w:rPr>
        <w:t>cet âge</w:t>
      </w:r>
      <w:r w:rsidRPr="006A27EB">
        <w:rPr>
          <w:rFonts w:ascii="Times New Roman" w:hAnsi="Times New Roman" w:cs="Times New Roman"/>
          <w:sz w:val="24"/>
        </w:rPr>
        <w:t>. Après</w:t>
      </w:r>
      <w:r>
        <w:rPr>
          <w:rFonts w:ascii="Times New Roman" w:hAnsi="Times New Roman" w:cs="Times New Roman"/>
          <w:sz w:val="24"/>
        </w:rPr>
        <w:t>,</w:t>
      </w:r>
      <w:r w:rsidRPr="006A27EB">
        <w:rPr>
          <w:rFonts w:ascii="Times New Roman" w:hAnsi="Times New Roman" w:cs="Times New Roman"/>
          <w:sz w:val="24"/>
        </w:rPr>
        <w:t xml:space="preserve"> la baisse de l’adéquation et du déclassement est </w:t>
      </w:r>
      <w:r>
        <w:rPr>
          <w:rFonts w:ascii="Times New Roman" w:hAnsi="Times New Roman" w:cs="Times New Roman"/>
          <w:sz w:val="24"/>
        </w:rPr>
        <w:t xml:space="preserve">compensée </w:t>
      </w:r>
      <w:r w:rsidRPr="006A27EB">
        <w:rPr>
          <w:rFonts w:ascii="Times New Roman" w:hAnsi="Times New Roman" w:cs="Times New Roman"/>
          <w:sz w:val="24"/>
        </w:rPr>
        <w:t>par le surclassement</w:t>
      </w:r>
      <w:r w:rsidR="00290D5B">
        <w:rPr>
          <w:rFonts w:ascii="Times New Roman" w:hAnsi="Times New Roman" w:cs="Times New Roman"/>
          <w:sz w:val="24"/>
        </w:rPr>
        <w:t xml:space="preserve"> </w:t>
      </w:r>
      <w:r w:rsidR="00290D5B">
        <w:rPr>
          <w:rFonts w:ascii="Times New Roman" w:hAnsi="Times New Roman" w:cs="Times New Roman"/>
          <w:sz w:val="24"/>
          <w:szCs w:val="24"/>
        </w:rPr>
        <w:t>(Graphique 5)</w:t>
      </w:r>
      <w:r w:rsidRPr="006A27EB">
        <w:rPr>
          <w:rFonts w:ascii="Times New Roman" w:hAnsi="Times New Roman" w:cs="Times New Roman"/>
          <w:sz w:val="24"/>
        </w:rPr>
        <w:t>.</w:t>
      </w:r>
    </w:p>
    <w:p w:rsidR="00FC4A5F" w:rsidRDefault="00FC4A5F" w:rsidP="00BA5DCC">
      <w:pPr>
        <w:spacing w:after="0" w:line="240" w:lineRule="auto"/>
        <w:jc w:val="center"/>
        <w:rPr>
          <w:rFonts w:ascii="Times New Roman" w:hAnsi="Times New Roman" w:cs="Times New Roman"/>
          <w:sz w:val="24"/>
        </w:rPr>
      </w:pPr>
      <w:r w:rsidRPr="00697DF0">
        <w:rPr>
          <w:rFonts w:ascii="Times New Roman" w:eastAsia="Times New Roman" w:hAnsi="Times New Roman" w:cs="Times New Roman"/>
          <w:color w:val="0000FF"/>
          <w:sz w:val="24"/>
          <w:szCs w:val="24"/>
          <w:lang w:eastAsia="fr-FR"/>
        </w:rPr>
        <w:t xml:space="preserve">Graphique </w:t>
      </w:r>
      <w:r w:rsidR="00BA5DCC">
        <w:rPr>
          <w:rFonts w:ascii="Times New Roman" w:eastAsia="Times New Roman" w:hAnsi="Times New Roman" w:cs="Times New Roman"/>
          <w:color w:val="0000FF"/>
          <w:sz w:val="24"/>
          <w:szCs w:val="24"/>
          <w:lang w:eastAsia="fr-FR"/>
        </w:rPr>
        <w:t>5</w:t>
      </w:r>
      <w:r w:rsidRPr="00697DF0">
        <w:rPr>
          <w:rFonts w:ascii="Times New Roman" w:eastAsia="Times New Roman" w:hAnsi="Times New Roman" w:cs="Times New Roman"/>
          <w:color w:val="0000FF"/>
          <w:sz w:val="24"/>
          <w:szCs w:val="24"/>
          <w:lang w:eastAsia="fr-FR"/>
        </w:rPr>
        <w:t>: Evolutions des taux d'adéquation, de surclassement</w:t>
      </w:r>
      <w:r>
        <w:rPr>
          <w:rFonts w:ascii="Times New Roman" w:eastAsia="Times New Roman" w:hAnsi="Times New Roman" w:cs="Times New Roman"/>
          <w:color w:val="0000FF"/>
          <w:sz w:val="24"/>
          <w:szCs w:val="24"/>
          <w:lang w:eastAsia="fr-FR"/>
        </w:rPr>
        <w:br/>
      </w:r>
      <w:r w:rsidRPr="00697DF0">
        <w:rPr>
          <w:rFonts w:ascii="Times New Roman" w:eastAsia="Times New Roman" w:hAnsi="Times New Roman" w:cs="Times New Roman"/>
          <w:color w:val="0000FF"/>
          <w:sz w:val="24"/>
          <w:szCs w:val="24"/>
          <w:lang w:eastAsia="fr-FR"/>
        </w:rPr>
        <w:t xml:space="preserve"> et de déclassement selon l'âge des actifs occupés</w:t>
      </w:r>
    </w:p>
    <w:p w:rsidR="00FC4A5F" w:rsidRDefault="00FC4A5F" w:rsidP="00FC4A5F">
      <w:pPr>
        <w:spacing w:before="120" w:after="120" w:line="240" w:lineRule="auto"/>
        <w:ind w:firstLine="709"/>
        <w:jc w:val="both"/>
        <w:rPr>
          <w:rFonts w:ascii="Times New Roman" w:hAnsi="Times New Roman" w:cs="Times New Roman"/>
          <w:sz w:val="24"/>
        </w:rPr>
      </w:pPr>
      <w:r w:rsidRPr="00697DF0">
        <w:rPr>
          <w:rFonts w:ascii="Times New Roman" w:hAnsi="Times New Roman" w:cs="Times New Roman"/>
          <w:noProof/>
          <w:sz w:val="24"/>
          <w:lang w:eastAsia="fr-FR"/>
        </w:rPr>
        <w:drawing>
          <wp:inline distT="0" distB="0" distL="0" distR="0">
            <wp:extent cx="4882101" cy="2600077"/>
            <wp:effectExtent l="0" t="0" r="0" b="0"/>
            <wp:docPr id="8"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C4A5F" w:rsidRDefault="00FC4A5F" w:rsidP="0004768A">
      <w:pPr>
        <w:keepLines/>
        <w:spacing w:before="120" w:after="120" w:line="240" w:lineRule="auto"/>
        <w:ind w:firstLine="709"/>
        <w:jc w:val="both"/>
        <w:rPr>
          <w:rFonts w:ascii="Times New Roman" w:hAnsi="Times New Roman" w:cs="Times New Roman"/>
          <w:sz w:val="24"/>
        </w:rPr>
      </w:pPr>
    </w:p>
    <w:p w:rsidR="005E71F3" w:rsidRDefault="00731CF5" w:rsidP="00BA5DCC">
      <w:pPr>
        <w:keepLines/>
        <w:spacing w:before="120" w:after="120" w:line="240" w:lineRule="auto"/>
        <w:ind w:firstLine="709"/>
        <w:jc w:val="both"/>
        <w:rPr>
          <w:rFonts w:ascii="Times New Roman" w:hAnsi="Times New Roman" w:cs="Times New Roman"/>
          <w:sz w:val="24"/>
        </w:rPr>
      </w:pPr>
      <w:r w:rsidRPr="00D116B9">
        <w:rPr>
          <w:rFonts w:ascii="Times New Roman" w:hAnsi="Times New Roman" w:cs="Times New Roman"/>
          <w:sz w:val="24"/>
        </w:rPr>
        <w:lastRenderedPageBreak/>
        <w:t xml:space="preserve">Le taux de déclassement augmente avec le niveau d’instruction. </w:t>
      </w:r>
      <w:r w:rsidR="00C225C1" w:rsidRPr="00D116B9">
        <w:rPr>
          <w:rFonts w:ascii="Times New Roman" w:hAnsi="Times New Roman" w:cs="Times New Roman"/>
          <w:sz w:val="24"/>
        </w:rPr>
        <w:t xml:space="preserve">De 0,4% pour ceux du niveau primaire, </w:t>
      </w:r>
      <w:r w:rsidR="000C2F0F">
        <w:rPr>
          <w:rFonts w:ascii="Times New Roman" w:hAnsi="Times New Roman" w:cs="Times New Roman"/>
          <w:sz w:val="24"/>
        </w:rPr>
        <w:t xml:space="preserve">il passe </w:t>
      </w:r>
      <w:r w:rsidR="00C225C1" w:rsidRPr="00D116B9">
        <w:rPr>
          <w:rFonts w:ascii="Times New Roman" w:hAnsi="Times New Roman" w:cs="Times New Roman"/>
          <w:sz w:val="24"/>
        </w:rPr>
        <w:t xml:space="preserve">à 6% pour ceux du niveau secondaire collégial, à 27% </w:t>
      </w:r>
      <w:r w:rsidR="00FC0326">
        <w:rPr>
          <w:rFonts w:ascii="Times New Roman" w:hAnsi="Times New Roman" w:cs="Times New Roman"/>
          <w:sz w:val="24"/>
        </w:rPr>
        <w:t>pour</w:t>
      </w:r>
      <w:r w:rsidR="00C225C1" w:rsidRPr="00D116B9">
        <w:rPr>
          <w:rFonts w:ascii="Times New Roman" w:hAnsi="Times New Roman" w:cs="Times New Roman"/>
          <w:sz w:val="24"/>
        </w:rPr>
        <w:t xml:space="preserve"> ceux du niveau secondaire qualifiant et à 28,4% des actifs occupés de niveau supérieur. </w:t>
      </w:r>
      <w:r w:rsidRPr="00D116B9">
        <w:rPr>
          <w:rFonts w:ascii="Times New Roman" w:hAnsi="Times New Roman" w:cs="Times New Roman"/>
          <w:sz w:val="24"/>
        </w:rPr>
        <w:t>La même tendance est observée pour la situation d’adéquation et l’inverse pour la situation de surclassement</w:t>
      </w:r>
      <w:r w:rsidR="00BA5DCC">
        <w:rPr>
          <w:rFonts w:ascii="Times New Roman" w:hAnsi="Times New Roman" w:cs="Times New Roman"/>
          <w:sz w:val="24"/>
        </w:rPr>
        <w:t xml:space="preserve"> </w:t>
      </w:r>
      <w:r w:rsidR="00BA5DCC">
        <w:rPr>
          <w:rFonts w:ascii="Times New Roman" w:hAnsi="Times New Roman" w:cs="Times New Roman"/>
          <w:sz w:val="24"/>
          <w:szCs w:val="24"/>
        </w:rPr>
        <w:t>(Graphique 6)</w:t>
      </w:r>
      <w:r w:rsidRPr="00D116B9">
        <w:rPr>
          <w:rFonts w:ascii="Times New Roman" w:hAnsi="Times New Roman" w:cs="Times New Roman"/>
          <w:sz w:val="24"/>
        </w:rPr>
        <w:t>.</w:t>
      </w:r>
      <w:r w:rsidR="009B232F">
        <w:rPr>
          <w:rFonts w:ascii="Times New Roman" w:hAnsi="Times New Roman" w:cs="Times New Roman"/>
          <w:sz w:val="24"/>
        </w:rPr>
        <w:t xml:space="preserve"> </w:t>
      </w:r>
    </w:p>
    <w:p w:rsidR="00FC4A5F" w:rsidRPr="00BA5DCC" w:rsidRDefault="00FC4A5F" w:rsidP="00BA5DCC">
      <w:pPr>
        <w:spacing w:after="0" w:line="240" w:lineRule="auto"/>
        <w:jc w:val="center"/>
        <w:rPr>
          <w:rFonts w:ascii="Times New Roman" w:hAnsi="Times New Roman" w:cs="Times New Roman"/>
          <w:sz w:val="24"/>
        </w:rPr>
      </w:pPr>
      <w:bookmarkStart w:id="5" w:name="RANGE!A8"/>
      <w:r w:rsidRPr="00FC4A5F">
        <w:rPr>
          <w:rFonts w:ascii="Times New Roman" w:eastAsia="Times New Roman" w:hAnsi="Times New Roman" w:cs="Times New Roman"/>
          <w:color w:val="0000FF"/>
          <w:sz w:val="24"/>
          <w:szCs w:val="24"/>
          <w:lang w:eastAsia="fr-FR"/>
        </w:rPr>
        <w:t xml:space="preserve">Graphique </w:t>
      </w:r>
      <w:r w:rsidR="00BA5DCC">
        <w:rPr>
          <w:rFonts w:ascii="Times New Roman" w:eastAsia="Times New Roman" w:hAnsi="Times New Roman" w:cs="Times New Roman"/>
          <w:color w:val="0000FF"/>
          <w:sz w:val="24"/>
          <w:szCs w:val="24"/>
          <w:lang w:eastAsia="fr-FR"/>
        </w:rPr>
        <w:t>6</w:t>
      </w:r>
      <w:r w:rsidRPr="00FC4A5F">
        <w:rPr>
          <w:rFonts w:ascii="Times New Roman" w:eastAsia="Times New Roman" w:hAnsi="Times New Roman" w:cs="Times New Roman"/>
          <w:color w:val="0000FF"/>
          <w:sz w:val="24"/>
          <w:szCs w:val="24"/>
          <w:lang w:eastAsia="fr-FR"/>
        </w:rPr>
        <w:t xml:space="preserve">: Taux d'adéquation, de surclassement et de </w:t>
      </w:r>
      <w:bookmarkEnd w:id="5"/>
      <w:r w:rsidRPr="00BA5DCC">
        <w:rPr>
          <w:rFonts w:ascii="Times New Roman" w:eastAsia="Times New Roman" w:hAnsi="Times New Roman" w:cs="Times New Roman"/>
          <w:color w:val="0000FF"/>
          <w:sz w:val="24"/>
          <w:szCs w:val="24"/>
          <w:lang w:eastAsia="fr-FR"/>
        </w:rPr>
        <w:br/>
      </w:r>
      <w:r w:rsidRPr="00FC4A5F">
        <w:rPr>
          <w:rFonts w:ascii="Times New Roman" w:eastAsia="Times New Roman" w:hAnsi="Times New Roman" w:cs="Times New Roman"/>
          <w:color w:val="0000FF"/>
          <w:sz w:val="24"/>
          <w:szCs w:val="24"/>
          <w:lang w:eastAsia="fr-FR"/>
        </w:rPr>
        <w:t>déclassement</w:t>
      </w:r>
      <w:r w:rsidRPr="00BA5DCC">
        <w:rPr>
          <w:rFonts w:ascii="Times New Roman" w:eastAsia="Times New Roman" w:hAnsi="Times New Roman" w:cs="Times New Roman"/>
          <w:color w:val="0000FF"/>
          <w:sz w:val="24"/>
          <w:szCs w:val="24"/>
          <w:lang w:eastAsia="fr-FR"/>
        </w:rPr>
        <w:t xml:space="preserve"> </w:t>
      </w:r>
      <w:r w:rsidRPr="00FC4A5F">
        <w:rPr>
          <w:rFonts w:ascii="Times New Roman" w:eastAsia="Times New Roman" w:hAnsi="Times New Roman" w:cs="Times New Roman"/>
          <w:color w:val="0000FF"/>
          <w:sz w:val="24"/>
          <w:szCs w:val="24"/>
          <w:lang w:eastAsia="fr-FR"/>
        </w:rPr>
        <w:t>selon le niveau d'instruction des actifs occupés</w:t>
      </w:r>
    </w:p>
    <w:p w:rsidR="00FC4A5F" w:rsidRDefault="00FC4A5F" w:rsidP="00FC4A5F">
      <w:pPr>
        <w:keepLines/>
        <w:spacing w:before="120" w:after="120" w:line="240" w:lineRule="auto"/>
        <w:jc w:val="center"/>
        <w:rPr>
          <w:rFonts w:ascii="Times New Roman" w:hAnsi="Times New Roman" w:cs="Times New Roman"/>
          <w:sz w:val="24"/>
        </w:rPr>
      </w:pPr>
      <w:r w:rsidRPr="00FC4A5F">
        <w:rPr>
          <w:rFonts w:ascii="Times New Roman" w:hAnsi="Times New Roman" w:cs="Times New Roman"/>
          <w:noProof/>
          <w:sz w:val="24"/>
          <w:lang w:eastAsia="fr-FR"/>
        </w:rPr>
        <w:drawing>
          <wp:inline distT="0" distB="0" distL="0" distR="0">
            <wp:extent cx="4882100" cy="2560320"/>
            <wp:effectExtent l="0" t="0" r="0" b="0"/>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2429E" w:rsidRDefault="004625C5" w:rsidP="00444571">
      <w:pPr>
        <w:spacing w:before="120" w:after="120" w:line="240" w:lineRule="auto"/>
        <w:ind w:firstLine="709"/>
        <w:jc w:val="both"/>
        <w:rPr>
          <w:rFonts w:ascii="Times New Roman" w:hAnsi="Times New Roman" w:cs="Times New Roman"/>
          <w:sz w:val="24"/>
        </w:rPr>
      </w:pPr>
      <w:r w:rsidRPr="00D758CD">
        <w:rPr>
          <w:rFonts w:ascii="Times New Roman" w:hAnsi="Times New Roman" w:cs="Times New Roman"/>
          <w:sz w:val="24"/>
        </w:rPr>
        <w:t>Les salariés sont les plus soumis au déclassement</w:t>
      </w:r>
      <w:r>
        <w:rPr>
          <w:rFonts w:ascii="Times New Roman" w:hAnsi="Times New Roman" w:cs="Times New Roman"/>
          <w:sz w:val="24"/>
        </w:rPr>
        <w:t xml:space="preserve"> </w:t>
      </w:r>
      <w:r w:rsidRPr="00D758CD">
        <w:rPr>
          <w:rFonts w:ascii="Times New Roman" w:hAnsi="Times New Roman" w:cs="Times New Roman"/>
          <w:sz w:val="24"/>
        </w:rPr>
        <w:t xml:space="preserve">et dans le secteur public </w:t>
      </w:r>
      <w:r>
        <w:rPr>
          <w:rFonts w:ascii="Times New Roman" w:hAnsi="Times New Roman" w:cs="Times New Roman"/>
          <w:sz w:val="24"/>
        </w:rPr>
        <w:t>(</w:t>
      </w:r>
      <w:r w:rsidRPr="00D758CD">
        <w:rPr>
          <w:rFonts w:ascii="Times New Roman" w:hAnsi="Times New Roman" w:cs="Times New Roman"/>
          <w:sz w:val="24"/>
        </w:rPr>
        <w:t>13,2%</w:t>
      </w:r>
      <w:r>
        <w:rPr>
          <w:rFonts w:ascii="Times New Roman" w:hAnsi="Times New Roman" w:cs="Times New Roman"/>
          <w:sz w:val="24"/>
        </w:rPr>
        <w:t>)</w:t>
      </w:r>
      <w:r w:rsidRPr="00D758CD">
        <w:rPr>
          <w:rFonts w:ascii="Times New Roman" w:hAnsi="Times New Roman" w:cs="Times New Roman"/>
          <w:sz w:val="24"/>
        </w:rPr>
        <w:t xml:space="preserve"> plus que dans le secteur privé</w:t>
      </w:r>
      <w:r>
        <w:rPr>
          <w:rFonts w:ascii="Times New Roman" w:hAnsi="Times New Roman" w:cs="Times New Roman"/>
          <w:sz w:val="24"/>
        </w:rPr>
        <w:t xml:space="preserve"> (</w:t>
      </w:r>
      <w:r w:rsidRPr="00D758CD">
        <w:rPr>
          <w:rFonts w:ascii="Times New Roman" w:hAnsi="Times New Roman" w:cs="Times New Roman"/>
          <w:sz w:val="24"/>
        </w:rPr>
        <w:t>9,6%</w:t>
      </w:r>
      <w:r>
        <w:rPr>
          <w:rFonts w:ascii="Times New Roman" w:hAnsi="Times New Roman" w:cs="Times New Roman"/>
          <w:sz w:val="24"/>
        </w:rPr>
        <w:t>)</w:t>
      </w:r>
      <w:r w:rsidRPr="00D758CD">
        <w:rPr>
          <w:rFonts w:ascii="Times New Roman" w:hAnsi="Times New Roman" w:cs="Times New Roman"/>
          <w:sz w:val="24"/>
        </w:rPr>
        <w:t>. Ils sont suivis par les employeurs de moins de cinq employés, avec 6,9% de déclassés</w:t>
      </w:r>
      <w:r w:rsidR="00444571">
        <w:rPr>
          <w:rFonts w:ascii="Times New Roman" w:hAnsi="Times New Roman" w:cs="Times New Roman"/>
          <w:sz w:val="24"/>
        </w:rPr>
        <w:t xml:space="preserve"> </w:t>
      </w:r>
      <w:r w:rsidR="00444571">
        <w:rPr>
          <w:rFonts w:ascii="Times New Roman" w:hAnsi="Times New Roman" w:cs="Times New Roman"/>
          <w:sz w:val="24"/>
          <w:szCs w:val="24"/>
        </w:rPr>
        <w:t>(Graphique 7)</w:t>
      </w:r>
      <w:r w:rsidRPr="00D758CD">
        <w:rPr>
          <w:rFonts w:ascii="Times New Roman" w:hAnsi="Times New Roman" w:cs="Times New Roman"/>
          <w:sz w:val="24"/>
        </w:rPr>
        <w:t>.</w:t>
      </w:r>
    </w:p>
    <w:p w:rsidR="00C34E3C" w:rsidRPr="00941C92" w:rsidRDefault="00C34E3C" w:rsidP="00444571">
      <w:pPr>
        <w:spacing w:after="0" w:line="240" w:lineRule="auto"/>
        <w:jc w:val="center"/>
        <w:rPr>
          <w:rFonts w:ascii="Times New Roman" w:hAnsi="Times New Roman" w:cs="Times New Roman"/>
          <w:sz w:val="28"/>
          <w:szCs w:val="24"/>
        </w:rPr>
      </w:pPr>
      <w:bookmarkStart w:id="6" w:name="RANGE!A9"/>
      <w:r w:rsidRPr="00C34E3C">
        <w:rPr>
          <w:rFonts w:ascii="Times New Roman" w:eastAsia="Times New Roman" w:hAnsi="Times New Roman" w:cs="Times New Roman"/>
          <w:color w:val="0000FF"/>
          <w:sz w:val="24"/>
          <w:szCs w:val="24"/>
          <w:lang w:eastAsia="fr-FR"/>
        </w:rPr>
        <w:t xml:space="preserve">Graphique </w:t>
      </w:r>
      <w:r w:rsidR="00444571" w:rsidRPr="00941C92">
        <w:rPr>
          <w:rFonts w:ascii="Times New Roman" w:eastAsia="Times New Roman" w:hAnsi="Times New Roman" w:cs="Times New Roman"/>
          <w:color w:val="0000FF"/>
          <w:sz w:val="24"/>
          <w:szCs w:val="24"/>
          <w:lang w:eastAsia="fr-FR"/>
        </w:rPr>
        <w:t>7</w:t>
      </w:r>
      <w:r w:rsidRPr="00C34E3C">
        <w:rPr>
          <w:rFonts w:ascii="Times New Roman" w:eastAsia="Times New Roman" w:hAnsi="Times New Roman" w:cs="Times New Roman"/>
          <w:color w:val="0000FF"/>
          <w:sz w:val="24"/>
          <w:szCs w:val="24"/>
          <w:lang w:eastAsia="fr-FR"/>
        </w:rPr>
        <w:t>: Taux d'adéquation, de surclassement de déclassement</w:t>
      </w:r>
      <w:bookmarkEnd w:id="6"/>
      <w:r w:rsidRPr="00941C92">
        <w:rPr>
          <w:rFonts w:ascii="Times New Roman" w:eastAsia="Times New Roman" w:hAnsi="Times New Roman" w:cs="Times New Roman"/>
          <w:color w:val="0000FF"/>
          <w:sz w:val="24"/>
          <w:szCs w:val="24"/>
          <w:lang w:eastAsia="fr-FR"/>
        </w:rPr>
        <w:br/>
      </w:r>
      <w:r w:rsidRPr="00C34E3C">
        <w:rPr>
          <w:rFonts w:ascii="Times New Roman" w:eastAsia="Times New Roman" w:hAnsi="Times New Roman" w:cs="Times New Roman"/>
          <w:color w:val="0000FF"/>
          <w:sz w:val="24"/>
          <w:szCs w:val="24"/>
          <w:lang w:eastAsia="fr-FR"/>
        </w:rPr>
        <w:t>selon le statut professionnel des actifs occupés</w:t>
      </w:r>
    </w:p>
    <w:p w:rsidR="00C34E3C" w:rsidRDefault="00C34E3C" w:rsidP="00C34E3C">
      <w:pPr>
        <w:spacing w:before="120" w:after="120" w:line="240" w:lineRule="auto"/>
        <w:jc w:val="center"/>
        <w:rPr>
          <w:rFonts w:ascii="Times New Roman" w:hAnsi="Times New Roman" w:cs="Times New Roman"/>
          <w:sz w:val="24"/>
        </w:rPr>
      </w:pPr>
      <w:r w:rsidRPr="00C34E3C">
        <w:rPr>
          <w:rFonts w:ascii="Times New Roman" w:hAnsi="Times New Roman" w:cs="Times New Roman"/>
          <w:noProof/>
          <w:sz w:val="24"/>
          <w:lang w:eastAsia="fr-FR"/>
        </w:rPr>
        <w:drawing>
          <wp:inline distT="0" distB="0" distL="0" distR="0">
            <wp:extent cx="4731026" cy="2878372"/>
            <wp:effectExtent l="0" t="0" r="0" b="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760FD" w:rsidRPr="006760FD" w:rsidRDefault="006760FD" w:rsidP="004F1209">
      <w:pPr>
        <w:keepNext/>
        <w:keepLines/>
        <w:spacing w:before="120" w:after="120" w:line="240" w:lineRule="auto"/>
        <w:jc w:val="both"/>
        <w:rPr>
          <w:rFonts w:ascii="Times New Roman" w:hAnsi="Times New Roman" w:cs="Times New Roman"/>
          <w:b/>
          <w:bCs/>
          <w:smallCaps/>
          <w:color w:val="0000FF"/>
          <w:sz w:val="28"/>
          <w:szCs w:val="24"/>
        </w:rPr>
      </w:pPr>
      <w:r w:rsidRPr="006760FD">
        <w:rPr>
          <w:rFonts w:ascii="Times New Roman" w:hAnsi="Times New Roman" w:cs="Times New Roman"/>
          <w:b/>
          <w:bCs/>
          <w:smallCaps/>
          <w:color w:val="0000FF"/>
          <w:sz w:val="28"/>
          <w:szCs w:val="24"/>
        </w:rPr>
        <w:lastRenderedPageBreak/>
        <w:t xml:space="preserve">L’adéquation par </w:t>
      </w:r>
      <w:r w:rsidR="00884AE4">
        <w:rPr>
          <w:rFonts w:ascii="Times New Roman" w:hAnsi="Times New Roman" w:cs="Times New Roman"/>
          <w:b/>
          <w:bCs/>
          <w:smallCaps/>
          <w:color w:val="0000FF"/>
          <w:sz w:val="28"/>
          <w:szCs w:val="24"/>
        </w:rPr>
        <w:t>diplôme</w:t>
      </w:r>
    </w:p>
    <w:p w:rsidR="00F62D25" w:rsidRPr="006760FD" w:rsidRDefault="00AA16E3" w:rsidP="004F1209">
      <w:pPr>
        <w:pStyle w:val="Titre1"/>
        <w:spacing w:before="120" w:after="120"/>
        <w:rPr>
          <w:rFonts w:ascii="Times New Roman" w:hAnsi="Times New Roman" w:cs="Times New Roman"/>
          <w:b/>
          <w:i/>
          <w:iCs/>
          <w:color w:val="0000FF"/>
          <w:sz w:val="24"/>
          <w:szCs w:val="24"/>
        </w:rPr>
      </w:pPr>
      <w:bookmarkStart w:id="7" w:name="_Toc507066397"/>
      <w:r w:rsidRPr="006760FD">
        <w:rPr>
          <w:rFonts w:ascii="Times New Roman" w:hAnsi="Times New Roman" w:cs="Times New Roman"/>
          <w:b/>
          <w:i/>
          <w:iCs/>
          <w:color w:val="0000FF"/>
          <w:sz w:val="24"/>
          <w:szCs w:val="24"/>
        </w:rPr>
        <w:t xml:space="preserve">Plus </w:t>
      </w:r>
      <w:bookmarkEnd w:id="7"/>
      <w:r w:rsidR="00FC0326">
        <w:rPr>
          <w:rFonts w:ascii="Times New Roman" w:hAnsi="Times New Roman" w:cs="Times New Roman"/>
          <w:b/>
          <w:i/>
          <w:iCs/>
          <w:color w:val="0000FF"/>
          <w:sz w:val="24"/>
          <w:szCs w:val="24"/>
        </w:rPr>
        <w:t>on se spécialise en formation professionnelle plus on se déclasse</w:t>
      </w:r>
    </w:p>
    <w:p w:rsidR="007967F5" w:rsidRPr="00D758CD" w:rsidRDefault="008B6395" w:rsidP="004F1209">
      <w:pPr>
        <w:keepNext/>
        <w:keepLines/>
        <w:spacing w:before="120" w:after="120" w:line="240" w:lineRule="auto"/>
        <w:ind w:firstLine="709"/>
        <w:jc w:val="both"/>
        <w:rPr>
          <w:rFonts w:ascii="Times New Roman" w:hAnsi="Times New Roman" w:cs="Times New Roman"/>
          <w:sz w:val="24"/>
          <w:szCs w:val="24"/>
        </w:rPr>
      </w:pPr>
      <w:r w:rsidRPr="001649FA">
        <w:rPr>
          <w:rFonts w:ascii="Times New Roman" w:hAnsi="Times New Roman" w:cs="Times New Roman"/>
          <w:sz w:val="24"/>
          <w:szCs w:val="24"/>
        </w:rPr>
        <w:t xml:space="preserve">Les diplômés de l’enseignement général ont enregistré un taux </w:t>
      </w:r>
      <w:r w:rsidR="00482171" w:rsidRPr="001649FA">
        <w:rPr>
          <w:rFonts w:ascii="Times New Roman" w:hAnsi="Times New Roman" w:cs="Times New Roman"/>
          <w:sz w:val="24"/>
          <w:szCs w:val="24"/>
        </w:rPr>
        <w:t xml:space="preserve">de déclassement </w:t>
      </w:r>
      <w:r w:rsidRPr="001649FA">
        <w:rPr>
          <w:rFonts w:ascii="Times New Roman" w:hAnsi="Times New Roman" w:cs="Times New Roman"/>
          <w:sz w:val="24"/>
          <w:szCs w:val="24"/>
        </w:rPr>
        <w:t>de 11,6% contre 33,6% pour les diplômes de formation professionnelle, soit trois fois.</w:t>
      </w:r>
      <w:r w:rsidR="008C19AA" w:rsidRPr="00D758CD">
        <w:rPr>
          <w:rFonts w:ascii="Times New Roman" w:hAnsi="Times New Roman" w:cs="Times New Roman"/>
          <w:sz w:val="24"/>
          <w:szCs w:val="24"/>
        </w:rPr>
        <w:t xml:space="preserve"> Aussi</w:t>
      </w:r>
      <w:r w:rsidR="0059609E">
        <w:rPr>
          <w:rFonts w:ascii="Times New Roman" w:hAnsi="Times New Roman" w:cs="Times New Roman"/>
          <w:sz w:val="24"/>
          <w:szCs w:val="24"/>
        </w:rPr>
        <w:t>,</w:t>
      </w:r>
      <w:r w:rsidR="008C19AA" w:rsidRPr="00D758CD">
        <w:rPr>
          <w:rFonts w:ascii="Times New Roman" w:hAnsi="Times New Roman" w:cs="Times New Roman"/>
          <w:sz w:val="24"/>
          <w:szCs w:val="24"/>
        </w:rPr>
        <w:t xml:space="preserve"> le taux d’adéquation</w:t>
      </w:r>
      <w:r w:rsidR="007967F5" w:rsidRPr="00D758CD">
        <w:rPr>
          <w:rFonts w:ascii="Times New Roman" w:hAnsi="Times New Roman" w:cs="Times New Roman"/>
          <w:sz w:val="24"/>
          <w:szCs w:val="24"/>
        </w:rPr>
        <w:t xml:space="preserve"> des diplômés de formation professionnelle</w:t>
      </w:r>
      <w:r w:rsidR="008C1459" w:rsidRPr="00D758CD">
        <w:rPr>
          <w:rFonts w:ascii="Times New Roman" w:hAnsi="Times New Roman" w:cs="Times New Roman"/>
          <w:sz w:val="24"/>
          <w:szCs w:val="24"/>
        </w:rPr>
        <w:t>,</w:t>
      </w:r>
      <w:r w:rsidR="007967F5" w:rsidRPr="00D758CD">
        <w:rPr>
          <w:rFonts w:ascii="Times New Roman" w:hAnsi="Times New Roman" w:cs="Times New Roman"/>
          <w:sz w:val="24"/>
          <w:szCs w:val="24"/>
        </w:rPr>
        <w:t xml:space="preserve"> de 58,5%</w:t>
      </w:r>
      <w:r w:rsidR="008C1459" w:rsidRPr="00D758CD">
        <w:rPr>
          <w:rFonts w:ascii="Times New Roman" w:hAnsi="Times New Roman" w:cs="Times New Roman"/>
          <w:sz w:val="24"/>
          <w:szCs w:val="24"/>
        </w:rPr>
        <w:t>,</w:t>
      </w:r>
      <w:r w:rsidR="007967F5" w:rsidRPr="00D758CD">
        <w:rPr>
          <w:rFonts w:ascii="Times New Roman" w:hAnsi="Times New Roman" w:cs="Times New Roman"/>
          <w:sz w:val="24"/>
          <w:szCs w:val="24"/>
        </w:rPr>
        <w:t xml:space="preserve"> est légèrement supérieur à celui des diplômés de l’enseignement général, de 51,4%.</w:t>
      </w:r>
      <w:r w:rsidR="009A6662" w:rsidRPr="00D758CD">
        <w:rPr>
          <w:rFonts w:ascii="Times New Roman" w:hAnsi="Times New Roman" w:cs="Times New Roman"/>
          <w:sz w:val="24"/>
          <w:szCs w:val="24"/>
        </w:rPr>
        <w:t xml:space="preserve"> </w:t>
      </w:r>
      <w:r w:rsidR="007967F5" w:rsidRPr="00D758CD">
        <w:rPr>
          <w:rFonts w:ascii="Times New Roman" w:hAnsi="Times New Roman" w:cs="Times New Roman"/>
          <w:sz w:val="24"/>
          <w:szCs w:val="24"/>
        </w:rPr>
        <w:t>Ainsi</w:t>
      </w:r>
      <w:r w:rsidR="007E0C95">
        <w:rPr>
          <w:rFonts w:ascii="Times New Roman" w:hAnsi="Times New Roman" w:cs="Times New Roman"/>
          <w:sz w:val="24"/>
          <w:szCs w:val="24"/>
        </w:rPr>
        <w:t>,</w:t>
      </w:r>
      <w:r w:rsidR="007967F5" w:rsidRPr="00D758CD">
        <w:rPr>
          <w:rFonts w:ascii="Times New Roman" w:hAnsi="Times New Roman" w:cs="Times New Roman"/>
          <w:sz w:val="24"/>
          <w:szCs w:val="24"/>
        </w:rPr>
        <w:t xml:space="preserve"> </w:t>
      </w:r>
      <w:r w:rsidR="0077378F" w:rsidRPr="00D758CD">
        <w:rPr>
          <w:rFonts w:ascii="Times New Roman" w:hAnsi="Times New Roman" w:cs="Times New Roman"/>
          <w:sz w:val="24"/>
          <w:szCs w:val="24"/>
        </w:rPr>
        <w:t>les diplômés de formation professionnelle</w:t>
      </w:r>
      <w:r w:rsidR="007967F5" w:rsidRPr="00D758CD">
        <w:rPr>
          <w:rFonts w:ascii="Times New Roman" w:hAnsi="Times New Roman" w:cs="Times New Roman"/>
          <w:sz w:val="24"/>
          <w:szCs w:val="24"/>
        </w:rPr>
        <w:t xml:space="preserve"> </w:t>
      </w:r>
      <w:r w:rsidR="009F557B">
        <w:rPr>
          <w:rFonts w:ascii="Times New Roman" w:hAnsi="Times New Roman" w:cs="Times New Roman"/>
          <w:sz w:val="24"/>
          <w:szCs w:val="24"/>
        </w:rPr>
        <w:t xml:space="preserve">actifs </w:t>
      </w:r>
      <w:r w:rsidR="007967F5" w:rsidRPr="00D758CD">
        <w:rPr>
          <w:rFonts w:ascii="Times New Roman" w:hAnsi="Times New Roman" w:cs="Times New Roman"/>
          <w:sz w:val="24"/>
          <w:szCs w:val="24"/>
        </w:rPr>
        <w:t xml:space="preserve">ont tendance </w:t>
      </w:r>
      <w:r w:rsidR="00B63BA1" w:rsidRPr="00D758CD">
        <w:rPr>
          <w:rFonts w:ascii="Times New Roman" w:hAnsi="Times New Roman" w:cs="Times New Roman"/>
          <w:sz w:val="24"/>
          <w:szCs w:val="24"/>
        </w:rPr>
        <w:t>à</w:t>
      </w:r>
      <w:r w:rsidR="007967F5" w:rsidRPr="00D758CD">
        <w:rPr>
          <w:rFonts w:ascii="Times New Roman" w:hAnsi="Times New Roman" w:cs="Times New Roman"/>
          <w:sz w:val="24"/>
          <w:szCs w:val="24"/>
        </w:rPr>
        <w:t xml:space="preserve"> </w:t>
      </w:r>
      <w:r w:rsidR="00B63BA1" w:rsidRPr="00D758CD">
        <w:rPr>
          <w:rFonts w:ascii="Times New Roman" w:hAnsi="Times New Roman" w:cs="Times New Roman"/>
          <w:sz w:val="24"/>
          <w:szCs w:val="24"/>
        </w:rPr>
        <w:t>être plutôt déclassés qu</w:t>
      </w:r>
      <w:r w:rsidR="00646694" w:rsidRPr="00D758CD">
        <w:rPr>
          <w:rFonts w:ascii="Times New Roman" w:hAnsi="Times New Roman" w:cs="Times New Roman"/>
          <w:sz w:val="24"/>
          <w:szCs w:val="24"/>
        </w:rPr>
        <w:t>e</w:t>
      </w:r>
      <w:r w:rsidR="009A6662" w:rsidRPr="00D758CD">
        <w:rPr>
          <w:rFonts w:ascii="Times New Roman" w:hAnsi="Times New Roman" w:cs="Times New Roman"/>
          <w:sz w:val="24"/>
          <w:szCs w:val="24"/>
        </w:rPr>
        <w:t xml:space="preserve"> surclassés.</w:t>
      </w:r>
    </w:p>
    <w:p w:rsidR="00CC62BA" w:rsidRDefault="00E352BD" w:rsidP="00B966E9">
      <w:pPr>
        <w:spacing w:before="120" w:after="120" w:line="240" w:lineRule="auto"/>
        <w:ind w:firstLine="709"/>
        <w:jc w:val="both"/>
        <w:rPr>
          <w:rFonts w:ascii="Times New Roman" w:hAnsi="Times New Roman" w:cs="Times New Roman"/>
          <w:sz w:val="24"/>
        </w:rPr>
      </w:pPr>
      <w:r w:rsidRPr="00DD59E9">
        <w:rPr>
          <w:rFonts w:ascii="Times New Roman" w:hAnsi="Times New Roman" w:cs="Times New Roman"/>
          <w:sz w:val="24"/>
        </w:rPr>
        <w:t xml:space="preserve">L’adéquation baisse avec les diplômes d’enseignement général du niveau fondamental. </w:t>
      </w:r>
      <w:r w:rsidR="0002429E">
        <w:rPr>
          <w:rFonts w:ascii="Times New Roman" w:hAnsi="Times New Roman" w:cs="Times New Roman"/>
          <w:sz w:val="24"/>
        </w:rPr>
        <w:t xml:space="preserve">Son taux passe de </w:t>
      </w:r>
      <w:r w:rsidR="005C4911">
        <w:rPr>
          <w:rFonts w:ascii="Times New Roman" w:hAnsi="Times New Roman" w:cs="Times New Roman"/>
          <w:sz w:val="24"/>
        </w:rPr>
        <w:t xml:space="preserve">70,8% au </w:t>
      </w:r>
      <w:r w:rsidR="00B06773">
        <w:rPr>
          <w:rFonts w:ascii="Times New Roman" w:hAnsi="Times New Roman" w:cs="Times New Roman"/>
          <w:sz w:val="24"/>
        </w:rPr>
        <w:t xml:space="preserve">niveau </w:t>
      </w:r>
      <w:r w:rsidR="005C4911">
        <w:rPr>
          <w:rFonts w:ascii="Times New Roman" w:hAnsi="Times New Roman" w:cs="Times New Roman"/>
          <w:sz w:val="24"/>
        </w:rPr>
        <w:t>du secondaire collégial à 64,1% au niveau du secondaire qualifiant</w:t>
      </w:r>
      <w:r w:rsidR="0002429E">
        <w:rPr>
          <w:rFonts w:ascii="Times New Roman" w:hAnsi="Times New Roman" w:cs="Times New Roman"/>
          <w:sz w:val="24"/>
        </w:rPr>
        <w:t xml:space="preserve">. </w:t>
      </w:r>
      <w:r w:rsidRPr="00DD59E9">
        <w:rPr>
          <w:rFonts w:ascii="Times New Roman" w:hAnsi="Times New Roman" w:cs="Times New Roman"/>
          <w:sz w:val="24"/>
        </w:rPr>
        <w:t>Par contre au-delà du diplôme du premier cycle de l’enseignement supérieur (DEUG) plus on se spécialis</w:t>
      </w:r>
      <w:r>
        <w:rPr>
          <w:rFonts w:ascii="Times New Roman" w:hAnsi="Times New Roman" w:cs="Times New Roman"/>
          <w:sz w:val="24"/>
        </w:rPr>
        <w:t xml:space="preserve">e </w:t>
      </w:r>
      <w:r w:rsidRPr="00DD59E9">
        <w:rPr>
          <w:rFonts w:ascii="Times New Roman" w:hAnsi="Times New Roman" w:cs="Times New Roman"/>
          <w:sz w:val="24"/>
        </w:rPr>
        <w:t>plus l’adéquation est meilleure</w:t>
      </w:r>
      <w:r w:rsidR="005C4911">
        <w:rPr>
          <w:rFonts w:ascii="Times New Roman" w:hAnsi="Times New Roman" w:cs="Times New Roman"/>
          <w:sz w:val="24"/>
        </w:rPr>
        <w:t>. Le taux d’adéquation passe de 50,5% pour le DEUG à 64,1% pour la licence, 77,3% pour le DEA/DES/Master, 89,9% pour les ingénieurs</w:t>
      </w:r>
      <w:r w:rsidR="00974B79">
        <w:rPr>
          <w:rFonts w:ascii="Times New Roman" w:hAnsi="Times New Roman" w:cs="Times New Roman"/>
          <w:sz w:val="24"/>
        </w:rPr>
        <w:t>/cadres supérieurs</w:t>
      </w:r>
      <w:r w:rsidR="005C4911">
        <w:rPr>
          <w:rFonts w:ascii="Times New Roman" w:hAnsi="Times New Roman" w:cs="Times New Roman"/>
          <w:sz w:val="24"/>
        </w:rPr>
        <w:t xml:space="preserve"> et 94,1% pour les docteurs</w:t>
      </w:r>
      <w:r w:rsidR="00B966E9">
        <w:rPr>
          <w:rFonts w:ascii="Times New Roman" w:hAnsi="Times New Roman" w:cs="Times New Roman"/>
          <w:sz w:val="24"/>
        </w:rPr>
        <w:t xml:space="preserve"> </w:t>
      </w:r>
      <w:r w:rsidR="00B966E9">
        <w:rPr>
          <w:rFonts w:ascii="Times New Roman" w:hAnsi="Times New Roman" w:cs="Times New Roman"/>
          <w:sz w:val="24"/>
          <w:szCs w:val="24"/>
        </w:rPr>
        <w:t>(Graphique 8)</w:t>
      </w:r>
      <w:r w:rsidRPr="00DD59E9">
        <w:rPr>
          <w:rFonts w:ascii="Times New Roman" w:hAnsi="Times New Roman" w:cs="Times New Roman"/>
          <w:sz w:val="24"/>
        </w:rPr>
        <w:t>.</w:t>
      </w:r>
    </w:p>
    <w:p w:rsidR="00E352BD" w:rsidRPr="00DD59E9" w:rsidRDefault="00E352BD" w:rsidP="00B966E9">
      <w:pPr>
        <w:spacing w:before="120" w:after="120" w:line="240" w:lineRule="auto"/>
        <w:ind w:firstLine="709"/>
        <w:jc w:val="both"/>
        <w:rPr>
          <w:rFonts w:ascii="Times New Roman" w:hAnsi="Times New Roman" w:cs="Times New Roman"/>
          <w:sz w:val="24"/>
        </w:rPr>
      </w:pPr>
      <w:r>
        <w:rPr>
          <w:rFonts w:ascii="Times New Roman" w:hAnsi="Times New Roman" w:cs="Times New Roman"/>
          <w:sz w:val="24"/>
        </w:rPr>
        <w:t>P</w:t>
      </w:r>
      <w:r w:rsidRPr="00DD59E9">
        <w:rPr>
          <w:rFonts w:ascii="Times New Roman" w:hAnsi="Times New Roman" w:cs="Times New Roman"/>
          <w:sz w:val="24"/>
        </w:rPr>
        <w:t>our les diplômes de formation professionnelle, plus on se spécialis</w:t>
      </w:r>
      <w:r>
        <w:rPr>
          <w:rFonts w:ascii="Times New Roman" w:hAnsi="Times New Roman" w:cs="Times New Roman"/>
          <w:sz w:val="24"/>
        </w:rPr>
        <w:t>e</w:t>
      </w:r>
      <w:r w:rsidRPr="00DD59E9">
        <w:rPr>
          <w:rFonts w:ascii="Times New Roman" w:hAnsi="Times New Roman" w:cs="Times New Roman"/>
          <w:sz w:val="24"/>
        </w:rPr>
        <w:t xml:space="preserve"> </w:t>
      </w:r>
      <w:r w:rsidR="000A76F7">
        <w:rPr>
          <w:rFonts w:ascii="Times New Roman" w:hAnsi="Times New Roman" w:cs="Times New Roman"/>
          <w:sz w:val="24"/>
        </w:rPr>
        <w:t>moins</w:t>
      </w:r>
      <w:r w:rsidRPr="00DD59E9">
        <w:rPr>
          <w:rFonts w:ascii="Times New Roman" w:hAnsi="Times New Roman" w:cs="Times New Roman"/>
          <w:sz w:val="24"/>
        </w:rPr>
        <w:t xml:space="preserve"> </w:t>
      </w:r>
      <w:r w:rsidR="00B06773" w:rsidRPr="00DD59E9">
        <w:rPr>
          <w:rFonts w:ascii="Times New Roman" w:hAnsi="Times New Roman" w:cs="Times New Roman"/>
          <w:sz w:val="24"/>
        </w:rPr>
        <w:t xml:space="preserve">l’adéquation est </w:t>
      </w:r>
      <w:r w:rsidR="000A76F7">
        <w:rPr>
          <w:rFonts w:ascii="Times New Roman" w:hAnsi="Times New Roman" w:cs="Times New Roman"/>
          <w:sz w:val="24"/>
        </w:rPr>
        <w:t>meilleure</w:t>
      </w:r>
      <w:r w:rsidRPr="00DD59E9">
        <w:rPr>
          <w:rFonts w:ascii="Times New Roman" w:hAnsi="Times New Roman" w:cs="Times New Roman"/>
          <w:sz w:val="24"/>
        </w:rPr>
        <w:t>.</w:t>
      </w:r>
      <w:r w:rsidR="00CC62BA">
        <w:rPr>
          <w:rFonts w:ascii="Times New Roman" w:hAnsi="Times New Roman" w:cs="Times New Roman"/>
          <w:sz w:val="24"/>
        </w:rPr>
        <w:t xml:space="preserve"> Leurs taux d</w:t>
      </w:r>
      <w:r w:rsidR="00B06773">
        <w:rPr>
          <w:rFonts w:ascii="Times New Roman" w:hAnsi="Times New Roman" w:cs="Times New Roman"/>
          <w:sz w:val="24"/>
        </w:rPr>
        <w:t>’adéquation</w:t>
      </w:r>
      <w:r w:rsidR="00CC62BA">
        <w:rPr>
          <w:rFonts w:ascii="Times New Roman" w:hAnsi="Times New Roman" w:cs="Times New Roman"/>
          <w:sz w:val="24"/>
        </w:rPr>
        <w:t xml:space="preserve"> </w:t>
      </w:r>
      <w:r w:rsidR="005F4DCD">
        <w:rPr>
          <w:rFonts w:ascii="Times New Roman" w:hAnsi="Times New Roman" w:cs="Times New Roman"/>
          <w:sz w:val="24"/>
        </w:rPr>
        <w:t>passent</w:t>
      </w:r>
      <w:r w:rsidR="00CC62BA">
        <w:rPr>
          <w:rFonts w:ascii="Times New Roman" w:hAnsi="Times New Roman" w:cs="Times New Roman"/>
          <w:sz w:val="24"/>
        </w:rPr>
        <w:t xml:space="preserve"> de </w:t>
      </w:r>
      <w:r w:rsidR="002234EA">
        <w:rPr>
          <w:rFonts w:ascii="Times New Roman" w:hAnsi="Times New Roman" w:cs="Times New Roman"/>
          <w:sz w:val="24"/>
        </w:rPr>
        <w:t>79,6% pour la spécialisation professionnelle à 74,3% pour la qualification professionnelle, à 49,9% pour les techniciens/cadres moyens et</w:t>
      </w:r>
      <w:r w:rsidR="002234EA" w:rsidRPr="00AE516F">
        <w:rPr>
          <w:rFonts w:ascii="Times New Roman" w:hAnsi="Times New Roman" w:cs="Times New Roman"/>
          <w:sz w:val="24"/>
        </w:rPr>
        <w:t xml:space="preserve"> </w:t>
      </w:r>
      <w:r w:rsidR="002234EA">
        <w:rPr>
          <w:rFonts w:ascii="Times New Roman" w:hAnsi="Times New Roman" w:cs="Times New Roman"/>
          <w:sz w:val="24"/>
        </w:rPr>
        <w:t xml:space="preserve">à </w:t>
      </w:r>
      <w:r w:rsidR="00B06773">
        <w:rPr>
          <w:rFonts w:ascii="Times New Roman" w:hAnsi="Times New Roman" w:cs="Times New Roman"/>
          <w:sz w:val="24"/>
        </w:rPr>
        <w:t>44</w:t>
      </w:r>
      <w:r w:rsidR="00CC62BA">
        <w:rPr>
          <w:rFonts w:ascii="Times New Roman" w:hAnsi="Times New Roman" w:cs="Times New Roman"/>
          <w:sz w:val="24"/>
        </w:rPr>
        <w:t>,</w:t>
      </w:r>
      <w:r w:rsidR="00B06773">
        <w:rPr>
          <w:rFonts w:ascii="Times New Roman" w:hAnsi="Times New Roman" w:cs="Times New Roman"/>
          <w:sz w:val="24"/>
        </w:rPr>
        <w:t>2</w:t>
      </w:r>
      <w:r w:rsidR="00CC62BA">
        <w:rPr>
          <w:rFonts w:ascii="Times New Roman" w:hAnsi="Times New Roman" w:cs="Times New Roman"/>
          <w:sz w:val="24"/>
        </w:rPr>
        <w:t>% pour les techniciens spécialisés</w:t>
      </w:r>
      <w:r w:rsidR="00B966E9">
        <w:rPr>
          <w:rFonts w:ascii="Times New Roman" w:hAnsi="Times New Roman" w:cs="Times New Roman"/>
          <w:sz w:val="24"/>
        </w:rPr>
        <w:t xml:space="preserve"> </w:t>
      </w:r>
      <w:r w:rsidR="00B966E9">
        <w:rPr>
          <w:rFonts w:ascii="Times New Roman" w:hAnsi="Times New Roman" w:cs="Times New Roman"/>
          <w:sz w:val="24"/>
          <w:szCs w:val="24"/>
        </w:rPr>
        <w:t>(Graphique 8)</w:t>
      </w:r>
      <w:r w:rsidR="00D055B7">
        <w:rPr>
          <w:rFonts w:ascii="Times New Roman" w:hAnsi="Times New Roman" w:cs="Times New Roman"/>
          <w:sz w:val="24"/>
        </w:rPr>
        <w:t>.</w:t>
      </w:r>
    </w:p>
    <w:p w:rsidR="00077115" w:rsidRPr="00B966E9" w:rsidRDefault="00077115" w:rsidP="00077115">
      <w:pPr>
        <w:spacing w:after="0" w:line="240" w:lineRule="auto"/>
        <w:jc w:val="center"/>
        <w:rPr>
          <w:rFonts w:asciiTheme="majorBidi" w:hAnsiTheme="majorBidi" w:cstheme="majorBidi"/>
          <w:sz w:val="28"/>
          <w:szCs w:val="24"/>
        </w:rPr>
      </w:pPr>
      <w:r w:rsidRPr="00B966E9">
        <w:rPr>
          <w:rFonts w:asciiTheme="majorBidi" w:eastAsia="Times New Roman" w:hAnsiTheme="majorBidi" w:cstheme="majorBidi"/>
          <w:color w:val="0000FF"/>
          <w:sz w:val="24"/>
          <w:szCs w:val="24"/>
          <w:lang w:eastAsia="fr-FR"/>
        </w:rPr>
        <w:t>Graphique</w:t>
      </w:r>
      <w:r w:rsidR="00B966E9" w:rsidRPr="00B966E9">
        <w:rPr>
          <w:rFonts w:asciiTheme="majorBidi" w:eastAsia="Times New Roman" w:hAnsiTheme="majorBidi" w:cstheme="majorBidi"/>
          <w:color w:val="0000FF"/>
          <w:sz w:val="24"/>
          <w:szCs w:val="24"/>
          <w:lang w:eastAsia="fr-FR"/>
        </w:rPr>
        <w:t xml:space="preserve"> 8</w:t>
      </w:r>
      <w:r w:rsidRPr="00B966E9">
        <w:rPr>
          <w:rFonts w:asciiTheme="majorBidi" w:eastAsia="Times New Roman" w:hAnsiTheme="majorBidi" w:cstheme="majorBidi"/>
          <w:color w:val="0000FF"/>
          <w:sz w:val="24"/>
          <w:szCs w:val="24"/>
          <w:lang w:eastAsia="fr-FR"/>
        </w:rPr>
        <w:t xml:space="preserve"> : </w:t>
      </w:r>
      <w:r w:rsidRPr="00077115">
        <w:rPr>
          <w:rFonts w:asciiTheme="majorBidi" w:eastAsia="Times New Roman" w:hAnsiTheme="majorBidi" w:cstheme="majorBidi"/>
          <w:color w:val="0000FF"/>
          <w:sz w:val="24"/>
          <w:szCs w:val="24"/>
          <w:lang w:eastAsia="fr-FR"/>
        </w:rPr>
        <w:t>Taux d'adéquation</w:t>
      </w:r>
      <w:r w:rsidRPr="00B966E9">
        <w:rPr>
          <w:rFonts w:asciiTheme="majorBidi" w:eastAsia="Times New Roman" w:hAnsiTheme="majorBidi" w:cstheme="majorBidi"/>
          <w:color w:val="0000FF"/>
          <w:sz w:val="24"/>
          <w:szCs w:val="24"/>
          <w:lang w:eastAsia="fr-FR"/>
        </w:rPr>
        <w:t xml:space="preserve"> et </w:t>
      </w:r>
      <w:r w:rsidRPr="00077115">
        <w:rPr>
          <w:rFonts w:asciiTheme="majorBidi" w:eastAsia="Times New Roman" w:hAnsiTheme="majorBidi" w:cstheme="majorBidi"/>
          <w:color w:val="0000FF"/>
          <w:sz w:val="24"/>
          <w:szCs w:val="24"/>
          <w:lang w:eastAsia="fr-FR"/>
        </w:rPr>
        <w:t xml:space="preserve">de déclassement </w:t>
      </w:r>
      <w:r w:rsidRPr="00B966E9">
        <w:rPr>
          <w:rFonts w:asciiTheme="majorBidi" w:eastAsia="Times New Roman" w:hAnsiTheme="majorBidi" w:cstheme="majorBidi"/>
          <w:color w:val="0000FF"/>
          <w:sz w:val="24"/>
          <w:szCs w:val="24"/>
          <w:lang w:eastAsia="fr-FR"/>
        </w:rPr>
        <w:t>selon le diplôme</w:t>
      </w:r>
      <w:r w:rsidRPr="00B966E9">
        <w:rPr>
          <w:rFonts w:asciiTheme="majorBidi" w:eastAsia="Times New Roman" w:hAnsiTheme="majorBidi" w:cstheme="majorBidi"/>
          <w:color w:val="0000FF"/>
          <w:sz w:val="24"/>
          <w:szCs w:val="24"/>
          <w:lang w:eastAsia="fr-FR"/>
        </w:rPr>
        <w:br/>
        <w:t>et le type de formation pour</w:t>
      </w:r>
      <w:r w:rsidRPr="00077115">
        <w:rPr>
          <w:rFonts w:asciiTheme="majorBidi" w:eastAsia="Times New Roman" w:hAnsiTheme="majorBidi" w:cstheme="majorBidi"/>
          <w:color w:val="0000FF"/>
          <w:sz w:val="24"/>
          <w:szCs w:val="24"/>
          <w:lang w:eastAsia="fr-FR"/>
        </w:rPr>
        <w:t xml:space="preserve"> la population active occupée</w:t>
      </w:r>
    </w:p>
    <w:p w:rsidR="00077115" w:rsidRDefault="00077115" w:rsidP="00666872">
      <w:pPr>
        <w:spacing w:before="120" w:after="120" w:line="240" w:lineRule="auto"/>
        <w:ind w:firstLine="709"/>
        <w:jc w:val="both"/>
        <w:rPr>
          <w:rFonts w:ascii="Times New Roman" w:hAnsi="Times New Roman" w:cs="Times New Roman"/>
          <w:sz w:val="24"/>
        </w:rPr>
      </w:pPr>
      <w:r w:rsidRPr="00077115">
        <w:rPr>
          <w:rFonts w:ascii="Times New Roman" w:hAnsi="Times New Roman" w:cs="Times New Roman"/>
          <w:noProof/>
          <w:sz w:val="24"/>
          <w:lang w:eastAsia="fr-FR"/>
        </w:rPr>
        <w:drawing>
          <wp:inline distT="0" distB="0" distL="0" distR="0">
            <wp:extent cx="4953000" cy="2857500"/>
            <wp:effectExtent l="0" t="0" r="0" b="0"/>
            <wp:docPr id="17" name="Graphique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352BD" w:rsidRPr="00DD59E9" w:rsidRDefault="00666872" w:rsidP="00666872">
      <w:pPr>
        <w:spacing w:before="120" w:after="120" w:line="240" w:lineRule="auto"/>
        <w:ind w:firstLine="709"/>
        <w:jc w:val="both"/>
        <w:rPr>
          <w:rFonts w:ascii="Times New Roman" w:hAnsi="Times New Roman" w:cs="Times New Roman"/>
          <w:sz w:val="24"/>
        </w:rPr>
      </w:pPr>
      <w:r>
        <w:rPr>
          <w:rFonts w:ascii="Times New Roman" w:hAnsi="Times New Roman" w:cs="Times New Roman"/>
          <w:sz w:val="24"/>
        </w:rPr>
        <w:t xml:space="preserve">76,2% </w:t>
      </w:r>
      <w:r w:rsidR="00E352BD" w:rsidRPr="00DD59E9">
        <w:rPr>
          <w:rFonts w:ascii="Times New Roman" w:hAnsi="Times New Roman" w:cs="Times New Roman"/>
          <w:sz w:val="24"/>
        </w:rPr>
        <w:t xml:space="preserve">des déclassés proviennent de deux diplômes de l’enseignement général et deux diplômes de la formation professionnelle, à savoir les diplômés du secondaire collégial (22,3%), et les licenciés (20%), d’une part et, les techniciens/cadres moyens (19,3%) et les techniciens spécialisés (14,6%), </w:t>
      </w:r>
      <w:r w:rsidRPr="00DD59E9">
        <w:rPr>
          <w:rFonts w:ascii="Times New Roman" w:hAnsi="Times New Roman" w:cs="Times New Roman"/>
          <w:sz w:val="24"/>
        </w:rPr>
        <w:t>d’autre part</w:t>
      </w:r>
      <w:r w:rsidR="00E352BD" w:rsidRPr="00DD59E9">
        <w:rPr>
          <w:rFonts w:ascii="Times New Roman" w:hAnsi="Times New Roman" w:cs="Times New Roman"/>
          <w:sz w:val="24"/>
        </w:rPr>
        <w:t>.</w:t>
      </w:r>
    </w:p>
    <w:p w:rsidR="009168A3" w:rsidRDefault="00666872" w:rsidP="00666872">
      <w:pPr>
        <w:spacing w:before="120" w:after="120" w:line="240" w:lineRule="auto"/>
        <w:ind w:firstLine="709"/>
        <w:jc w:val="both"/>
        <w:rPr>
          <w:rFonts w:ascii="Times New Roman" w:hAnsi="Times New Roman" w:cs="Times New Roman"/>
          <w:sz w:val="24"/>
        </w:rPr>
      </w:pPr>
      <w:r>
        <w:rPr>
          <w:rFonts w:ascii="Times New Roman" w:hAnsi="Times New Roman" w:cs="Times New Roman"/>
          <w:sz w:val="24"/>
        </w:rPr>
        <w:t>L</w:t>
      </w:r>
      <w:r w:rsidR="005C1B5C" w:rsidRPr="00D758CD">
        <w:rPr>
          <w:rFonts w:ascii="Times New Roman" w:hAnsi="Times New Roman" w:cs="Times New Roman"/>
          <w:sz w:val="24"/>
        </w:rPr>
        <w:t>es techniciens spécialisés</w:t>
      </w:r>
      <w:r>
        <w:rPr>
          <w:rFonts w:ascii="Times New Roman" w:hAnsi="Times New Roman" w:cs="Times New Roman"/>
          <w:sz w:val="24"/>
        </w:rPr>
        <w:t>,</w:t>
      </w:r>
      <w:r w:rsidR="00017876" w:rsidRPr="00D758CD">
        <w:rPr>
          <w:rFonts w:ascii="Times New Roman" w:hAnsi="Times New Roman" w:cs="Times New Roman"/>
          <w:sz w:val="24"/>
        </w:rPr>
        <w:t xml:space="preserve"> avec</w:t>
      </w:r>
      <w:r w:rsidR="006A675D" w:rsidRPr="00D758CD">
        <w:rPr>
          <w:rFonts w:ascii="Times New Roman" w:hAnsi="Times New Roman" w:cs="Times New Roman"/>
          <w:sz w:val="24"/>
        </w:rPr>
        <w:t xml:space="preserve"> </w:t>
      </w:r>
      <w:r w:rsidR="00F81362" w:rsidRPr="00D758CD">
        <w:rPr>
          <w:rFonts w:ascii="Times New Roman" w:hAnsi="Times New Roman" w:cs="Times New Roman"/>
          <w:sz w:val="24"/>
        </w:rPr>
        <w:t>un taux de 5</w:t>
      </w:r>
      <w:r w:rsidR="00194FFC" w:rsidRPr="00D758CD">
        <w:rPr>
          <w:rFonts w:ascii="Times New Roman" w:hAnsi="Times New Roman" w:cs="Times New Roman"/>
          <w:sz w:val="24"/>
        </w:rPr>
        <w:t>5</w:t>
      </w:r>
      <w:r w:rsidR="00F81362" w:rsidRPr="00D758CD">
        <w:rPr>
          <w:rFonts w:ascii="Times New Roman" w:hAnsi="Times New Roman" w:cs="Times New Roman"/>
          <w:sz w:val="24"/>
        </w:rPr>
        <w:t>,</w:t>
      </w:r>
      <w:r w:rsidR="00194FFC" w:rsidRPr="00D758CD">
        <w:rPr>
          <w:rFonts w:ascii="Times New Roman" w:hAnsi="Times New Roman" w:cs="Times New Roman"/>
          <w:sz w:val="24"/>
        </w:rPr>
        <w:t>8</w:t>
      </w:r>
      <w:r w:rsidR="00F81362" w:rsidRPr="00D758CD">
        <w:rPr>
          <w:rFonts w:ascii="Times New Roman" w:hAnsi="Times New Roman" w:cs="Times New Roman"/>
          <w:sz w:val="24"/>
        </w:rPr>
        <w:t>%</w:t>
      </w:r>
      <w:r>
        <w:rPr>
          <w:rFonts w:ascii="Times New Roman" w:hAnsi="Times New Roman" w:cs="Times New Roman"/>
          <w:sz w:val="24"/>
        </w:rPr>
        <w:t>,</w:t>
      </w:r>
      <w:r w:rsidR="00540B03" w:rsidRPr="00D758CD">
        <w:rPr>
          <w:rFonts w:ascii="Times New Roman" w:hAnsi="Times New Roman" w:cs="Times New Roman"/>
          <w:sz w:val="24"/>
        </w:rPr>
        <w:t xml:space="preserve"> </w:t>
      </w:r>
      <w:r>
        <w:rPr>
          <w:rFonts w:ascii="Times New Roman" w:hAnsi="Times New Roman" w:cs="Times New Roman"/>
          <w:sz w:val="24"/>
        </w:rPr>
        <w:t xml:space="preserve">sont </w:t>
      </w:r>
      <w:r w:rsidRPr="00D758CD">
        <w:rPr>
          <w:rFonts w:ascii="Times New Roman" w:hAnsi="Times New Roman" w:cs="Times New Roman"/>
          <w:sz w:val="24"/>
        </w:rPr>
        <w:t>le</w:t>
      </w:r>
      <w:r>
        <w:rPr>
          <w:rFonts w:ascii="Times New Roman" w:hAnsi="Times New Roman" w:cs="Times New Roman"/>
          <w:sz w:val="24"/>
        </w:rPr>
        <w:t>s</w:t>
      </w:r>
      <w:r w:rsidRPr="00D758CD">
        <w:rPr>
          <w:rFonts w:ascii="Times New Roman" w:hAnsi="Times New Roman" w:cs="Times New Roman"/>
          <w:sz w:val="24"/>
        </w:rPr>
        <w:t xml:space="preserve"> plus en déclassement </w:t>
      </w:r>
      <w:r w:rsidR="00540B03" w:rsidRPr="00D758CD">
        <w:rPr>
          <w:rFonts w:ascii="Times New Roman" w:hAnsi="Times New Roman" w:cs="Times New Roman"/>
          <w:sz w:val="24"/>
        </w:rPr>
        <w:t>contre un taux d’adéquation</w:t>
      </w:r>
      <w:r w:rsidR="006A675D" w:rsidRPr="00D758CD">
        <w:rPr>
          <w:rFonts w:ascii="Times New Roman" w:hAnsi="Times New Roman" w:cs="Times New Roman"/>
          <w:sz w:val="24"/>
        </w:rPr>
        <w:t xml:space="preserve"> de 4</w:t>
      </w:r>
      <w:r w:rsidR="00194FFC" w:rsidRPr="00D758CD">
        <w:rPr>
          <w:rFonts w:ascii="Times New Roman" w:hAnsi="Times New Roman" w:cs="Times New Roman"/>
          <w:sz w:val="24"/>
        </w:rPr>
        <w:t>4</w:t>
      </w:r>
      <w:r w:rsidR="006A675D" w:rsidRPr="00D758CD">
        <w:rPr>
          <w:rFonts w:ascii="Times New Roman" w:hAnsi="Times New Roman" w:cs="Times New Roman"/>
          <w:sz w:val="24"/>
        </w:rPr>
        <w:t>,</w:t>
      </w:r>
      <w:r w:rsidR="00194FFC" w:rsidRPr="00D758CD">
        <w:rPr>
          <w:rFonts w:ascii="Times New Roman" w:hAnsi="Times New Roman" w:cs="Times New Roman"/>
          <w:sz w:val="24"/>
        </w:rPr>
        <w:t>2</w:t>
      </w:r>
      <w:r w:rsidR="006A675D" w:rsidRPr="00D758CD">
        <w:rPr>
          <w:rFonts w:ascii="Times New Roman" w:hAnsi="Times New Roman" w:cs="Times New Roman"/>
          <w:sz w:val="24"/>
        </w:rPr>
        <w:t>%.</w:t>
      </w:r>
      <w:r w:rsidR="00707B62" w:rsidRPr="00D758CD">
        <w:rPr>
          <w:rFonts w:ascii="Times New Roman" w:hAnsi="Times New Roman" w:cs="Times New Roman"/>
          <w:sz w:val="24"/>
        </w:rPr>
        <w:t xml:space="preserve"> </w:t>
      </w:r>
      <w:r w:rsidR="002E6638" w:rsidRPr="00D758CD">
        <w:rPr>
          <w:rFonts w:ascii="Times New Roman" w:hAnsi="Times New Roman" w:cs="Times New Roman"/>
          <w:sz w:val="24"/>
        </w:rPr>
        <w:t xml:space="preserve">En seconde position, </w:t>
      </w:r>
      <w:r w:rsidR="001342B2" w:rsidRPr="00D758CD">
        <w:rPr>
          <w:rFonts w:ascii="Times New Roman" w:hAnsi="Times New Roman" w:cs="Times New Roman"/>
          <w:sz w:val="24"/>
        </w:rPr>
        <w:t xml:space="preserve">les techniciens et cadres moyens </w:t>
      </w:r>
      <w:r>
        <w:rPr>
          <w:rFonts w:ascii="Times New Roman" w:hAnsi="Times New Roman" w:cs="Times New Roman"/>
          <w:sz w:val="24"/>
        </w:rPr>
        <w:t>ont</w:t>
      </w:r>
      <w:r w:rsidR="001342B2" w:rsidRPr="00D758CD">
        <w:rPr>
          <w:rFonts w:ascii="Times New Roman" w:hAnsi="Times New Roman" w:cs="Times New Roman"/>
          <w:sz w:val="24"/>
        </w:rPr>
        <w:t xml:space="preserve"> un taux de déclassement de 50,1% et un taux d’adéquation de 49,9%</w:t>
      </w:r>
      <w:r w:rsidR="006A675D" w:rsidRPr="00D758CD">
        <w:rPr>
          <w:rFonts w:ascii="Times New Roman" w:hAnsi="Times New Roman" w:cs="Times New Roman"/>
          <w:sz w:val="24"/>
        </w:rPr>
        <w:t>.</w:t>
      </w:r>
    </w:p>
    <w:p w:rsidR="00AE24C5" w:rsidRDefault="00BE2083" w:rsidP="0080771D">
      <w:pPr>
        <w:keepLines/>
        <w:spacing w:before="120" w:after="120" w:line="240" w:lineRule="auto"/>
        <w:ind w:firstLine="709"/>
        <w:jc w:val="both"/>
        <w:rPr>
          <w:rFonts w:ascii="Times New Roman" w:hAnsi="Times New Roman" w:cs="Times New Roman"/>
          <w:sz w:val="24"/>
        </w:rPr>
      </w:pPr>
      <w:r>
        <w:rPr>
          <w:rFonts w:ascii="Times New Roman" w:hAnsi="Times New Roman" w:cs="Times New Roman"/>
          <w:sz w:val="24"/>
        </w:rPr>
        <w:lastRenderedPageBreak/>
        <w:t>H</w:t>
      </w:r>
      <w:r w:rsidR="00B0684C" w:rsidRPr="00016EE3">
        <w:rPr>
          <w:rFonts w:ascii="Times New Roman" w:hAnsi="Times New Roman" w:cs="Times New Roman"/>
          <w:sz w:val="24"/>
        </w:rPr>
        <w:t>uit</w:t>
      </w:r>
      <w:r w:rsidR="00FE0923" w:rsidRPr="00016EE3">
        <w:rPr>
          <w:rFonts w:ascii="Times New Roman" w:hAnsi="Times New Roman" w:cs="Times New Roman"/>
          <w:sz w:val="24"/>
        </w:rPr>
        <w:t xml:space="preserve"> sous groupes </w:t>
      </w:r>
      <w:r w:rsidR="00337536" w:rsidRPr="00016EE3">
        <w:rPr>
          <w:rFonts w:ascii="Times New Roman" w:hAnsi="Times New Roman" w:cs="Times New Roman"/>
          <w:sz w:val="24"/>
        </w:rPr>
        <w:t xml:space="preserve">de diplômes </w:t>
      </w:r>
      <w:r w:rsidR="00FE0923" w:rsidRPr="00016EE3">
        <w:rPr>
          <w:rFonts w:ascii="Times New Roman" w:hAnsi="Times New Roman" w:cs="Times New Roman"/>
          <w:sz w:val="24"/>
        </w:rPr>
        <w:t xml:space="preserve">ont enregistrés des taux de </w:t>
      </w:r>
      <w:r w:rsidR="00AE24C5" w:rsidRPr="00016EE3">
        <w:rPr>
          <w:rFonts w:ascii="Times New Roman" w:hAnsi="Times New Roman" w:cs="Times New Roman"/>
          <w:sz w:val="24"/>
        </w:rPr>
        <w:t>déclassement inférieur</w:t>
      </w:r>
      <w:r w:rsidR="00FE0923" w:rsidRPr="00016EE3">
        <w:rPr>
          <w:rFonts w:ascii="Times New Roman" w:hAnsi="Times New Roman" w:cs="Times New Roman"/>
          <w:sz w:val="24"/>
        </w:rPr>
        <w:t>s</w:t>
      </w:r>
      <w:r w:rsidR="00AE24C5" w:rsidRPr="00016EE3">
        <w:rPr>
          <w:rFonts w:ascii="Times New Roman" w:hAnsi="Times New Roman" w:cs="Times New Roman"/>
          <w:sz w:val="24"/>
        </w:rPr>
        <w:t xml:space="preserve"> </w:t>
      </w:r>
      <w:r w:rsidR="00B0684C" w:rsidRPr="00016EE3">
        <w:rPr>
          <w:rFonts w:ascii="Times New Roman" w:hAnsi="Times New Roman" w:cs="Times New Roman"/>
          <w:sz w:val="24"/>
        </w:rPr>
        <w:t xml:space="preserve">ou égaux </w:t>
      </w:r>
      <w:r w:rsidR="00AE24C5" w:rsidRPr="00016EE3">
        <w:rPr>
          <w:rFonts w:ascii="Times New Roman" w:hAnsi="Times New Roman" w:cs="Times New Roman"/>
          <w:sz w:val="24"/>
        </w:rPr>
        <w:t>à la moyenne nationale</w:t>
      </w:r>
      <w:r w:rsidR="003200A7" w:rsidRPr="00016EE3">
        <w:rPr>
          <w:rFonts w:ascii="Times New Roman" w:hAnsi="Times New Roman" w:cs="Times New Roman"/>
          <w:sz w:val="24"/>
        </w:rPr>
        <w:t xml:space="preserve"> dont trois d’enseignement général et </w:t>
      </w:r>
      <w:r w:rsidR="00B0684C" w:rsidRPr="00016EE3">
        <w:rPr>
          <w:rFonts w:ascii="Times New Roman" w:hAnsi="Times New Roman" w:cs="Times New Roman"/>
          <w:sz w:val="24"/>
        </w:rPr>
        <w:t>cinq</w:t>
      </w:r>
      <w:r w:rsidR="003200A7" w:rsidRPr="00016EE3">
        <w:rPr>
          <w:rFonts w:ascii="Times New Roman" w:hAnsi="Times New Roman" w:cs="Times New Roman"/>
          <w:sz w:val="24"/>
        </w:rPr>
        <w:t xml:space="preserve"> de formation professionnelle</w:t>
      </w:r>
      <w:r w:rsidR="00FE0923" w:rsidRPr="00016EE3">
        <w:rPr>
          <w:rFonts w:ascii="Times New Roman" w:hAnsi="Times New Roman" w:cs="Times New Roman"/>
          <w:sz w:val="24"/>
        </w:rPr>
        <w:t>. Il s’agit d</w:t>
      </w:r>
      <w:r w:rsidR="00AE24C5" w:rsidRPr="00016EE3">
        <w:rPr>
          <w:rFonts w:ascii="Times New Roman" w:hAnsi="Times New Roman" w:cs="Times New Roman"/>
          <w:sz w:val="24"/>
        </w:rPr>
        <w:t>es diplôm</w:t>
      </w:r>
      <w:r w:rsidR="00C8499E" w:rsidRPr="00016EE3">
        <w:rPr>
          <w:rFonts w:ascii="Times New Roman" w:hAnsi="Times New Roman" w:cs="Times New Roman"/>
          <w:sz w:val="24"/>
        </w:rPr>
        <w:t xml:space="preserve">es supérieurs en santé (2,7%), </w:t>
      </w:r>
      <w:r w:rsidR="00FE0923" w:rsidRPr="00016EE3">
        <w:rPr>
          <w:rFonts w:ascii="Times New Roman" w:hAnsi="Times New Roman" w:cs="Times New Roman"/>
          <w:sz w:val="24"/>
        </w:rPr>
        <w:t>d</w:t>
      </w:r>
      <w:r w:rsidR="00AE24C5" w:rsidRPr="00016EE3">
        <w:rPr>
          <w:rFonts w:ascii="Times New Roman" w:hAnsi="Times New Roman" w:cs="Times New Roman"/>
          <w:sz w:val="24"/>
        </w:rPr>
        <w:t xml:space="preserve">es diplômes de spécialisation en transport et </w:t>
      </w:r>
      <w:r w:rsidR="00974B79">
        <w:rPr>
          <w:rFonts w:ascii="Times New Roman" w:hAnsi="Times New Roman" w:cs="Times New Roman"/>
          <w:sz w:val="24"/>
        </w:rPr>
        <w:t>télé</w:t>
      </w:r>
      <w:r w:rsidR="00AE24C5" w:rsidRPr="00016EE3">
        <w:rPr>
          <w:rFonts w:ascii="Times New Roman" w:hAnsi="Times New Roman" w:cs="Times New Roman"/>
          <w:sz w:val="24"/>
        </w:rPr>
        <w:t xml:space="preserve">communication (5,2%), </w:t>
      </w:r>
      <w:r w:rsidR="00FE0923" w:rsidRPr="00016EE3">
        <w:rPr>
          <w:rFonts w:ascii="Times New Roman" w:hAnsi="Times New Roman" w:cs="Times New Roman"/>
          <w:sz w:val="24"/>
        </w:rPr>
        <w:t>d</w:t>
      </w:r>
      <w:r w:rsidR="00AE24C5" w:rsidRPr="00016EE3">
        <w:rPr>
          <w:rFonts w:ascii="Times New Roman" w:hAnsi="Times New Roman" w:cs="Times New Roman"/>
          <w:sz w:val="24"/>
        </w:rPr>
        <w:t xml:space="preserve">es diplômes de qualification en transport et télécommunication (6,2%), </w:t>
      </w:r>
      <w:r w:rsidR="00FE0923" w:rsidRPr="00016EE3">
        <w:rPr>
          <w:rFonts w:ascii="Times New Roman" w:hAnsi="Times New Roman" w:cs="Times New Roman"/>
          <w:sz w:val="24"/>
        </w:rPr>
        <w:t>d</w:t>
      </w:r>
      <w:r w:rsidR="00AE24C5" w:rsidRPr="00016EE3">
        <w:rPr>
          <w:rFonts w:ascii="Times New Roman" w:hAnsi="Times New Roman" w:cs="Times New Roman"/>
          <w:sz w:val="24"/>
        </w:rPr>
        <w:t xml:space="preserve">es diplômes supérieurs en services sociaux fournis à la collectivité et sciences de l'information (6,5%), </w:t>
      </w:r>
      <w:r w:rsidR="00FE0923" w:rsidRPr="00016EE3">
        <w:rPr>
          <w:rFonts w:ascii="Times New Roman" w:hAnsi="Times New Roman" w:cs="Times New Roman"/>
          <w:sz w:val="24"/>
        </w:rPr>
        <w:t>d</w:t>
      </w:r>
      <w:r w:rsidR="00AE24C5" w:rsidRPr="00016EE3">
        <w:rPr>
          <w:rFonts w:ascii="Times New Roman" w:hAnsi="Times New Roman" w:cs="Times New Roman"/>
          <w:sz w:val="24"/>
        </w:rPr>
        <w:t xml:space="preserve">es diplômes </w:t>
      </w:r>
      <w:r w:rsidR="00B0684C" w:rsidRPr="00016EE3">
        <w:rPr>
          <w:rFonts w:ascii="Times New Roman" w:hAnsi="Times New Roman" w:cs="Times New Roman"/>
          <w:sz w:val="24"/>
        </w:rPr>
        <w:t xml:space="preserve">de qualification </w:t>
      </w:r>
      <w:r w:rsidR="00AE24C5" w:rsidRPr="00016EE3">
        <w:rPr>
          <w:rFonts w:ascii="Times New Roman" w:hAnsi="Times New Roman" w:cs="Times New Roman"/>
          <w:sz w:val="24"/>
        </w:rPr>
        <w:t xml:space="preserve">en sciences sociales et humaines </w:t>
      </w:r>
      <w:r w:rsidR="00B0684C" w:rsidRPr="00016EE3">
        <w:rPr>
          <w:rFonts w:ascii="Times New Roman" w:hAnsi="Times New Roman" w:cs="Times New Roman"/>
          <w:sz w:val="24"/>
        </w:rPr>
        <w:t>(7,1%), d</w:t>
      </w:r>
      <w:r w:rsidR="00AE24C5" w:rsidRPr="00016EE3">
        <w:rPr>
          <w:rFonts w:ascii="Times New Roman" w:hAnsi="Times New Roman" w:cs="Times New Roman"/>
          <w:sz w:val="24"/>
        </w:rPr>
        <w:t xml:space="preserve">es doctorats en sciences et sciences techniques (7,1%), </w:t>
      </w:r>
      <w:r w:rsidR="00B0684C" w:rsidRPr="00016EE3">
        <w:rPr>
          <w:rFonts w:ascii="Times New Roman" w:hAnsi="Times New Roman" w:cs="Times New Roman"/>
          <w:sz w:val="24"/>
        </w:rPr>
        <w:t xml:space="preserve">et </w:t>
      </w:r>
      <w:r w:rsidR="00FE0923" w:rsidRPr="00016EE3">
        <w:rPr>
          <w:rFonts w:ascii="Times New Roman" w:hAnsi="Times New Roman" w:cs="Times New Roman"/>
          <w:sz w:val="24"/>
        </w:rPr>
        <w:t>d</w:t>
      </w:r>
      <w:r w:rsidR="00AE24C5" w:rsidRPr="00016EE3">
        <w:rPr>
          <w:rFonts w:ascii="Times New Roman" w:hAnsi="Times New Roman" w:cs="Times New Roman"/>
          <w:sz w:val="24"/>
        </w:rPr>
        <w:t xml:space="preserve">es diplômes de qualification en services sociaux fournis à la collectivité (7,4%), et </w:t>
      </w:r>
      <w:r w:rsidR="00FE0923" w:rsidRPr="00016EE3">
        <w:rPr>
          <w:rFonts w:ascii="Times New Roman" w:hAnsi="Times New Roman" w:cs="Times New Roman"/>
          <w:sz w:val="24"/>
        </w:rPr>
        <w:t>d</w:t>
      </w:r>
      <w:r w:rsidR="00AE24C5" w:rsidRPr="00016EE3">
        <w:rPr>
          <w:rFonts w:ascii="Times New Roman" w:hAnsi="Times New Roman" w:cs="Times New Roman"/>
          <w:sz w:val="24"/>
        </w:rPr>
        <w:t>es diplômes de spécialisation en sciences sociales et humaines (7,6%).</w:t>
      </w:r>
    </w:p>
    <w:p w:rsidR="00D66BCC" w:rsidRPr="006760FD" w:rsidRDefault="00D66BCC" w:rsidP="0080771D">
      <w:pPr>
        <w:spacing w:before="120" w:after="120" w:line="240" w:lineRule="auto"/>
        <w:jc w:val="both"/>
        <w:rPr>
          <w:rFonts w:ascii="Times New Roman" w:hAnsi="Times New Roman" w:cs="Times New Roman"/>
          <w:b/>
          <w:bCs/>
          <w:smallCaps/>
          <w:color w:val="0000FF"/>
          <w:sz w:val="28"/>
          <w:szCs w:val="24"/>
        </w:rPr>
      </w:pPr>
      <w:bookmarkStart w:id="8" w:name="_Toc507066403"/>
      <w:r w:rsidRPr="006760FD">
        <w:rPr>
          <w:rFonts w:ascii="Times New Roman" w:hAnsi="Times New Roman" w:cs="Times New Roman"/>
          <w:b/>
          <w:bCs/>
          <w:smallCaps/>
          <w:color w:val="0000FF"/>
          <w:sz w:val="28"/>
          <w:szCs w:val="24"/>
        </w:rPr>
        <w:t xml:space="preserve">L’adéquation par </w:t>
      </w:r>
      <w:r>
        <w:rPr>
          <w:rFonts w:ascii="Times New Roman" w:hAnsi="Times New Roman" w:cs="Times New Roman"/>
          <w:b/>
          <w:bCs/>
          <w:smallCaps/>
          <w:color w:val="0000FF"/>
          <w:sz w:val="28"/>
          <w:szCs w:val="24"/>
        </w:rPr>
        <w:t>profession</w:t>
      </w:r>
    </w:p>
    <w:p w:rsidR="00B85035" w:rsidRPr="00B81D60" w:rsidRDefault="00825DB0" w:rsidP="0080771D">
      <w:pPr>
        <w:pStyle w:val="Titre1"/>
        <w:keepNext w:val="0"/>
        <w:keepLines w:val="0"/>
        <w:spacing w:before="120" w:after="120"/>
        <w:rPr>
          <w:rFonts w:ascii="Times New Roman" w:hAnsi="Times New Roman" w:cs="Times New Roman"/>
          <w:b/>
          <w:i/>
          <w:iCs/>
          <w:color w:val="0000FF"/>
          <w:sz w:val="24"/>
          <w:szCs w:val="24"/>
        </w:rPr>
      </w:pPr>
      <w:r w:rsidRPr="00B81D60">
        <w:rPr>
          <w:rFonts w:ascii="Times New Roman" w:hAnsi="Times New Roman" w:cs="Times New Roman"/>
          <w:b/>
          <w:i/>
          <w:iCs/>
          <w:color w:val="0000FF"/>
          <w:sz w:val="24"/>
          <w:szCs w:val="24"/>
        </w:rPr>
        <w:t>72,4% des déclassés sont des « employés » ou des « manœuvres non agricole</w:t>
      </w:r>
      <w:r w:rsidR="00BA33F8">
        <w:rPr>
          <w:rFonts w:ascii="Times New Roman" w:hAnsi="Times New Roman" w:cs="Times New Roman"/>
          <w:b/>
          <w:i/>
          <w:iCs/>
          <w:color w:val="0000FF"/>
          <w:sz w:val="24"/>
          <w:szCs w:val="24"/>
        </w:rPr>
        <w:t>s</w:t>
      </w:r>
      <w:r w:rsidRPr="00B81D60">
        <w:rPr>
          <w:rFonts w:ascii="Times New Roman" w:hAnsi="Times New Roman" w:cs="Times New Roman"/>
          <w:b/>
          <w:i/>
          <w:iCs/>
          <w:color w:val="0000FF"/>
          <w:sz w:val="24"/>
          <w:szCs w:val="24"/>
        </w:rPr>
        <w:t> »</w:t>
      </w:r>
      <w:bookmarkEnd w:id="8"/>
    </w:p>
    <w:p w:rsidR="0004176B" w:rsidRDefault="00CA48D7" w:rsidP="0080771D">
      <w:pPr>
        <w:spacing w:before="120" w:after="120" w:line="240" w:lineRule="auto"/>
        <w:ind w:firstLine="709"/>
        <w:jc w:val="both"/>
        <w:rPr>
          <w:rFonts w:ascii="Times New Roman" w:hAnsi="Times New Roman" w:cs="Times New Roman"/>
          <w:sz w:val="24"/>
        </w:rPr>
      </w:pPr>
      <w:r w:rsidRPr="00DD59E9">
        <w:rPr>
          <w:rFonts w:ascii="Times New Roman" w:hAnsi="Times New Roman" w:cs="Times New Roman"/>
          <w:sz w:val="24"/>
        </w:rPr>
        <w:t>Deux groupes de profession</w:t>
      </w:r>
      <w:r w:rsidR="00BE2083">
        <w:rPr>
          <w:rFonts w:ascii="Times New Roman" w:hAnsi="Times New Roman" w:cs="Times New Roman"/>
          <w:sz w:val="24"/>
        </w:rPr>
        <w:t>s</w:t>
      </w:r>
      <w:r w:rsidRPr="00DD59E9">
        <w:rPr>
          <w:rFonts w:ascii="Times New Roman" w:hAnsi="Times New Roman" w:cs="Times New Roman"/>
          <w:sz w:val="24"/>
        </w:rPr>
        <w:t xml:space="preserve"> ont enregistré les taux de déclassement les plus importants. Il s’agit des « employés» (20,9%) et des « manœuvres non agricoles, manutentionnaires et travailleurs des petits métiers » (15,1%)</w:t>
      </w:r>
      <w:r w:rsidR="002F1686" w:rsidRPr="00DD59E9">
        <w:rPr>
          <w:rFonts w:ascii="Times New Roman" w:hAnsi="Times New Roman" w:cs="Times New Roman"/>
          <w:sz w:val="24"/>
        </w:rPr>
        <w:t xml:space="preserve">, soit respectivement </w:t>
      </w:r>
      <w:r w:rsidR="0079267C" w:rsidRPr="00DD59E9">
        <w:rPr>
          <w:rFonts w:ascii="Times New Roman" w:hAnsi="Times New Roman" w:cs="Times New Roman"/>
          <w:sz w:val="24"/>
        </w:rPr>
        <w:t xml:space="preserve">38,8% </w:t>
      </w:r>
      <w:r w:rsidR="002F1686" w:rsidRPr="00DD59E9">
        <w:rPr>
          <w:rFonts w:ascii="Times New Roman" w:hAnsi="Times New Roman" w:cs="Times New Roman"/>
          <w:sz w:val="24"/>
        </w:rPr>
        <w:t xml:space="preserve">et 33,6% </w:t>
      </w:r>
      <w:r w:rsidR="0079267C" w:rsidRPr="00DD59E9">
        <w:rPr>
          <w:rFonts w:ascii="Times New Roman" w:hAnsi="Times New Roman" w:cs="Times New Roman"/>
          <w:sz w:val="24"/>
        </w:rPr>
        <w:t>des ac</w:t>
      </w:r>
      <w:r w:rsidR="00A66485" w:rsidRPr="00DD59E9">
        <w:rPr>
          <w:rFonts w:ascii="Times New Roman" w:hAnsi="Times New Roman" w:cs="Times New Roman"/>
          <w:sz w:val="24"/>
        </w:rPr>
        <w:t>t</w:t>
      </w:r>
      <w:r w:rsidR="0079267C" w:rsidRPr="00DD59E9">
        <w:rPr>
          <w:rFonts w:ascii="Times New Roman" w:hAnsi="Times New Roman" w:cs="Times New Roman"/>
          <w:sz w:val="24"/>
        </w:rPr>
        <w:t>ifs occupés en situation de déclassement</w:t>
      </w:r>
      <w:r w:rsidR="00886C27" w:rsidRPr="00DD59E9">
        <w:rPr>
          <w:rFonts w:ascii="Times New Roman" w:hAnsi="Times New Roman" w:cs="Times New Roman"/>
          <w:sz w:val="24"/>
        </w:rPr>
        <w:t xml:space="preserve">, </w:t>
      </w:r>
      <w:r w:rsidR="002F1686" w:rsidRPr="00DD59E9">
        <w:rPr>
          <w:rFonts w:ascii="Times New Roman" w:hAnsi="Times New Roman" w:cs="Times New Roman"/>
          <w:sz w:val="24"/>
        </w:rPr>
        <w:t>englobant à eux deux</w:t>
      </w:r>
      <w:r w:rsidR="00886C27" w:rsidRPr="00DD59E9">
        <w:rPr>
          <w:rFonts w:ascii="Times New Roman" w:hAnsi="Times New Roman" w:cs="Times New Roman"/>
          <w:sz w:val="24"/>
        </w:rPr>
        <w:t xml:space="preserve"> 72,4% des déclassés</w:t>
      </w:r>
      <w:r w:rsidR="0080771D">
        <w:rPr>
          <w:rFonts w:ascii="Times New Roman" w:hAnsi="Times New Roman" w:cs="Times New Roman"/>
          <w:sz w:val="24"/>
        </w:rPr>
        <w:t xml:space="preserve"> </w:t>
      </w:r>
      <w:r w:rsidR="0080771D">
        <w:rPr>
          <w:rFonts w:ascii="Times New Roman" w:hAnsi="Times New Roman" w:cs="Times New Roman"/>
          <w:sz w:val="24"/>
          <w:szCs w:val="24"/>
        </w:rPr>
        <w:t>(Graphique 9)</w:t>
      </w:r>
      <w:r w:rsidR="002F1686" w:rsidRPr="00DD59E9">
        <w:rPr>
          <w:rFonts w:ascii="Times New Roman" w:hAnsi="Times New Roman" w:cs="Times New Roman"/>
          <w:sz w:val="24"/>
        </w:rPr>
        <w:t>.</w:t>
      </w:r>
    </w:p>
    <w:p w:rsidR="0080771D" w:rsidRDefault="0080771D" w:rsidP="0080771D">
      <w:pPr>
        <w:spacing w:before="120" w:after="120" w:line="240" w:lineRule="auto"/>
        <w:ind w:firstLine="709"/>
        <w:jc w:val="center"/>
        <w:rPr>
          <w:rFonts w:ascii="Times New Roman" w:hAnsi="Times New Roman" w:cs="Times New Roman"/>
          <w:sz w:val="24"/>
        </w:rPr>
      </w:pPr>
      <w:r w:rsidRPr="0080771D">
        <w:rPr>
          <w:rFonts w:ascii="Times New Roman" w:hAnsi="Times New Roman" w:cs="Times New Roman"/>
          <w:color w:val="0000FF"/>
          <w:sz w:val="24"/>
        </w:rPr>
        <w:t>Graphique 9 : Taux d'adéquation</w:t>
      </w:r>
      <w:r>
        <w:rPr>
          <w:rFonts w:ascii="Times New Roman" w:hAnsi="Times New Roman" w:cs="Times New Roman"/>
          <w:color w:val="0000FF"/>
          <w:sz w:val="24"/>
        </w:rPr>
        <w:t xml:space="preserve">, de déclassement et de surclassement </w:t>
      </w:r>
      <w:r w:rsidRPr="0080771D">
        <w:rPr>
          <w:rFonts w:ascii="Times New Roman" w:hAnsi="Times New Roman" w:cs="Times New Roman"/>
          <w:color w:val="0000FF"/>
          <w:sz w:val="24"/>
        </w:rPr>
        <w:t xml:space="preserve"> </w:t>
      </w:r>
      <w:r w:rsidRPr="0080771D">
        <w:rPr>
          <w:rFonts w:ascii="Times New Roman" w:hAnsi="Times New Roman" w:cs="Times New Roman"/>
          <w:color w:val="0000FF"/>
          <w:sz w:val="24"/>
        </w:rPr>
        <w:br/>
        <w:t>de la population active occupée par groupe de professions</w:t>
      </w:r>
    </w:p>
    <w:p w:rsidR="007C03D6" w:rsidRPr="00DD59E9" w:rsidRDefault="007C03D6" w:rsidP="0080771D">
      <w:pPr>
        <w:spacing w:before="120" w:after="120" w:line="240" w:lineRule="auto"/>
        <w:jc w:val="center"/>
        <w:rPr>
          <w:rFonts w:ascii="Times New Roman" w:hAnsi="Times New Roman" w:cs="Times New Roman"/>
          <w:sz w:val="24"/>
        </w:rPr>
      </w:pPr>
      <w:r w:rsidRPr="007C03D6">
        <w:rPr>
          <w:rFonts w:ascii="Times New Roman" w:hAnsi="Times New Roman" w:cs="Times New Roman"/>
          <w:noProof/>
          <w:sz w:val="24"/>
          <w:lang w:eastAsia="fr-FR"/>
        </w:rPr>
        <w:drawing>
          <wp:inline distT="0" distB="0" distL="0" distR="0">
            <wp:extent cx="4572000" cy="2743200"/>
            <wp:effectExtent l="0" t="0" r="0" b="0"/>
            <wp:docPr id="14" name="Graphique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373E7" w:rsidRPr="00DD59E9" w:rsidRDefault="007B2454" w:rsidP="00AC595E">
      <w:pPr>
        <w:keepLines/>
        <w:spacing w:before="120" w:after="120" w:line="240" w:lineRule="auto"/>
        <w:ind w:firstLine="709"/>
        <w:jc w:val="both"/>
        <w:rPr>
          <w:rFonts w:ascii="Times New Roman" w:hAnsi="Times New Roman" w:cs="Times New Roman"/>
          <w:sz w:val="24"/>
        </w:rPr>
      </w:pPr>
      <w:r>
        <w:rPr>
          <w:rFonts w:ascii="Times New Roman" w:hAnsi="Times New Roman" w:cs="Times New Roman"/>
          <w:sz w:val="24"/>
        </w:rPr>
        <w:t>Parmi</w:t>
      </w:r>
      <w:r w:rsidRPr="00DD59E9">
        <w:rPr>
          <w:rFonts w:ascii="Times New Roman" w:hAnsi="Times New Roman" w:cs="Times New Roman"/>
          <w:sz w:val="24"/>
        </w:rPr>
        <w:t xml:space="preserve"> les « employés »</w:t>
      </w:r>
      <w:r>
        <w:rPr>
          <w:rFonts w:ascii="Times New Roman" w:hAnsi="Times New Roman" w:cs="Times New Roman"/>
          <w:sz w:val="24"/>
        </w:rPr>
        <w:t>,</w:t>
      </w:r>
      <w:r w:rsidRPr="00DD59E9">
        <w:rPr>
          <w:rFonts w:ascii="Times New Roman" w:hAnsi="Times New Roman" w:cs="Times New Roman"/>
          <w:sz w:val="24"/>
        </w:rPr>
        <w:t xml:space="preserve"> </w:t>
      </w:r>
      <w:r>
        <w:rPr>
          <w:rFonts w:ascii="Times New Roman" w:hAnsi="Times New Roman" w:cs="Times New Roman"/>
          <w:sz w:val="24"/>
        </w:rPr>
        <w:t>l</w:t>
      </w:r>
      <w:r w:rsidR="00903FE7" w:rsidRPr="00DD59E9">
        <w:rPr>
          <w:rFonts w:ascii="Times New Roman" w:hAnsi="Times New Roman" w:cs="Times New Roman"/>
          <w:sz w:val="24"/>
        </w:rPr>
        <w:t>es</w:t>
      </w:r>
      <w:r w:rsidR="00C373E7" w:rsidRPr="00DD59E9">
        <w:rPr>
          <w:rFonts w:ascii="Times New Roman" w:hAnsi="Times New Roman" w:cs="Times New Roman"/>
          <w:sz w:val="24"/>
        </w:rPr>
        <w:t xml:space="preserve"> employés administratifs</w:t>
      </w:r>
      <w:r w:rsidR="00EF3E69" w:rsidRPr="00DD59E9">
        <w:rPr>
          <w:rFonts w:ascii="Times New Roman" w:hAnsi="Times New Roman" w:cs="Times New Roman"/>
          <w:sz w:val="24"/>
        </w:rPr>
        <w:t xml:space="preserve"> </w:t>
      </w:r>
      <w:r w:rsidR="00755900" w:rsidRPr="00DD59E9">
        <w:rPr>
          <w:rFonts w:ascii="Times New Roman" w:hAnsi="Times New Roman" w:cs="Times New Roman"/>
          <w:sz w:val="24"/>
        </w:rPr>
        <w:t xml:space="preserve">ont </w:t>
      </w:r>
      <w:r w:rsidR="00EF3E69" w:rsidRPr="00DD59E9">
        <w:rPr>
          <w:rFonts w:ascii="Times New Roman" w:hAnsi="Times New Roman" w:cs="Times New Roman"/>
          <w:sz w:val="24"/>
        </w:rPr>
        <w:t>enregistr</w:t>
      </w:r>
      <w:r w:rsidR="00755900" w:rsidRPr="00DD59E9">
        <w:rPr>
          <w:rFonts w:ascii="Times New Roman" w:hAnsi="Times New Roman" w:cs="Times New Roman"/>
          <w:sz w:val="24"/>
        </w:rPr>
        <w:t>é</w:t>
      </w:r>
      <w:r w:rsidR="00EF3E69" w:rsidRPr="00DD59E9">
        <w:rPr>
          <w:rFonts w:ascii="Times New Roman" w:hAnsi="Times New Roman" w:cs="Times New Roman"/>
          <w:sz w:val="24"/>
        </w:rPr>
        <w:t xml:space="preserve"> le taux de déclassement </w:t>
      </w:r>
      <w:r w:rsidR="005F4DCD">
        <w:rPr>
          <w:rFonts w:ascii="Times New Roman" w:hAnsi="Times New Roman" w:cs="Times New Roman"/>
          <w:sz w:val="24"/>
        </w:rPr>
        <w:t xml:space="preserve">le </w:t>
      </w:r>
      <w:r w:rsidR="00D66BCC" w:rsidRPr="00DD59E9">
        <w:rPr>
          <w:rFonts w:ascii="Times New Roman" w:hAnsi="Times New Roman" w:cs="Times New Roman"/>
          <w:sz w:val="24"/>
        </w:rPr>
        <w:t xml:space="preserve">plus </w:t>
      </w:r>
      <w:r w:rsidR="00D66BCC">
        <w:rPr>
          <w:rFonts w:ascii="Times New Roman" w:hAnsi="Times New Roman" w:cs="Times New Roman"/>
          <w:sz w:val="24"/>
        </w:rPr>
        <w:t>élevé</w:t>
      </w:r>
      <w:r w:rsidR="00D66BCC" w:rsidRPr="00DD59E9">
        <w:rPr>
          <w:rFonts w:ascii="Times New Roman" w:hAnsi="Times New Roman" w:cs="Times New Roman"/>
          <w:sz w:val="24"/>
        </w:rPr>
        <w:t xml:space="preserve"> </w:t>
      </w:r>
      <w:r w:rsidR="00755900" w:rsidRPr="00DD59E9">
        <w:rPr>
          <w:rFonts w:ascii="Times New Roman" w:hAnsi="Times New Roman" w:cs="Times New Roman"/>
          <w:sz w:val="24"/>
        </w:rPr>
        <w:t>(</w:t>
      </w:r>
      <w:r w:rsidR="00EF3E69" w:rsidRPr="00DD59E9">
        <w:rPr>
          <w:rFonts w:ascii="Times New Roman" w:hAnsi="Times New Roman" w:cs="Times New Roman"/>
          <w:sz w:val="24"/>
        </w:rPr>
        <w:t>39,9%</w:t>
      </w:r>
      <w:r w:rsidR="00755900" w:rsidRPr="00DD59E9">
        <w:rPr>
          <w:rFonts w:ascii="Times New Roman" w:hAnsi="Times New Roman" w:cs="Times New Roman"/>
          <w:sz w:val="24"/>
        </w:rPr>
        <w:t>)</w:t>
      </w:r>
      <w:r w:rsidR="00EF3E69" w:rsidRPr="00DD59E9">
        <w:rPr>
          <w:rFonts w:ascii="Times New Roman" w:hAnsi="Times New Roman" w:cs="Times New Roman"/>
          <w:sz w:val="24"/>
        </w:rPr>
        <w:t xml:space="preserve">. Ils sont suivis par les personnes des services de sécurité avec une personne </w:t>
      </w:r>
      <w:r w:rsidR="007953FE" w:rsidRPr="00DD59E9">
        <w:rPr>
          <w:rFonts w:ascii="Times New Roman" w:hAnsi="Times New Roman" w:cs="Times New Roman"/>
          <w:sz w:val="24"/>
        </w:rPr>
        <w:t xml:space="preserve">déclassée </w:t>
      </w:r>
      <w:r w:rsidR="00EF3E69" w:rsidRPr="00DD59E9">
        <w:rPr>
          <w:rFonts w:ascii="Times New Roman" w:hAnsi="Times New Roman" w:cs="Times New Roman"/>
          <w:sz w:val="24"/>
        </w:rPr>
        <w:t>sur cinq (20,6%) et les employés de commerce avec un taux de déclassement de 11,1%. En fin, il y a les employés de l’hôtellerie, de la restauration et assimilés (8,7%) et les employés des services personnels et domestiques (7%). Les employés des cultes sont déclassés à raison de 4%.</w:t>
      </w:r>
    </w:p>
    <w:p w:rsidR="005132B6" w:rsidRDefault="005132B6" w:rsidP="000C7C2D">
      <w:pPr>
        <w:spacing w:before="120" w:after="120" w:line="240" w:lineRule="auto"/>
        <w:ind w:firstLine="709"/>
        <w:jc w:val="both"/>
        <w:rPr>
          <w:rFonts w:ascii="Times New Roman" w:hAnsi="Times New Roman" w:cs="Times New Roman"/>
          <w:sz w:val="24"/>
        </w:rPr>
      </w:pPr>
      <w:r w:rsidRPr="00FD2D46">
        <w:rPr>
          <w:rFonts w:ascii="Times New Roman" w:hAnsi="Times New Roman" w:cs="Times New Roman"/>
          <w:sz w:val="24"/>
        </w:rPr>
        <w:t xml:space="preserve">Tous les sous-groupes des </w:t>
      </w:r>
      <w:r w:rsidR="00D66BCC">
        <w:rPr>
          <w:rFonts w:ascii="Times New Roman" w:hAnsi="Times New Roman" w:cs="Times New Roman"/>
          <w:sz w:val="24"/>
        </w:rPr>
        <w:t>« </w:t>
      </w:r>
      <w:r w:rsidRPr="00FD2D46">
        <w:rPr>
          <w:rFonts w:ascii="Times New Roman" w:hAnsi="Times New Roman" w:cs="Times New Roman"/>
          <w:sz w:val="24"/>
        </w:rPr>
        <w:t>manœuvres non agricoles, manutentionnaires et travailleurs des petits métiers</w:t>
      </w:r>
      <w:r w:rsidR="00D66BCC">
        <w:rPr>
          <w:rFonts w:ascii="Times New Roman" w:hAnsi="Times New Roman" w:cs="Times New Roman"/>
          <w:sz w:val="24"/>
        </w:rPr>
        <w:t> »</w:t>
      </w:r>
      <w:r w:rsidRPr="00FD2D46">
        <w:rPr>
          <w:rFonts w:ascii="Times New Roman" w:hAnsi="Times New Roman" w:cs="Times New Roman"/>
          <w:sz w:val="24"/>
        </w:rPr>
        <w:t xml:space="preserve"> enregistrent des taux de déclassement relativement importants. En premier, les manœuvres et manutentionnaires des industries enregistrent un taux de déclassement de 38,7%. En second position, </w:t>
      </w:r>
      <w:r>
        <w:rPr>
          <w:rFonts w:ascii="Times New Roman" w:hAnsi="Times New Roman" w:cs="Times New Roman"/>
          <w:sz w:val="24"/>
        </w:rPr>
        <w:t>l</w:t>
      </w:r>
      <w:r w:rsidRPr="00FD2D46">
        <w:rPr>
          <w:rFonts w:ascii="Times New Roman" w:hAnsi="Times New Roman" w:cs="Times New Roman"/>
          <w:sz w:val="24"/>
        </w:rPr>
        <w:t xml:space="preserve">es manœuvres et manutentionnaires des mines </w:t>
      </w:r>
      <w:r>
        <w:rPr>
          <w:rFonts w:ascii="Times New Roman" w:hAnsi="Times New Roman" w:cs="Times New Roman"/>
          <w:sz w:val="24"/>
        </w:rPr>
        <w:t xml:space="preserve">avec </w:t>
      </w:r>
      <w:r w:rsidRPr="00FD2D46">
        <w:rPr>
          <w:rFonts w:ascii="Times New Roman" w:hAnsi="Times New Roman" w:cs="Times New Roman"/>
          <w:sz w:val="24"/>
        </w:rPr>
        <w:t>un taux de déclassement de presque une personne sur quatre (24,2%). Parmi les manœuvres des métiers artisanaux</w:t>
      </w:r>
      <w:r>
        <w:rPr>
          <w:rFonts w:ascii="Times New Roman" w:hAnsi="Times New Roman" w:cs="Times New Roman"/>
          <w:sz w:val="24"/>
        </w:rPr>
        <w:t>,</w:t>
      </w:r>
      <w:r w:rsidRPr="00FD2D46">
        <w:rPr>
          <w:rFonts w:ascii="Times New Roman" w:hAnsi="Times New Roman" w:cs="Times New Roman"/>
          <w:sz w:val="24"/>
        </w:rPr>
        <w:t xml:space="preserve"> 23,6% sont déclassés et 22,2% parmi les manœuvres occasionnels de la promotion nationale.</w:t>
      </w:r>
    </w:p>
    <w:p w:rsidR="00D66BCC" w:rsidRPr="00D66BCC" w:rsidRDefault="00D66BCC" w:rsidP="00F62B38">
      <w:pPr>
        <w:pStyle w:val="Titre1"/>
        <w:keepNext w:val="0"/>
        <w:keepLines w:val="0"/>
        <w:spacing w:before="240" w:after="240"/>
        <w:rPr>
          <w:rFonts w:ascii="Times New Roman" w:hAnsi="Times New Roman" w:cs="Times New Roman"/>
          <w:b/>
          <w:i/>
          <w:iCs/>
          <w:color w:val="0000FF"/>
          <w:sz w:val="24"/>
          <w:szCs w:val="24"/>
        </w:rPr>
      </w:pPr>
      <w:r w:rsidRPr="00D66BCC">
        <w:rPr>
          <w:rFonts w:ascii="Times New Roman" w:hAnsi="Times New Roman" w:cs="Times New Roman"/>
          <w:b/>
          <w:i/>
          <w:iCs/>
          <w:color w:val="0000FF"/>
          <w:sz w:val="24"/>
          <w:szCs w:val="24"/>
        </w:rPr>
        <w:lastRenderedPageBreak/>
        <w:t>L</w:t>
      </w:r>
      <w:r>
        <w:rPr>
          <w:rFonts w:ascii="Times New Roman" w:hAnsi="Times New Roman" w:cs="Times New Roman"/>
          <w:b/>
          <w:i/>
          <w:iCs/>
          <w:color w:val="0000FF"/>
          <w:sz w:val="24"/>
          <w:szCs w:val="24"/>
        </w:rPr>
        <w:t>es taux de déclassement par profession des diplôm</w:t>
      </w:r>
      <w:r w:rsidR="00C93DCB">
        <w:rPr>
          <w:rFonts w:ascii="Times New Roman" w:hAnsi="Times New Roman" w:cs="Times New Roman"/>
          <w:b/>
          <w:i/>
          <w:iCs/>
          <w:color w:val="0000FF"/>
          <w:sz w:val="24"/>
          <w:szCs w:val="24"/>
        </w:rPr>
        <w:t>é</w:t>
      </w:r>
      <w:r>
        <w:rPr>
          <w:rFonts w:ascii="Times New Roman" w:hAnsi="Times New Roman" w:cs="Times New Roman"/>
          <w:b/>
          <w:i/>
          <w:iCs/>
          <w:color w:val="0000FF"/>
          <w:sz w:val="24"/>
          <w:szCs w:val="24"/>
        </w:rPr>
        <w:t>s de formation professionnelle sont supérieurs à ceux des diplômés d’enseignement général</w:t>
      </w:r>
    </w:p>
    <w:p w:rsidR="002C29FF" w:rsidRPr="00DD59E9" w:rsidRDefault="0066100C" w:rsidP="00345585">
      <w:pPr>
        <w:spacing w:before="120" w:after="120" w:line="240" w:lineRule="auto"/>
        <w:ind w:firstLine="709"/>
        <w:jc w:val="both"/>
        <w:rPr>
          <w:rFonts w:ascii="Times New Roman" w:hAnsi="Times New Roman" w:cs="Times New Roman"/>
          <w:sz w:val="24"/>
        </w:rPr>
      </w:pPr>
      <w:r w:rsidRPr="00DD59E9">
        <w:rPr>
          <w:rFonts w:ascii="Times New Roman" w:hAnsi="Times New Roman" w:cs="Times New Roman"/>
          <w:sz w:val="24"/>
        </w:rPr>
        <w:t>L</w:t>
      </w:r>
      <w:r w:rsidR="0015368B">
        <w:rPr>
          <w:rFonts w:ascii="Times New Roman" w:hAnsi="Times New Roman" w:cs="Times New Roman"/>
          <w:sz w:val="24"/>
        </w:rPr>
        <w:t xml:space="preserve">e </w:t>
      </w:r>
      <w:r w:rsidR="002C29FF" w:rsidRPr="00DD59E9">
        <w:rPr>
          <w:rFonts w:ascii="Times New Roman" w:hAnsi="Times New Roman" w:cs="Times New Roman"/>
          <w:sz w:val="24"/>
        </w:rPr>
        <w:t>taux des déclassés parmi les diplômés de formation professionnelle e</w:t>
      </w:r>
      <w:r w:rsidR="00785261" w:rsidRPr="00DD59E9">
        <w:rPr>
          <w:rFonts w:ascii="Times New Roman" w:hAnsi="Times New Roman" w:cs="Times New Roman"/>
          <w:sz w:val="24"/>
        </w:rPr>
        <w:t>s</w:t>
      </w:r>
      <w:r w:rsidR="002C29FF" w:rsidRPr="00DD59E9">
        <w:rPr>
          <w:rFonts w:ascii="Times New Roman" w:hAnsi="Times New Roman" w:cs="Times New Roman"/>
          <w:sz w:val="24"/>
        </w:rPr>
        <w:t>t supérieur à celui des diplômés d’enseignement général</w:t>
      </w:r>
      <w:r w:rsidR="0015368B">
        <w:rPr>
          <w:rFonts w:ascii="Times New Roman" w:hAnsi="Times New Roman" w:cs="Times New Roman"/>
          <w:sz w:val="24"/>
        </w:rPr>
        <w:t>, et ce</w:t>
      </w:r>
      <w:r w:rsidR="0015368B" w:rsidRPr="0015368B">
        <w:rPr>
          <w:rFonts w:ascii="Times New Roman" w:hAnsi="Times New Roman" w:cs="Times New Roman"/>
          <w:sz w:val="24"/>
        </w:rPr>
        <w:t xml:space="preserve"> </w:t>
      </w:r>
      <w:r w:rsidR="0015368B" w:rsidRPr="00DD59E9">
        <w:rPr>
          <w:rFonts w:ascii="Times New Roman" w:hAnsi="Times New Roman" w:cs="Times New Roman"/>
          <w:sz w:val="24"/>
        </w:rPr>
        <w:t>quel que soit le groupe de profession</w:t>
      </w:r>
      <w:r w:rsidR="002C29FF" w:rsidRPr="00DD59E9">
        <w:rPr>
          <w:rFonts w:ascii="Times New Roman" w:hAnsi="Times New Roman" w:cs="Times New Roman"/>
          <w:sz w:val="24"/>
        </w:rPr>
        <w:t>.</w:t>
      </w:r>
      <w:r w:rsidR="00017C8C">
        <w:rPr>
          <w:rFonts w:ascii="Times New Roman" w:hAnsi="Times New Roman" w:cs="Times New Roman"/>
          <w:sz w:val="24"/>
        </w:rPr>
        <w:t xml:space="preserve"> </w:t>
      </w:r>
      <w:r w:rsidR="00917F24">
        <w:rPr>
          <w:rFonts w:ascii="Times New Roman" w:hAnsi="Times New Roman" w:cs="Times New Roman"/>
          <w:sz w:val="24"/>
        </w:rPr>
        <w:t>L</w:t>
      </w:r>
      <w:r w:rsidR="00017C8C">
        <w:rPr>
          <w:rFonts w:ascii="Times New Roman" w:hAnsi="Times New Roman" w:cs="Times New Roman"/>
          <w:sz w:val="24"/>
        </w:rPr>
        <w:t>e</w:t>
      </w:r>
      <w:r w:rsidR="00917F24">
        <w:rPr>
          <w:rFonts w:ascii="Times New Roman" w:hAnsi="Times New Roman" w:cs="Times New Roman"/>
          <w:sz w:val="24"/>
        </w:rPr>
        <w:t>ur</w:t>
      </w:r>
      <w:r w:rsidR="00017C8C">
        <w:rPr>
          <w:rFonts w:ascii="Times New Roman" w:hAnsi="Times New Roman" w:cs="Times New Roman"/>
          <w:sz w:val="24"/>
        </w:rPr>
        <w:t>s taux</w:t>
      </w:r>
      <w:r w:rsidR="00917F24">
        <w:rPr>
          <w:rFonts w:ascii="Times New Roman" w:hAnsi="Times New Roman" w:cs="Times New Roman"/>
          <w:sz w:val="24"/>
        </w:rPr>
        <w:t xml:space="preserve"> de déclassement sont respectivement de 59,1% contre 19,0% parmi les « employés », 39,3% contre 6,5% parmi les </w:t>
      </w:r>
      <w:r w:rsidR="00F62B38">
        <w:rPr>
          <w:rFonts w:ascii="Times New Roman" w:hAnsi="Times New Roman" w:cs="Times New Roman"/>
          <w:sz w:val="24"/>
        </w:rPr>
        <w:t>« </w:t>
      </w:r>
      <w:r w:rsidR="00917F24">
        <w:rPr>
          <w:rFonts w:ascii="Times New Roman" w:hAnsi="Times New Roman" w:cs="Times New Roman"/>
          <w:sz w:val="24"/>
        </w:rPr>
        <w:t>commerçants et les intermédiaires commerciaux</w:t>
      </w:r>
      <w:r w:rsidR="00F62B38">
        <w:rPr>
          <w:rFonts w:ascii="Times New Roman" w:hAnsi="Times New Roman" w:cs="Times New Roman"/>
          <w:sz w:val="24"/>
        </w:rPr>
        <w:t> »</w:t>
      </w:r>
      <w:r w:rsidR="00917F24">
        <w:rPr>
          <w:rFonts w:ascii="Times New Roman" w:hAnsi="Times New Roman" w:cs="Times New Roman"/>
          <w:sz w:val="24"/>
        </w:rPr>
        <w:t xml:space="preserve">, </w:t>
      </w:r>
      <w:r w:rsidR="008F60A8">
        <w:rPr>
          <w:rFonts w:ascii="Times New Roman" w:hAnsi="Times New Roman" w:cs="Times New Roman"/>
          <w:sz w:val="24"/>
        </w:rPr>
        <w:t xml:space="preserve">30,6% contre 2,4% parmi les </w:t>
      </w:r>
      <w:r w:rsidR="00F62B38">
        <w:rPr>
          <w:rFonts w:ascii="Times New Roman" w:hAnsi="Times New Roman" w:cs="Times New Roman"/>
          <w:sz w:val="24"/>
        </w:rPr>
        <w:t>« </w:t>
      </w:r>
      <w:r w:rsidR="008F60A8">
        <w:rPr>
          <w:rFonts w:ascii="Times New Roman" w:hAnsi="Times New Roman" w:cs="Times New Roman"/>
          <w:sz w:val="24"/>
        </w:rPr>
        <w:t>exploitants agricoles</w:t>
      </w:r>
      <w:r w:rsidR="00F62B38">
        <w:rPr>
          <w:rFonts w:ascii="Times New Roman" w:hAnsi="Times New Roman" w:cs="Times New Roman"/>
          <w:sz w:val="24"/>
        </w:rPr>
        <w:t> »</w:t>
      </w:r>
      <w:r w:rsidR="008F60A8">
        <w:rPr>
          <w:rFonts w:ascii="Times New Roman" w:hAnsi="Times New Roman" w:cs="Times New Roman"/>
          <w:sz w:val="24"/>
        </w:rPr>
        <w:t xml:space="preserve">, 19,9% contre 3,0% parmi les </w:t>
      </w:r>
      <w:r w:rsidR="00F62B38">
        <w:rPr>
          <w:rFonts w:ascii="Times New Roman" w:hAnsi="Times New Roman" w:cs="Times New Roman"/>
          <w:sz w:val="24"/>
        </w:rPr>
        <w:t>« </w:t>
      </w:r>
      <w:r w:rsidR="008F60A8">
        <w:rPr>
          <w:rFonts w:ascii="Times New Roman" w:hAnsi="Times New Roman" w:cs="Times New Roman"/>
          <w:sz w:val="24"/>
        </w:rPr>
        <w:t>artisans et ouvriers qualifiés des métiers artisanaux</w:t>
      </w:r>
      <w:r w:rsidR="00F62B38">
        <w:rPr>
          <w:rFonts w:ascii="Times New Roman" w:hAnsi="Times New Roman" w:cs="Times New Roman"/>
          <w:sz w:val="24"/>
        </w:rPr>
        <w:t> »</w:t>
      </w:r>
      <w:r w:rsidR="00660686">
        <w:rPr>
          <w:rFonts w:ascii="Times New Roman" w:hAnsi="Times New Roman" w:cs="Times New Roman"/>
          <w:sz w:val="24"/>
        </w:rPr>
        <w:t xml:space="preserve">, 87,6% contre 20,2% parmi les </w:t>
      </w:r>
      <w:r w:rsidR="00F62B38">
        <w:rPr>
          <w:rFonts w:ascii="Times New Roman" w:hAnsi="Times New Roman" w:cs="Times New Roman"/>
          <w:sz w:val="24"/>
        </w:rPr>
        <w:t>« </w:t>
      </w:r>
      <w:r w:rsidR="00660686">
        <w:rPr>
          <w:rFonts w:ascii="Times New Roman" w:hAnsi="Times New Roman" w:cs="Times New Roman"/>
          <w:sz w:val="24"/>
        </w:rPr>
        <w:t>ouvriers et manœuvres agricoles et de la pêche</w:t>
      </w:r>
      <w:r w:rsidR="00F62B38">
        <w:rPr>
          <w:rFonts w:ascii="Times New Roman" w:hAnsi="Times New Roman" w:cs="Times New Roman"/>
          <w:sz w:val="24"/>
        </w:rPr>
        <w:t> »</w:t>
      </w:r>
      <w:r w:rsidR="00660686">
        <w:rPr>
          <w:rFonts w:ascii="Times New Roman" w:hAnsi="Times New Roman" w:cs="Times New Roman"/>
          <w:sz w:val="24"/>
        </w:rPr>
        <w:t xml:space="preserve">, 31,1% contre 3,0% parmi les </w:t>
      </w:r>
      <w:r w:rsidR="00F62B38">
        <w:rPr>
          <w:rFonts w:ascii="Times New Roman" w:hAnsi="Times New Roman" w:cs="Times New Roman"/>
          <w:sz w:val="24"/>
        </w:rPr>
        <w:t>« </w:t>
      </w:r>
      <w:r w:rsidR="00660686">
        <w:rPr>
          <w:rFonts w:ascii="Times New Roman" w:hAnsi="Times New Roman" w:cs="Times New Roman"/>
          <w:sz w:val="24"/>
        </w:rPr>
        <w:t>conducteurs d’installations et de machines et ouvriers de l’assemblage</w:t>
      </w:r>
      <w:r w:rsidR="00F62B38">
        <w:rPr>
          <w:rFonts w:ascii="Times New Roman" w:hAnsi="Times New Roman" w:cs="Times New Roman"/>
          <w:sz w:val="24"/>
        </w:rPr>
        <w:t> »</w:t>
      </w:r>
      <w:r w:rsidR="00660686">
        <w:rPr>
          <w:rFonts w:ascii="Times New Roman" w:hAnsi="Times New Roman" w:cs="Times New Roman"/>
          <w:sz w:val="24"/>
        </w:rPr>
        <w:t xml:space="preserve"> et 92,9% contre 33,3% parmi les </w:t>
      </w:r>
      <w:r w:rsidR="00F62B38">
        <w:rPr>
          <w:rFonts w:ascii="Times New Roman" w:hAnsi="Times New Roman" w:cs="Times New Roman"/>
          <w:sz w:val="24"/>
        </w:rPr>
        <w:t>« </w:t>
      </w:r>
      <w:r w:rsidR="00660686">
        <w:rPr>
          <w:rFonts w:ascii="Times New Roman" w:hAnsi="Times New Roman" w:cs="Times New Roman"/>
          <w:sz w:val="24"/>
        </w:rPr>
        <w:t>manœuvres non agricoles, manutentionnaires et travailleurs des petits métiers</w:t>
      </w:r>
      <w:r w:rsidR="00F62B38">
        <w:rPr>
          <w:rFonts w:ascii="Times New Roman" w:hAnsi="Times New Roman" w:cs="Times New Roman"/>
          <w:sz w:val="24"/>
        </w:rPr>
        <w:t> »</w:t>
      </w:r>
      <w:r w:rsidR="00345585">
        <w:rPr>
          <w:rFonts w:ascii="Times New Roman" w:hAnsi="Times New Roman" w:cs="Times New Roman"/>
          <w:sz w:val="24"/>
        </w:rPr>
        <w:t xml:space="preserve"> </w:t>
      </w:r>
      <w:r w:rsidR="00345585">
        <w:rPr>
          <w:rFonts w:ascii="Times New Roman" w:hAnsi="Times New Roman" w:cs="Times New Roman"/>
          <w:sz w:val="24"/>
          <w:szCs w:val="24"/>
        </w:rPr>
        <w:t>(Graphique 10)</w:t>
      </w:r>
      <w:r w:rsidR="008F60A8">
        <w:rPr>
          <w:rFonts w:ascii="Times New Roman" w:hAnsi="Times New Roman" w:cs="Times New Roman"/>
          <w:sz w:val="24"/>
        </w:rPr>
        <w:t>.</w:t>
      </w:r>
    </w:p>
    <w:p w:rsidR="008065A0" w:rsidRPr="00345585" w:rsidRDefault="008065A0" w:rsidP="00345585">
      <w:pPr>
        <w:spacing w:after="0" w:line="240" w:lineRule="auto"/>
        <w:jc w:val="center"/>
        <w:rPr>
          <w:rFonts w:ascii="Times New Roman" w:hAnsi="Times New Roman" w:cs="Times New Roman"/>
          <w:sz w:val="24"/>
        </w:rPr>
      </w:pPr>
      <w:bookmarkStart w:id="9" w:name="RANGE!D10"/>
      <w:r w:rsidRPr="008065A0">
        <w:rPr>
          <w:rFonts w:ascii="Times New Roman" w:eastAsia="Times New Roman" w:hAnsi="Times New Roman" w:cs="Times New Roman"/>
          <w:color w:val="0000FF"/>
          <w:sz w:val="24"/>
          <w:szCs w:val="24"/>
          <w:lang w:eastAsia="fr-FR"/>
        </w:rPr>
        <w:t xml:space="preserve">Graphique </w:t>
      </w:r>
      <w:r w:rsidR="00345585" w:rsidRPr="00345585">
        <w:rPr>
          <w:rFonts w:ascii="Times New Roman" w:eastAsia="Times New Roman" w:hAnsi="Times New Roman" w:cs="Times New Roman"/>
          <w:color w:val="0000FF"/>
          <w:sz w:val="24"/>
          <w:szCs w:val="24"/>
          <w:lang w:eastAsia="fr-FR"/>
        </w:rPr>
        <w:t>10</w:t>
      </w:r>
      <w:r w:rsidRPr="008065A0">
        <w:rPr>
          <w:rFonts w:ascii="Times New Roman" w:eastAsia="Times New Roman" w:hAnsi="Times New Roman" w:cs="Times New Roman"/>
          <w:color w:val="0000FF"/>
          <w:sz w:val="24"/>
          <w:szCs w:val="24"/>
          <w:lang w:eastAsia="fr-FR"/>
        </w:rPr>
        <w:t>: Taux de déclassement et part des déclassés</w:t>
      </w:r>
      <w:bookmarkEnd w:id="9"/>
      <w:r w:rsidRPr="00345585">
        <w:rPr>
          <w:rFonts w:ascii="Times New Roman" w:eastAsia="Times New Roman" w:hAnsi="Times New Roman" w:cs="Times New Roman"/>
          <w:color w:val="0000FF"/>
          <w:sz w:val="24"/>
          <w:szCs w:val="24"/>
          <w:lang w:eastAsia="fr-FR"/>
        </w:rPr>
        <w:br/>
      </w:r>
      <w:r w:rsidRPr="008065A0">
        <w:rPr>
          <w:rFonts w:ascii="Times New Roman" w:eastAsia="Times New Roman" w:hAnsi="Times New Roman" w:cs="Times New Roman"/>
          <w:color w:val="0000FF"/>
          <w:sz w:val="24"/>
          <w:szCs w:val="24"/>
          <w:lang w:eastAsia="fr-FR"/>
        </w:rPr>
        <w:t>selon le type de diplôme et la profession (%)</w:t>
      </w:r>
    </w:p>
    <w:p w:rsidR="008065A0" w:rsidRDefault="008065A0" w:rsidP="008065A0">
      <w:pPr>
        <w:spacing w:before="120" w:after="120" w:line="240" w:lineRule="auto"/>
        <w:jc w:val="center"/>
        <w:rPr>
          <w:rFonts w:ascii="Times New Roman" w:hAnsi="Times New Roman" w:cs="Times New Roman"/>
          <w:sz w:val="24"/>
        </w:rPr>
      </w:pPr>
      <w:r w:rsidRPr="008065A0">
        <w:rPr>
          <w:rFonts w:ascii="Times New Roman" w:hAnsi="Times New Roman" w:cs="Times New Roman"/>
          <w:noProof/>
          <w:sz w:val="24"/>
          <w:lang w:eastAsia="fr-FR"/>
        </w:rPr>
        <w:drawing>
          <wp:inline distT="0" distB="0" distL="0" distR="0">
            <wp:extent cx="4683318" cy="2536466"/>
            <wp:effectExtent l="0" t="0" r="0" b="0"/>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B008C" w:rsidRDefault="009A2A5E" w:rsidP="004210D1">
      <w:pPr>
        <w:spacing w:before="120" w:after="120" w:line="240" w:lineRule="auto"/>
        <w:ind w:firstLine="709"/>
        <w:jc w:val="both"/>
        <w:rPr>
          <w:rFonts w:ascii="Times New Roman" w:hAnsi="Times New Roman" w:cs="Times New Roman"/>
          <w:sz w:val="24"/>
        </w:rPr>
      </w:pPr>
      <w:r w:rsidRPr="00D758CD">
        <w:rPr>
          <w:rFonts w:ascii="Times New Roman" w:hAnsi="Times New Roman" w:cs="Times New Roman"/>
          <w:sz w:val="24"/>
        </w:rPr>
        <w:t xml:space="preserve">Le tiers des </w:t>
      </w:r>
      <w:r w:rsidR="006F3094" w:rsidRPr="00D758CD">
        <w:rPr>
          <w:rFonts w:ascii="Times New Roman" w:hAnsi="Times New Roman" w:cs="Times New Roman"/>
          <w:sz w:val="24"/>
        </w:rPr>
        <w:t>« </w:t>
      </w:r>
      <w:r w:rsidRPr="00D758CD">
        <w:rPr>
          <w:rFonts w:ascii="Times New Roman" w:hAnsi="Times New Roman" w:cs="Times New Roman"/>
          <w:sz w:val="24"/>
        </w:rPr>
        <w:t>employés</w:t>
      </w:r>
      <w:r w:rsidR="006F3094" w:rsidRPr="00D758CD">
        <w:rPr>
          <w:rFonts w:ascii="Times New Roman" w:hAnsi="Times New Roman" w:cs="Times New Roman"/>
          <w:sz w:val="24"/>
        </w:rPr>
        <w:t> »</w:t>
      </w:r>
      <w:r w:rsidRPr="00D758CD">
        <w:rPr>
          <w:rFonts w:ascii="Times New Roman" w:hAnsi="Times New Roman" w:cs="Times New Roman"/>
          <w:sz w:val="24"/>
        </w:rPr>
        <w:t xml:space="preserve"> déclassés sont des </w:t>
      </w:r>
      <w:r w:rsidR="0005796C" w:rsidRPr="00D758CD">
        <w:rPr>
          <w:rFonts w:ascii="Times New Roman" w:hAnsi="Times New Roman" w:cs="Times New Roman"/>
          <w:sz w:val="24"/>
        </w:rPr>
        <w:t>diplômés de licence</w:t>
      </w:r>
      <w:r w:rsidR="001432FF">
        <w:rPr>
          <w:rFonts w:ascii="Times New Roman" w:hAnsi="Times New Roman" w:cs="Times New Roman"/>
          <w:sz w:val="24"/>
        </w:rPr>
        <w:t xml:space="preserve"> (33,3%)</w:t>
      </w:r>
      <w:r w:rsidRPr="00D758CD">
        <w:rPr>
          <w:rFonts w:ascii="Times New Roman" w:hAnsi="Times New Roman" w:cs="Times New Roman"/>
          <w:sz w:val="24"/>
        </w:rPr>
        <w:t>, 26% sont des techniciens/cadres moyens, 23,6% des techniciens spécialisés</w:t>
      </w:r>
      <w:r w:rsidR="00A36315" w:rsidRPr="00D758CD">
        <w:rPr>
          <w:rFonts w:ascii="Times New Roman" w:hAnsi="Times New Roman" w:cs="Times New Roman"/>
          <w:sz w:val="24"/>
        </w:rPr>
        <w:t>, 7% des diplôm</w:t>
      </w:r>
      <w:r w:rsidR="004210D1">
        <w:rPr>
          <w:rFonts w:ascii="Times New Roman" w:hAnsi="Times New Roman" w:cs="Times New Roman"/>
          <w:sz w:val="24"/>
        </w:rPr>
        <w:t>é</w:t>
      </w:r>
      <w:r w:rsidR="00A36315" w:rsidRPr="00D758CD">
        <w:rPr>
          <w:rFonts w:ascii="Times New Roman" w:hAnsi="Times New Roman" w:cs="Times New Roman"/>
          <w:sz w:val="24"/>
        </w:rPr>
        <w:t xml:space="preserve">s d’études universitaires générales et 6,7% </w:t>
      </w:r>
      <w:r w:rsidR="004210D1">
        <w:rPr>
          <w:rFonts w:ascii="Times New Roman" w:hAnsi="Times New Roman" w:cs="Times New Roman"/>
          <w:sz w:val="24"/>
        </w:rPr>
        <w:t>s</w:t>
      </w:r>
      <w:r w:rsidR="00A36315" w:rsidRPr="00D758CD">
        <w:rPr>
          <w:rFonts w:ascii="Times New Roman" w:hAnsi="Times New Roman" w:cs="Times New Roman"/>
          <w:sz w:val="24"/>
        </w:rPr>
        <w:t>ont des diplôm</w:t>
      </w:r>
      <w:r w:rsidR="004210D1">
        <w:rPr>
          <w:rFonts w:ascii="Times New Roman" w:hAnsi="Times New Roman" w:cs="Times New Roman"/>
          <w:sz w:val="24"/>
        </w:rPr>
        <w:t>é</w:t>
      </w:r>
      <w:r w:rsidR="00A36315" w:rsidRPr="00D758CD">
        <w:rPr>
          <w:rFonts w:ascii="Times New Roman" w:hAnsi="Times New Roman" w:cs="Times New Roman"/>
          <w:sz w:val="24"/>
        </w:rPr>
        <w:t xml:space="preserve">s de DEA/DES/Master. </w:t>
      </w:r>
      <w:r w:rsidR="006936D0">
        <w:rPr>
          <w:rFonts w:ascii="Times New Roman" w:hAnsi="Times New Roman" w:cs="Times New Roman"/>
          <w:sz w:val="24"/>
        </w:rPr>
        <w:t>Aussi, p</w:t>
      </w:r>
      <w:r w:rsidR="00A36315" w:rsidRPr="00D758CD">
        <w:rPr>
          <w:rFonts w:ascii="Times New Roman" w:hAnsi="Times New Roman" w:cs="Times New Roman"/>
          <w:sz w:val="24"/>
        </w:rPr>
        <w:t xml:space="preserve">armi les employés </w:t>
      </w:r>
      <w:r w:rsidR="001817C6" w:rsidRPr="00D758CD">
        <w:rPr>
          <w:rFonts w:ascii="Times New Roman" w:hAnsi="Times New Roman" w:cs="Times New Roman"/>
          <w:sz w:val="24"/>
        </w:rPr>
        <w:t>déclassés</w:t>
      </w:r>
      <w:r w:rsidR="00C93DCB">
        <w:rPr>
          <w:rFonts w:ascii="Times New Roman" w:hAnsi="Times New Roman" w:cs="Times New Roman"/>
          <w:sz w:val="24"/>
        </w:rPr>
        <w:t>,</w:t>
      </w:r>
      <w:r w:rsidR="001817C6" w:rsidRPr="00D758CD">
        <w:rPr>
          <w:rFonts w:ascii="Times New Roman" w:hAnsi="Times New Roman" w:cs="Times New Roman"/>
          <w:sz w:val="24"/>
        </w:rPr>
        <w:t xml:space="preserve"> 2,3%</w:t>
      </w:r>
      <w:r w:rsidR="00A36315" w:rsidRPr="00D758CD">
        <w:rPr>
          <w:rFonts w:ascii="Times New Roman" w:hAnsi="Times New Roman" w:cs="Times New Roman"/>
          <w:sz w:val="24"/>
        </w:rPr>
        <w:t xml:space="preserve"> </w:t>
      </w:r>
      <w:r w:rsidR="001817C6" w:rsidRPr="00D758CD">
        <w:rPr>
          <w:rFonts w:ascii="Times New Roman" w:hAnsi="Times New Roman" w:cs="Times New Roman"/>
          <w:sz w:val="24"/>
        </w:rPr>
        <w:t>sont des ingénieurs/cadre</w:t>
      </w:r>
      <w:r w:rsidR="00235B61" w:rsidRPr="00D758CD">
        <w:rPr>
          <w:rFonts w:ascii="Times New Roman" w:hAnsi="Times New Roman" w:cs="Times New Roman"/>
          <w:sz w:val="24"/>
        </w:rPr>
        <w:t>s</w:t>
      </w:r>
      <w:r w:rsidR="001817C6" w:rsidRPr="00D758CD">
        <w:rPr>
          <w:rFonts w:ascii="Times New Roman" w:hAnsi="Times New Roman" w:cs="Times New Roman"/>
          <w:sz w:val="24"/>
        </w:rPr>
        <w:t xml:space="preserve"> supérieur</w:t>
      </w:r>
      <w:r w:rsidR="00235B61" w:rsidRPr="00D758CD">
        <w:rPr>
          <w:rFonts w:ascii="Times New Roman" w:hAnsi="Times New Roman" w:cs="Times New Roman"/>
          <w:sz w:val="24"/>
        </w:rPr>
        <w:t>s</w:t>
      </w:r>
      <w:r w:rsidR="00A36315" w:rsidRPr="00C22F73">
        <w:rPr>
          <w:rFonts w:ascii="Times New Roman" w:hAnsi="Times New Roman" w:cs="Times New Roman"/>
          <w:sz w:val="24"/>
        </w:rPr>
        <w:t xml:space="preserve">. </w:t>
      </w:r>
    </w:p>
    <w:p w:rsidR="00376F6D" w:rsidRPr="00D758CD" w:rsidRDefault="00526A16" w:rsidP="00C62363">
      <w:pPr>
        <w:spacing w:before="120" w:after="120" w:line="240" w:lineRule="auto"/>
        <w:ind w:firstLine="709"/>
        <w:jc w:val="both"/>
        <w:rPr>
          <w:rFonts w:ascii="Times New Roman" w:hAnsi="Times New Roman" w:cs="Times New Roman"/>
          <w:sz w:val="24"/>
        </w:rPr>
      </w:pPr>
      <w:r w:rsidRPr="00D758CD">
        <w:rPr>
          <w:rFonts w:ascii="Times New Roman" w:hAnsi="Times New Roman" w:cs="Times New Roman"/>
          <w:sz w:val="24"/>
        </w:rPr>
        <w:t xml:space="preserve">Les diplômés </w:t>
      </w:r>
      <w:r w:rsidR="00A54B5A" w:rsidRPr="00D758CD">
        <w:rPr>
          <w:rFonts w:ascii="Times New Roman" w:hAnsi="Times New Roman" w:cs="Times New Roman"/>
          <w:sz w:val="24"/>
        </w:rPr>
        <w:t xml:space="preserve">déclassés </w:t>
      </w:r>
      <w:r w:rsidRPr="00D758CD">
        <w:rPr>
          <w:rFonts w:ascii="Times New Roman" w:hAnsi="Times New Roman" w:cs="Times New Roman"/>
          <w:sz w:val="24"/>
        </w:rPr>
        <w:t>du secondaire collégial et du secondaire qualifiant</w:t>
      </w:r>
      <w:r w:rsidR="005906B2" w:rsidRPr="00D758CD">
        <w:rPr>
          <w:rFonts w:ascii="Times New Roman" w:hAnsi="Times New Roman" w:cs="Times New Roman"/>
          <w:sz w:val="24"/>
        </w:rPr>
        <w:t>,</w:t>
      </w:r>
      <w:r w:rsidRPr="00D758CD">
        <w:rPr>
          <w:rFonts w:ascii="Times New Roman" w:hAnsi="Times New Roman" w:cs="Times New Roman"/>
          <w:sz w:val="24"/>
        </w:rPr>
        <w:t xml:space="preserve"> de spécialisation professionnelle et de qualification professionnelle</w:t>
      </w:r>
      <w:r w:rsidR="00C62363">
        <w:rPr>
          <w:rFonts w:ascii="Times New Roman" w:hAnsi="Times New Roman" w:cs="Times New Roman"/>
          <w:sz w:val="24"/>
        </w:rPr>
        <w:t xml:space="preserve"> </w:t>
      </w:r>
      <w:r w:rsidR="00376F6D" w:rsidRPr="00D758CD">
        <w:rPr>
          <w:rFonts w:ascii="Times New Roman" w:hAnsi="Times New Roman" w:cs="Times New Roman"/>
          <w:sz w:val="24"/>
        </w:rPr>
        <w:t xml:space="preserve">exercent </w:t>
      </w:r>
      <w:r w:rsidR="00C62363">
        <w:rPr>
          <w:rFonts w:ascii="Times New Roman" w:hAnsi="Times New Roman" w:cs="Times New Roman"/>
          <w:sz w:val="24"/>
        </w:rPr>
        <w:t xml:space="preserve">dans </w:t>
      </w:r>
      <w:r w:rsidRPr="00D758CD">
        <w:rPr>
          <w:rFonts w:ascii="Times New Roman" w:hAnsi="Times New Roman" w:cs="Times New Roman"/>
          <w:sz w:val="24"/>
        </w:rPr>
        <w:t xml:space="preserve">deux </w:t>
      </w:r>
      <w:r w:rsidR="00376F6D" w:rsidRPr="00D758CD">
        <w:rPr>
          <w:rFonts w:ascii="Times New Roman" w:hAnsi="Times New Roman" w:cs="Times New Roman"/>
          <w:sz w:val="24"/>
        </w:rPr>
        <w:t xml:space="preserve">groupes de </w:t>
      </w:r>
      <w:r w:rsidRPr="00D758CD">
        <w:rPr>
          <w:rFonts w:ascii="Times New Roman" w:hAnsi="Times New Roman" w:cs="Times New Roman"/>
          <w:sz w:val="24"/>
        </w:rPr>
        <w:t>professions</w:t>
      </w:r>
      <w:r w:rsidR="00F27584" w:rsidRPr="00D758CD">
        <w:rPr>
          <w:rFonts w:ascii="Times New Roman" w:hAnsi="Times New Roman" w:cs="Times New Roman"/>
          <w:sz w:val="24"/>
        </w:rPr>
        <w:t>, essentiellement</w:t>
      </w:r>
      <w:r w:rsidR="00376F6D" w:rsidRPr="00D758CD">
        <w:rPr>
          <w:rFonts w:ascii="Times New Roman" w:hAnsi="Times New Roman" w:cs="Times New Roman"/>
          <w:sz w:val="24"/>
        </w:rPr>
        <w:t xml:space="preserve">. </w:t>
      </w:r>
      <w:r w:rsidR="00A54B5A" w:rsidRPr="00D758CD">
        <w:rPr>
          <w:rFonts w:ascii="Times New Roman" w:hAnsi="Times New Roman" w:cs="Times New Roman"/>
          <w:sz w:val="24"/>
        </w:rPr>
        <w:t xml:space="preserve">Le </w:t>
      </w:r>
      <w:r w:rsidR="00376F6D" w:rsidRPr="00D758CD">
        <w:rPr>
          <w:rFonts w:ascii="Times New Roman" w:hAnsi="Times New Roman" w:cs="Times New Roman"/>
          <w:sz w:val="24"/>
        </w:rPr>
        <w:t xml:space="preserve">premier </w:t>
      </w:r>
      <w:r w:rsidR="00AB5585" w:rsidRPr="00D758CD">
        <w:rPr>
          <w:rFonts w:ascii="Times New Roman" w:hAnsi="Times New Roman" w:cs="Times New Roman"/>
          <w:sz w:val="24"/>
        </w:rPr>
        <w:t xml:space="preserve">est </w:t>
      </w:r>
      <w:r w:rsidR="00C62363">
        <w:rPr>
          <w:rFonts w:ascii="Times New Roman" w:hAnsi="Times New Roman" w:cs="Times New Roman"/>
          <w:sz w:val="24"/>
        </w:rPr>
        <w:t>le groupe</w:t>
      </w:r>
      <w:r w:rsidR="00AB5585" w:rsidRPr="00D758CD">
        <w:rPr>
          <w:rFonts w:ascii="Times New Roman" w:hAnsi="Times New Roman" w:cs="Times New Roman"/>
          <w:sz w:val="24"/>
        </w:rPr>
        <w:t xml:space="preserve"> </w:t>
      </w:r>
      <w:r w:rsidR="00376F6D" w:rsidRPr="00D758CD">
        <w:rPr>
          <w:rFonts w:ascii="Times New Roman" w:hAnsi="Times New Roman" w:cs="Times New Roman"/>
          <w:sz w:val="24"/>
        </w:rPr>
        <w:t xml:space="preserve">des manœuvres non agricoles, manutentionnaires et travailleurs des petits métiers. </w:t>
      </w:r>
      <w:r w:rsidR="00AB5585" w:rsidRPr="00D758CD">
        <w:rPr>
          <w:rFonts w:ascii="Times New Roman" w:hAnsi="Times New Roman" w:cs="Times New Roman"/>
          <w:sz w:val="24"/>
        </w:rPr>
        <w:t xml:space="preserve">Le second est le </w:t>
      </w:r>
      <w:r w:rsidR="00376F6D" w:rsidRPr="00D758CD">
        <w:rPr>
          <w:rFonts w:ascii="Times New Roman" w:hAnsi="Times New Roman" w:cs="Times New Roman"/>
          <w:sz w:val="24"/>
        </w:rPr>
        <w:t>groupe des ouvriers et manœuvres agricoles et de la pêche (y compris les ouvriers qualifiés).</w:t>
      </w:r>
    </w:p>
    <w:p w:rsidR="00526A16" w:rsidRDefault="00376F6D" w:rsidP="00320FDB">
      <w:pPr>
        <w:spacing w:before="120" w:after="120" w:line="240" w:lineRule="auto"/>
        <w:ind w:firstLine="709"/>
        <w:jc w:val="both"/>
        <w:rPr>
          <w:rFonts w:ascii="Times New Roman" w:hAnsi="Times New Roman" w:cs="Times New Roman"/>
          <w:sz w:val="24"/>
        </w:rPr>
      </w:pPr>
      <w:r w:rsidRPr="00D758CD">
        <w:rPr>
          <w:rFonts w:ascii="Times New Roman" w:hAnsi="Times New Roman" w:cs="Times New Roman"/>
          <w:sz w:val="24"/>
        </w:rPr>
        <w:t xml:space="preserve">Les diplômés </w:t>
      </w:r>
      <w:r w:rsidR="005A5539">
        <w:rPr>
          <w:rFonts w:ascii="Times New Roman" w:hAnsi="Times New Roman" w:cs="Times New Roman"/>
          <w:sz w:val="24"/>
        </w:rPr>
        <w:t xml:space="preserve">déclassés </w:t>
      </w:r>
      <w:r w:rsidRPr="00D758CD">
        <w:rPr>
          <w:rFonts w:ascii="Times New Roman" w:hAnsi="Times New Roman" w:cs="Times New Roman"/>
          <w:sz w:val="24"/>
        </w:rPr>
        <w:t>d</w:t>
      </w:r>
      <w:r w:rsidR="00340FEB" w:rsidRPr="00D758CD">
        <w:rPr>
          <w:rFonts w:ascii="Times New Roman" w:hAnsi="Times New Roman" w:cs="Times New Roman"/>
          <w:sz w:val="24"/>
        </w:rPr>
        <w:t xml:space="preserve">e l’enseignement </w:t>
      </w:r>
      <w:r w:rsidRPr="00D758CD">
        <w:rPr>
          <w:rFonts w:ascii="Times New Roman" w:hAnsi="Times New Roman" w:cs="Times New Roman"/>
          <w:sz w:val="24"/>
        </w:rPr>
        <w:t xml:space="preserve">supérieur </w:t>
      </w:r>
      <w:r w:rsidR="00340FEB" w:rsidRPr="00D758CD">
        <w:rPr>
          <w:rFonts w:ascii="Times New Roman" w:hAnsi="Times New Roman" w:cs="Times New Roman"/>
          <w:sz w:val="24"/>
        </w:rPr>
        <w:t xml:space="preserve">(BTS/CPGE, DEUG, Licence, DEA/DES/Master, doctorat et Ingénieur) </w:t>
      </w:r>
      <w:r w:rsidRPr="00D758CD">
        <w:rPr>
          <w:rFonts w:ascii="Times New Roman" w:hAnsi="Times New Roman" w:cs="Times New Roman"/>
          <w:sz w:val="24"/>
        </w:rPr>
        <w:t xml:space="preserve">et les diplômés de technicien spécialisé et de technicien/cadre moyen </w:t>
      </w:r>
      <w:r w:rsidR="005C7BCB" w:rsidRPr="00D758CD">
        <w:rPr>
          <w:rFonts w:ascii="Times New Roman" w:hAnsi="Times New Roman" w:cs="Times New Roman"/>
          <w:sz w:val="24"/>
        </w:rPr>
        <w:t>se répartissent entre</w:t>
      </w:r>
      <w:r w:rsidR="00340FEB" w:rsidRPr="00D758CD">
        <w:rPr>
          <w:rFonts w:ascii="Times New Roman" w:hAnsi="Times New Roman" w:cs="Times New Roman"/>
          <w:sz w:val="24"/>
        </w:rPr>
        <w:t xml:space="preserve"> les mêmes </w:t>
      </w:r>
      <w:r w:rsidR="00D55921" w:rsidRPr="00D758CD">
        <w:rPr>
          <w:rFonts w:ascii="Times New Roman" w:hAnsi="Times New Roman" w:cs="Times New Roman"/>
          <w:sz w:val="24"/>
        </w:rPr>
        <w:t xml:space="preserve">groupes de </w:t>
      </w:r>
      <w:r w:rsidR="00340FEB" w:rsidRPr="00D758CD">
        <w:rPr>
          <w:rFonts w:ascii="Times New Roman" w:hAnsi="Times New Roman" w:cs="Times New Roman"/>
          <w:sz w:val="24"/>
        </w:rPr>
        <w:t>professions</w:t>
      </w:r>
      <w:r w:rsidRPr="00D758CD">
        <w:rPr>
          <w:rFonts w:ascii="Times New Roman" w:hAnsi="Times New Roman" w:cs="Times New Roman"/>
          <w:sz w:val="24"/>
        </w:rPr>
        <w:t xml:space="preserve">. Ils sont d’abord des </w:t>
      </w:r>
      <w:r w:rsidR="001E2B45">
        <w:rPr>
          <w:rFonts w:ascii="Times New Roman" w:hAnsi="Times New Roman" w:cs="Times New Roman"/>
          <w:sz w:val="24"/>
        </w:rPr>
        <w:t>« </w:t>
      </w:r>
      <w:r w:rsidRPr="00D758CD">
        <w:rPr>
          <w:rFonts w:ascii="Times New Roman" w:hAnsi="Times New Roman" w:cs="Times New Roman"/>
          <w:sz w:val="24"/>
        </w:rPr>
        <w:t>employés</w:t>
      </w:r>
      <w:r w:rsidR="001E2B45">
        <w:rPr>
          <w:rFonts w:ascii="Times New Roman" w:hAnsi="Times New Roman" w:cs="Times New Roman"/>
          <w:sz w:val="24"/>
        </w:rPr>
        <w:t> »</w:t>
      </w:r>
      <w:r w:rsidR="003D6F87" w:rsidRPr="00D758CD">
        <w:rPr>
          <w:rFonts w:ascii="Times New Roman" w:hAnsi="Times New Roman" w:cs="Times New Roman"/>
          <w:sz w:val="24"/>
        </w:rPr>
        <w:t>,</w:t>
      </w:r>
      <w:r w:rsidRPr="00D758CD">
        <w:rPr>
          <w:rFonts w:ascii="Times New Roman" w:hAnsi="Times New Roman" w:cs="Times New Roman"/>
          <w:sz w:val="24"/>
        </w:rPr>
        <w:t xml:space="preserve"> des </w:t>
      </w:r>
      <w:r w:rsidR="001E2B45">
        <w:rPr>
          <w:rFonts w:ascii="Times New Roman" w:hAnsi="Times New Roman" w:cs="Times New Roman"/>
          <w:sz w:val="24"/>
        </w:rPr>
        <w:t>« </w:t>
      </w:r>
      <w:r w:rsidRPr="00D758CD">
        <w:rPr>
          <w:rFonts w:ascii="Times New Roman" w:hAnsi="Times New Roman" w:cs="Times New Roman"/>
          <w:sz w:val="24"/>
        </w:rPr>
        <w:t>artisans et ouvriers qualifiés</w:t>
      </w:r>
      <w:r w:rsidR="00D109CE" w:rsidRPr="00D758CD">
        <w:rPr>
          <w:rFonts w:ascii="Times New Roman" w:hAnsi="Times New Roman" w:cs="Times New Roman"/>
          <w:sz w:val="24"/>
        </w:rPr>
        <w:t xml:space="preserve"> des métiers artisanaux (non compris les ouvriers de l’agriculture)</w:t>
      </w:r>
      <w:r w:rsidR="001E2B45">
        <w:rPr>
          <w:rFonts w:ascii="Times New Roman" w:hAnsi="Times New Roman" w:cs="Times New Roman"/>
          <w:sz w:val="24"/>
        </w:rPr>
        <w:t> », d</w:t>
      </w:r>
      <w:r w:rsidR="00E4522A" w:rsidRPr="00D758CD">
        <w:rPr>
          <w:rFonts w:ascii="Times New Roman" w:hAnsi="Times New Roman" w:cs="Times New Roman"/>
          <w:sz w:val="24"/>
        </w:rPr>
        <w:t xml:space="preserve">es </w:t>
      </w:r>
      <w:r w:rsidR="001E2B45">
        <w:rPr>
          <w:rFonts w:ascii="Times New Roman" w:hAnsi="Times New Roman" w:cs="Times New Roman"/>
          <w:sz w:val="24"/>
        </w:rPr>
        <w:t>« </w:t>
      </w:r>
      <w:r w:rsidR="00E4522A" w:rsidRPr="00D758CD">
        <w:rPr>
          <w:rFonts w:ascii="Times New Roman" w:hAnsi="Times New Roman" w:cs="Times New Roman"/>
          <w:sz w:val="24"/>
        </w:rPr>
        <w:t>manœuvres non agricoles, manutentionnaires et travailleurs des petits métiers</w:t>
      </w:r>
      <w:r w:rsidR="001E2B45">
        <w:rPr>
          <w:rFonts w:ascii="Times New Roman" w:hAnsi="Times New Roman" w:cs="Times New Roman"/>
          <w:sz w:val="24"/>
        </w:rPr>
        <w:t> »</w:t>
      </w:r>
      <w:r w:rsidR="00E4522A" w:rsidRPr="00D758CD">
        <w:rPr>
          <w:rFonts w:ascii="Times New Roman" w:hAnsi="Times New Roman" w:cs="Times New Roman"/>
          <w:sz w:val="24"/>
        </w:rPr>
        <w:t xml:space="preserve"> et </w:t>
      </w:r>
      <w:r w:rsidR="001E2B45">
        <w:rPr>
          <w:rFonts w:ascii="Times New Roman" w:hAnsi="Times New Roman" w:cs="Times New Roman"/>
          <w:sz w:val="24"/>
        </w:rPr>
        <w:t>d</w:t>
      </w:r>
      <w:r w:rsidR="00E4522A" w:rsidRPr="00D758CD">
        <w:rPr>
          <w:rFonts w:ascii="Times New Roman" w:hAnsi="Times New Roman" w:cs="Times New Roman"/>
          <w:sz w:val="24"/>
        </w:rPr>
        <w:t xml:space="preserve">es </w:t>
      </w:r>
      <w:r w:rsidR="001E2B45">
        <w:rPr>
          <w:rFonts w:ascii="Times New Roman" w:hAnsi="Times New Roman" w:cs="Times New Roman"/>
          <w:sz w:val="24"/>
        </w:rPr>
        <w:t>« </w:t>
      </w:r>
      <w:r w:rsidR="00E4522A" w:rsidRPr="00D758CD">
        <w:rPr>
          <w:rFonts w:ascii="Times New Roman" w:hAnsi="Times New Roman" w:cs="Times New Roman"/>
          <w:sz w:val="24"/>
        </w:rPr>
        <w:t>commerçants et intermédiaires commerciaux et financiers</w:t>
      </w:r>
      <w:r w:rsidR="001E2B45">
        <w:rPr>
          <w:rFonts w:ascii="Times New Roman" w:hAnsi="Times New Roman" w:cs="Times New Roman"/>
          <w:sz w:val="24"/>
        </w:rPr>
        <w:t> »</w:t>
      </w:r>
      <w:r w:rsidR="004210D1">
        <w:rPr>
          <w:rFonts w:ascii="Times New Roman" w:hAnsi="Times New Roman" w:cs="Times New Roman"/>
          <w:sz w:val="24"/>
        </w:rPr>
        <w:t>.</w:t>
      </w:r>
    </w:p>
    <w:p w:rsidR="00700399" w:rsidRDefault="00700399" w:rsidP="00320FDB">
      <w:pPr>
        <w:spacing w:before="120" w:after="120" w:line="240" w:lineRule="auto"/>
        <w:ind w:firstLine="709"/>
        <w:jc w:val="both"/>
        <w:rPr>
          <w:rFonts w:ascii="Times New Roman" w:hAnsi="Times New Roman" w:cs="Times New Roman"/>
          <w:sz w:val="24"/>
        </w:rPr>
      </w:pPr>
    </w:p>
    <w:p w:rsidR="00700399" w:rsidRDefault="00700399" w:rsidP="00320FDB">
      <w:pPr>
        <w:spacing w:before="120" w:after="120" w:line="240" w:lineRule="auto"/>
        <w:ind w:firstLine="709"/>
        <w:jc w:val="both"/>
        <w:rPr>
          <w:rFonts w:ascii="Times New Roman" w:hAnsi="Times New Roman" w:cs="Times New Roman"/>
          <w:sz w:val="24"/>
        </w:rPr>
      </w:pPr>
    </w:p>
    <w:p w:rsidR="00DE474B" w:rsidRPr="006760FD" w:rsidRDefault="00DE474B" w:rsidP="0013299A">
      <w:pPr>
        <w:spacing w:before="120" w:after="120" w:line="240" w:lineRule="auto"/>
        <w:jc w:val="both"/>
        <w:rPr>
          <w:rFonts w:ascii="Times New Roman" w:hAnsi="Times New Roman" w:cs="Times New Roman"/>
          <w:b/>
          <w:bCs/>
          <w:smallCaps/>
          <w:color w:val="0000FF"/>
          <w:sz w:val="28"/>
          <w:szCs w:val="24"/>
        </w:rPr>
      </w:pPr>
      <w:r w:rsidRPr="006760FD">
        <w:rPr>
          <w:rFonts w:ascii="Times New Roman" w:hAnsi="Times New Roman" w:cs="Times New Roman"/>
          <w:b/>
          <w:bCs/>
          <w:smallCaps/>
          <w:color w:val="0000FF"/>
          <w:sz w:val="28"/>
          <w:szCs w:val="24"/>
        </w:rPr>
        <w:lastRenderedPageBreak/>
        <w:t xml:space="preserve">L’adéquation par </w:t>
      </w:r>
      <w:r w:rsidR="00C51E30">
        <w:rPr>
          <w:rFonts w:ascii="Times New Roman" w:hAnsi="Times New Roman" w:cs="Times New Roman"/>
          <w:b/>
          <w:bCs/>
          <w:smallCaps/>
          <w:color w:val="0000FF"/>
          <w:sz w:val="28"/>
          <w:szCs w:val="24"/>
        </w:rPr>
        <w:t>secteur d’</w:t>
      </w:r>
      <w:r w:rsidR="0010660A">
        <w:rPr>
          <w:rFonts w:ascii="Times New Roman" w:hAnsi="Times New Roman" w:cs="Times New Roman"/>
          <w:b/>
          <w:bCs/>
          <w:smallCaps/>
          <w:color w:val="0000FF"/>
          <w:sz w:val="28"/>
          <w:szCs w:val="24"/>
        </w:rPr>
        <w:t>activité économique</w:t>
      </w:r>
    </w:p>
    <w:p w:rsidR="00FB731C" w:rsidRPr="00DE474B" w:rsidRDefault="00733234" w:rsidP="0013299A">
      <w:pPr>
        <w:pStyle w:val="Titre1"/>
        <w:keepNext w:val="0"/>
        <w:keepLines w:val="0"/>
        <w:spacing w:before="120" w:after="120"/>
        <w:rPr>
          <w:rFonts w:ascii="Times New Roman" w:hAnsi="Times New Roman" w:cs="Times New Roman"/>
          <w:b/>
          <w:i/>
          <w:iCs/>
          <w:color w:val="0000FF"/>
          <w:sz w:val="24"/>
          <w:szCs w:val="24"/>
        </w:rPr>
      </w:pPr>
      <w:r w:rsidRPr="00DE474B">
        <w:rPr>
          <w:rFonts w:ascii="Times New Roman" w:hAnsi="Times New Roman" w:cs="Times New Roman"/>
          <w:b/>
          <w:i/>
          <w:iCs/>
          <w:color w:val="0000FF"/>
          <w:sz w:val="24"/>
          <w:szCs w:val="24"/>
        </w:rPr>
        <w:t xml:space="preserve">Plus des deux tiers des déclassés travaillent dans 4 secteurs </w:t>
      </w:r>
      <w:r w:rsidR="009269D7">
        <w:rPr>
          <w:rFonts w:ascii="Times New Roman" w:hAnsi="Times New Roman" w:cs="Times New Roman"/>
          <w:b/>
          <w:i/>
          <w:iCs/>
          <w:color w:val="0000FF"/>
          <w:sz w:val="24"/>
          <w:szCs w:val="24"/>
        </w:rPr>
        <w:t>d’activité économique</w:t>
      </w:r>
    </w:p>
    <w:p w:rsidR="006B4333" w:rsidRPr="00DD59E9" w:rsidRDefault="00611D1A" w:rsidP="00700399">
      <w:pPr>
        <w:spacing w:before="120" w:after="120" w:line="240" w:lineRule="auto"/>
        <w:ind w:firstLine="709"/>
        <w:jc w:val="both"/>
        <w:rPr>
          <w:rFonts w:ascii="Times New Roman" w:hAnsi="Times New Roman" w:cs="Times New Roman"/>
          <w:sz w:val="24"/>
        </w:rPr>
      </w:pPr>
      <w:r w:rsidRPr="00DD59E9">
        <w:rPr>
          <w:rFonts w:ascii="Times New Roman" w:hAnsi="Times New Roman" w:cs="Times New Roman"/>
          <w:sz w:val="24"/>
        </w:rPr>
        <w:t>T</w:t>
      </w:r>
      <w:r w:rsidR="00EC2820" w:rsidRPr="00DD59E9">
        <w:rPr>
          <w:rFonts w:ascii="Times New Roman" w:hAnsi="Times New Roman" w:cs="Times New Roman"/>
          <w:sz w:val="24"/>
        </w:rPr>
        <w:t>ous l</w:t>
      </w:r>
      <w:r w:rsidR="00A205AA" w:rsidRPr="00DD59E9">
        <w:rPr>
          <w:rFonts w:ascii="Times New Roman" w:hAnsi="Times New Roman" w:cs="Times New Roman"/>
          <w:sz w:val="24"/>
        </w:rPr>
        <w:t>es sect</w:t>
      </w:r>
      <w:r w:rsidR="00EC2820" w:rsidRPr="00DD59E9">
        <w:rPr>
          <w:rFonts w:ascii="Times New Roman" w:hAnsi="Times New Roman" w:cs="Times New Roman"/>
          <w:sz w:val="24"/>
        </w:rPr>
        <w:t xml:space="preserve">eurs </w:t>
      </w:r>
      <w:r w:rsidR="00A205AA" w:rsidRPr="00DD59E9">
        <w:rPr>
          <w:rFonts w:ascii="Times New Roman" w:hAnsi="Times New Roman" w:cs="Times New Roman"/>
          <w:sz w:val="24"/>
        </w:rPr>
        <w:t>d’activités économiques embauchent des diplômés en situation d</w:t>
      </w:r>
      <w:r w:rsidR="00C67980" w:rsidRPr="00DD59E9">
        <w:rPr>
          <w:rFonts w:ascii="Times New Roman" w:hAnsi="Times New Roman" w:cs="Times New Roman"/>
          <w:sz w:val="24"/>
        </w:rPr>
        <w:t>e déclassement.</w:t>
      </w:r>
      <w:r w:rsidRPr="00DD59E9">
        <w:rPr>
          <w:rFonts w:ascii="Times New Roman" w:hAnsi="Times New Roman" w:cs="Times New Roman"/>
          <w:sz w:val="24"/>
        </w:rPr>
        <w:t xml:space="preserve"> </w:t>
      </w:r>
      <w:r w:rsidR="005071E6">
        <w:rPr>
          <w:rFonts w:ascii="Times New Roman" w:hAnsi="Times New Roman" w:cs="Times New Roman"/>
          <w:sz w:val="24"/>
        </w:rPr>
        <w:t>L</w:t>
      </w:r>
      <w:r w:rsidR="00AC509B" w:rsidRPr="00DD59E9">
        <w:rPr>
          <w:rFonts w:ascii="Times New Roman" w:hAnsi="Times New Roman" w:cs="Times New Roman"/>
          <w:sz w:val="24"/>
        </w:rPr>
        <w:t xml:space="preserve">e secteur </w:t>
      </w:r>
      <w:r w:rsidR="00EC2820" w:rsidRPr="00DD59E9">
        <w:rPr>
          <w:rFonts w:ascii="Times New Roman" w:hAnsi="Times New Roman" w:cs="Times New Roman"/>
          <w:sz w:val="24"/>
        </w:rPr>
        <w:t xml:space="preserve">des </w:t>
      </w:r>
      <w:r w:rsidR="00BC46D3">
        <w:rPr>
          <w:rFonts w:ascii="Times New Roman" w:hAnsi="Times New Roman" w:cs="Times New Roman"/>
          <w:sz w:val="24"/>
        </w:rPr>
        <w:t>« </w:t>
      </w:r>
      <w:r w:rsidR="00EC2820" w:rsidRPr="00DD59E9">
        <w:rPr>
          <w:rFonts w:ascii="Times New Roman" w:hAnsi="Times New Roman" w:cs="Times New Roman"/>
          <w:sz w:val="24"/>
        </w:rPr>
        <w:t>autres services marchands</w:t>
      </w:r>
      <w:r w:rsidR="00BC46D3">
        <w:rPr>
          <w:rFonts w:ascii="Times New Roman" w:hAnsi="Times New Roman" w:cs="Times New Roman"/>
          <w:sz w:val="24"/>
        </w:rPr>
        <w:t> »</w:t>
      </w:r>
      <w:r w:rsidR="00AC509B" w:rsidRPr="00DD59E9">
        <w:rPr>
          <w:rFonts w:ascii="Times New Roman" w:hAnsi="Times New Roman" w:cs="Times New Roman"/>
          <w:sz w:val="24"/>
        </w:rPr>
        <w:t xml:space="preserve"> </w:t>
      </w:r>
      <w:r w:rsidR="00EC2820" w:rsidRPr="00DD59E9">
        <w:rPr>
          <w:rFonts w:ascii="Times New Roman" w:hAnsi="Times New Roman" w:cs="Times New Roman"/>
          <w:sz w:val="24"/>
        </w:rPr>
        <w:t>emploie 19,6% des déclassés</w:t>
      </w:r>
      <w:r w:rsidR="00D57BDF" w:rsidRPr="00DD59E9">
        <w:rPr>
          <w:rFonts w:ascii="Times New Roman" w:hAnsi="Times New Roman" w:cs="Times New Roman"/>
          <w:sz w:val="24"/>
        </w:rPr>
        <w:t xml:space="preserve"> au niveau national</w:t>
      </w:r>
      <w:r w:rsidR="00EC2820" w:rsidRPr="00DD59E9">
        <w:rPr>
          <w:rFonts w:ascii="Times New Roman" w:hAnsi="Times New Roman" w:cs="Times New Roman"/>
          <w:sz w:val="24"/>
        </w:rPr>
        <w:t xml:space="preserve">. Il est suivi par </w:t>
      </w:r>
      <w:r w:rsidR="00DF3F45" w:rsidRPr="00DD59E9">
        <w:rPr>
          <w:rFonts w:ascii="Times New Roman" w:hAnsi="Times New Roman" w:cs="Times New Roman"/>
          <w:sz w:val="24"/>
        </w:rPr>
        <w:t>le secteur de l’</w:t>
      </w:r>
      <w:r w:rsidR="0010660A">
        <w:rPr>
          <w:rFonts w:ascii="Times New Roman" w:hAnsi="Times New Roman" w:cs="Times New Roman"/>
          <w:sz w:val="24"/>
        </w:rPr>
        <w:t xml:space="preserve"> « </w:t>
      </w:r>
      <w:r w:rsidR="00DF3F45" w:rsidRPr="00DD59E9">
        <w:rPr>
          <w:rFonts w:ascii="Times New Roman" w:hAnsi="Times New Roman" w:cs="Times New Roman"/>
          <w:sz w:val="24"/>
        </w:rPr>
        <w:t xml:space="preserve">administration publique, </w:t>
      </w:r>
      <w:r w:rsidR="006857D3" w:rsidRPr="00DD59E9">
        <w:rPr>
          <w:rFonts w:ascii="Times New Roman" w:hAnsi="Times New Roman" w:cs="Times New Roman"/>
          <w:sz w:val="24"/>
        </w:rPr>
        <w:t>l’</w:t>
      </w:r>
      <w:r w:rsidR="00DF3F45" w:rsidRPr="00DD59E9">
        <w:rPr>
          <w:rFonts w:ascii="Times New Roman" w:hAnsi="Times New Roman" w:cs="Times New Roman"/>
          <w:sz w:val="24"/>
        </w:rPr>
        <w:t xml:space="preserve">enseignement, </w:t>
      </w:r>
      <w:r w:rsidR="006857D3" w:rsidRPr="00DD59E9">
        <w:rPr>
          <w:rFonts w:ascii="Times New Roman" w:hAnsi="Times New Roman" w:cs="Times New Roman"/>
          <w:sz w:val="24"/>
        </w:rPr>
        <w:t xml:space="preserve">la </w:t>
      </w:r>
      <w:r w:rsidR="00DF3F45" w:rsidRPr="00DD59E9">
        <w:rPr>
          <w:rFonts w:ascii="Times New Roman" w:hAnsi="Times New Roman" w:cs="Times New Roman"/>
          <w:sz w:val="24"/>
        </w:rPr>
        <w:t xml:space="preserve">santé humaine et </w:t>
      </w:r>
      <w:r w:rsidR="006857D3" w:rsidRPr="00DD59E9">
        <w:rPr>
          <w:rFonts w:ascii="Times New Roman" w:hAnsi="Times New Roman" w:cs="Times New Roman"/>
          <w:sz w:val="24"/>
        </w:rPr>
        <w:t>l’</w:t>
      </w:r>
      <w:r w:rsidR="00DF3F45" w:rsidRPr="00DD59E9">
        <w:rPr>
          <w:rFonts w:ascii="Times New Roman" w:hAnsi="Times New Roman" w:cs="Times New Roman"/>
          <w:sz w:val="24"/>
        </w:rPr>
        <w:t>action sociale</w:t>
      </w:r>
      <w:r w:rsidR="0010660A">
        <w:rPr>
          <w:rFonts w:ascii="Times New Roman" w:hAnsi="Times New Roman" w:cs="Times New Roman"/>
          <w:sz w:val="24"/>
        </w:rPr>
        <w:t> »</w:t>
      </w:r>
      <w:r w:rsidR="00DF3F45" w:rsidRPr="00DD59E9">
        <w:rPr>
          <w:rFonts w:ascii="Times New Roman" w:hAnsi="Times New Roman" w:cs="Times New Roman"/>
          <w:sz w:val="24"/>
        </w:rPr>
        <w:t xml:space="preserve"> avec 17,8% des déclassés. 17,3% des déclassés se trouvent dans le secteur du </w:t>
      </w:r>
      <w:r w:rsidR="0010660A">
        <w:rPr>
          <w:rFonts w:ascii="Times New Roman" w:hAnsi="Times New Roman" w:cs="Times New Roman"/>
          <w:sz w:val="24"/>
        </w:rPr>
        <w:t>« </w:t>
      </w:r>
      <w:r w:rsidR="00DF3F45" w:rsidRPr="00DD59E9">
        <w:rPr>
          <w:rFonts w:ascii="Times New Roman" w:hAnsi="Times New Roman" w:cs="Times New Roman"/>
          <w:sz w:val="24"/>
        </w:rPr>
        <w:t>commerce et réparation d’automobiles et de motocycles</w:t>
      </w:r>
      <w:r w:rsidR="0010660A">
        <w:rPr>
          <w:rFonts w:ascii="Times New Roman" w:hAnsi="Times New Roman" w:cs="Times New Roman"/>
          <w:sz w:val="24"/>
        </w:rPr>
        <w:t> »</w:t>
      </w:r>
      <w:r w:rsidR="00DF3F45" w:rsidRPr="00DD59E9">
        <w:rPr>
          <w:rFonts w:ascii="Times New Roman" w:hAnsi="Times New Roman" w:cs="Times New Roman"/>
          <w:sz w:val="24"/>
        </w:rPr>
        <w:t xml:space="preserve"> </w:t>
      </w:r>
      <w:r w:rsidR="00C01C2D" w:rsidRPr="00DD59E9">
        <w:rPr>
          <w:rFonts w:ascii="Times New Roman" w:hAnsi="Times New Roman" w:cs="Times New Roman"/>
          <w:sz w:val="24"/>
        </w:rPr>
        <w:t xml:space="preserve">et 14% dans le secteur des </w:t>
      </w:r>
      <w:r w:rsidR="0010660A">
        <w:rPr>
          <w:rFonts w:ascii="Times New Roman" w:hAnsi="Times New Roman" w:cs="Times New Roman"/>
          <w:sz w:val="24"/>
        </w:rPr>
        <w:t>« </w:t>
      </w:r>
      <w:r w:rsidR="00C01C2D" w:rsidRPr="00DD59E9">
        <w:rPr>
          <w:rFonts w:ascii="Times New Roman" w:hAnsi="Times New Roman" w:cs="Times New Roman"/>
          <w:sz w:val="24"/>
        </w:rPr>
        <w:t>industries extractive</w:t>
      </w:r>
      <w:r w:rsidR="00CB62A5" w:rsidRPr="00DD59E9">
        <w:rPr>
          <w:rFonts w:ascii="Times New Roman" w:hAnsi="Times New Roman" w:cs="Times New Roman"/>
          <w:sz w:val="24"/>
        </w:rPr>
        <w:t>s</w:t>
      </w:r>
      <w:r w:rsidR="00C01C2D" w:rsidRPr="00DD59E9">
        <w:rPr>
          <w:rFonts w:ascii="Times New Roman" w:hAnsi="Times New Roman" w:cs="Times New Roman"/>
          <w:sz w:val="24"/>
        </w:rPr>
        <w:t xml:space="preserve"> et manufacturières</w:t>
      </w:r>
      <w:r w:rsidR="0010660A">
        <w:rPr>
          <w:rFonts w:ascii="Times New Roman" w:hAnsi="Times New Roman" w:cs="Times New Roman"/>
          <w:sz w:val="24"/>
        </w:rPr>
        <w:t> »</w:t>
      </w:r>
      <w:r w:rsidR="00700399">
        <w:rPr>
          <w:rFonts w:ascii="Times New Roman" w:hAnsi="Times New Roman" w:cs="Times New Roman"/>
          <w:sz w:val="24"/>
        </w:rPr>
        <w:t xml:space="preserve"> </w:t>
      </w:r>
      <w:r w:rsidR="00700399">
        <w:rPr>
          <w:rFonts w:ascii="Times New Roman" w:hAnsi="Times New Roman" w:cs="Times New Roman"/>
          <w:sz w:val="24"/>
          <w:szCs w:val="24"/>
        </w:rPr>
        <w:t>(Graphique 11)</w:t>
      </w:r>
      <w:r w:rsidR="00C01C2D" w:rsidRPr="00DD59E9">
        <w:rPr>
          <w:rFonts w:ascii="Times New Roman" w:hAnsi="Times New Roman" w:cs="Times New Roman"/>
          <w:sz w:val="24"/>
        </w:rPr>
        <w:t>.</w:t>
      </w:r>
    </w:p>
    <w:p w:rsidR="001F2D35" w:rsidRDefault="007A378D" w:rsidP="00700399">
      <w:pPr>
        <w:spacing w:before="120" w:after="120" w:line="240" w:lineRule="auto"/>
        <w:ind w:firstLine="709"/>
        <w:jc w:val="center"/>
        <w:rPr>
          <w:rFonts w:ascii="Times New Roman" w:hAnsi="Times New Roman" w:cs="Times New Roman"/>
          <w:sz w:val="24"/>
        </w:rPr>
      </w:pPr>
      <w:r w:rsidRPr="00700399">
        <w:rPr>
          <w:rFonts w:ascii="Times New Roman" w:hAnsi="Times New Roman" w:cs="Times New Roman"/>
          <w:color w:val="0000FF"/>
          <w:sz w:val="24"/>
        </w:rPr>
        <w:t xml:space="preserve">Graphique </w:t>
      </w:r>
      <w:r w:rsidR="00700399" w:rsidRPr="00700399">
        <w:rPr>
          <w:rFonts w:ascii="Times New Roman" w:hAnsi="Times New Roman" w:cs="Times New Roman"/>
          <w:color w:val="0000FF"/>
          <w:sz w:val="24"/>
        </w:rPr>
        <w:t>11</w:t>
      </w:r>
      <w:r w:rsidRPr="00700399">
        <w:rPr>
          <w:rFonts w:ascii="Times New Roman" w:hAnsi="Times New Roman" w:cs="Times New Roman"/>
          <w:color w:val="0000FF"/>
          <w:sz w:val="24"/>
        </w:rPr>
        <w:t> :</w:t>
      </w:r>
      <w:r w:rsidR="00700399">
        <w:rPr>
          <w:rFonts w:ascii="Times New Roman" w:hAnsi="Times New Roman" w:cs="Times New Roman"/>
          <w:color w:val="0000FF"/>
          <w:sz w:val="24"/>
        </w:rPr>
        <w:t xml:space="preserve"> </w:t>
      </w:r>
      <w:r w:rsidRPr="00700399">
        <w:rPr>
          <w:rFonts w:ascii="Times New Roman" w:hAnsi="Times New Roman" w:cs="Times New Roman"/>
          <w:color w:val="0000FF"/>
          <w:sz w:val="24"/>
        </w:rPr>
        <w:t xml:space="preserve">Taux d'adéquation de la population active </w:t>
      </w:r>
      <w:r w:rsidRPr="00700399">
        <w:rPr>
          <w:rFonts w:ascii="Times New Roman" w:hAnsi="Times New Roman" w:cs="Times New Roman"/>
          <w:color w:val="0000FF"/>
          <w:sz w:val="24"/>
        </w:rPr>
        <w:br/>
      </w:r>
      <w:r w:rsidR="00700399" w:rsidRPr="00700399">
        <w:rPr>
          <w:rFonts w:ascii="Times New Roman" w:hAnsi="Times New Roman" w:cs="Times New Roman"/>
          <w:color w:val="0000FF"/>
          <w:sz w:val="24"/>
        </w:rPr>
        <w:t xml:space="preserve">occupée </w:t>
      </w:r>
      <w:r w:rsidRPr="00700399">
        <w:rPr>
          <w:rFonts w:ascii="Times New Roman" w:hAnsi="Times New Roman" w:cs="Times New Roman"/>
          <w:color w:val="0000FF"/>
          <w:sz w:val="24"/>
        </w:rPr>
        <w:t>par secteurs d'activité économiques</w:t>
      </w:r>
    </w:p>
    <w:p w:rsidR="001F2D35" w:rsidRDefault="001F2D35" w:rsidP="005B56FB">
      <w:pPr>
        <w:spacing w:before="120" w:after="120" w:line="240" w:lineRule="auto"/>
        <w:jc w:val="center"/>
        <w:rPr>
          <w:rFonts w:ascii="Times New Roman" w:hAnsi="Times New Roman" w:cs="Times New Roman"/>
          <w:sz w:val="24"/>
        </w:rPr>
      </w:pPr>
      <w:r w:rsidRPr="001F2D35">
        <w:rPr>
          <w:rFonts w:ascii="Times New Roman" w:hAnsi="Times New Roman" w:cs="Times New Roman"/>
          <w:noProof/>
          <w:sz w:val="24"/>
          <w:lang w:eastAsia="fr-FR"/>
        </w:rPr>
        <w:drawing>
          <wp:inline distT="0" distB="0" distL="0" distR="0">
            <wp:extent cx="4572000" cy="2743200"/>
            <wp:effectExtent l="0" t="0" r="0" b="0"/>
            <wp:docPr id="13" name="Graphique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1294C" w:rsidRPr="00D758CD" w:rsidRDefault="0044153D" w:rsidP="004210D1">
      <w:pPr>
        <w:spacing w:before="120" w:after="120" w:line="240" w:lineRule="auto"/>
        <w:ind w:firstLine="709"/>
        <w:jc w:val="both"/>
        <w:rPr>
          <w:rFonts w:ascii="Times New Roman" w:hAnsi="Times New Roman" w:cs="Times New Roman"/>
          <w:sz w:val="24"/>
        </w:rPr>
      </w:pPr>
      <w:r w:rsidRPr="00D758CD">
        <w:rPr>
          <w:rFonts w:ascii="Times New Roman" w:hAnsi="Times New Roman" w:cs="Times New Roman"/>
          <w:sz w:val="24"/>
        </w:rPr>
        <w:t>L</w:t>
      </w:r>
      <w:r w:rsidR="00414C3A" w:rsidRPr="00D758CD">
        <w:rPr>
          <w:rFonts w:ascii="Times New Roman" w:hAnsi="Times New Roman" w:cs="Times New Roman"/>
          <w:sz w:val="24"/>
        </w:rPr>
        <w:t>e taux de déclassement le plus élevé est enregistré dans le secteur des eaux et électricité</w:t>
      </w:r>
      <w:r w:rsidR="00BA62A3" w:rsidRPr="00D758CD">
        <w:rPr>
          <w:rFonts w:ascii="Times New Roman" w:hAnsi="Times New Roman" w:cs="Times New Roman"/>
          <w:sz w:val="24"/>
        </w:rPr>
        <w:t xml:space="preserve"> (</w:t>
      </w:r>
      <w:r w:rsidR="0051294C" w:rsidRPr="00D758CD">
        <w:rPr>
          <w:rFonts w:ascii="Times New Roman" w:hAnsi="Times New Roman" w:cs="Times New Roman"/>
          <w:sz w:val="24"/>
        </w:rPr>
        <w:t>15,5%</w:t>
      </w:r>
      <w:r w:rsidR="00BA62A3" w:rsidRPr="00D758CD">
        <w:rPr>
          <w:rFonts w:ascii="Times New Roman" w:hAnsi="Times New Roman" w:cs="Times New Roman"/>
          <w:sz w:val="24"/>
        </w:rPr>
        <w:t>)</w:t>
      </w:r>
      <w:r w:rsidR="0070073B" w:rsidRPr="00D758CD">
        <w:rPr>
          <w:rFonts w:ascii="Times New Roman" w:hAnsi="Times New Roman" w:cs="Times New Roman"/>
          <w:sz w:val="24"/>
        </w:rPr>
        <w:t>, avec un déclassement</w:t>
      </w:r>
      <w:r w:rsidR="00B82F06" w:rsidRPr="00D758CD">
        <w:rPr>
          <w:rFonts w:ascii="Times New Roman" w:hAnsi="Times New Roman" w:cs="Times New Roman"/>
          <w:sz w:val="24"/>
        </w:rPr>
        <w:t xml:space="preserve"> plus important dans la sect</w:t>
      </w:r>
      <w:r w:rsidR="004210D1">
        <w:rPr>
          <w:rFonts w:ascii="Times New Roman" w:hAnsi="Times New Roman" w:cs="Times New Roman"/>
          <w:sz w:val="24"/>
        </w:rPr>
        <w:t xml:space="preserve">eur </w:t>
      </w:r>
      <w:r w:rsidR="00B82F06" w:rsidRPr="00D758CD">
        <w:rPr>
          <w:rFonts w:ascii="Times New Roman" w:hAnsi="Times New Roman" w:cs="Times New Roman"/>
          <w:sz w:val="24"/>
        </w:rPr>
        <w:t>d’électricité (</w:t>
      </w:r>
      <w:r w:rsidR="006C3172" w:rsidRPr="00D758CD">
        <w:rPr>
          <w:rFonts w:ascii="Times New Roman" w:hAnsi="Times New Roman" w:cs="Times New Roman"/>
          <w:sz w:val="24"/>
        </w:rPr>
        <w:t>18%</w:t>
      </w:r>
      <w:r w:rsidR="00B82F06" w:rsidRPr="00D758CD">
        <w:rPr>
          <w:rFonts w:ascii="Times New Roman" w:hAnsi="Times New Roman" w:cs="Times New Roman"/>
          <w:sz w:val="24"/>
        </w:rPr>
        <w:t>)</w:t>
      </w:r>
      <w:r w:rsidR="006C3172" w:rsidRPr="00D758CD">
        <w:rPr>
          <w:rFonts w:ascii="Times New Roman" w:hAnsi="Times New Roman" w:cs="Times New Roman"/>
          <w:sz w:val="24"/>
        </w:rPr>
        <w:t xml:space="preserve"> </w:t>
      </w:r>
      <w:r w:rsidR="00B82F06" w:rsidRPr="00D758CD">
        <w:rPr>
          <w:rFonts w:ascii="Times New Roman" w:hAnsi="Times New Roman" w:cs="Times New Roman"/>
          <w:sz w:val="24"/>
        </w:rPr>
        <w:t>que dans l</w:t>
      </w:r>
      <w:r w:rsidR="004210D1">
        <w:rPr>
          <w:rFonts w:ascii="Times New Roman" w:hAnsi="Times New Roman" w:cs="Times New Roman"/>
          <w:sz w:val="24"/>
        </w:rPr>
        <w:t>e</w:t>
      </w:r>
      <w:r w:rsidR="00B82F06" w:rsidRPr="00D758CD">
        <w:rPr>
          <w:rFonts w:ascii="Times New Roman" w:hAnsi="Times New Roman" w:cs="Times New Roman"/>
          <w:sz w:val="24"/>
        </w:rPr>
        <w:t xml:space="preserve"> sect</w:t>
      </w:r>
      <w:r w:rsidR="004210D1">
        <w:rPr>
          <w:rFonts w:ascii="Times New Roman" w:hAnsi="Times New Roman" w:cs="Times New Roman"/>
          <w:sz w:val="24"/>
        </w:rPr>
        <w:t xml:space="preserve">eur </w:t>
      </w:r>
      <w:r w:rsidR="00B82F06" w:rsidRPr="00D758CD">
        <w:rPr>
          <w:rFonts w:ascii="Times New Roman" w:hAnsi="Times New Roman" w:cs="Times New Roman"/>
          <w:sz w:val="24"/>
        </w:rPr>
        <w:t>d’eau</w:t>
      </w:r>
      <w:r w:rsidR="006C3172" w:rsidRPr="00D758CD">
        <w:rPr>
          <w:rFonts w:ascii="Times New Roman" w:hAnsi="Times New Roman" w:cs="Times New Roman"/>
          <w:sz w:val="24"/>
        </w:rPr>
        <w:t xml:space="preserve"> (13,4%) </w:t>
      </w:r>
      <w:r w:rsidR="0070073B" w:rsidRPr="00D758CD">
        <w:rPr>
          <w:rFonts w:ascii="Times New Roman" w:hAnsi="Times New Roman" w:cs="Times New Roman"/>
          <w:sz w:val="24"/>
        </w:rPr>
        <w:t>et</w:t>
      </w:r>
      <w:r w:rsidR="006C3172" w:rsidRPr="00D758CD">
        <w:rPr>
          <w:rFonts w:ascii="Times New Roman" w:hAnsi="Times New Roman" w:cs="Times New Roman"/>
          <w:sz w:val="24"/>
        </w:rPr>
        <w:t xml:space="preserve"> un taux d’adéquation plus important dans l</w:t>
      </w:r>
      <w:r w:rsidR="004210D1">
        <w:rPr>
          <w:rFonts w:ascii="Times New Roman" w:hAnsi="Times New Roman" w:cs="Times New Roman"/>
          <w:sz w:val="24"/>
        </w:rPr>
        <w:t xml:space="preserve">e </w:t>
      </w:r>
      <w:r w:rsidR="006C3172" w:rsidRPr="00D758CD">
        <w:rPr>
          <w:rFonts w:ascii="Times New Roman" w:hAnsi="Times New Roman" w:cs="Times New Roman"/>
          <w:sz w:val="24"/>
        </w:rPr>
        <w:t>second que dans l</w:t>
      </w:r>
      <w:r w:rsidR="004210D1">
        <w:rPr>
          <w:rFonts w:ascii="Times New Roman" w:hAnsi="Times New Roman" w:cs="Times New Roman"/>
          <w:sz w:val="24"/>
        </w:rPr>
        <w:t>e</w:t>
      </w:r>
      <w:r w:rsidR="006C3172" w:rsidRPr="00D758CD">
        <w:rPr>
          <w:rFonts w:ascii="Times New Roman" w:hAnsi="Times New Roman" w:cs="Times New Roman"/>
          <w:sz w:val="24"/>
        </w:rPr>
        <w:t xml:space="preserve"> premi</w:t>
      </w:r>
      <w:r w:rsidR="004210D1">
        <w:rPr>
          <w:rFonts w:ascii="Times New Roman" w:hAnsi="Times New Roman" w:cs="Times New Roman"/>
          <w:sz w:val="24"/>
        </w:rPr>
        <w:t>e</w:t>
      </w:r>
      <w:r w:rsidR="006C3172" w:rsidRPr="00D758CD">
        <w:rPr>
          <w:rFonts w:ascii="Times New Roman" w:hAnsi="Times New Roman" w:cs="Times New Roman"/>
          <w:sz w:val="24"/>
        </w:rPr>
        <w:t>r</w:t>
      </w:r>
      <w:r w:rsidR="0070073B" w:rsidRPr="00D758CD">
        <w:rPr>
          <w:rFonts w:ascii="Times New Roman" w:hAnsi="Times New Roman" w:cs="Times New Roman"/>
          <w:sz w:val="24"/>
        </w:rPr>
        <w:t>,</w:t>
      </w:r>
      <w:r w:rsidR="006C3172" w:rsidRPr="00D758CD">
        <w:rPr>
          <w:rFonts w:ascii="Times New Roman" w:hAnsi="Times New Roman" w:cs="Times New Roman"/>
          <w:sz w:val="24"/>
        </w:rPr>
        <w:t xml:space="preserve"> avec respectivement 66,8% et 52,5%.</w:t>
      </w:r>
    </w:p>
    <w:p w:rsidR="00D6182F" w:rsidRDefault="006C3172" w:rsidP="00DE6F9A">
      <w:pPr>
        <w:spacing w:before="120" w:after="120" w:line="240" w:lineRule="auto"/>
        <w:ind w:firstLine="709"/>
        <w:jc w:val="both"/>
        <w:rPr>
          <w:rFonts w:ascii="Times New Roman" w:hAnsi="Times New Roman" w:cs="Times New Roman"/>
          <w:sz w:val="24"/>
        </w:rPr>
      </w:pPr>
      <w:r w:rsidRPr="00D758CD">
        <w:rPr>
          <w:rFonts w:ascii="Times New Roman" w:hAnsi="Times New Roman" w:cs="Times New Roman"/>
          <w:sz w:val="24"/>
        </w:rPr>
        <w:t xml:space="preserve">Le secteur de </w:t>
      </w:r>
      <w:r w:rsidR="00A528B8">
        <w:rPr>
          <w:rFonts w:ascii="Times New Roman" w:hAnsi="Times New Roman" w:cs="Times New Roman"/>
          <w:sz w:val="24"/>
        </w:rPr>
        <w:t>« </w:t>
      </w:r>
      <w:r w:rsidRPr="00D758CD">
        <w:rPr>
          <w:rFonts w:ascii="Times New Roman" w:hAnsi="Times New Roman" w:cs="Times New Roman"/>
          <w:sz w:val="24"/>
        </w:rPr>
        <w:t>l’administration publique, enseignement, santé humaine et action sociale</w:t>
      </w:r>
      <w:r w:rsidR="00A528B8">
        <w:rPr>
          <w:rFonts w:ascii="Times New Roman" w:hAnsi="Times New Roman" w:cs="Times New Roman"/>
          <w:sz w:val="24"/>
        </w:rPr>
        <w:t> »</w:t>
      </w:r>
      <w:r w:rsidRPr="00D758CD">
        <w:rPr>
          <w:rFonts w:ascii="Times New Roman" w:hAnsi="Times New Roman" w:cs="Times New Roman"/>
          <w:sz w:val="24"/>
        </w:rPr>
        <w:t xml:space="preserve"> vient en second position avec un taux de déclassement de 11,9%. </w:t>
      </w:r>
      <w:r w:rsidR="00A528B8" w:rsidRPr="00D758CD">
        <w:rPr>
          <w:rFonts w:ascii="Times New Roman" w:hAnsi="Times New Roman" w:cs="Times New Roman"/>
          <w:sz w:val="24"/>
        </w:rPr>
        <w:t>Cependant</w:t>
      </w:r>
      <w:r w:rsidR="00DE6F9A">
        <w:rPr>
          <w:rFonts w:ascii="Times New Roman" w:hAnsi="Times New Roman" w:cs="Times New Roman"/>
          <w:sz w:val="24"/>
        </w:rPr>
        <w:t>, le</w:t>
      </w:r>
      <w:r w:rsidR="00A528B8">
        <w:rPr>
          <w:rFonts w:ascii="Times New Roman" w:hAnsi="Times New Roman" w:cs="Times New Roman"/>
          <w:sz w:val="24"/>
        </w:rPr>
        <w:t xml:space="preserve"> sect</w:t>
      </w:r>
      <w:r w:rsidR="00DE6F9A">
        <w:rPr>
          <w:rFonts w:ascii="Times New Roman" w:hAnsi="Times New Roman" w:cs="Times New Roman"/>
          <w:sz w:val="24"/>
        </w:rPr>
        <w:t xml:space="preserve">eur </w:t>
      </w:r>
      <w:r w:rsidR="00A528B8">
        <w:rPr>
          <w:rFonts w:ascii="Times New Roman" w:hAnsi="Times New Roman" w:cs="Times New Roman"/>
          <w:sz w:val="24"/>
        </w:rPr>
        <w:t>de l</w:t>
      </w:r>
      <w:r w:rsidRPr="00D758CD">
        <w:rPr>
          <w:rFonts w:ascii="Times New Roman" w:hAnsi="Times New Roman" w:cs="Times New Roman"/>
          <w:sz w:val="24"/>
        </w:rPr>
        <w:t>’administration publique enregistre un taux de déclassement</w:t>
      </w:r>
      <w:r w:rsidR="00A528B8">
        <w:rPr>
          <w:rFonts w:ascii="Times New Roman" w:hAnsi="Times New Roman" w:cs="Times New Roman"/>
          <w:sz w:val="24"/>
        </w:rPr>
        <w:t>,</w:t>
      </w:r>
      <w:r w:rsidRPr="00D758CD">
        <w:rPr>
          <w:rFonts w:ascii="Times New Roman" w:hAnsi="Times New Roman" w:cs="Times New Roman"/>
          <w:sz w:val="24"/>
        </w:rPr>
        <w:t xml:space="preserve"> </w:t>
      </w:r>
      <w:r w:rsidR="00A528B8" w:rsidRPr="00D758CD">
        <w:rPr>
          <w:rFonts w:ascii="Times New Roman" w:hAnsi="Times New Roman" w:cs="Times New Roman"/>
          <w:sz w:val="24"/>
        </w:rPr>
        <w:t>de 18,5%</w:t>
      </w:r>
      <w:r w:rsidR="00A528B8">
        <w:rPr>
          <w:rFonts w:ascii="Times New Roman" w:hAnsi="Times New Roman" w:cs="Times New Roman"/>
          <w:sz w:val="24"/>
        </w:rPr>
        <w:t>,</w:t>
      </w:r>
      <w:r w:rsidR="00A528B8" w:rsidRPr="00D758CD">
        <w:rPr>
          <w:rFonts w:ascii="Times New Roman" w:hAnsi="Times New Roman" w:cs="Times New Roman"/>
          <w:sz w:val="24"/>
        </w:rPr>
        <w:t xml:space="preserve"> </w:t>
      </w:r>
      <w:r w:rsidRPr="00D758CD">
        <w:rPr>
          <w:rFonts w:ascii="Times New Roman" w:hAnsi="Times New Roman" w:cs="Times New Roman"/>
          <w:sz w:val="24"/>
        </w:rPr>
        <w:t>beaucoup plus important que dans les sect</w:t>
      </w:r>
      <w:r w:rsidR="00DE6F9A">
        <w:rPr>
          <w:rFonts w:ascii="Times New Roman" w:hAnsi="Times New Roman" w:cs="Times New Roman"/>
          <w:sz w:val="24"/>
        </w:rPr>
        <w:t xml:space="preserve">eurs </w:t>
      </w:r>
      <w:r w:rsidRPr="00D758CD">
        <w:rPr>
          <w:rFonts w:ascii="Times New Roman" w:hAnsi="Times New Roman" w:cs="Times New Roman"/>
          <w:sz w:val="24"/>
        </w:rPr>
        <w:t>de la santé humaine et action sociale (7,1%) et de l’enseignement (3,1%).</w:t>
      </w:r>
    </w:p>
    <w:p w:rsidR="00B6233E" w:rsidRPr="00D758CD" w:rsidRDefault="00831F21" w:rsidP="00C3281E">
      <w:pPr>
        <w:spacing w:before="120" w:after="120" w:line="240" w:lineRule="auto"/>
        <w:ind w:firstLine="709"/>
        <w:jc w:val="both"/>
        <w:rPr>
          <w:rFonts w:ascii="Times New Roman" w:hAnsi="Times New Roman" w:cs="Times New Roman"/>
          <w:sz w:val="24"/>
        </w:rPr>
      </w:pPr>
      <w:r w:rsidRPr="00D758CD">
        <w:rPr>
          <w:rFonts w:ascii="Times New Roman" w:hAnsi="Times New Roman" w:cs="Times New Roman"/>
          <w:sz w:val="24"/>
        </w:rPr>
        <w:t>L</w:t>
      </w:r>
      <w:r w:rsidR="00C3281E">
        <w:rPr>
          <w:rFonts w:ascii="Times New Roman" w:hAnsi="Times New Roman" w:cs="Times New Roman"/>
          <w:sz w:val="24"/>
        </w:rPr>
        <w:t xml:space="preserve">e </w:t>
      </w:r>
      <w:r w:rsidRPr="00D758CD">
        <w:rPr>
          <w:rFonts w:ascii="Times New Roman" w:hAnsi="Times New Roman" w:cs="Times New Roman"/>
          <w:sz w:val="24"/>
        </w:rPr>
        <w:t>sect</w:t>
      </w:r>
      <w:r w:rsidR="00C3281E">
        <w:rPr>
          <w:rFonts w:ascii="Times New Roman" w:hAnsi="Times New Roman" w:cs="Times New Roman"/>
          <w:sz w:val="24"/>
        </w:rPr>
        <w:t xml:space="preserve">eur </w:t>
      </w:r>
      <w:r w:rsidRPr="00D758CD">
        <w:rPr>
          <w:rFonts w:ascii="Times New Roman" w:hAnsi="Times New Roman" w:cs="Times New Roman"/>
          <w:sz w:val="24"/>
        </w:rPr>
        <w:t xml:space="preserve">des </w:t>
      </w:r>
      <w:r w:rsidR="00816263" w:rsidRPr="00D758CD">
        <w:rPr>
          <w:rFonts w:ascii="Times New Roman" w:hAnsi="Times New Roman" w:cs="Times New Roman"/>
          <w:sz w:val="24"/>
        </w:rPr>
        <w:t>‘</w:t>
      </w:r>
      <w:r w:rsidRPr="00D758CD">
        <w:rPr>
          <w:rFonts w:ascii="Times New Roman" w:hAnsi="Times New Roman" w:cs="Times New Roman"/>
          <w:sz w:val="24"/>
        </w:rPr>
        <w:t>autres services marchands</w:t>
      </w:r>
      <w:r w:rsidR="00816263" w:rsidRPr="00D758CD">
        <w:rPr>
          <w:rFonts w:ascii="Times New Roman" w:hAnsi="Times New Roman" w:cs="Times New Roman"/>
          <w:sz w:val="24"/>
        </w:rPr>
        <w:t>’</w:t>
      </w:r>
      <w:r w:rsidRPr="00D758CD">
        <w:rPr>
          <w:rFonts w:ascii="Times New Roman" w:hAnsi="Times New Roman" w:cs="Times New Roman"/>
          <w:sz w:val="24"/>
        </w:rPr>
        <w:t xml:space="preserve">, </w:t>
      </w:r>
      <w:r w:rsidR="006E287E">
        <w:rPr>
          <w:rFonts w:ascii="Times New Roman" w:hAnsi="Times New Roman" w:cs="Times New Roman"/>
          <w:sz w:val="24"/>
        </w:rPr>
        <w:t>avec</w:t>
      </w:r>
      <w:r w:rsidRPr="00D758CD">
        <w:rPr>
          <w:rFonts w:ascii="Times New Roman" w:hAnsi="Times New Roman" w:cs="Times New Roman"/>
          <w:sz w:val="24"/>
        </w:rPr>
        <w:t xml:space="preserve"> un taux de déclassés de 10,6%</w:t>
      </w:r>
      <w:r w:rsidR="006E287E">
        <w:rPr>
          <w:rFonts w:ascii="Times New Roman" w:hAnsi="Times New Roman" w:cs="Times New Roman"/>
          <w:sz w:val="24"/>
        </w:rPr>
        <w:t xml:space="preserve">, est en </w:t>
      </w:r>
      <w:r w:rsidRPr="00D758CD">
        <w:rPr>
          <w:rFonts w:ascii="Times New Roman" w:hAnsi="Times New Roman" w:cs="Times New Roman"/>
          <w:sz w:val="24"/>
        </w:rPr>
        <w:t>troisième position</w:t>
      </w:r>
      <w:r w:rsidR="006E287E">
        <w:rPr>
          <w:rFonts w:ascii="Times New Roman" w:hAnsi="Times New Roman" w:cs="Times New Roman"/>
          <w:sz w:val="24"/>
        </w:rPr>
        <w:t xml:space="preserve">. </w:t>
      </w:r>
      <w:r w:rsidR="00C3281E">
        <w:rPr>
          <w:rFonts w:ascii="Times New Roman" w:hAnsi="Times New Roman" w:cs="Times New Roman"/>
          <w:sz w:val="24"/>
        </w:rPr>
        <w:t>I</w:t>
      </w:r>
      <w:r w:rsidR="006E287E">
        <w:rPr>
          <w:rFonts w:ascii="Times New Roman" w:hAnsi="Times New Roman" w:cs="Times New Roman"/>
          <w:sz w:val="24"/>
        </w:rPr>
        <w:t xml:space="preserve">l </w:t>
      </w:r>
      <w:r w:rsidRPr="00D758CD">
        <w:rPr>
          <w:rFonts w:ascii="Times New Roman" w:hAnsi="Times New Roman" w:cs="Times New Roman"/>
          <w:sz w:val="24"/>
        </w:rPr>
        <w:t>est composé de huit activités. Le taux de déclassement de ces activités varie de 5,2% aux niveaux des activités des ménages en tant qu’employeurs</w:t>
      </w:r>
      <w:r w:rsidR="009B2521" w:rsidRPr="00D758CD">
        <w:rPr>
          <w:rFonts w:ascii="Times New Roman" w:hAnsi="Times New Roman" w:cs="Times New Roman"/>
          <w:sz w:val="24"/>
        </w:rPr>
        <w:t xml:space="preserve"> et activités indifférenciées des ménages en tant que producteurs de bien et 24,6% aux niveaux des activités financières et d’assurance. Ainsi</w:t>
      </w:r>
      <w:r w:rsidR="009D6A3A">
        <w:rPr>
          <w:rFonts w:ascii="Times New Roman" w:hAnsi="Times New Roman" w:cs="Times New Roman"/>
          <w:sz w:val="24"/>
        </w:rPr>
        <w:t>,</w:t>
      </w:r>
      <w:r w:rsidR="009B2521" w:rsidRPr="00D758CD">
        <w:rPr>
          <w:rFonts w:ascii="Times New Roman" w:hAnsi="Times New Roman" w:cs="Times New Roman"/>
          <w:sz w:val="24"/>
        </w:rPr>
        <w:t xml:space="preserve"> 16,6% </w:t>
      </w:r>
      <w:r w:rsidR="009D6A3A">
        <w:rPr>
          <w:rFonts w:ascii="Times New Roman" w:hAnsi="Times New Roman" w:cs="Times New Roman"/>
          <w:sz w:val="24"/>
        </w:rPr>
        <w:t xml:space="preserve">est le taux de déclassement </w:t>
      </w:r>
      <w:r w:rsidR="009B2521" w:rsidRPr="00D758CD">
        <w:rPr>
          <w:rFonts w:ascii="Times New Roman" w:hAnsi="Times New Roman" w:cs="Times New Roman"/>
          <w:sz w:val="24"/>
        </w:rPr>
        <w:t>de ceux qui exercent des activités spécialisées, scientifiques et techniques et 14,4% de ceux qui exercent des activités de services administratifs et de soutien</w:t>
      </w:r>
      <w:r w:rsidR="00816263" w:rsidRPr="00D758CD">
        <w:rPr>
          <w:rFonts w:ascii="Times New Roman" w:hAnsi="Times New Roman" w:cs="Times New Roman"/>
          <w:sz w:val="24"/>
        </w:rPr>
        <w:t xml:space="preserve"> sont en situation de déclassement</w:t>
      </w:r>
      <w:r w:rsidR="009B2521" w:rsidRPr="00D758CD">
        <w:rPr>
          <w:rFonts w:ascii="Times New Roman" w:hAnsi="Times New Roman" w:cs="Times New Roman"/>
          <w:sz w:val="24"/>
        </w:rPr>
        <w:t xml:space="preserve">. </w:t>
      </w:r>
    </w:p>
    <w:p w:rsidR="00F017F6" w:rsidRPr="00D758CD" w:rsidRDefault="00E27F88" w:rsidP="00AF523C">
      <w:pPr>
        <w:keepLines/>
        <w:spacing w:before="120" w:after="120" w:line="240" w:lineRule="auto"/>
        <w:ind w:firstLine="709"/>
        <w:jc w:val="both"/>
        <w:rPr>
          <w:rFonts w:ascii="Times New Roman" w:hAnsi="Times New Roman" w:cs="Times New Roman"/>
          <w:sz w:val="24"/>
        </w:rPr>
      </w:pPr>
      <w:r>
        <w:rPr>
          <w:rFonts w:ascii="Times New Roman" w:hAnsi="Times New Roman" w:cs="Times New Roman"/>
          <w:sz w:val="24"/>
        </w:rPr>
        <w:lastRenderedPageBreak/>
        <w:t>Dans l</w:t>
      </w:r>
      <w:r w:rsidR="00F017F6" w:rsidRPr="00D758CD">
        <w:rPr>
          <w:rFonts w:ascii="Times New Roman" w:hAnsi="Times New Roman" w:cs="Times New Roman"/>
          <w:sz w:val="24"/>
        </w:rPr>
        <w:t xml:space="preserve">e secteur des industries extractives et manufacturières 9% </w:t>
      </w:r>
      <w:r w:rsidR="006D2E49">
        <w:rPr>
          <w:rFonts w:ascii="Times New Roman" w:hAnsi="Times New Roman" w:cs="Times New Roman"/>
          <w:sz w:val="24"/>
        </w:rPr>
        <w:t xml:space="preserve">sont </w:t>
      </w:r>
      <w:r w:rsidR="00F017F6" w:rsidRPr="00D758CD">
        <w:rPr>
          <w:rFonts w:ascii="Times New Roman" w:hAnsi="Times New Roman" w:cs="Times New Roman"/>
          <w:sz w:val="24"/>
        </w:rPr>
        <w:t>déclassés et 60,5% surclassés et 30,6% en situation d’adéquation. Réparties par section</w:t>
      </w:r>
      <w:r w:rsidR="0077602F" w:rsidRPr="00D758CD">
        <w:rPr>
          <w:rFonts w:ascii="Times New Roman" w:hAnsi="Times New Roman" w:cs="Times New Roman"/>
          <w:sz w:val="24"/>
        </w:rPr>
        <w:t>s</w:t>
      </w:r>
      <w:r w:rsidR="00F017F6" w:rsidRPr="00D758CD">
        <w:rPr>
          <w:rFonts w:ascii="Times New Roman" w:hAnsi="Times New Roman" w:cs="Times New Roman"/>
          <w:sz w:val="24"/>
        </w:rPr>
        <w:t xml:space="preserve">, les industries extractives enregistrent 17,8% </w:t>
      </w:r>
      <w:r w:rsidR="0077602F" w:rsidRPr="00D758CD">
        <w:rPr>
          <w:rFonts w:ascii="Times New Roman" w:hAnsi="Times New Roman" w:cs="Times New Roman"/>
          <w:sz w:val="24"/>
        </w:rPr>
        <w:t xml:space="preserve">de déclassés et les industries manufacturières presque la moitié de ce taux, soit 8,6%. </w:t>
      </w:r>
      <w:r w:rsidR="00750CD9">
        <w:rPr>
          <w:rFonts w:ascii="Times New Roman" w:hAnsi="Times New Roman" w:cs="Times New Roman"/>
          <w:sz w:val="24"/>
        </w:rPr>
        <w:t>L</w:t>
      </w:r>
      <w:r w:rsidR="0077602F" w:rsidRPr="00D758CD">
        <w:rPr>
          <w:rFonts w:ascii="Times New Roman" w:hAnsi="Times New Roman" w:cs="Times New Roman"/>
          <w:sz w:val="24"/>
        </w:rPr>
        <w:t xml:space="preserve">e </w:t>
      </w:r>
      <w:r w:rsidR="00D514FB" w:rsidRPr="00D758CD">
        <w:rPr>
          <w:rFonts w:ascii="Times New Roman" w:hAnsi="Times New Roman" w:cs="Times New Roman"/>
          <w:sz w:val="24"/>
        </w:rPr>
        <w:t>surclassement</w:t>
      </w:r>
      <w:r w:rsidR="0077602F" w:rsidRPr="00D758CD">
        <w:rPr>
          <w:rFonts w:ascii="Times New Roman" w:hAnsi="Times New Roman" w:cs="Times New Roman"/>
          <w:sz w:val="24"/>
        </w:rPr>
        <w:t xml:space="preserve"> prime dans les industries extractives </w:t>
      </w:r>
      <w:r w:rsidR="005071E6" w:rsidRPr="00D758CD">
        <w:rPr>
          <w:rFonts w:ascii="Times New Roman" w:hAnsi="Times New Roman" w:cs="Times New Roman"/>
          <w:sz w:val="24"/>
        </w:rPr>
        <w:t xml:space="preserve">avec 61,1% </w:t>
      </w:r>
      <w:r w:rsidR="00750CD9">
        <w:rPr>
          <w:rFonts w:ascii="Times New Roman" w:hAnsi="Times New Roman" w:cs="Times New Roman"/>
          <w:sz w:val="24"/>
        </w:rPr>
        <w:t>et aussi</w:t>
      </w:r>
      <w:r w:rsidR="0077602F" w:rsidRPr="00D758CD">
        <w:rPr>
          <w:rFonts w:ascii="Times New Roman" w:hAnsi="Times New Roman" w:cs="Times New Roman"/>
          <w:sz w:val="24"/>
        </w:rPr>
        <w:t xml:space="preserve"> dans les industries manufacturières</w:t>
      </w:r>
      <w:r w:rsidR="00750CD9">
        <w:rPr>
          <w:rFonts w:ascii="Times New Roman" w:hAnsi="Times New Roman" w:cs="Times New Roman"/>
          <w:sz w:val="24"/>
        </w:rPr>
        <w:t xml:space="preserve"> avec </w:t>
      </w:r>
      <w:r w:rsidR="00750CD9" w:rsidRPr="00D758CD">
        <w:rPr>
          <w:rFonts w:ascii="Times New Roman" w:hAnsi="Times New Roman" w:cs="Times New Roman"/>
          <w:sz w:val="24"/>
        </w:rPr>
        <w:t>44,2%</w:t>
      </w:r>
      <w:r w:rsidR="0077602F" w:rsidRPr="00D758CD">
        <w:rPr>
          <w:rFonts w:ascii="Times New Roman" w:hAnsi="Times New Roman" w:cs="Times New Roman"/>
          <w:sz w:val="24"/>
        </w:rPr>
        <w:t xml:space="preserve">. L’adéquation </w:t>
      </w:r>
      <w:r>
        <w:rPr>
          <w:rFonts w:ascii="Times New Roman" w:hAnsi="Times New Roman" w:cs="Times New Roman"/>
          <w:sz w:val="24"/>
        </w:rPr>
        <w:t>concerne</w:t>
      </w:r>
      <w:r w:rsidR="0077602F" w:rsidRPr="00D758CD">
        <w:rPr>
          <w:rFonts w:ascii="Times New Roman" w:hAnsi="Times New Roman" w:cs="Times New Roman"/>
          <w:sz w:val="24"/>
        </w:rPr>
        <w:t xml:space="preserve"> à peine </w:t>
      </w:r>
      <w:r>
        <w:rPr>
          <w:rFonts w:ascii="Times New Roman" w:hAnsi="Times New Roman" w:cs="Times New Roman"/>
          <w:sz w:val="24"/>
        </w:rPr>
        <w:t>le</w:t>
      </w:r>
      <w:r w:rsidR="0077602F" w:rsidRPr="00D758CD">
        <w:rPr>
          <w:rFonts w:ascii="Times New Roman" w:hAnsi="Times New Roman" w:cs="Times New Roman"/>
          <w:sz w:val="24"/>
        </w:rPr>
        <w:t xml:space="preserve"> tiers des effectifs.</w:t>
      </w:r>
    </w:p>
    <w:p w:rsidR="006D1303" w:rsidRPr="00D758CD" w:rsidRDefault="006D1303" w:rsidP="002B693B">
      <w:pPr>
        <w:spacing w:before="120" w:after="120" w:line="240" w:lineRule="auto"/>
        <w:ind w:firstLine="709"/>
        <w:jc w:val="both"/>
        <w:rPr>
          <w:rFonts w:ascii="Times New Roman" w:hAnsi="Times New Roman" w:cs="Times New Roman"/>
          <w:sz w:val="24"/>
        </w:rPr>
      </w:pPr>
      <w:r w:rsidRPr="00D758CD">
        <w:rPr>
          <w:rFonts w:ascii="Times New Roman" w:hAnsi="Times New Roman" w:cs="Times New Roman"/>
          <w:sz w:val="24"/>
        </w:rPr>
        <w:t>Le secteur du commerce et de la réparation d’automobiles et de motocycles</w:t>
      </w:r>
      <w:r w:rsidR="001A5843" w:rsidRPr="00D758CD">
        <w:rPr>
          <w:rFonts w:ascii="Times New Roman" w:hAnsi="Times New Roman" w:cs="Times New Roman"/>
          <w:sz w:val="24"/>
        </w:rPr>
        <w:t xml:space="preserve"> emploie une importante </w:t>
      </w:r>
      <w:r w:rsidR="00F12B10" w:rsidRPr="00D758CD">
        <w:rPr>
          <w:rFonts w:ascii="Times New Roman" w:hAnsi="Times New Roman" w:cs="Times New Roman"/>
          <w:sz w:val="24"/>
        </w:rPr>
        <w:t xml:space="preserve">part </w:t>
      </w:r>
      <w:r w:rsidR="001A5843" w:rsidRPr="00D758CD">
        <w:rPr>
          <w:rFonts w:ascii="Times New Roman" w:hAnsi="Times New Roman" w:cs="Times New Roman"/>
          <w:sz w:val="24"/>
        </w:rPr>
        <w:t>de déclassés (17,3%)</w:t>
      </w:r>
      <w:r w:rsidR="00631803" w:rsidRPr="00D758CD">
        <w:rPr>
          <w:rFonts w:ascii="Times New Roman" w:hAnsi="Times New Roman" w:cs="Times New Roman"/>
          <w:sz w:val="24"/>
        </w:rPr>
        <w:t xml:space="preserve"> mais n’enregistre comme taux de déclassés que 8,2%</w:t>
      </w:r>
      <w:r w:rsidR="00441955">
        <w:rPr>
          <w:rFonts w:ascii="Times New Roman" w:hAnsi="Times New Roman" w:cs="Times New Roman"/>
          <w:sz w:val="24"/>
        </w:rPr>
        <w:t>,</w:t>
      </w:r>
      <w:r w:rsidR="00631803" w:rsidRPr="00D758CD">
        <w:rPr>
          <w:rFonts w:ascii="Times New Roman" w:hAnsi="Times New Roman" w:cs="Times New Roman"/>
          <w:sz w:val="24"/>
        </w:rPr>
        <w:t xml:space="preserve"> avec un taux de </w:t>
      </w:r>
      <w:r w:rsidR="00D514FB" w:rsidRPr="00D758CD">
        <w:rPr>
          <w:rFonts w:ascii="Times New Roman" w:hAnsi="Times New Roman" w:cs="Times New Roman"/>
          <w:sz w:val="24"/>
        </w:rPr>
        <w:t>surclassement</w:t>
      </w:r>
      <w:r w:rsidR="00631803" w:rsidRPr="00D758CD">
        <w:rPr>
          <w:rFonts w:ascii="Times New Roman" w:hAnsi="Times New Roman" w:cs="Times New Roman"/>
          <w:sz w:val="24"/>
        </w:rPr>
        <w:t xml:space="preserve"> de 58,8% et un taux d’adéquation de 33,0%.</w:t>
      </w:r>
    </w:p>
    <w:p w:rsidR="005C3EF3" w:rsidRDefault="007B7879" w:rsidP="00C52210">
      <w:pPr>
        <w:spacing w:before="120" w:after="120" w:line="240" w:lineRule="auto"/>
        <w:ind w:firstLine="709"/>
        <w:jc w:val="both"/>
        <w:rPr>
          <w:rFonts w:ascii="Times New Roman" w:hAnsi="Times New Roman" w:cs="Times New Roman"/>
          <w:sz w:val="24"/>
        </w:rPr>
      </w:pPr>
      <w:r w:rsidRPr="00D758CD">
        <w:rPr>
          <w:rFonts w:ascii="Times New Roman" w:hAnsi="Times New Roman" w:cs="Times New Roman"/>
          <w:sz w:val="24"/>
        </w:rPr>
        <w:t>Le</w:t>
      </w:r>
      <w:r w:rsidR="00F12B10" w:rsidRPr="00D758CD">
        <w:rPr>
          <w:rFonts w:ascii="Times New Roman" w:hAnsi="Times New Roman" w:cs="Times New Roman"/>
          <w:sz w:val="24"/>
        </w:rPr>
        <w:t xml:space="preserve">s deux </w:t>
      </w:r>
      <w:r w:rsidRPr="00D758CD">
        <w:rPr>
          <w:rFonts w:ascii="Times New Roman" w:hAnsi="Times New Roman" w:cs="Times New Roman"/>
          <w:sz w:val="24"/>
        </w:rPr>
        <w:t>secteur</w:t>
      </w:r>
      <w:r w:rsidR="00F12B10" w:rsidRPr="00D758CD">
        <w:rPr>
          <w:rFonts w:ascii="Times New Roman" w:hAnsi="Times New Roman" w:cs="Times New Roman"/>
          <w:sz w:val="24"/>
        </w:rPr>
        <w:t>s</w:t>
      </w:r>
      <w:r w:rsidRPr="00D758CD">
        <w:rPr>
          <w:rFonts w:ascii="Times New Roman" w:hAnsi="Times New Roman" w:cs="Times New Roman"/>
          <w:sz w:val="24"/>
        </w:rPr>
        <w:t xml:space="preserve"> de la construction </w:t>
      </w:r>
      <w:r w:rsidR="00F12B10" w:rsidRPr="00D758CD">
        <w:rPr>
          <w:rFonts w:ascii="Times New Roman" w:hAnsi="Times New Roman" w:cs="Times New Roman"/>
          <w:sz w:val="24"/>
        </w:rPr>
        <w:t>et</w:t>
      </w:r>
      <w:r w:rsidRPr="00D758CD">
        <w:rPr>
          <w:rFonts w:ascii="Times New Roman" w:hAnsi="Times New Roman" w:cs="Times New Roman"/>
          <w:sz w:val="24"/>
        </w:rPr>
        <w:t xml:space="preserve"> de l’agriculture, sylviculture </w:t>
      </w:r>
      <w:r w:rsidR="00A4242A" w:rsidRPr="00D758CD">
        <w:rPr>
          <w:rFonts w:ascii="Times New Roman" w:hAnsi="Times New Roman" w:cs="Times New Roman"/>
          <w:sz w:val="24"/>
        </w:rPr>
        <w:t xml:space="preserve">et pêche connaissent les taux de déclassement les plus faibles, 4,7% contre 3,5% respectivement. Ils ont des parts importantes de </w:t>
      </w:r>
      <w:r w:rsidR="00D514FB" w:rsidRPr="00D758CD">
        <w:rPr>
          <w:rFonts w:ascii="Times New Roman" w:hAnsi="Times New Roman" w:cs="Times New Roman"/>
          <w:sz w:val="24"/>
        </w:rPr>
        <w:t>surclassement</w:t>
      </w:r>
      <w:r w:rsidR="00BA7589">
        <w:rPr>
          <w:rFonts w:ascii="Times New Roman" w:hAnsi="Times New Roman" w:cs="Times New Roman"/>
          <w:sz w:val="24"/>
        </w:rPr>
        <w:t>,</w:t>
      </w:r>
      <w:r w:rsidR="0044153D" w:rsidRPr="00D758CD">
        <w:rPr>
          <w:rFonts w:ascii="Times New Roman" w:hAnsi="Times New Roman" w:cs="Times New Roman"/>
          <w:sz w:val="24"/>
        </w:rPr>
        <w:t xml:space="preserve"> 43,7%</w:t>
      </w:r>
      <w:r w:rsidR="00A4242A" w:rsidRPr="00D758CD">
        <w:rPr>
          <w:rFonts w:ascii="Times New Roman" w:hAnsi="Times New Roman" w:cs="Times New Roman"/>
          <w:sz w:val="24"/>
        </w:rPr>
        <w:t xml:space="preserve"> et 54,4% respectivement</w:t>
      </w:r>
      <w:r w:rsidR="00CD543A" w:rsidRPr="00D758CD">
        <w:rPr>
          <w:rFonts w:ascii="Times New Roman" w:hAnsi="Times New Roman" w:cs="Times New Roman"/>
          <w:sz w:val="24"/>
        </w:rPr>
        <w:t>,</w:t>
      </w:r>
      <w:r w:rsidR="00A4242A" w:rsidRPr="00D758CD">
        <w:rPr>
          <w:rFonts w:ascii="Times New Roman" w:hAnsi="Times New Roman" w:cs="Times New Roman"/>
          <w:sz w:val="24"/>
        </w:rPr>
        <w:t xml:space="preserve"> induisant une part d’adéquation relativement élevée au niveau du premier (52%) par rapport au second (40,9%).</w:t>
      </w:r>
    </w:p>
    <w:p w:rsidR="00441955" w:rsidRPr="00380C69" w:rsidRDefault="00441955" w:rsidP="001470AD">
      <w:pPr>
        <w:pStyle w:val="Titre1"/>
        <w:spacing w:before="120" w:after="120"/>
        <w:rPr>
          <w:rFonts w:ascii="Times New Roman" w:hAnsi="Times New Roman" w:cs="Times New Roman"/>
          <w:b/>
          <w:i/>
          <w:iCs/>
          <w:color w:val="0000FF"/>
          <w:sz w:val="24"/>
          <w:szCs w:val="24"/>
        </w:rPr>
      </w:pPr>
      <w:r w:rsidRPr="00380C69">
        <w:rPr>
          <w:rFonts w:ascii="Times New Roman" w:hAnsi="Times New Roman" w:cs="Times New Roman"/>
          <w:b/>
          <w:i/>
          <w:iCs/>
          <w:color w:val="0000FF"/>
          <w:sz w:val="24"/>
          <w:szCs w:val="24"/>
        </w:rPr>
        <w:t xml:space="preserve">Les </w:t>
      </w:r>
      <w:r w:rsidR="00E13371">
        <w:rPr>
          <w:rFonts w:ascii="Times New Roman" w:hAnsi="Times New Roman" w:cs="Times New Roman"/>
          <w:b/>
          <w:i/>
          <w:iCs/>
          <w:color w:val="0000FF"/>
          <w:sz w:val="24"/>
          <w:szCs w:val="24"/>
        </w:rPr>
        <w:t xml:space="preserve">taux de déclassement </w:t>
      </w:r>
      <w:r w:rsidR="008951C8">
        <w:rPr>
          <w:rFonts w:ascii="Times New Roman" w:hAnsi="Times New Roman" w:cs="Times New Roman"/>
          <w:b/>
          <w:i/>
          <w:iCs/>
          <w:color w:val="0000FF"/>
          <w:sz w:val="24"/>
          <w:szCs w:val="24"/>
        </w:rPr>
        <w:t xml:space="preserve">par secteur d’activité </w:t>
      </w:r>
      <w:r w:rsidR="005E5096">
        <w:rPr>
          <w:rFonts w:ascii="Times New Roman" w:hAnsi="Times New Roman" w:cs="Times New Roman"/>
          <w:b/>
          <w:i/>
          <w:iCs/>
          <w:color w:val="0000FF"/>
          <w:sz w:val="24"/>
          <w:szCs w:val="24"/>
        </w:rPr>
        <w:t xml:space="preserve">économique </w:t>
      </w:r>
      <w:r w:rsidR="00E13371">
        <w:rPr>
          <w:rFonts w:ascii="Times New Roman" w:hAnsi="Times New Roman" w:cs="Times New Roman"/>
          <w:b/>
          <w:i/>
          <w:iCs/>
          <w:color w:val="0000FF"/>
          <w:sz w:val="24"/>
          <w:szCs w:val="24"/>
        </w:rPr>
        <w:t>des diplômés de formation professionnelle sont supérieurs à ceux des diplômés d’enseignement général</w:t>
      </w:r>
    </w:p>
    <w:p w:rsidR="00073830" w:rsidRPr="00DD59E9" w:rsidRDefault="004A2B45" w:rsidP="00AF523C">
      <w:pPr>
        <w:keepNext/>
        <w:keepLines/>
        <w:spacing w:before="120" w:after="120" w:line="240" w:lineRule="auto"/>
        <w:ind w:firstLine="709"/>
        <w:jc w:val="both"/>
        <w:rPr>
          <w:rFonts w:ascii="Times New Roman" w:hAnsi="Times New Roman" w:cs="Times New Roman"/>
          <w:sz w:val="24"/>
        </w:rPr>
      </w:pPr>
      <w:r w:rsidRPr="00DD59E9">
        <w:rPr>
          <w:rFonts w:ascii="Times New Roman" w:hAnsi="Times New Roman" w:cs="Times New Roman"/>
          <w:sz w:val="24"/>
        </w:rPr>
        <w:t>L</w:t>
      </w:r>
      <w:r w:rsidR="00FF5D14" w:rsidRPr="00DD59E9">
        <w:rPr>
          <w:rFonts w:ascii="Times New Roman" w:hAnsi="Times New Roman" w:cs="Times New Roman"/>
          <w:sz w:val="24"/>
        </w:rPr>
        <w:t>e taux</w:t>
      </w:r>
      <w:r w:rsidR="004F1C3E" w:rsidRPr="00DD59E9">
        <w:rPr>
          <w:rFonts w:ascii="Times New Roman" w:hAnsi="Times New Roman" w:cs="Times New Roman"/>
          <w:sz w:val="24"/>
        </w:rPr>
        <w:t xml:space="preserve"> des déclassés parmi les diplômés de formation professionnelle e</w:t>
      </w:r>
      <w:r w:rsidR="00FA73A6" w:rsidRPr="00DD59E9">
        <w:rPr>
          <w:rFonts w:ascii="Times New Roman" w:hAnsi="Times New Roman" w:cs="Times New Roman"/>
          <w:sz w:val="24"/>
        </w:rPr>
        <w:t>s</w:t>
      </w:r>
      <w:r w:rsidR="004F1C3E" w:rsidRPr="00DD59E9">
        <w:rPr>
          <w:rFonts w:ascii="Times New Roman" w:hAnsi="Times New Roman" w:cs="Times New Roman"/>
          <w:sz w:val="24"/>
        </w:rPr>
        <w:t>t supérieure à cel</w:t>
      </w:r>
      <w:r w:rsidR="00682025" w:rsidRPr="00DD59E9">
        <w:rPr>
          <w:rFonts w:ascii="Times New Roman" w:hAnsi="Times New Roman" w:cs="Times New Roman"/>
          <w:sz w:val="24"/>
        </w:rPr>
        <w:t xml:space="preserve">ui </w:t>
      </w:r>
      <w:r w:rsidR="004F1C3E" w:rsidRPr="00DD59E9">
        <w:rPr>
          <w:rFonts w:ascii="Times New Roman" w:hAnsi="Times New Roman" w:cs="Times New Roman"/>
          <w:sz w:val="24"/>
        </w:rPr>
        <w:t>des diplômés d’enseignement général</w:t>
      </w:r>
      <w:r w:rsidR="00FA73A6" w:rsidRPr="00DD59E9">
        <w:rPr>
          <w:rFonts w:ascii="Times New Roman" w:hAnsi="Times New Roman" w:cs="Times New Roman"/>
          <w:sz w:val="24"/>
        </w:rPr>
        <w:t>,</w:t>
      </w:r>
      <w:r w:rsidR="00E658D4" w:rsidRPr="00DD59E9">
        <w:rPr>
          <w:rFonts w:ascii="Times New Roman" w:hAnsi="Times New Roman" w:cs="Times New Roman"/>
          <w:sz w:val="24"/>
        </w:rPr>
        <w:t xml:space="preserve"> </w:t>
      </w:r>
      <w:r w:rsidR="00DC3CDE" w:rsidRPr="00DD59E9">
        <w:rPr>
          <w:rFonts w:ascii="Times New Roman" w:hAnsi="Times New Roman" w:cs="Times New Roman"/>
          <w:sz w:val="24"/>
        </w:rPr>
        <w:t>quel que soit le secteur d’activité</w:t>
      </w:r>
      <w:r w:rsidR="00E658D4" w:rsidRPr="00DD59E9">
        <w:rPr>
          <w:rFonts w:ascii="Times New Roman" w:hAnsi="Times New Roman" w:cs="Times New Roman"/>
          <w:sz w:val="24"/>
        </w:rPr>
        <w:t>.</w:t>
      </w:r>
      <w:r w:rsidR="00B05093">
        <w:rPr>
          <w:rFonts w:ascii="Times New Roman" w:hAnsi="Times New Roman" w:cs="Times New Roman"/>
          <w:sz w:val="24"/>
        </w:rPr>
        <w:t xml:space="preserve"> Leurs taux de déclassement sont respectivement de 59,6% contre </w:t>
      </w:r>
      <w:r w:rsidR="00AF13FA">
        <w:rPr>
          <w:rFonts w:ascii="Times New Roman" w:hAnsi="Times New Roman" w:cs="Times New Roman"/>
          <w:sz w:val="24"/>
        </w:rPr>
        <w:t xml:space="preserve">13,5% dans le secteur de l’ « agriculture, sylviculture et pêche », de 32,5% contre 10,9% dans le secteur de l’ « industrie extractives et manufacturières », de 37,2% contre 16,8% dans le secteur de l’ « eau et l’électricité », de 26,7% contre 9,0% dans le secteur de la « construction », de 43,4% contre 11,6% dans le secteur du « commerce et réparation d’automobiles et de motocycles », de 37,6% contre 9,8% dans le secteur du « transport, entreposage et communication », de 24,8% contre 9,7% dans le secteur de l’ « administration publique, enseignement, santé humaine et action sociale », </w:t>
      </w:r>
      <w:r w:rsidR="00DA0CA5">
        <w:rPr>
          <w:rFonts w:ascii="Times New Roman" w:hAnsi="Times New Roman" w:cs="Times New Roman"/>
          <w:sz w:val="24"/>
        </w:rPr>
        <w:t>de 36,2% contre 14,6% dans le secteur des « autres services marchands », et de 38,5% contre 16,4% dans le secteur de les « </w:t>
      </w:r>
      <w:r w:rsidR="005F2D93">
        <w:rPr>
          <w:rFonts w:ascii="Times New Roman" w:hAnsi="Times New Roman" w:cs="Times New Roman"/>
          <w:sz w:val="24"/>
        </w:rPr>
        <w:t>activités extraterritoriales »</w:t>
      </w:r>
      <w:r w:rsidR="00AF523C">
        <w:rPr>
          <w:rFonts w:ascii="Times New Roman" w:hAnsi="Times New Roman" w:cs="Times New Roman"/>
          <w:sz w:val="24"/>
        </w:rPr>
        <w:t xml:space="preserve"> </w:t>
      </w:r>
      <w:r w:rsidR="00AF523C">
        <w:rPr>
          <w:rFonts w:ascii="Times New Roman" w:hAnsi="Times New Roman" w:cs="Times New Roman"/>
          <w:sz w:val="24"/>
          <w:szCs w:val="24"/>
        </w:rPr>
        <w:t>(Graphique 12)</w:t>
      </w:r>
      <w:r w:rsidR="005F2D93">
        <w:rPr>
          <w:rFonts w:ascii="Times New Roman" w:hAnsi="Times New Roman" w:cs="Times New Roman"/>
          <w:sz w:val="24"/>
        </w:rPr>
        <w:t>.</w:t>
      </w:r>
    </w:p>
    <w:p w:rsidR="00DF02C3" w:rsidRPr="00AF523C" w:rsidRDefault="00DF02C3" w:rsidP="00AF523C">
      <w:pPr>
        <w:spacing w:after="0" w:line="240" w:lineRule="auto"/>
        <w:jc w:val="center"/>
        <w:rPr>
          <w:rFonts w:ascii="Times New Roman" w:hAnsi="Times New Roman" w:cs="Times New Roman"/>
          <w:sz w:val="28"/>
          <w:szCs w:val="24"/>
        </w:rPr>
      </w:pPr>
      <w:r w:rsidRPr="00DF02C3">
        <w:rPr>
          <w:rFonts w:ascii="Times New Roman" w:eastAsia="Times New Roman" w:hAnsi="Times New Roman" w:cs="Times New Roman"/>
          <w:color w:val="0000FF"/>
          <w:sz w:val="24"/>
          <w:szCs w:val="24"/>
          <w:lang w:eastAsia="fr-FR"/>
        </w:rPr>
        <w:t>Graphique 1</w:t>
      </w:r>
      <w:r w:rsidR="00AF523C" w:rsidRPr="00AF523C">
        <w:rPr>
          <w:rFonts w:ascii="Times New Roman" w:eastAsia="Times New Roman" w:hAnsi="Times New Roman" w:cs="Times New Roman"/>
          <w:color w:val="0000FF"/>
          <w:sz w:val="24"/>
          <w:szCs w:val="24"/>
          <w:lang w:eastAsia="fr-FR"/>
        </w:rPr>
        <w:t>2</w:t>
      </w:r>
      <w:r w:rsidRPr="00DF02C3">
        <w:rPr>
          <w:rFonts w:ascii="Times New Roman" w:eastAsia="Times New Roman" w:hAnsi="Times New Roman" w:cs="Times New Roman"/>
          <w:color w:val="0000FF"/>
          <w:sz w:val="24"/>
          <w:szCs w:val="24"/>
          <w:lang w:eastAsia="fr-FR"/>
        </w:rPr>
        <w:t>: Taux de déclassement et part (%) des déclassés</w:t>
      </w:r>
      <w:r w:rsidRPr="00AF523C">
        <w:rPr>
          <w:rFonts w:ascii="Times New Roman" w:eastAsia="Times New Roman" w:hAnsi="Times New Roman" w:cs="Times New Roman"/>
          <w:color w:val="0000FF"/>
          <w:sz w:val="24"/>
          <w:szCs w:val="24"/>
          <w:lang w:eastAsia="fr-FR"/>
        </w:rPr>
        <w:br/>
      </w:r>
      <w:r w:rsidRPr="00DF02C3">
        <w:rPr>
          <w:rFonts w:ascii="Times New Roman" w:eastAsia="Times New Roman" w:hAnsi="Times New Roman" w:cs="Times New Roman"/>
          <w:color w:val="0000FF"/>
          <w:sz w:val="24"/>
          <w:szCs w:val="24"/>
          <w:lang w:eastAsia="fr-FR"/>
        </w:rPr>
        <w:t>selon le type de formation et le secteur d'activités économiques</w:t>
      </w:r>
    </w:p>
    <w:p w:rsidR="00DF02C3" w:rsidRDefault="00DF02C3" w:rsidP="000435AC">
      <w:pPr>
        <w:spacing w:before="120" w:after="120" w:line="240" w:lineRule="auto"/>
        <w:ind w:firstLine="709"/>
        <w:jc w:val="both"/>
        <w:rPr>
          <w:rFonts w:ascii="Times New Roman" w:hAnsi="Times New Roman" w:cs="Times New Roman"/>
          <w:sz w:val="24"/>
        </w:rPr>
      </w:pPr>
      <w:r w:rsidRPr="00DF02C3">
        <w:rPr>
          <w:rFonts w:ascii="Times New Roman" w:hAnsi="Times New Roman" w:cs="Times New Roman"/>
          <w:noProof/>
          <w:sz w:val="24"/>
          <w:lang w:eastAsia="fr-FR"/>
        </w:rPr>
        <w:drawing>
          <wp:inline distT="0" distB="0" distL="0" distR="0">
            <wp:extent cx="5255813" cy="3140766"/>
            <wp:effectExtent l="0" t="0" r="0" b="0"/>
            <wp:docPr id="11"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72D21" w:rsidRPr="00DD59E9" w:rsidRDefault="006C6EF9" w:rsidP="000435AC">
      <w:pPr>
        <w:spacing w:before="120" w:after="120" w:line="240" w:lineRule="auto"/>
        <w:ind w:firstLine="709"/>
        <w:jc w:val="both"/>
        <w:rPr>
          <w:rFonts w:ascii="Times New Roman" w:hAnsi="Times New Roman" w:cs="Times New Roman"/>
          <w:sz w:val="24"/>
        </w:rPr>
      </w:pPr>
      <w:r w:rsidRPr="00DD59E9">
        <w:rPr>
          <w:rFonts w:ascii="Times New Roman" w:hAnsi="Times New Roman" w:cs="Times New Roman"/>
          <w:sz w:val="24"/>
        </w:rPr>
        <w:lastRenderedPageBreak/>
        <w:t>La ventilation d</w:t>
      </w:r>
      <w:r w:rsidR="00042D40" w:rsidRPr="00DD59E9">
        <w:rPr>
          <w:rFonts w:ascii="Times New Roman" w:hAnsi="Times New Roman" w:cs="Times New Roman"/>
          <w:sz w:val="24"/>
        </w:rPr>
        <w:t>u</w:t>
      </w:r>
      <w:r w:rsidR="00FF5D14" w:rsidRPr="00DD59E9">
        <w:rPr>
          <w:rFonts w:ascii="Times New Roman" w:hAnsi="Times New Roman" w:cs="Times New Roman"/>
          <w:sz w:val="24"/>
        </w:rPr>
        <w:t xml:space="preserve"> </w:t>
      </w:r>
      <w:r w:rsidRPr="00DD59E9">
        <w:rPr>
          <w:rFonts w:ascii="Times New Roman" w:hAnsi="Times New Roman" w:cs="Times New Roman"/>
          <w:sz w:val="24"/>
        </w:rPr>
        <w:t xml:space="preserve">déclassement selon les groupes de diplômes </w:t>
      </w:r>
      <w:r w:rsidR="00C67B72" w:rsidRPr="00DD59E9">
        <w:rPr>
          <w:rFonts w:ascii="Times New Roman" w:hAnsi="Times New Roman" w:cs="Times New Roman"/>
          <w:sz w:val="24"/>
        </w:rPr>
        <w:t xml:space="preserve">et les secteurs d’activité </w:t>
      </w:r>
      <w:r w:rsidR="00281647" w:rsidRPr="00DD59E9">
        <w:rPr>
          <w:rFonts w:ascii="Times New Roman" w:hAnsi="Times New Roman" w:cs="Times New Roman"/>
          <w:sz w:val="24"/>
        </w:rPr>
        <w:t>donne</w:t>
      </w:r>
      <w:r w:rsidRPr="00DD59E9">
        <w:rPr>
          <w:rFonts w:ascii="Times New Roman" w:hAnsi="Times New Roman" w:cs="Times New Roman"/>
          <w:sz w:val="24"/>
        </w:rPr>
        <w:t xml:space="preserve"> </w:t>
      </w:r>
      <w:r w:rsidR="00D75E37" w:rsidRPr="00DD59E9">
        <w:rPr>
          <w:rFonts w:ascii="Times New Roman" w:hAnsi="Times New Roman" w:cs="Times New Roman"/>
          <w:sz w:val="24"/>
        </w:rPr>
        <w:t xml:space="preserve">deux </w:t>
      </w:r>
      <w:r w:rsidR="00195442">
        <w:rPr>
          <w:rFonts w:ascii="Times New Roman" w:hAnsi="Times New Roman" w:cs="Times New Roman"/>
          <w:sz w:val="24"/>
        </w:rPr>
        <w:t xml:space="preserve">groupes </w:t>
      </w:r>
      <w:r w:rsidR="00DD4E0C" w:rsidRPr="00DD59E9">
        <w:rPr>
          <w:rFonts w:ascii="Times New Roman" w:hAnsi="Times New Roman" w:cs="Times New Roman"/>
          <w:sz w:val="24"/>
        </w:rPr>
        <w:t>d</w:t>
      </w:r>
      <w:r w:rsidR="001A7DAA" w:rsidRPr="00DD59E9">
        <w:rPr>
          <w:rFonts w:ascii="Times New Roman" w:hAnsi="Times New Roman" w:cs="Times New Roman"/>
          <w:sz w:val="24"/>
        </w:rPr>
        <w:t>e</w:t>
      </w:r>
      <w:r w:rsidR="00DD4E0C" w:rsidRPr="00DD59E9">
        <w:rPr>
          <w:rFonts w:ascii="Times New Roman" w:hAnsi="Times New Roman" w:cs="Times New Roman"/>
          <w:sz w:val="24"/>
        </w:rPr>
        <w:t xml:space="preserve"> </w:t>
      </w:r>
      <w:r w:rsidR="00D75E37" w:rsidRPr="00DD59E9">
        <w:rPr>
          <w:rFonts w:ascii="Times New Roman" w:hAnsi="Times New Roman" w:cs="Times New Roman"/>
          <w:sz w:val="24"/>
        </w:rPr>
        <w:t>diplômes</w:t>
      </w:r>
      <w:r w:rsidR="00195442">
        <w:rPr>
          <w:rFonts w:ascii="Times New Roman" w:hAnsi="Times New Roman" w:cs="Times New Roman"/>
          <w:sz w:val="24"/>
        </w:rPr>
        <w:t>,</w:t>
      </w:r>
      <w:r w:rsidR="00764330" w:rsidRPr="00DD59E9">
        <w:rPr>
          <w:rFonts w:ascii="Times New Roman" w:hAnsi="Times New Roman" w:cs="Times New Roman"/>
          <w:sz w:val="24"/>
        </w:rPr>
        <w:t xml:space="preserve"> encadrés </w:t>
      </w:r>
      <w:r w:rsidR="00195442">
        <w:rPr>
          <w:rFonts w:ascii="Times New Roman" w:hAnsi="Times New Roman" w:cs="Times New Roman"/>
          <w:sz w:val="24"/>
        </w:rPr>
        <w:t xml:space="preserve">ensembles </w:t>
      </w:r>
      <w:r w:rsidR="00764330" w:rsidRPr="00DD59E9">
        <w:rPr>
          <w:rFonts w:ascii="Times New Roman" w:hAnsi="Times New Roman" w:cs="Times New Roman"/>
          <w:sz w:val="24"/>
        </w:rPr>
        <w:t>d’en haut par les technicien</w:t>
      </w:r>
      <w:r w:rsidR="00195442">
        <w:rPr>
          <w:rFonts w:ascii="Times New Roman" w:hAnsi="Times New Roman" w:cs="Times New Roman"/>
          <w:sz w:val="24"/>
        </w:rPr>
        <w:t>s</w:t>
      </w:r>
      <w:r w:rsidR="00764330" w:rsidRPr="00DD59E9">
        <w:rPr>
          <w:rFonts w:ascii="Times New Roman" w:hAnsi="Times New Roman" w:cs="Times New Roman"/>
          <w:sz w:val="24"/>
        </w:rPr>
        <w:t>/cadre</w:t>
      </w:r>
      <w:r w:rsidR="00195442">
        <w:rPr>
          <w:rFonts w:ascii="Times New Roman" w:hAnsi="Times New Roman" w:cs="Times New Roman"/>
          <w:sz w:val="24"/>
        </w:rPr>
        <w:t>s</w:t>
      </w:r>
      <w:r w:rsidR="00764330" w:rsidRPr="00DD59E9">
        <w:rPr>
          <w:rFonts w:ascii="Times New Roman" w:hAnsi="Times New Roman" w:cs="Times New Roman"/>
          <w:sz w:val="24"/>
        </w:rPr>
        <w:t xml:space="preserve"> moyen</w:t>
      </w:r>
      <w:r w:rsidR="00195442">
        <w:rPr>
          <w:rFonts w:ascii="Times New Roman" w:hAnsi="Times New Roman" w:cs="Times New Roman"/>
          <w:sz w:val="24"/>
        </w:rPr>
        <w:t>s</w:t>
      </w:r>
      <w:r w:rsidR="00764330" w:rsidRPr="00DD59E9">
        <w:rPr>
          <w:rFonts w:ascii="Times New Roman" w:hAnsi="Times New Roman" w:cs="Times New Roman"/>
          <w:sz w:val="24"/>
        </w:rPr>
        <w:t xml:space="preserve"> et d’en bas par les ingénieurs/cadre</w:t>
      </w:r>
      <w:r w:rsidR="00195442">
        <w:rPr>
          <w:rFonts w:ascii="Times New Roman" w:hAnsi="Times New Roman" w:cs="Times New Roman"/>
          <w:sz w:val="24"/>
        </w:rPr>
        <w:t>s</w:t>
      </w:r>
      <w:r w:rsidR="00764330" w:rsidRPr="00DD59E9">
        <w:rPr>
          <w:rFonts w:ascii="Times New Roman" w:hAnsi="Times New Roman" w:cs="Times New Roman"/>
          <w:sz w:val="24"/>
        </w:rPr>
        <w:t xml:space="preserve"> supérieur</w:t>
      </w:r>
      <w:r w:rsidR="00195442">
        <w:rPr>
          <w:rFonts w:ascii="Times New Roman" w:hAnsi="Times New Roman" w:cs="Times New Roman"/>
          <w:sz w:val="24"/>
        </w:rPr>
        <w:t>s</w:t>
      </w:r>
      <w:r w:rsidR="00243DA7" w:rsidRPr="00DD59E9">
        <w:rPr>
          <w:rFonts w:ascii="Times New Roman" w:hAnsi="Times New Roman" w:cs="Times New Roman"/>
          <w:sz w:val="24"/>
        </w:rPr>
        <w:t xml:space="preserve">. </w:t>
      </w:r>
    </w:p>
    <w:p w:rsidR="00B96DF5" w:rsidRPr="00DD59E9" w:rsidRDefault="00243DA7" w:rsidP="006F7D1F">
      <w:pPr>
        <w:spacing w:before="120" w:after="120" w:line="240" w:lineRule="auto"/>
        <w:ind w:firstLine="709"/>
        <w:jc w:val="both"/>
        <w:rPr>
          <w:rFonts w:ascii="Times New Roman" w:hAnsi="Times New Roman" w:cs="Times New Roman"/>
          <w:sz w:val="24"/>
        </w:rPr>
      </w:pPr>
      <w:r w:rsidRPr="00DD59E9">
        <w:rPr>
          <w:rFonts w:ascii="Times New Roman" w:hAnsi="Times New Roman" w:cs="Times New Roman"/>
          <w:sz w:val="24"/>
        </w:rPr>
        <w:t>Le premier</w:t>
      </w:r>
      <w:r w:rsidR="00B44180">
        <w:rPr>
          <w:rFonts w:ascii="Times New Roman" w:hAnsi="Times New Roman" w:cs="Times New Roman"/>
          <w:sz w:val="24"/>
        </w:rPr>
        <w:t xml:space="preserve"> </w:t>
      </w:r>
      <w:r w:rsidRPr="00DD59E9">
        <w:rPr>
          <w:rFonts w:ascii="Times New Roman" w:hAnsi="Times New Roman" w:cs="Times New Roman"/>
          <w:sz w:val="24"/>
        </w:rPr>
        <w:t xml:space="preserve">est constitué de </w:t>
      </w:r>
      <w:r w:rsidR="00C67B72" w:rsidRPr="00DD59E9">
        <w:rPr>
          <w:rFonts w:ascii="Times New Roman" w:hAnsi="Times New Roman" w:cs="Times New Roman"/>
          <w:sz w:val="24"/>
        </w:rPr>
        <w:t>quatre groupes de diplômes</w:t>
      </w:r>
      <w:r w:rsidR="008102B3" w:rsidRPr="00DD59E9">
        <w:rPr>
          <w:rFonts w:ascii="Times New Roman" w:hAnsi="Times New Roman" w:cs="Times New Roman"/>
          <w:sz w:val="24"/>
        </w:rPr>
        <w:t xml:space="preserve"> avec des taux de déclassement élevés</w:t>
      </w:r>
      <w:r w:rsidR="00F63CC8" w:rsidRPr="00DD59E9">
        <w:rPr>
          <w:rFonts w:ascii="Times New Roman" w:hAnsi="Times New Roman" w:cs="Times New Roman"/>
          <w:sz w:val="24"/>
        </w:rPr>
        <w:t xml:space="preserve">. Il s’agit du diplôme du Technicien/Cadre moyen, </w:t>
      </w:r>
      <w:r w:rsidR="008102B3">
        <w:rPr>
          <w:rFonts w:ascii="Times New Roman" w:hAnsi="Times New Roman" w:cs="Times New Roman"/>
          <w:sz w:val="24"/>
        </w:rPr>
        <w:t>du</w:t>
      </w:r>
      <w:r w:rsidR="00F63CC8" w:rsidRPr="00DD59E9">
        <w:rPr>
          <w:rFonts w:ascii="Times New Roman" w:hAnsi="Times New Roman" w:cs="Times New Roman"/>
          <w:sz w:val="24"/>
        </w:rPr>
        <w:t xml:space="preserve"> DEUG, </w:t>
      </w:r>
      <w:r w:rsidR="008102B3">
        <w:rPr>
          <w:rFonts w:ascii="Times New Roman" w:hAnsi="Times New Roman" w:cs="Times New Roman"/>
          <w:sz w:val="24"/>
        </w:rPr>
        <w:t>du</w:t>
      </w:r>
      <w:r w:rsidR="00F63CC8" w:rsidRPr="00DD59E9">
        <w:rPr>
          <w:rFonts w:ascii="Times New Roman" w:hAnsi="Times New Roman" w:cs="Times New Roman"/>
          <w:sz w:val="24"/>
        </w:rPr>
        <w:t xml:space="preserve"> diplôme de technicien spécialisé et </w:t>
      </w:r>
      <w:r w:rsidR="008102B3">
        <w:rPr>
          <w:rFonts w:ascii="Times New Roman" w:hAnsi="Times New Roman" w:cs="Times New Roman"/>
          <w:sz w:val="24"/>
        </w:rPr>
        <w:t>de</w:t>
      </w:r>
      <w:r w:rsidR="00F63CC8" w:rsidRPr="00DD59E9">
        <w:rPr>
          <w:rFonts w:ascii="Times New Roman" w:hAnsi="Times New Roman" w:cs="Times New Roman"/>
          <w:sz w:val="24"/>
        </w:rPr>
        <w:t xml:space="preserve"> la licence.</w:t>
      </w:r>
    </w:p>
    <w:p w:rsidR="00EC1EDF" w:rsidRPr="004A57F4" w:rsidRDefault="00EC1EDF" w:rsidP="008E19A7">
      <w:pPr>
        <w:spacing w:before="120" w:after="120" w:line="240" w:lineRule="auto"/>
        <w:ind w:firstLine="709"/>
        <w:jc w:val="both"/>
        <w:rPr>
          <w:rFonts w:ascii="Times New Roman" w:hAnsi="Times New Roman" w:cs="Times New Roman"/>
          <w:sz w:val="24"/>
        </w:rPr>
      </w:pPr>
      <w:r w:rsidRPr="004A57F4">
        <w:rPr>
          <w:rFonts w:ascii="Times New Roman" w:hAnsi="Times New Roman" w:cs="Times New Roman"/>
          <w:sz w:val="24"/>
        </w:rPr>
        <w:t xml:space="preserve">Le second est constitué de </w:t>
      </w:r>
      <w:r>
        <w:rPr>
          <w:rFonts w:ascii="Times New Roman" w:hAnsi="Times New Roman" w:cs="Times New Roman"/>
          <w:sz w:val="24"/>
        </w:rPr>
        <w:t>sept</w:t>
      </w:r>
      <w:r w:rsidRPr="004A57F4">
        <w:rPr>
          <w:rFonts w:ascii="Times New Roman" w:hAnsi="Times New Roman" w:cs="Times New Roman"/>
          <w:sz w:val="24"/>
        </w:rPr>
        <w:t xml:space="preserve"> groupes de diplômes caractérisés par des taux de déclassement moins élevés</w:t>
      </w:r>
      <w:r w:rsidR="00B44180">
        <w:rPr>
          <w:rFonts w:ascii="Times New Roman" w:hAnsi="Times New Roman" w:cs="Times New Roman"/>
          <w:sz w:val="24"/>
        </w:rPr>
        <w:t>, dont l</w:t>
      </w:r>
      <w:r w:rsidRPr="004A57F4">
        <w:rPr>
          <w:rFonts w:ascii="Times New Roman" w:hAnsi="Times New Roman" w:cs="Times New Roman"/>
          <w:sz w:val="24"/>
        </w:rPr>
        <w:t>es</w:t>
      </w:r>
      <w:r w:rsidR="00B44180">
        <w:rPr>
          <w:rFonts w:ascii="Times New Roman" w:hAnsi="Times New Roman" w:cs="Times New Roman"/>
          <w:sz w:val="24"/>
        </w:rPr>
        <w:t xml:space="preserve"> diplômés de</w:t>
      </w:r>
      <w:r w:rsidRPr="004A57F4">
        <w:rPr>
          <w:rFonts w:ascii="Times New Roman" w:hAnsi="Times New Roman" w:cs="Times New Roman"/>
          <w:sz w:val="24"/>
        </w:rPr>
        <w:t xml:space="preserve"> DEA/DES/Master avec des taux de déclassement par secteur d’activité plus élevés que pour les </w:t>
      </w:r>
      <w:r>
        <w:rPr>
          <w:rFonts w:ascii="Times New Roman" w:hAnsi="Times New Roman" w:cs="Times New Roman"/>
          <w:sz w:val="24"/>
        </w:rPr>
        <w:t>six</w:t>
      </w:r>
      <w:r w:rsidRPr="004A57F4">
        <w:rPr>
          <w:rFonts w:ascii="Times New Roman" w:hAnsi="Times New Roman" w:cs="Times New Roman"/>
          <w:sz w:val="24"/>
        </w:rPr>
        <w:t xml:space="preserve"> autres. </w:t>
      </w:r>
      <w:r w:rsidR="006F7D1F">
        <w:rPr>
          <w:rFonts w:ascii="Times New Roman" w:hAnsi="Times New Roman" w:cs="Times New Roman"/>
          <w:sz w:val="24"/>
        </w:rPr>
        <w:t>Les courbes de c</w:t>
      </w:r>
      <w:r w:rsidRPr="004A57F4">
        <w:rPr>
          <w:rFonts w:ascii="Times New Roman" w:hAnsi="Times New Roman" w:cs="Times New Roman"/>
          <w:sz w:val="24"/>
        </w:rPr>
        <w:t>es derniers s’enchevêtrent selon les secteurs d’activités et ne font pas apparaitre une dominance claire de l’un ou l’autre</w:t>
      </w:r>
      <w:r w:rsidR="006F7D1F">
        <w:rPr>
          <w:rFonts w:ascii="Times New Roman" w:hAnsi="Times New Roman" w:cs="Times New Roman"/>
          <w:sz w:val="24"/>
        </w:rPr>
        <w:t xml:space="preserve"> diplôme</w:t>
      </w:r>
      <w:r w:rsidRPr="004A57F4">
        <w:rPr>
          <w:rFonts w:ascii="Times New Roman" w:hAnsi="Times New Roman" w:cs="Times New Roman"/>
          <w:sz w:val="24"/>
        </w:rPr>
        <w:t xml:space="preserve">. </w:t>
      </w:r>
      <w:r w:rsidR="004051E3">
        <w:rPr>
          <w:rFonts w:ascii="Times New Roman" w:hAnsi="Times New Roman" w:cs="Times New Roman"/>
          <w:sz w:val="24"/>
        </w:rPr>
        <w:t>Il s’agit des diplômes du</w:t>
      </w:r>
      <w:r w:rsidRPr="004A57F4">
        <w:rPr>
          <w:rFonts w:ascii="Times New Roman" w:hAnsi="Times New Roman" w:cs="Times New Roman"/>
          <w:sz w:val="24"/>
        </w:rPr>
        <w:t xml:space="preserve"> secondaire collégial, </w:t>
      </w:r>
      <w:r w:rsidR="004051E3">
        <w:rPr>
          <w:rFonts w:ascii="Times New Roman" w:hAnsi="Times New Roman" w:cs="Times New Roman"/>
          <w:sz w:val="24"/>
        </w:rPr>
        <w:t>du</w:t>
      </w:r>
      <w:r w:rsidRPr="004A57F4">
        <w:rPr>
          <w:rFonts w:ascii="Times New Roman" w:hAnsi="Times New Roman" w:cs="Times New Roman"/>
          <w:sz w:val="24"/>
        </w:rPr>
        <w:t xml:space="preserve"> secondaire qualifiant</w:t>
      </w:r>
      <w:r>
        <w:rPr>
          <w:rFonts w:ascii="Times New Roman" w:hAnsi="Times New Roman" w:cs="Times New Roman"/>
          <w:sz w:val="24"/>
        </w:rPr>
        <w:t xml:space="preserve">, </w:t>
      </w:r>
      <w:r w:rsidR="004051E3">
        <w:rPr>
          <w:rFonts w:ascii="Times New Roman" w:hAnsi="Times New Roman" w:cs="Times New Roman"/>
          <w:sz w:val="24"/>
        </w:rPr>
        <w:t>du</w:t>
      </w:r>
      <w:r w:rsidRPr="004A57F4">
        <w:rPr>
          <w:rFonts w:ascii="Times New Roman" w:hAnsi="Times New Roman" w:cs="Times New Roman"/>
          <w:sz w:val="24"/>
        </w:rPr>
        <w:t xml:space="preserve"> doctorat,</w:t>
      </w:r>
      <w:r>
        <w:rPr>
          <w:rFonts w:ascii="Times New Roman" w:hAnsi="Times New Roman" w:cs="Times New Roman"/>
          <w:sz w:val="24"/>
        </w:rPr>
        <w:t xml:space="preserve"> </w:t>
      </w:r>
      <w:r w:rsidR="004051E3">
        <w:rPr>
          <w:rFonts w:ascii="Times New Roman" w:hAnsi="Times New Roman" w:cs="Times New Roman"/>
          <w:sz w:val="24"/>
        </w:rPr>
        <w:t>d</w:t>
      </w:r>
      <w:r>
        <w:rPr>
          <w:rFonts w:ascii="Times New Roman" w:hAnsi="Times New Roman" w:cs="Times New Roman"/>
          <w:sz w:val="24"/>
        </w:rPr>
        <w:t>’</w:t>
      </w:r>
      <w:r w:rsidR="0004302F">
        <w:rPr>
          <w:rFonts w:ascii="Times New Roman" w:hAnsi="Times New Roman" w:cs="Times New Roman"/>
          <w:sz w:val="24"/>
        </w:rPr>
        <w:t>ingénierie</w:t>
      </w:r>
      <w:r>
        <w:rPr>
          <w:rFonts w:ascii="Times New Roman" w:hAnsi="Times New Roman" w:cs="Times New Roman"/>
          <w:sz w:val="24"/>
        </w:rPr>
        <w:t xml:space="preserve">/cadre supérieur, </w:t>
      </w:r>
      <w:r w:rsidR="004051E3">
        <w:rPr>
          <w:rFonts w:ascii="Times New Roman" w:hAnsi="Times New Roman" w:cs="Times New Roman"/>
          <w:sz w:val="24"/>
        </w:rPr>
        <w:t xml:space="preserve">de </w:t>
      </w:r>
      <w:r w:rsidRPr="004A57F4">
        <w:rPr>
          <w:rFonts w:ascii="Times New Roman" w:hAnsi="Times New Roman" w:cs="Times New Roman"/>
          <w:sz w:val="24"/>
        </w:rPr>
        <w:t>la qualification professionnelle, et</w:t>
      </w:r>
      <w:r w:rsidR="004051E3">
        <w:rPr>
          <w:rFonts w:ascii="Times New Roman" w:hAnsi="Times New Roman" w:cs="Times New Roman"/>
          <w:sz w:val="24"/>
        </w:rPr>
        <w:t xml:space="preserve"> de</w:t>
      </w:r>
      <w:r>
        <w:rPr>
          <w:rFonts w:ascii="Times New Roman" w:hAnsi="Times New Roman" w:cs="Times New Roman"/>
          <w:sz w:val="24"/>
        </w:rPr>
        <w:t xml:space="preserve"> la spécialisation professionnelle</w:t>
      </w:r>
      <w:r w:rsidRPr="004A57F4">
        <w:rPr>
          <w:rFonts w:ascii="Times New Roman" w:hAnsi="Times New Roman" w:cs="Times New Roman"/>
          <w:sz w:val="24"/>
        </w:rPr>
        <w:t>.</w:t>
      </w:r>
    </w:p>
    <w:p w:rsidR="003161DE" w:rsidRDefault="00746029" w:rsidP="009A3538">
      <w:pPr>
        <w:spacing w:before="120" w:after="120" w:line="240" w:lineRule="auto"/>
        <w:ind w:firstLine="709"/>
        <w:jc w:val="both"/>
        <w:rPr>
          <w:rFonts w:ascii="Times New Roman" w:hAnsi="Times New Roman" w:cs="Times New Roman"/>
          <w:sz w:val="24"/>
        </w:rPr>
      </w:pPr>
      <w:r w:rsidRPr="00D758CD">
        <w:rPr>
          <w:rFonts w:ascii="Times New Roman" w:hAnsi="Times New Roman" w:cs="Times New Roman"/>
          <w:sz w:val="24"/>
        </w:rPr>
        <w:t>L</w:t>
      </w:r>
      <w:r w:rsidR="00DC05E8" w:rsidRPr="00D758CD">
        <w:rPr>
          <w:rFonts w:ascii="Times New Roman" w:hAnsi="Times New Roman" w:cs="Times New Roman"/>
          <w:sz w:val="24"/>
        </w:rPr>
        <w:t xml:space="preserve">e </w:t>
      </w:r>
      <w:r w:rsidR="00B96DF5" w:rsidRPr="00D758CD">
        <w:rPr>
          <w:rFonts w:ascii="Times New Roman" w:hAnsi="Times New Roman" w:cs="Times New Roman"/>
          <w:sz w:val="24"/>
        </w:rPr>
        <w:t xml:space="preserve">groupe des </w:t>
      </w:r>
      <w:r w:rsidR="00DC05E8" w:rsidRPr="00D758CD">
        <w:rPr>
          <w:rFonts w:ascii="Times New Roman" w:hAnsi="Times New Roman" w:cs="Times New Roman"/>
          <w:sz w:val="24"/>
        </w:rPr>
        <w:t>diplôme</w:t>
      </w:r>
      <w:r w:rsidR="00B96DF5" w:rsidRPr="00D758CD">
        <w:rPr>
          <w:rFonts w:ascii="Times New Roman" w:hAnsi="Times New Roman" w:cs="Times New Roman"/>
          <w:sz w:val="24"/>
        </w:rPr>
        <w:t>s</w:t>
      </w:r>
      <w:r w:rsidR="00DC05E8" w:rsidRPr="00D758CD">
        <w:rPr>
          <w:rFonts w:ascii="Times New Roman" w:hAnsi="Times New Roman" w:cs="Times New Roman"/>
          <w:sz w:val="24"/>
        </w:rPr>
        <w:t xml:space="preserve"> BTS/CPGE </w:t>
      </w:r>
      <w:r w:rsidR="00422030">
        <w:rPr>
          <w:rFonts w:ascii="Times New Roman" w:hAnsi="Times New Roman" w:cs="Times New Roman"/>
          <w:sz w:val="24"/>
        </w:rPr>
        <w:t xml:space="preserve">est dans une situation intermédiaire. Il </w:t>
      </w:r>
      <w:r w:rsidR="00926657" w:rsidRPr="00D758CD">
        <w:rPr>
          <w:rFonts w:ascii="Times New Roman" w:hAnsi="Times New Roman" w:cs="Times New Roman"/>
          <w:sz w:val="24"/>
        </w:rPr>
        <w:t>e</w:t>
      </w:r>
      <w:r w:rsidR="00B44180">
        <w:rPr>
          <w:rFonts w:ascii="Times New Roman" w:hAnsi="Times New Roman" w:cs="Times New Roman"/>
          <w:sz w:val="24"/>
        </w:rPr>
        <w:t xml:space="preserve">nregistre des taux de </w:t>
      </w:r>
      <w:r w:rsidR="00200A08">
        <w:rPr>
          <w:rFonts w:ascii="Times New Roman" w:hAnsi="Times New Roman" w:cs="Times New Roman"/>
          <w:sz w:val="24"/>
        </w:rPr>
        <w:t xml:space="preserve">déclassement </w:t>
      </w:r>
      <w:r w:rsidR="00B44180">
        <w:rPr>
          <w:rFonts w:ascii="Times New Roman" w:hAnsi="Times New Roman" w:cs="Times New Roman"/>
          <w:sz w:val="24"/>
        </w:rPr>
        <w:t xml:space="preserve">élevés </w:t>
      </w:r>
      <w:r w:rsidR="008E19A7">
        <w:rPr>
          <w:rFonts w:ascii="Times New Roman" w:hAnsi="Times New Roman" w:cs="Times New Roman"/>
          <w:sz w:val="24"/>
        </w:rPr>
        <w:t>aux</w:t>
      </w:r>
      <w:r w:rsidR="00B44180">
        <w:rPr>
          <w:rFonts w:ascii="Times New Roman" w:hAnsi="Times New Roman" w:cs="Times New Roman"/>
          <w:sz w:val="24"/>
        </w:rPr>
        <w:t xml:space="preserve"> </w:t>
      </w:r>
      <w:r w:rsidRPr="00D758CD">
        <w:rPr>
          <w:rFonts w:ascii="Times New Roman" w:hAnsi="Times New Roman" w:cs="Times New Roman"/>
          <w:sz w:val="24"/>
        </w:rPr>
        <w:t>niveau</w:t>
      </w:r>
      <w:r w:rsidR="008E19A7">
        <w:rPr>
          <w:rFonts w:ascii="Times New Roman" w:hAnsi="Times New Roman" w:cs="Times New Roman"/>
          <w:sz w:val="24"/>
        </w:rPr>
        <w:t>x</w:t>
      </w:r>
      <w:r w:rsidRPr="00D758CD">
        <w:rPr>
          <w:rFonts w:ascii="Times New Roman" w:hAnsi="Times New Roman" w:cs="Times New Roman"/>
          <w:sz w:val="24"/>
        </w:rPr>
        <w:t xml:space="preserve"> </w:t>
      </w:r>
      <w:r w:rsidR="00DC05E8" w:rsidRPr="00D758CD">
        <w:rPr>
          <w:rFonts w:ascii="Times New Roman" w:hAnsi="Times New Roman" w:cs="Times New Roman"/>
          <w:sz w:val="24"/>
        </w:rPr>
        <w:t xml:space="preserve">de </w:t>
      </w:r>
      <w:r w:rsidR="002F38F6" w:rsidRPr="00D758CD">
        <w:rPr>
          <w:rFonts w:ascii="Times New Roman" w:hAnsi="Times New Roman" w:cs="Times New Roman"/>
          <w:sz w:val="24"/>
        </w:rPr>
        <w:t>quatre</w:t>
      </w:r>
      <w:r w:rsidR="00DC05E8" w:rsidRPr="00D758CD">
        <w:rPr>
          <w:rFonts w:ascii="Times New Roman" w:hAnsi="Times New Roman" w:cs="Times New Roman"/>
          <w:sz w:val="24"/>
        </w:rPr>
        <w:t xml:space="preserve"> secteurs d’activités</w:t>
      </w:r>
      <w:r w:rsidR="009A3538">
        <w:rPr>
          <w:rFonts w:ascii="Times New Roman" w:hAnsi="Times New Roman" w:cs="Times New Roman"/>
          <w:sz w:val="24"/>
        </w:rPr>
        <w:t xml:space="preserve">. Il s’agit du </w:t>
      </w:r>
      <w:r w:rsidR="002F38F6" w:rsidRPr="00D758CD">
        <w:rPr>
          <w:rFonts w:ascii="Times New Roman" w:hAnsi="Times New Roman" w:cs="Times New Roman"/>
          <w:sz w:val="24"/>
        </w:rPr>
        <w:t xml:space="preserve">« commerce et réparation d’automobiles et de motocycles », </w:t>
      </w:r>
      <w:r w:rsidR="009A3538">
        <w:rPr>
          <w:rFonts w:ascii="Times New Roman" w:hAnsi="Times New Roman" w:cs="Times New Roman"/>
          <w:sz w:val="24"/>
        </w:rPr>
        <w:t xml:space="preserve">du </w:t>
      </w:r>
      <w:r w:rsidR="002F38F6" w:rsidRPr="00D758CD">
        <w:rPr>
          <w:rFonts w:ascii="Times New Roman" w:hAnsi="Times New Roman" w:cs="Times New Roman"/>
          <w:sz w:val="24"/>
        </w:rPr>
        <w:t xml:space="preserve">« transport, entreposages et communication », </w:t>
      </w:r>
      <w:r w:rsidR="009A3538">
        <w:rPr>
          <w:rFonts w:ascii="Times New Roman" w:hAnsi="Times New Roman" w:cs="Times New Roman"/>
          <w:sz w:val="24"/>
        </w:rPr>
        <w:t xml:space="preserve"> des </w:t>
      </w:r>
      <w:r w:rsidR="002F38F6" w:rsidRPr="00D758CD">
        <w:rPr>
          <w:rFonts w:ascii="Times New Roman" w:hAnsi="Times New Roman" w:cs="Times New Roman"/>
          <w:sz w:val="24"/>
        </w:rPr>
        <w:t xml:space="preserve">«autres services marchands » et </w:t>
      </w:r>
      <w:r w:rsidR="009A3538">
        <w:rPr>
          <w:rFonts w:ascii="Times New Roman" w:hAnsi="Times New Roman" w:cs="Times New Roman"/>
          <w:sz w:val="24"/>
        </w:rPr>
        <w:t xml:space="preserve">de l’ </w:t>
      </w:r>
      <w:r w:rsidR="002F38F6" w:rsidRPr="00D758CD">
        <w:rPr>
          <w:rFonts w:ascii="Times New Roman" w:hAnsi="Times New Roman" w:cs="Times New Roman"/>
          <w:sz w:val="24"/>
        </w:rPr>
        <w:t>«administration publique, enseignement, santé humaine et action sociale »</w:t>
      </w:r>
      <w:r w:rsidR="009A3538">
        <w:rPr>
          <w:rFonts w:ascii="Times New Roman" w:hAnsi="Times New Roman" w:cs="Times New Roman"/>
          <w:sz w:val="24"/>
        </w:rPr>
        <w:t xml:space="preserve">. Par contre, il enregistre </w:t>
      </w:r>
      <w:r w:rsidR="00B44180">
        <w:rPr>
          <w:rFonts w:ascii="Times New Roman" w:hAnsi="Times New Roman" w:cs="Times New Roman"/>
          <w:sz w:val="24"/>
        </w:rPr>
        <w:t xml:space="preserve">des taux de déclassement </w:t>
      </w:r>
      <w:r w:rsidR="00200A08">
        <w:rPr>
          <w:rFonts w:ascii="Times New Roman" w:hAnsi="Times New Roman" w:cs="Times New Roman"/>
          <w:sz w:val="24"/>
        </w:rPr>
        <w:t xml:space="preserve">moins </w:t>
      </w:r>
      <w:r w:rsidR="00B44180">
        <w:rPr>
          <w:rFonts w:ascii="Times New Roman" w:hAnsi="Times New Roman" w:cs="Times New Roman"/>
          <w:sz w:val="24"/>
        </w:rPr>
        <w:t>élevés</w:t>
      </w:r>
      <w:r w:rsidR="00200A08">
        <w:rPr>
          <w:rFonts w:ascii="Times New Roman" w:hAnsi="Times New Roman" w:cs="Times New Roman"/>
          <w:sz w:val="24"/>
        </w:rPr>
        <w:t xml:space="preserve"> </w:t>
      </w:r>
      <w:r w:rsidR="00B96DF5" w:rsidRPr="00D758CD">
        <w:rPr>
          <w:rFonts w:ascii="Times New Roman" w:hAnsi="Times New Roman" w:cs="Times New Roman"/>
          <w:sz w:val="24"/>
        </w:rPr>
        <w:t>au</w:t>
      </w:r>
      <w:r w:rsidR="00926657" w:rsidRPr="00D758CD">
        <w:rPr>
          <w:rFonts w:ascii="Times New Roman" w:hAnsi="Times New Roman" w:cs="Times New Roman"/>
          <w:sz w:val="24"/>
        </w:rPr>
        <w:t>x</w:t>
      </w:r>
      <w:r w:rsidR="00B96DF5" w:rsidRPr="00D758CD">
        <w:rPr>
          <w:rFonts w:ascii="Times New Roman" w:hAnsi="Times New Roman" w:cs="Times New Roman"/>
          <w:sz w:val="24"/>
        </w:rPr>
        <w:t xml:space="preserve"> niveau</w:t>
      </w:r>
      <w:r w:rsidR="00926657" w:rsidRPr="00D758CD">
        <w:rPr>
          <w:rFonts w:ascii="Times New Roman" w:hAnsi="Times New Roman" w:cs="Times New Roman"/>
          <w:sz w:val="24"/>
        </w:rPr>
        <w:t>x</w:t>
      </w:r>
      <w:r w:rsidR="00B96DF5" w:rsidRPr="00D758CD">
        <w:rPr>
          <w:rFonts w:ascii="Times New Roman" w:hAnsi="Times New Roman" w:cs="Times New Roman"/>
          <w:sz w:val="24"/>
        </w:rPr>
        <w:t xml:space="preserve"> des secteurs </w:t>
      </w:r>
      <w:r w:rsidR="009A3538">
        <w:rPr>
          <w:rFonts w:ascii="Times New Roman" w:hAnsi="Times New Roman" w:cs="Times New Roman"/>
          <w:sz w:val="24"/>
        </w:rPr>
        <w:t xml:space="preserve">de </w:t>
      </w:r>
      <w:r w:rsidR="00B96DF5" w:rsidRPr="00D758CD">
        <w:rPr>
          <w:rFonts w:ascii="Times New Roman" w:hAnsi="Times New Roman" w:cs="Times New Roman"/>
          <w:sz w:val="24"/>
        </w:rPr>
        <w:t>l’</w:t>
      </w:r>
      <w:r w:rsidR="007C1A06" w:rsidRPr="00D758CD">
        <w:rPr>
          <w:rFonts w:ascii="Times New Roman" w:hAnsi="Times New Roman" w:cs="Times New Roman"/>
          <w:sz w:val="24"/>
        </w:rPr>
        <w:t>« </w:t>
      </w:r>
      <w:r w:rsidR="00B96DF5" w:rsidRPr="00D758CD">
        <w:rPr>
          <w:rFonts w:ascii="Times New Roman" w:hAnsi="Times New Roman" w:cs="Times New Roman"/>
          <w:sz w:val="24"/>
        </w:rPr>
        <w:t xml:space="preserve">agriculture, sylviculture et pêche », </w:t>
      </w:r>
      <w:r w:rsidR="009A3538">
        <w:rPr>
          <w:rFonts w:ascii="Times New Roman" w:hAnsi="Times New Roman" w:cs="Times New Roman"/>
          <w:sz w:val="24"/>
        </w:rPr>
        <w:t>d</w:t>
      </w:r>
      <w:r w:rsidR="00B96DF5" w:rsidRPr="00D758CD">
        <w:rPr>
          <w:rFonts w:ascii="Times New Roman" w:hAnsi="Times New Roman" w:cs="Times New Roman"/>
          <w:sz w:val="24"/>
        </w:rPr>
        <w:t xml:space="preserve">es « industries extractives et manufacturières », </w:t>
      </w:r>
      <w:r w:rsidR="009A3538">
        <w:rPr>
          <w:rFonts w:ascii="Times New Roman" w:hAnsi="Times New Roman" w:cs="Times New Roman"/>
          <w:sz w:val="24"/>
        </w:rPr>
        <w:t>d</w:t>
      </w:r>
      <w:r w:rsidR="00B96DF5" w:rsidRPr="00D758CD">
        <w:rPr>
          <w:rFonts w:ascii="Times New Roman" w:hAnsi="Times New Roman" w:cs="Times New Roman"/>
          <w:sz w:val="24"/>
        </w:rPr>
        <w:t>es « eaux et électricité »</w:t>
      </w:r>
      <w:r w:rsidRPr="00D758CD">
        <w:rPr>
          <w:rFonts w:ascii="Times New Roman" w:hAnsi="Times New Roman" w:cs="Times New Roman"/>
          <w:sz w:val="24"/>
        </w:rPr>
        <w:t xml:space="preserve"> et </w:t>
      </w:r>
      <w:r w:rsidR="009A3538">
        <w:rPr>
          <w:rFonts w:ascii="Times New Roman" w:hAnsi="Times New Roman" w:cs="Times New Roman"/>
          <w:sz w:val="24"/>
        </w:rPr>
        <w:t xml:space="preserve">de </w:t>
      </w:r>
      <w:r w:rsidR="007C1A06">
        <w:rPr>
          <w:rFonts w:ascii="Times New Roman" w:hAnsi="Times New Roman" w:cs="Times New Roman"/>
          <w:sz w:val="24"/>
        </w:rPr>
        <w:t>la</w:t>
      </w:r>
      <w:r w:rsidRPr="00D758CD">
        <w:rPr>
          <w:rFonts w:ascii="Times New Roman" w:hAnsi="Times New Roman" w:cs="Times New Roman"/>
          <w:sz w:val="24"/>
        </w:rPr>
        <w:t xml:space="preserve">  « construction ».</w:t>
      </w:r>
    </w:p>
    <w:p w:rsidR="00920502" w:rsidRPr="003E64A9" w:rsidRDefault="009B4C0D" w:rsidP="00252175">
      <w:pPr>
        <w:pStyle w:val="Titre1"/>
        <w:spacing w:before="120" w:after="120"/>
        <w:rPr>
          <w:rFonts w:ascii="Times New Roman" w:hAnsi="Times New Roman" w:cs="Times New Roman"/>
          <w:b/>
          <w:i/>
          <w:iCs/>
          <w:color w:val="0000FF"/>
          <w:sz w:val="24"/>
          <w:szCs w:val="24"/>
        </w:rPr>
      </w:pPr>
      <w:r>
        <w:rPr>
          <w:rFonts w:ascii="Times New Roman" w:hAnsi="Times New Roman" w:cs="Times New Roman"/>
          <w:b/>
          <w:i/>
          <w:iCs/>
          <w:color w:val="0000FF"/>
          <w:sz w:val="24"/>
          <w:szCs w:val="24"/>
        </w:rPr>
        <w:t>L</w:t>
      </w:r>
      <w:r w:rsidR="00920502" w:rsidRPr="003E64A9">
        <w:rPr>
          <w:rFonts w:ascii="Times New Roman" w:hAnsi="Times New Roman" w:cs="Times New Roman"/>
          <w:b/>
          <w:i/>
          <w:iCs/>
          <w:color w:val="0000FF"/>
          <w:sz w:val="24"/>
          <w:szCs w:val="24"/>
        </w:rPr>
        <w:t xml:space="preserve">’administration enregistre </w:t>
      </w:r>
      <w:r w:rsidR="001F0DC5">
        <w:rPr>
          <w:rFonts w:ascii="Times New Roman" w:hAnsi="Times New Roman" w:cs="Times New Roman"/>
          <w:b/>
          <w:i/>
          <w:iCs/>
          <w:color w:val="0000FF"/>
          <w:sz w:val="24"/>
          <w:szCs w:val="24"/>
        </w:rPr>
        <w:t>un</w:t>
      </w:r>
      <w:r w:rsidR="001F0DC5" w:rsidRPr="003E64A9">
        <w:rPr>
          <w:rFonts w:ascii="Times New Roman" w:hAnsi="Times New Roman" w:cs="Times New Roman"/>
          <w:b/>
          <w:i/>
          <w:iCs/>
          <w:color w:val="0000FF"/>
          <w:sz w:val="24"/>
          <w:szCs w:val="24"/>
        </w:rPr>
        <w:t xml:space="preserve"> déclassement</w:t>
      </w:r>
      <w:r w:rsidR="00252175">
        <w:rPr>
          <w:rFonts w:ascii="Times New Roman" w:hAnsi="Times New Roman" w:cs="Times New Roman"/>
          <w:b/>
          <w:i/>
          <w:iCs/>
          <w:color w:val="0000FF"/>
          <w:sz w:val="24"/>
          <w:szCs w:val="24"/>
        </w:rPr>
        <w:t xml:space="preserve"> par diplôme</w:t>
      </w:r>
      <w:r w:rsidR="001F0DC5" w:rsidRPr="003E64A9">
        <w:rPr>
          <w:rFonts w:ascii="Times New Roman" w:hAnsi="Times New Roman" w:cs="Times New Roman"/>
          <w:b/>
          <w:i/>
          <w:iCs/>
          <w:color w:val="0000FF"/>
          <w:sz w:val="24"/>
          <w:szCs w:val="24"/>
        </w:rPr>
        <w:t xml:space="preserve"> </w:t>
      </w:r>
      <w:r w:rsidR="001F0DC5">
        <w:rPr>
          <w:rFonts w:ascii="Times New Roman" w:hAnsi="Times New Roman" w:cs="Times New Roman"/>
          <w:b/>
          <w:i/>
          <w:iCs/>
          <w:color w:val="0000FF"/>
          <w:sz w:val="24"/>
          <w:szCs w:val="24"/>
        </w:rPr>
        <w:t>de</w:t>
      </w:r>
      <w:r w:rsidR="00920502" w:rsidRPr="003E64A9">
        <w:rPr>
          <w:rFonts w:ascii="Times New Roman" w:hAnsi="Times New Roman" w:cs="Times New Roman"/>
          <w:b/>
          <w:i/>
          <w:iCs/>
          <w:color w:val="0000FF"/>
          <w:sz w:val="24"/>
          <w:szCs w:val="24"/>
        </w:rPr>
        <w:t xml:space="preserve"> faible </w:t>
      </w:r>
      <w:r w:rsidR="00CF2057" w:rsidRPr="003E64A9">
        <w:rPr>
          <w:rFonts w:ascii="Times New Roman" w:hAnsi="Times New Roman" w:cs="Times New Roman"/>
          <w:b/>
          <w:i/>
          <w:iCs/>
          <w:color w:val="0000FF"/>
          <w:sz w:val="24"/>
          <w:szCs w:val="24"/>
        </w:rPr>
        <w:t>prévalence</w:t>
      </w:r>
      <w:r w:rsidR="001F0DC5">
        <w:rPr>
          <w:rFonts w:ascii="Times New Roman" w:hAnsi="Times New Roman" w:cs="Times New Roman"/>
          <w:b/>
          <w:i/>
          <w:iCs/>
          <w:color w:val="0000FF"/>
          <w:sz w:val="24"/>
          <w:szCs w:val="24"/>
        </w:rPr>
        <w:t>,</w:t>
      </w:r>
      <w:r w:rsidR="00CF2057" w:rsidRPr="003E64A9">
        <w:rPr>
          <w:rFonts w:ascii="Times New Roman" w:hAnsi="Times New Roman" w:cs="Times New Roman"/>
          <w:b/>
          <w:i/>
          <w:iCs/>
          <w:color w:val="0000FF"/>
          <w:sz w:val="24"/>
          <w:szCs w:val="24"/>
        </w:rPr>
        <w:t xml:space="preserve"> </w:t>
      </w:r>
      <w:r w:rsidR="00920502" w:rsidRPr="003E64A9">
        <w:rPr>
          <w:rFonts w:ascii="Times New Roman" w:hAnsi="Times New Roman" w:cs="Times New Roman"/>
          <w:b/>
          <w:i/>
          <w:iCs/>
          <w:color w:val="0000FF"/>
          <w:sz w:val="24"/>
          <w:szCs w:val="24"/>
        </w:rPr>
        <w:t>en comparaison avec les autres secteurs d’activités.</w:t>
      </w:r>
    </w:p>
    <w:p w:rsidR="00904C59" w:rsidRDefault="000D742E" w:rsidP="00CA2A87">
      <w:pPr>
        <w:keepNext/>
        <w:keepLines/>
        <w:spacing w:before="120" w:after="120" w:line="240" w:lineRule="auto"/>
        <w:ind w:firstLine="709"/>
        <w:jc w:val="both"/>
        <w:rPr>
          <w:rFonts w:ascii="Times New Roman" w:hAnsi="Times New Roman" w:cs="Times New Roman"/>
          <w:sz w:val="24"/>
        </w:rPr>
      </w:pPr>
      <w:r w:rsidRPr="00D758CD">
        <w:rPr>
          <w:rFonts w:ascii="Times New Roman" w:hAnsi="Times New Roman" w:cs="Times New Roman"/>
          <w:sz w:val="24"/>
        </w:rPr>
        <w:t>L</w:t>
      </w:r>
      <w:r w:rsidR="00CA2A87">
        <w:rPr>
          <w:rFonts w:ascii="Times New Roman" w:hAnsi="Times New Roman" w:cs="Times New Roman"/>
          <w:sz w:val="24"/>
        </w:rPr>
        <w:t xml:space="preserve">es </w:t>
      </w:r>
      <w:r w:rsidR="00FF5D14" w:rsidRPr="00D758CD">
        <w:rPr>
          <w:rFonts w:ascii="Times New Roman" w:hAnsi="Times New Roman" w:cs="Times New Roman"/>
          <w:sz w:val="24"/>
        </w:rPr>
        <w:t>taux</w:t>
      </w:r>
      <w:r w:rsidR="00B71845" w:rsidRPr="00D758CD">
        <w:rPr>
          <w:rFonts w:ascii="Times New Roman" w:hAnsi="Times New Roman" w:cs="Times New Roman"/>
          <w:sz w:val="24"/>
        </w:rPr>
        <w:t xml:space="preserve"> de déclassement </w:t>
      </w:r>
      <w:r w:rsidR="00763BB1">
        <w:rPr>
          <w:rFonts w:ascii="Times New Roman" w:hAnsi="Times New Roman" w:cs="Times New Roman"/>
          <w:sz w:val="24"/>
        </w:rPr>
        <w:t>par</w:t>
      </w:r>
      <w:r w:rsidR="00B71845" w:rsidRPr="00D758CD">
        <w:rPr>
          <w:rFonts w:ascii="Times New Roman" w:hAnsi="Times New Roman" w:cs="Times New Roman"/>
          <w:sz w:val="24"/>
        </w:rPr>
        <w:t xml:space="preserve"> secteurs d’activités </w:t>
      </w:r>
      <w:r w:rsidR="00A20488">
        <w:rPr>
          <w:rFonts w:ascii="Times New Roman" w:hAnsi="Times New Roman" w:cs="Times New Roman"/>
          <w:sz w:val="24"/>
        </w:rPr>
        <w:t>et par</w:t>
      </w:r>
      <w:r w:rsidR="00B71845" w:rsidRPr="00D758CD">
        <w:rPr>
          <w:rFonts w:ascii="Times New Roman" w:hAnsi="Times New Roman" w:cs="Times New Roman"/>
          <w:sz w:val="24"/>
        </w:rPr>
        <w:t xml:space="preserve"> groupes de </w:t>
      </w:r>
      <w:r w:rsidR="00ED4763" w:rsidRPr="00D758CD">
        <w:rPr>
          <w:rFonts w:ascii="Times New Roman" w:hAnsi="Times New Roman" w:cs="Times New Roman"/>
          <w:sz w:val="24"/>
        </w:rPr>
        <w:t>diplômes</w:t>
      </w:r>
      <w:r w:rsidR="00B71845" w:rsidRPr="00D758CD">
        <w:rPr>
          <w:rFonts w:ascii="Times New Roman" w:hAnsi="Times New Roman" w:cs="Times New Roman"/>
          <w:sz w:val="24"/>
        </w:rPr>
        <w:t xml:space="preserve"> </w:t>
      </w:r>
      <w:r w:rsidR="00CA2A87">
        <w:rPr>
          <w:rFonts w:ascii="Times New Roman" w:hAnsi="Times New Roman" w:cs="Times New Roman"/>
          <w:sz w:val="24"/>
        </w:rPr>
        <w:t xml:space="preserve">évoluent de </w:t>
      </w:r>
      <w:r w:rsidR="00B27FC8" w:rsidRPr="00D758CD">
        <w:rPr>
          <w:rFonts w:ascii="Times New Roman" w:hAnsi="Times New Roman" w:cs="Times New Roman"/>
          <w:sz w:val="24"/>
        </w:rPr>
        <w:t xml:space="preserve">la même </w:t>
      </w:r>
      <w:r w:rsidR="00CA2A87">
        <w:rPr>
          <w:rFonts w:ascii="Times New Roman" w:hAnsi="Times New Roman" w:cs="Times New Roman"/>
          <w:sz w:val="24"/>
        </w:rPr>
        <w:t>façon</w:t>
      </w:r>
      <w:r w:rsidR="00904C59" w:rsidRPr="004A57F4">
        <w:rPr>
          <w:rFonts w:ascii="Times New Roman" w:hAnsi="Times New Roman" w:cs="Times New Roman"/>
          <w:sz w:val="24"/>
        </w:rPr>
        <w:t xml:space="preserve">, avec trois valeurs basses localement aux niveaux du secondaire qualifiant, du </w:t>
      </w:r>
      <w:r w:rsidR="00904C59">
        <w:rPr>
          <w:rFonts w:ascii="Times New Roman" w:hAnsi="Times New Roman" w:cs="Times New Roman"/>
          <w:sz w:val="24"/>
        </w:rPr>
        <w:t>doctorat</w:t>
      </w:r>
      <w:r w:rsidR="00904C59" w:rsidRPr="004A57F4">
        <w:rPr>
          <w:rFonts w:ascii="Times New Roman" w:hAnsi="Times New Roman" w:cs="Times New Roman"/>
          <w:sz w:val="24"/>
        </w:rPr>
        <w:t xml:space="preserve"> et de la qualification professionnelle et deux valeurs élevées localement aux niveaux du DEUG et </w:t>
      </w:r>
      <w:r w:rsidR="0004302F">
        <w:rPr>
          <w:rFonts w:ascii="Times New Roman" w:hAnsi="Times New Roman" w:cs="Times New Roman"/>
          <w:sz w:val="24"/>
        </w:rPr>
        <w:t xml:space="preserve">de </w:t>
      </w:r>
      <w:r w:rsidR="00904C59" w:rsidRPr="004A57F4">
        <w:rPr>
          <w:rFonts w:ascii="Times New Roman" w:hAnsi="Times New Roman" w:cs="Times New Roman"/>
          <w:sz w:val="24"/>
        </w:rPr>
        <w:t>la licence d’une part, du technicien spécialisé et du technicien/cadre moyen d’autre part</w:t>
      </w:r>
      <w:r w:rsidR="00ED4763" w:rsidRPr="00C22F73">
        <w:rPr>
          <w:rFonts w:ascii="Times New Roman" w:hAnsi="Times New Roman" w:cs="Times New Roman"/>
          <w:sz w:val="24"/>
        </w:rPr>
        <w:t>.</w:t>
      </w:r>
    </w:p>
    <w:p w:rsidR="00FA047C" w:rsidRPr="00DD59E9" w:rsidRDefault="000B261F" w:rsidP="008C5200">
      <w:pPr>
        <w:spacing w:before="120" w:after="120" w:line="240" w:lineRule="auto"/>
        <w:ind w:firstLine="709"/>
        <w:jc w:val="both"/>
        <w:rPr>
          <w:rFonts w:ascii="Times New Roman" w:hAnsi="Times New Roman" w:cs="Times New Roman"/>
          <w:sz w:val="24"/>
        </w:rPr>
      </w:pPr>
      <w:r w:rsidRPr="00DD59E9">
        <w:rPr>
          <w:rFonts w:ascii="Times New Roman" w:hAnsi="Times New Roman" w:cs="Times New Roman"/>
          <w:sz w:val="24"/>
        </w:rPr>
        <w:t>L</w:t>
      </w:r>
      <w:r w:rsidR="00575EA1" w:rsidRPr="00DD59E9">
        <w:rPr>
          <w:rFonts w:ascii="Times New Roman" w:hAnsi="Times New Roman" w:cs="Times New Roman"/>
          <w:sz w:val="24"/>
        </w:rPr>
        <w:t>es secteurs sont encadrées d</w:t>
      </w:r>
      <w:r w:rsidR="00CF50CA" w:rsidRPr="00DD59E9">
        <w:rPr>
          <w:rFonts w:ascii="Times New Roman" w:hAnsi="Times New Roman" w:cs="Times New Roman"/>
          <w:sz w:val="24"/>
        </w:rPr>
        <w:t>’</w:t>
      </w:r>
      <w:r w:rsidR="00575EA1" w:rsidRPr="00DD59E9">
        <w:rPr>
          <w:rFonts w:ascii="Times New Roman" w:hAnsi="Times New Roman" w:cs="Times New Roman"/>
          <w:sz w:val="24"/>
        </w:rPr>
        <w:t xml:space="preserve">en haut par </w:t>
      </w:r>
      <w:r w:rsidR="00C416F1" w:rsidRPr="00DD59E9">
        <w:rPr>
          <w:rFonts w:ascii="Times New Roman" w:hAnsi="Times New Roman" w:cs="Times New Roman"/>
          <w:sz w:val="24"/>
        </w:rPr>
        <w:t>les taux de déclassement</w:t>
      </w:r>
      <w:r w:rsidR="00575EA1" w:rsidRPr="00DD59E9">
        <w:rPr>
          <w:rFonts w:ascii="Times New Roman" w:hAnsi="Times New Roman" w:cs="Times New Roman"/>
          <w:sz w:val="24"/>
        </w:rPr>
        <w:t xml:space="preserve"> du secteur de </w:t>
      </w:r>
      <w:r w:rsidR="00A20488">
        <w:rPr>
          <w:rFonts w:ascii="Times New Roman" w:hAnsi="Times New Roman" w:cs="Times New Roman"/>
          <w:sz w:val="24"/>
        </w:rPr>
        <w:t>« </w:t>
      </w:r>
      <w:r w:rsidR="00575EA1" w:rsidRPr="00DD59E9">
        <w:rPr>
          <w:rFonts w:ascii="Times New Roman" w:hAnsi="Times New Roman" w:cs="Times New Roman"/>
          <w:sz w:val="24"/>
        </w:rPr>
        <w:t>l’agriculture</w:t>
      </w:r>
      <w:r w:rsidR="00CF50CA" w:rsidRPr="00DD59E9">
        <w:rPr>
          <w:rFonts w:ascii="Times New Roman" w:hAnsi="Times New Roman" w:cs="Times New Roman"/>
          <w:sz w:val="24"/>
        </w:rPr>
        <w:t xml:space="preserve">, </w:t>
      </w:r>
      <w:r w:rsidR="00575EA1" w:rsidRPr="00DD59E9">
        <w:rPr>
          <w:rFonts w:ascii="Times New Roman" w:hAnsi="Times New Roman" w:cs="Times New Roman"/>
          <w:sz w:val="24"/>
        </w:rPr>
        <w:t>sylviculture</w:t>
      </w:r>
      <w:r w:rsidR="00CF50CA" w:rsidRPr="00DD59E9">
        <w:rPr>
          <w:rFonts w:ascii="Times New Roman" w:hAnsi="Times New Roman" w:cs="Times New Roman"/>
          <w:sz w:val="24"/>
        </w:rPr>
        <w:t xml:space="preserve"> et pêche</w:t>
      </w:r>
      <w:r w:rsidR="00A20488">
        <w:rPr>
          <w:rFonts w:ascii="Times New Roman" w:hAnsi="Times New Roman" w:cs="Times New Roman"/>
          <w:sz w:val="24"/>
        </w:rPr>
        <w:t> »</w:t>
      </w:r>
      <w:r w:rsidR="00CF50CA" w:rsidRPr="00DD59E9">
        <w:rPr>
          <w:rFonts w:ascii="Times New Roman" w:hAnsi="Times New Roman" w:cs="Times New Roman"/>
          <w:sz w:val="24"/>
        </w:rPr>
        <w:t xml:space="preserve"> et d’en bas par l</w:t>
      </w:r>
      <w:r w:rsidR="00C416F1" w:rsidRPr="00DD59E9">
        <w:rPr>
          <w:rFonts w:ascii="Times New Roman" w:hAnsi="Times New Roman" w:cs="Times New Roman"/>
          <w:sz w:val="24"/>
        </w:rPr>
        <w:t>es taux de déclassement de « </w:t>
      </w:r>
      <w:r w:rsidR="00CF50CA" w:rsidRPr="00DD59E9">
        <w:rPr>
          <w:rFonts w:ascii="Times New Roman" w:hAnsi="Times New Roman" w:cs="Times New Roman"/>
          <w:sz w:val="24"/>
        </w:rPr>
        <w:t>l’administration publique, enseignement, santé humaine et action social</w:t>
      </w:r>
      <w:r w:rsidR="00FA047C" w:rsidRPr="00DD59E9">
        <w:rPr>
          <w:rFonts w:ascii="Times New Roman" w:hAnsi="Times New Roman" w:cs="Times New Roman"/>
          <w:sz w:val="24"/>
        </w:rPr>
        <w:t>e</w:t>
      </w:r>
      <w:r w:rsidR="00763BB1" w:rsidRPr="00DD59E9">
        <w:rPr>
          <w:rFonts w:ascii="Times New Roman" w:hAnsi="Times New Roman" w:cs="Times New Roman"/>
          <w:sz w:val="24"/>
        </w:rPr>
        <w:t> »</w:t>
      </w:r>
      <w:r w:rsidR="00FA047C" w:rsidRPr="00DD59E9">
        <w:rPr>
          <w:rFonts w:ascii="Times New Roman" w:hAnsi="Times New Roman" w:cs="Times New Roman"/>
          <w:sz w:val="24"/>
        </w:rPr>
        <w:t xml:space="preserve"> enregistrant les taux de déclassement les plus bas pour tous les groupes de diplômes. </w:t>
      </w:r>
      <w:r w:rsidR="008C5200">
        <w:rPr>
          <w:rFonts w:ascii="Times New Roman" w:hAnsi="Times New Roman" w:cs="Times New Roman"/>
          <w:sz w:val="24"/>
        </w:rPr>
        <w:t xml:space="preserve">Autrement dit, </w:t>
      </w:r>
      <w:r w:rsidR="00FA047C" w:rsidRPr="00DD59E9">
        <w:rPr>
          <w:rFonts w:ascii="Times New Roman" w:hAnsi="Times New Roman" w:cs="Times New Roman"/>
          <w:sz w:val="24"/>
        </w:rPr>
        <w:t xml:space="preserve">le déclassement existe dans l’administration mais sa prévalence </w:t>
      </w:r>
      <w:r w:rsidR="003E64A9">
        <w:rPr>
          <w:rFonts w:ascii="Times New Roman" w:hAnsi="Times New Roman" w:cs="Times New Roman"/>
          <w:sz w:val="24"/>
        </w:rPr>
        <w:t xml:space="preserve">par diplôme </w:t>
      </w:r>
      <w:r w:rsidR="00FA047C" w:rsidRPr="00DD59E9">
        <w:rPr>
          <w:rFonts w:ascii="Times New Roman" w:hAnsi="Times New Roman" w:cs="Times New Roman"/>
          <w:sz w:val="24"/>
        </w:rPr>
        <w:t>est la plus faible en comparaison avec les autres secteurs d’activités.</w:t>
      </w:r>
    </w:p>
    <w:p w:rsidR="00057184" w:rsidRPr="00D758CD" w:rsidRDefault="00057184" w:rsidP="009B4C0D">
      <w:pPr>
        <w:spacing w:before="120" w:after="120" w:line="240" w:lineRule="auto"/>
        <w:ind w:firstLine="709"/>
        <w:jc w:val="both"/>
        <w:rPr>
          <w:rFonts w:ascii="Times New Roman" w:hAnsi="Times New Roman" w:cs="Times New Roman"/>
          <w:sz w:val="24"/>
        </w:rPr>
      </w:pPr>
      <w:r w:rsidRPr="00D758CD">
        <w:rPr>
          <w:rFonts w:ascii="Times New Roman" w:hAnsi="Times New Roman" w:cs="Times New Roman"/>
          <w:sz w:val="24"/>
        </w:rPr>
        <w:t>Les diplômés du secondaire collégial et qualifiant ont comme premier secteur d’</w:t>
      </w:r>
      <w:r w:rsidR="007417AD">
        <w:rPr>
          <w:rFonts w:ascii="Times New Roman" w:hAnsi="Times New Roman" w:cs="Times New Roman"/>
          <w:sz w:val="24"/>
        </w:rPr>
        <w:t>activité « </w:t>
      </w:r>
      <w:r w:rsidRPr="00D758CD">
        <w:rPr>
          <w:rFonts w:ascii="Times New Roman" w:hAnsi="Times New Roman" w:cs="Times New Roman"/>
          <w:sz w:val="24"/>
        </w:rPr>
        <w:t>l’agriculture, sylviculture et pêche</w:t>
      </w:r>
      <w:r w:rsidR="007417AD">
        <w:rPr>
          <w:rFonts w:ascii="Times New Roman" w:hAnsi="Times New Roman" w:cs="Times New Roman"/>
          <w:sz w:val="24"/>
        </w:rPr>
        <w:t> »</w:t>
      </w:r>
      <w:r w:rsidRPr="00D758CD">
        <w:rPr>
          <w:rFonts w:ascii="Times New Roman" w:hAnsi="Times New Roman" w:cs="Times New Roman"/>
          <w:sz w:val="24"/>
        </w:rPr>
        <w:t xml:space="preserve"> alors que les techniciens spécialisés et les technicien/cadres moyens y exercent faiblement (2% à 4%) et leur premier secteur d’activité est l’administration publique. </w:t>
      </w:r>
    </w:p>
    <w:p w:rsidR="00057184" w:rsidRDefault="00057184" w:rsidP="001E28BB">
      <w:pPr>
        <w:spacing w:before="120" w:after="120" w:line="240" w:lineRule="auto"/>
        <w:ind w:firstLine="709"/>
        <w:jc w:val="both"/>
        <w:rPr>
          <w:rFonts w:ascii="Times New Roman" w:hAnsi="Times New Roman" w:cs="Times New Roman"/>
          <w:sz w:val="24"/>
        </w:rPr>
      </w:pPr>
      <w:r w:rsidRPr="00D758CD">
        <w:rPr>
          <w:rFonts w:ascii="Times New Roman" w:hAnsi="Times New Roman" w:cs="Times New Roman"/>
          <w:sz w:val="24"/>
        </w:rPr>
        <w:t>Quatre groupes de diplômes priment dans chaque secteur, par l’importance de</w:t>
      </w:r>
      <w:r w:rsidR="008C5200">
        <w:rPr>
          <w:rFonts w:ascii="Times New Roman" w:hAnsi="Times New Roman" w:cs="Times New Roman"/>
          <w:sz w:val="24"/>
        </w:rPr>
        <w:t xml:space="preserve"> leur</w:t>
      </w:r>
      <w:r w:rsidRPr="00D758CD">
        <w:rPr>
          <w:rFonts w:ascii="Times New Roman" w:hAnsi="Times New Roman" w:cs="Times New Roman"/>
          <w:sz w:val="24"/>
        </w:rPr>
        <w:t>s parts de déclassés. Il s’agit des diplômes du secondaire collégial, de licence, de technicien spécialisé et des technicien/cadre moyen. Les diplômés du secondaire collégial sont les seuls déclassés à être en masse dans le secteur de l’agriculture, sylviculture et pêche (55,4%) et ils sont faiblement représentés dans le secteur de l’administration publique (3%).</w:t>
      </w:r>
    </w:p>
    <w:p w:rsidR="00B82674" w:rsidRPr="00763BB0" w:rsidRDefault="008A735B" w:rsidP="00124EB0">
      <w:pPr>
        <w:keepNext/>
        <w:keepLines/>
        <w:spacing w:before="120" w:after="120" w:line="240" w:lineRule="auto"/>
        <w:jc w:val="both"/>
        <w:rPr>
          <w:rFonts w:ascii="Times New Roman" w:hAnsi="Times New Roman" w:cs="Times New Roman"/>
          <w:b/>
          <w:bCs/>
          <w:smallCaps/>
          <w:color w:val="0000FF"/>
          <w:sz w:val="28"/>
          <w:szCs w:val="24"/>
        </w:rPr>
      </w:pPr>
      <w:r w:rsidRPr="00763BB0">
        <w:rPr>
          <w:rFonts w:ascii="Times New Roman" w:hAnsi="Times New Roman" w:cs="Times New Roman"/>
          <w:b/>
          <w:bCs/>
          <w:smallCaps/>
          <w:color w:val="0000FF"/>
          <w:sz w:val="28"/>
          <w:szCs w:val="24"/>
        </w:rPr>
        <w:lastRenderedPageBreak/>
        <w:t>Conclusion</w:t>
      </w:r>
    </w:p>
    <w:p w:rsidR="00C241BC" w:rsidRDefault="00FB79EC" w:rsidP="00124EB0">
      <w:pPr>
        <w:keepNext/>
        <w:keepLines/>
        <w:spacing w:after="60" w:line="240" w:lineRule="auto"/>
        <w:ind w:firstLine="709"/>
        <w:jc w:val="both"/>
        <w:rPr>
          <w:rFonts w:ascii="Times New Roman" w:hAnsi="Times New Roman" w:cs="Times New Roman"/>
          <w:sz w:val="24"/>
          <w:szCs w:val="24"/>
        </w:rPr>
      </w:pPr>
      <w:r w:rsidRPr="00075997">
        <w:rPr>
          <w:rFonts w:ascii="Times New Roman" w:hAnsi="Times New Roman" w:cs="Times New Roman"/>
          <w:sz w:val="24"/>
          <w:szCs w:val="24"/>
        </w:rPr>
        <w:t>52,</w:t>
      </w:r>
      <w:r w:rsidR="00F74A25">
        <w:rPr>
          <w:rFonts w:ascii="Times New Roman" w:hAnsi="Times New Roman" w:cs="Times New Roman"/>
          <w:sz w:val="24"/>
          <w:szCs w:val="24"/>
        </w:rPr>
        <w:t>2</w:t>
      </w:r>
      <w:r w:rsidRPr="00075997">
        <w:rPr>
          <w:rFonts w:ascii="Times New Roman" w:hAnsi="Times New Roman" w:cs="Times New Roman"/>
          <w:sz w:val="24"/>
          <w:szCs w:val="24"/>
        </w:rPr>
        <w:t>%</w:t>
      </w:r>
      <w:r>
        <w:rPr>
          <w:rFonts w:ascii="Times New Roman" w:hAnsi="Times New Roman" w:cs="Times New Roman"/>
          <w:sz w:val="24"/>
          <w:szCs w:val="24"/>
        </w:rPr>
        <w:t xml:space="preserve"> </w:t>
      </w:r>
      <w:r w:rsidR="008C1C61" w:rsidRPr="00075997">
        <w:rPr>
          <w:rFonts w:ascii="Times New Roman" w:hAnsi="Times New Roman" w:cs="Times New Roman"/>
          <w:sz w:val="24"/>
          <w:szCs w:val="24"/>
        </w:rPr>
        <w:t xml:space="preserve">de la population active occupée </w:t>
      </w:r>
      <w:r w:rsidR="00B43859" w:rsidRPr="00075997">
        <w:rPr>
          <w:rFonts w:ascii="Times New Roman" w:hAnsi="Times New Roman" w:cs="Times New Roman"/>
          <w:sz w:val="24"/>
          <w:szCs w:val="24"/>
        </w:rPr>
        <w:t>recensée en 2014</w:t>
      </w:r>
      <w:r>
        <w:rPr>
          <w:rFonts w:ascii="Times New Roman" w:hAnsi="Times New Roman" w:cs="Times New Roman"/>
          <w:sz w:val="24"/>
          <w:szCs w:val="24"/>
        </w:rPr>
        <w:t xml:space="preserve"> </w:t>
      </w:r>
      <w:r w:rsidR="008C1C61" w:rsidRPr="00075997">
        <w:rPr>
          <w:rFonts w:ascii="Times New Roman" w:hAnsi="Times New Roman" w:cs="Times New Roman"/>
          <w:sz w:val="24"/>
          <w:szCs w:val="24"/>
        </w:rPr>
        <w:t>ne détien</w:t>
      </w:r>
      <w:r>
        <w:rPr>
          <w:rFonts w:ascii="Times New Roman" w:hAnsi="Times New Roman" w:cs="Times New Roman"/>
          <w:sz w:val="24"/>
          <w:szCs w:val="24"/>
        </w:rPr>
        <w:t>nent</w:t>
      </w:r>
      <w:r w:rsidR="008C1C61" w:rsidRPr="00075997">
        <w:rPr>
          <w:rFonts w:ascii="Times New Roman" w:hAnsi="Times New Roman" w:cs="Times New Roman"/>
          <w:sz w:val="24"/>
          <w:szCs w:val="24"/>
        </w:rPr>
        <w:t xml:space="preserve"> aucun diplôme</w:t>
      </w:r>
      <w:r>
        <w:rPr>
          <w:rFonts w:ascii="Times New Roman" w:hAnsi="Times New Roman" w:cs="Times New Roman"/>
          <w:sz w:val="24"/>
          <w:szCs w:val="24"/>
        </w:rPr>
        <w:t>,</w:t>
      </w:r>
      <w:r w:rsidR="00B43859" w:rsidRPr="00075997">
        <w:rPr>
          <w:rFonts w:ascii="Times New Roman" w:hAnsi="Times New Roman" w:cs="Times New Roman"/>
          <w:sz w:val="24"/>
          <w:szCs w:val="24"/>
        </w:rPr>
        <w:t xml:space="preserve"> </w:t>
      </w:r>
      <w:r w:rsidR="00C7251D" w:rsidRPr="00075997">
        <w:rPr>
          <w:rFonts w:ascii="Times New Roman" w:hAnsi="Times New Roman" w:cs="Times New Roman"/>
          <w:sz w:val="24"/>
          <w:szCs w:val="24"/>
        </w:rPr>
        <w:t>3</w:t>
      </w:r>
      <w:r w:rsidR="00C7251D">
        <w:rPr>
          <w:rFonts w:ascii="Times New Roman" w:hAnsi="Times New Roman" w:cs="Times New Roman"/>
          <w:sz w:val="24"/>
          <w:szCs w:val="24"/>
        </w:rPr>
        <w:t>8</w:t>
      </w:r>
      <w:r w:rsidR="00E135E6" w:rsidRPr="00075997">
        <w:rPr>
          <w:rFonts w:ascii="Times New Roman" w:hAnsi="Times New Roman" w:cs="Times New Roman"/>
          <w:sz w:val="24"/>
          <w:szCs w:val="24"/>
        </w:rPr>
        <w:t>,</w:t>
      </w:r>
      <w:r w:rsidR="00C7251D">
        <w:rPr>
          <w:rFonts w:ascii="Times New Roman" w:hAnsi="Times New Roman" w:cs="Times New Roman"/>
          <w:sz w:val="24"/>
          <w:szCs w:val="24"/>
        </w:rPr>
        <w:t>0</w:t>
      </w:r>
      <w:r w:rsidR="00E135E6" w:rsidRPr="00075997">
        <w:rPr>
          <w:rFonts w:ascii="Times New Roman" w:hAnsi="Times New Roman" w:cs="Times New Roman"/>
          <w:sz w:val="24"/>
          <w:szCs w:val="24"/>
        </w:rPr>
        <w:t xml:space="preserve">% </w:t>
      </w:r>
      <w:r>
        <w:rPr>
          <w:rFonts w:ascii="Times New Roman" w:hAnsi="Times New Roman" w:cs="Times New Roman"/>
          <w:sz w:val="24"/>
          <w:szCs w:val="24"/>
        </w:rPr>
        <w:t xml:space="preserve">sont </w:t>
      </w:r>
      <w:r w:rsidR="00E135E6" w:rsidRPr="00075997">
        <w:rPr>
          <w:rFonts w:ascii="Times New Roman" w:hAnsi="Times New Roman" w:cs="Times New Roman"/>
          <w:sz w:val="24"/>
          <w:szCs w:val="24"/>
        </w:rPr>
        <w:t>diplômés de l’enseignement général et 9,</w:t>
      </w:r>
      <w:r w:rsidR="00F74A25">
        <w:rPr>
          <w:rFonts w:ascii="Times New Roman" w:hAnsi="Times New Roman" w:cs="Times New Roman"/>
          <w:sz w:val="24"/>
          <w:szCs w:val="24"/>
        </w:rPr>
        <w:t>8</w:t>
      </w:r>
      <w:r w:rsidR="00E135E6" w:rsidRPr="00075997">
        <w:rPr>
          <w:rFonts w:ascii="Times New Roman" w:hAnsi="Times New Roman" w:cs="Times New Roman"/>
          <w:sz w:val="24"/>
          <w:szCs w:val="24"/>
        </w:rPr>
        <w:t>% diplôm</w:t>
      </w:r>
      <w:r w:rsidR="00B43859" w:rsidRPr="00075997">
        <w:rPr>
          <w:rFonts w:ascii="Times New Roman" w:hAnsi="Times New Roman" w:cs="Times New Roman"/>
          <w:sz w:val="24"/>
          <w:szCs w:val="24"/>
        </w:rPr>
        <w:t>és</w:t>
      </w:r>
      <w:r w:rsidR="00E135E6" w:rsidRPr="00075997">
        <w:rPr>
          <w:rFonts w:ascii="Times New Roman" w:hAnsi="Times New Roman" w:cs="Times New Roman"/>
          <w:sz w:val="24"/>
          <w:szCs w:val="24"/>
        </w:rPr>
        <w:t xml:space="preserve"> de </w:t>
      </w:r>
      <w:r w:rsidR="00B43859" w:rsidRPr="00075997">
        <w:rPr>
          <w:rFonts w:ascii="Times New Roman" w:hAnsi="Times New Roman" w:cs="Times New Roman"/>
          <w:sz w:val="24"/>
          <w:szCs w:val="24"/>
        </w:rPr>
        <w:t xml:space="preserve">la </w:t>
      </w:r>
      <w:r w:rsidR="00E135E6" w:rsidRPr="00075997">
        <w:rPr>
          <w:rFonts w:ascii="Times New Roman" w:hAnsi="Times New Roman" w:cs="Times New Roman"/>
          <w:sz w:val="24"/>
          <w:szCs w:val="24"/>
        </w:rPr>
        <w:t>formation professionnelle.</w:t>
      </w:r>
      <w:r w:rsidR="00EC4396">
        <w:rPr>
          <w:rFonts w:ascii="Times New Roman" w:hAnsi="Times New Roman" w:cs="Times New Roman"/>
          <w:sz w:val="24"/>
          <w:szCs w:val="24"/>
        </w:rPr>
        <w:t xml:space="preserve"> </w:t>
      </w:r>
      <w:r w:rsidR="00F74A25">
        <w:rPr>
          <w:rFonts w:ascii="Times New Roman" w:hAnsi="Times New Roman" w:cs="Times New Roman"/>
          <w:sz w:val="24"/>
          <w:szCs w:val="24"/>
        </w:rPr>
        <w:t>19</w:t>
      </w:r>
      <w:r w:rsidRPr="00075997">
        <w:rPr>
          <w:rFonts w:ascii="Times New Roman" w:hAnsi="Times New Roman" w:cs="Times New Roman"/>
          <w:sz w:val="24"/>
          <w:szCs w:val="24"/>
        </w:rPr>
        <w:t>,</w:t>
      </w:r>
      <w:r w:rsidR="00F74A25">
        <w:rPr>
          <w:rFonts w:ascii="Times New Roman" w:hAnsi="Times New Roman" w:cs="Times New Roman"/>
          <w:sz w:val="24"/>
          <w:szCs w:val="24"/>
        </w:rPr>
        <w:t>7</w:t>
      </w:r>
      <w:r w:rsidRPr="00075997">
        <w:rPr>
          <w:rFonts w:ascii="Times New Roman" w:hAnsi="Times New Roman" w:cs="Times New Roman"/>
          <w:sz w:val="24"/>
          <w:szCs w:val="24"/>
        </w:rPr>
        <w:t xml:space="preserve">% </w:t>
      </w:r>
      <w:r w:rsidR="00E135E6" w:rsidRPr="00075997">
        <w:rPr>
          <w:rFonts w:ascii="Times New Roman" w:hAnsi="Times New Roman" w:cs="Times New Roman"/>
          <w:sz w:val="24"/>
          <w:szCs w:val="24"/>
        </w:rPr>
        <w:t>des diplômés de l’enseignement général s</w:t>
      </w:r>
      <w:r>
        <w:rPr>
          <w:rFonts w:ascii="Times New Roman" w:hAnsi="Times New Roman" w:cs="Times New Roman"/>
          <w:sz w:val="24"/>
          <w:szCs w:val="24"/>
        </w:rPr>
        <w:t>on</w:t>
      </w:r>
      <w:r w:rsidR="00E135E6" w:rsidRPr="00075997">
        <w:rPr>
          <w:rFonts w:ascii="Times New Roman" w:hAnsi="Times New Roman" w:cs="Times New Roman"/>
          <w:sz w:val="24"/>
          <w:szCs w:val="24"/>
        </w:rPr>
        <w:t xml:space="preserve">t </w:t>
      </w:r>
      <w:r>
        <w:rPr>
          <w:rFonts w:ascii="Times New Roman" w:hAnsi="Times New Roman" w:cs="Times New Roman"/>
          <w:sz w:val="24"/>
          <w:szCs w:val="24"/>
        </w:rPr>
        <w:t>en</w:t>
      </w:r>
      <w:r w:rsidRPr="00075997">
        <w:rPr>
          <w:rFonts w:ascii="Times New Roman" w:hAnsi="Times New Roman" w:cs="Times New Roman"/>
          <w:sz w:val="24"/>
          <w:szCs w:val="24"/>
        </w:rPr>
        <w:t xml:space="preserve"> chômage </w:t>
      </w:r>
      <w:r w:rsidR="00E135E6" w:rsidRPr="00075997">
        <w:rPr>
          <w:rFonts w:ascii="Times New Roman" w:hAnsi="Times New Roman" w:cs="Times New Roman"/>
          <w:sz w:val="24"/>
          <w:szCs w:val="24"/>
        </w:rPr>
        <w:t xml:space="preserve">contre </w:t>
      </w:r>
      <w:r w:rsidR="00F74A25" w:rsidRPr="00075997">
        <w:rPr>
          <w:rFonts w:ascii="Times New Roman" w:hAnsi="Times New Roman" w:cs="Times New Roman"/>
          <w:sz w:val="24"/>
          <w:szCs w:val="24"/>
        </w:rPr>
        <w:t>2</w:t>
      </w:r>
      <w:r w:rsidR="00F74A25">
        <w:rPr>
          <w:rFonts w:ascii="Times New Roman" w:hAnsi="Times New Roman" w:cs="Times New Roman"/>
          <w:sz w:val="24"/>
          <w:szCs w:val="24"/>
        </w:rPr>
        <w:t>5,5</w:t>
      </w:r>
      <w:r w:rsidR="00E135E6" w:rsidRPr="00075997">
        <w:rPr>
          <w:rFonts w:ascii="Times New Roman" w:hAnsi="Times New Roman" w:cs="Times New Roman"/>
          <w:sz w:val="24"/>
          <w:szCs w:val="24"/>
        </w:rPr>
        <w:t>% pour les diplômés de la formation professionnelle</w:t>
      </w:r>
      <w:r w:rsidR="00B43859" w:rsidRPr="00075997">
        <w:rPr>
          <w:rFonts w:ascii="Times New Roman" w:hAnsi="Times New Roman" w:cs="Times New Roman"/>
          <w:sz w:val="24"/>
          <w:szCs w:val="24"/>
        </w:rPr>
        <w:t xml:space="preserve">. </w:t>
      </w:r>
      <w:r w:rsidR="00327E40" w:rsidRPr="00075997">
        <w:rPr>
          <w:rFonts w:ascii="Times New Roman" w:hAnsi="Times New Roman" w:cs="Times New Roman"/>
          <w:sz w:val="24"/>
          <w:szCs w:val="24"/>
        </w:rPr>
        <w:t xml:space="preserve">Le taux de chômage </w:t>
      </w:r>
      <w:r w:rsidR="00327E40">
        <w:rPr>
          <w:rFonts w:ascii="Times New Roman" w:hAnsi="Times New Roman" w:cs="Times New Roman"/>
          <w:sz w:val="24"/>
          <w:szCs w:val="24"/>
        </w:rPr>
        <w:t>diminue avec</w:t>
      </w:r>
      <w:r w:rsidR="00E135E6" w:rsidRPr="00075997">
        <w:rPr>
          <w:rFonts w:ascii="Times New Roman" w:hAnsi="Times New Roman" w:cs="Times New Roman"/>
          <w:sz w:val="24"/>
          <w:szCs w:val="24"/>
        </w:rPr>
        <w:t xml:space="preserve"> le diplôme de l’enseignement général</w:t>
      </w:r>
      <w:r w:rsidR="00327E40">
        <w:rPr>
          <w:rFonts w:ascii="Times New Roman" w:hAnsi="Times New Roman" w:cs="Times New Roman"/>
          <w:sz w:val="24"/>
          <w:szCs w:val="24"/>
        </w:rPr>
        <w:t>, par contre il</w:t>
      </w:r>
      <w:r w:rsidR="00E135E6" w:rsidRPr="00075997">
        <w:rPr>
          <w:rFonts w:ascii="Times New Roman" w:hAnsi="Times New Roman" w:cs="Times New Roman"/>
          <w:sz w:val="24"/>
          <w:szCs w:val="24"/>
        </w:rPr>
        <w:t xml:space="preserve"> augmente avec les diplômes de la formation professionnelle.</w:t>
      </w:r>
    </w:p>
    <w:p w:rsidR="00434CB3" w:rsidRPr="00075997" w:rsidRDefault="00D5662C" w:rsidP="009B4C0D">
      <w:pPr>
        <w:spacing w:after="60" w:line="240" w:lineRule="auto"/>
        <w:ind w:firstLine="709"/>
        <w:jc w:val="both"/>
        <w:rPr>
          <w:rFonts w:ascii="Times New Roman" w:hAnsi="Times New Roman" w:cs="Times New Roman"/>
          <w:sz w:val="24"/>
          <w:szCs w:val="24"/>
        </w:rPr>
      </w:pPr>
      <w:r w:rsidRPr="00075997">
        <w:rPr>
          <w:rFonts w:ascii="Times New Roman" w:hAnsi="Times New Roman" w:cs="Times New Roman"/>
          <w:sz w:val="24"/>
        </w:rPr>
        <w:t xml:space="preserve">45,7% de la population active occupée </w:t>
      </w:r>
      <w:r w:rsidR="00804637">
        <w:rPr>
          <w:rFonts w:ascii="Times New Roman" w:hAnsi="Times New Roman" w:cs="Times New Roman"/>
          <w:sz w:val="24"/>
        </w:rPr>
        <w:t xml:space="preserve">sont </w:t>
      </w:r>
      <w:r w:rsidRPr="00075997">
        <w:rPr>
          <w:rFonts w:ascii="Times New Roman" w:hAnsi="Times New Roman" w:cs="Times New Roman"/>
          <w:sz w:val="24"/>
        </w:rPr>
        <w:t>en situation d’adéquation, 7,6% en situation de déclassement et 46,7% en situation de surclassement.</w:t>
      </w:r>
      <w:r w:rsidR="004F76F2">
        <w:rPr>
          <w:rFonts w:ascii="Times New Roman" w:hAnsi="Times New Roman" w:cs="Times New Roman"/>
          <w:sz w:val="24"/>
        </w:rPr>
        <w:t xml:space="preserve"> </w:t>
      </w:r>
      <w:r w:rsidR="007A4837" w:rsidRPr="00075997">
        <w:rPr>
          <w:rFonts w:ascii="Times New Roman" w:hAnsi="Times New Roman" w:cs="Times New Roman"/>
          <w:sz w:val="24"/>
          <w:szCs w:val="24"/>
        </w:rPr>
        <w:t>Les diplômés de l’enseignement général ont enregistré un taux de déclassement de 11,6% contre 33,6% pour les diplôm</w:t>
      </w:r>
      <w:r w:rsidR="009852AB">
        <w:rPr>
          <w:rFonts w:ascii="Times New Roman" w:hAnsi="Times New Roman" w:cs="Times New Roman"/>
          <w:sz w:val="24"/>
          <w:szCs w:val="24"/>
        </w:rPr>
        <w:t>é</w:t>
      </w:r>
      <w:r w:rsidR="007A4837" w:rsidRPr="00075997">
        <w:rPr>
          <w:rFonts w:ascii="Times New Roman" w:hAnsi="Times New Roman" w:cs="Times New Roman"/>
          <w:sz w:val="24"/>
          <w:szCs w:val="24"/>
        </w:rPr>
        <w:t xml:space="preserve">s de </w:t>
      </w:r>
      <w:r w:rsidR="009852AB">
        <w:rPr>
          <w:rFonts w:ascii="Times New Roman" w:hAnsi="Times New Roman" w:cs="Times New Roman"/>
          <w:sz w:val="24"/>
          <w:szCs w:val="24"/>
        </w:rPr>
        <w:t xml:space="preserve">la </w:t>
      </w:r>
      <w:r w:rsidR="007A4837" w:rsidRPr="00075997">
        <w:rPr>
          <w:rFonts w:ascii="Times New Roman" w:hAnsi="Times New Roman" w:cs="Times New Roman"/>
          <w:sz w:val="24"/>
          <w:szCs w:val="24"/>
        </w:rPr>
        <w:t>formation professionnelle, soit trois fois.</w:t>
      </w:r>
    </w:p>
    <w:p w:rsidR="0027099C" w:rsidRPr="00075997" w:rsidRDefault="0027099C" w:rsidP="009B4C0D">
      <w:pPr>
        <w:spacing w:after="60" w:line="240" w:lineRule="auto"/>
        <w:ind w:firstLine="709"/>
        <w:jc w:val="both"/>
        <w:rPr>
          <w:rFonts w:ascii="Times New Roman" w:hAnsi="Times New Roman" w:cs="Times New Roman"/>
          <w:sz w:val="24"/>
        </w:rPr>
      </w:pPr>
      <w:r w:rsidRPr="00075997">
        <w:rPr>
          <w:rFonts w:ascii="Times New Roman" w:hAnsi="Times New Roman" w:cs="Times New Roman"/>
          <w:sz w:val="24"/>
        </w:rPr>
        <w:t>L’adéquation baisse avec les diplômes d’enseignement général du niveau fondamental. Par contre au-delà du diplôme du premier cycle de l’enseignement supérieur (DEUG) plus on pousse la spécialisation plus l’adéquation est meilleure.</w:t>
      </w:r>
      <w:r w:rsidR="00434CB3" w:rsidRPr="00075997">
        <w:rPr>
          <w:rFonts w:ascii="Times New Roman" w:hAnsi="Times New Roman" w:cs="Times New Roman"/>
          <w:sz w:val="24"/>
        </w:rPr>
        <w:t xml:space="preserve"> </w:t>
      </w:r>
      <w:r w:rsidR="00EC4396">
        <w:rPr>
          <w:rFonts w:ascii="Times New Roman" w:hAnsi="Times New Roman" w:cs="Times New Roman"/>
          <w:sz w:val="24"/>
        </w:rPr>
        <w:t>P</w:t>
      </w:r>
      <w:r w:rsidRPr="00075997">
        <w:rPr>
          <w:rFonts w:ascii="Times New Roman" w:hAnsi="Times New Roman" w:cs="Times New Roman"/>
          <w:sz w:val="24"/>
        </w:rPr>
        <w:t>our les diplômes de formation professionnelle, plus on pousse la spécialisation plus</w:t>
      </w:r>
      <w:r w:rsidR="00804637">
        <w:rPr>
          <w:rFonts w:ascii="Times New Roman" w:hAnsi="Times New Roman" w:cs="Times New Roman"/>
          <w:sz w:val="24"/>
        </w:rPr>
        <w:t xml:space="preserve"> on est soumis au déclassement.</w:t>
      </w:r>
    </w:p>
    <w:p w:rsidR="009527C6" w:rsidRPr="00DD59E9" w:rsidRDefault="006B377D" w:rsidP="006C5D23">
      <w:pPr>
        <w:spacing w:after="60" w:line="240" w:lineRule="auto"/>
        <w:ind w:firstLine="709"/>
        <w:jc w:val="both"/>
        <w:rPr>
          <w:rFonts w:ascii="Times New Roman" w:hAnsi="Times New Roman" w:cs="Times New Roman"/>
          <w:sz w:val="24"/>
        </w:rPr>
      </w:pPr>
      <w:r>
        <w:rPr>
          <w:rFonts w:ascii="Times New Roman" w:hAnsi="Times New Roman" w:cs="Times New Roman"/>
          <w:sz w:val="24"/>
        </w:rPr>
        <w:t>Quel que</w:t>
      </w:r>
      <w:r w:rsidR="006D3CA6" w:rsidRPr="00761B58">
        <w:rPr>
          <w:rFonts w:ascii="Times New Roman" w:hAnsi="Times New Roman" w:cs="Times New Roman"/>
          <w:sz w:val="24"/>
        </w:rPr>
        <w:t xml:space="preserve"> </w:t>
      </w:r>
      <w:r>
        <w:rPr>
          <w:rFonts w:ascii="Times New Roman" w:hAnsi="Times New Roman" w:cs="Times New Roman"/>
          <w:sz w:val="24"/>
        </w:rPr>
        <w:t xml:space="preserve">soit le groupe de </w:t>
      </w:r>
      <w:r w:rsidR="006D3CA6" w:rsidRPr="00761B58">
        <w:rPr>
          <w:rFonts w:ascii="Times New Roman" w:hAnsi="Times New Roman" w:cs="Times New Roman"/>
          <w:sz w:val="24"/>
        </w:rPr>
        <w:t>profession</w:t>
      </w:r>
      <w:r>
        <w:rPr>
          <w:rFonts w:ascii="Times New Roman" w:hAnsi="Times New Roman" w:cs="Times New Roman"/>
          <w:sz w:val="24"/>
        </w:rPr>
        <w:t xml:space="preserve">s, </w:t>
      </w:r>
      <w:r w:rsidR="006D3CA6" w:rsidRPr="00761B58">
        <w:rPr>
          <w:rFonts w:ascii="Times New Roman" w:hAnsi="Times New Roman" w:cs="Times New Roman"/>
          <w:sz w:val="24"/>
        </w:rPr>
        <w:t>le taux des déclassés parmi les diplômés de formation professionnelle est supérieur à celui des diplômés d’enseignement général</w:t>
      </w:r>
      <w:r w:rsidR="00B773EE">
        <w:rPr>
          <w:rFonts w:ascii="Times New Roman" w:hAnsi="Times New Roman" w:cs="Times New Roman"/>
          <w:sz w:val="24"/>
        </w:rPr>
        <w:t xml:space="preserve"> et ce même si leur part est plus grande</w:t>
      </w:r>
      <w:r w:rsidR="006D3CA6" w:rsidRPr="00761B58">
        <w:rPr>
          <w:rFonts w:ascii="Times New Roman" w:hAnsi="Times New Roman" w:cs="Times New Roman"/>
          <w:sz w:val="24"/>
        </w:rPr>
        <w:t>.</w:t>
      </w:r>
      <w:r w:rsidR="006F5BA9">
        <w:rPr>
          <w:rFonts w:ascii="Times New Roman" w:hAnsi="Times New Roman" w:cs="Times New Roman"/>
          <w:sz w:val="24"/>
        </w:rPr>
        <w:t xml:space="preserve"> Aussi, l</w:t>
      </w:r>
      <w:r w:rsidR="009527C6" w:rsidRPr="00DD59E9">
        <w:rPr>
          <w:rFonts w:ascii="Times New Roman" w:hAnsi="Times New Roman" w:cs="Times New Roman"/>
          <w:sz w:val="24"/>
        </w:rPr>
        <w:t>e taux des déclassés parmi les diplômés de formation professionnelle est supérieure à celui des diplômés d’enseignement général, quel que soit le secteur d’activité.</w:t>
      </w:r>
    </w:p>
    <w:p w:rsidR="00D96704" w:rsidRPr="00DD59E9" w:rsidRDefault="00EA49E4" w:rsidP="00B33E6A">
      <w:pPr>
        <w:spacing w:after="60" w:line="240" w:lineRule="auto"/>
        <w:ind w:firstLine="709"/>
        <w:jc w:val="both"/>
        <w:rPr>
          <w:rFonts w:ascii="Times New Roman" w:hAnsi="Times New Roman" w:cs="Times New Roman"/>
          <w:sz w:val="24"/>
        </w:rPr>
      </w:pPr>
      <w:r>
        <w:rPr>
          <w:rFonts w:ascii="Times New Roman" w:hAnsi="Times New Roman" w:cs="Times New Roman"/>
          <w:sz w:val="24"/>
        </w:rPr>
        <w:t>L</w:t>
      </w:r>
      <w:r w:rsidR="00D96704" w:rsidRPr="00DD59E9">
        <w:rPr>
          <w:rFonts w:ascii="Times New Roman" w:hAnsi="Times New Roman" w:cs="Times New Roman"/>
          <w:sz w:val="24"/>
        </w:rPr>
        <w:t xml:space="preserve">es secteurs </w:t>
      </w:r>
      <w:r w:rsidR="00C8299F">
        <w:rPr>
          <w:rFonts w:ascii="Times New Roman" w:hAnsi="Times New Roman" w:cs="Times New Roman"/>
          <w:sz w:val="24"/>
        </w:rPr>
        <w:t xml:space="preserve">économiques </w:t>
      </w:r>
      <w:r w:rsidR="00AC04B4">
        <w:rPr>
          <w:rFonts w:ascii="Times New Roman" w:hAnsi="Times New Roman" w:cs="Times New Roman"/>
          <w:sz w:val="24"/>
        </w:rPr>
        <w:t xml:space="preserve">sont encadrés d’en haut par les taux de déclassement </w:t>
      </w:r>
      <w:r w:rsidR="00B33E6A">
        <w:rPr>
          <w:rFonts w:ascii="Times New Roman" w:hAnsi="Times New Roman" w:cs="Times New Roman"/>
          <w:sz w:val="24"/>
        </w:rPr>
        <w:t xml:space="preserve">par diplôme </w:t>
      </w:r>
      <w:r w:rsidR="00AC04B4">
        <w:rPr>
          <w:rFonts w:ascii="Times New Roman" w:hAnsi="Times New Roman" w:cs="Times New Roman"/>
          <w:sz w:val="24"/>
        </w:rPr>
        <w:t xml:space="preserve">du secteur de </w:t>
      </w:r>
      <w:r>
        <w:rPr>
          <w:rFonts w:ascii="Times New Roman" w:hAnsi="Times New Roman" w:cs="Times New Roman"/>
          <w:sz w:val="24"/>
        </w:rPr>
        <w:t>« </w:t>
      </w:r>
      <w:r w:rsidR="00D96704" w:rsidRPr="00DD59E9">
        <w:rPr>
          <w:rFonts w:ascii="Times New Roman" w:hAnsi="Times New Roman" w:cs="Times New Roman"/>
          <w:sz w:val="24"/>
        </w:rPr>
        <w:t>l’agriculture, sylviculture et pêche</w:t>
      </w:r>
      <w:r>
        <w:rPr>
          <w:rFonts w:ascii="Times New Roman" w:hAnsi="Times New Roman" w:cs="Times New Roman"/>
          <w:sz w:val="24"/>
        </w:rPr>
        <w:t> »</w:t>
      </w:r>
      <w:r w:rsidR="00D96704" w:rsidRPr="00DD59E9">
        <w:rPr>
          <w:rFonts w:ascii="Times New Roman" w:hAnsi="Times New Roman" w:cs="Times New Roman"/>
          <w:sz w:val="24"/>
        </w:rPr>
        <w:t xml:space="preserve"> et d’en bas par </w:t>
      </w:r>
      <w:r w:rsidR="00B33E6A">
        <w:rPr>
          <w:rFonts w:ascii="Times New Roman" w:hAnsi="Times New Roman" w:cs="Times New Roman"/>
          <w:sz w:val="24"/>
        </w:rPr>
        <w:t>ceux</w:t>
      </w:r>
      <w:r w:rsidR="00D96704" w:rsidRPr="00DD59E9">
        <w:rPr>
          <w:rFonts w:ascii="Times New Roman" w:hAnsi="Times New Roman" w:cs="Times New Roman"/>
          <w:sz w:val="24"/>
        </w:rPr>
        <w:t xml:space="preserve"> de « l’administration publique, enseignement, santé humaine et action sociale ». Ceci montre que le déclassement existe dans l’administration mais sa prévalence </w:t>
      </w:r>
      <w:r w:rsidR="00B33E6A">
        <w:rPr>
          <w:rFonts w:ascii="Times New Roman" w:hAnsi="Times New Roman" w:cs="Times New Roman"/>
          <w:sz w:val="24"/>
        </w:rPr>
        <w:t xml:space="preserve">par diplôme </w:t>
      </w:r>
      <w:r w:rsidR="00D96704" w:rsidRPr="00DD59E9">
        <w:rPr>
          <w:rFonts w:ascii="Times New Roman" w:hAnsi="Times New Roman" w:cs="Times New Roman"/>
          <w:sz w:val="24"/>
        </w:rPr>
        <w:t>est la plus faible en comparaison avec les autres secteurs d’activités.</w:t>
      </w:r>
    </w:p>
    <w:sectPr w:rsidR="00D96704" w:rsidRPr="00DD59E9" w:rsidSect="003E5606">
      <w:footerReference w:type="default" r:id="rId22"/>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D03" w:rsidRDefault="00C70D03" w:rsidP="00A01B4E">
      <w:pPr>
        <w:spacing w:after="0" w:line="240" w:lineRule="auto"/>
      </w:pPr>
      <w:r>
        <w:separator/>
      </w:r>
    </w:p>
  </w:endnote>
  <w:endnote w:type="continuationSeparator" w:id="1">
    <w:p w:rsidR="00C70D03" w:rsidRDefault="00C70D03" w:rsidP="00A01B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323999"/>
      <w:docPartObj>
        <w:docPartGallery w:val="Page Numbers (Bottom of Page)"/>
        <w:docPartUnique/>
      </w:docPartObj>
    </w:sdtPr>
    <w:sdtContent>
      <w:p w:rsidR="000122B7" w:rsidRDefault="00A405A2">
        <w:pPr>
          <w:pStyle w:val="Pieddepage"/>
          <w:jc w:val="center"/>
        </w:pPr>
        <w:fldSimple w:instr=" PAGE   \* MERGEFORMAT ">
          <w:r w:rsidR="00616664">
            <w:rPr>
              <w:noProof/>
            </w:rPr>
            <w:t>2</w:t>
          </w:r>
        </w:fldSimple>
      </w:p>
    </w:sdtContent>
  </w:sdt>
  <w:p w:rsidR="000122B7" w:rsidRDefault="000122B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D03" w:rsidRDefault="00C70D03" w:rsidP="00A01B4E">
      <w:pPr>
        <w:spacing w:after="0" w:line="240" w:lineRule="auto"/>
      </w:pPr>
      <w:r>
        <w:separator/>
      </w:r>
    </w:p>
  </w:footnote>
  <w:footnote w:type="continuationSeparator" w:id="1">
    <w:p w:rsidR="00C70D03" w:rsidRDefault="00C70D03" w:rsidP="00A01B4E">
      <w:pPr>
        <w:spacing w:after="0" w:line="240" w:lineRule="auto"/>
      </w:pPr>
      <w:r>
        <w:continuationSeparator/>
      </w:r>
    </w:p>
  </w:footnote>
  <w:footnote w:id="2">
    <w:p w:rsidR="000122B7" w:rsidRDefault="000122B7" w:rsidP="006C2E63">
      <w:pPr>
        <w:pStyle w:val="Notedebasdepage"/>
      </w:pPr>
      <w:r>
        <w:rPr>
          <w:rStyle w:val="Appelnotedebasdep"/>
        </w:rPr>
        <w:footnoteRef/>
      </w:r>
      <w:r>
        <w:t xml:space="preserve"> </w:t>
      </w:r>
      <w:r w:rsidRPr="00055089">
        <w:rPr>
          <w:rFonts w:asciiTheme="majorBidi" w:hAnsiTheme="majorBidi" w:cstheme="majorBidi"/>
        </w:rPr>
        <w:t xml:space="preserve">HCP 2014, Nomenclature </w:t>
      </w:r>
      <w:r>
        <w:rPr>
          <w:rFonts w:asciiTheme="majorBidi" w:hAnsiTheme="majorBidi" w:cstheme="majorBidi"/>
        </w:rPr>
        <w:t>N</w:t>
      </w:r>
      <w:r w:rsidRPr="00055089">
        <w:rPr>
          <w:rFonts w:asciiTheme="majorBidi" w:hAnsiTheme="majorBidi" w:cstheme="majorBidi"/>
        </w:rPr>
        <w:t xml:space="preserve">ationale des </w:t>
      </w:r>
      <w:r>
        <w:rPr>
          <w:rFonts w:asciiTheme="majorBidi" w:hAnsiTheme="majorBidi" w:cstheme="majorBidi"/>
        </w:rPr>
        <w:t>D</w:t>
      </w:r>
      <w:r w:rsidRPr="00055089">
        <w:rPr>
          <w:rFonts w:asciiTheme="majorBidi" w:hAnsiTheme="majorBidi" w:cstheme="majorBidi"/>
        </w:rPr>
        <w:t>iplômes 2014, p5.</w:t>
      </w:r>
    </w:p>
  </w:footnote>
  <w:footnote w:id="3">
    <w:p w:rsidR="000122B7" w:rsidRDefault="000122B7">
      <w:pPr>
        <w:pStyle w:val="Notedebasdepage"/>
      </w:pPr>
      <w:r>
        <w:rPr>
          <w:rStyle w:val="Appelnotedebasdep"/>
        </w:rPr>
        <w:footnoteRef/>
      </w:r>
      <w:r>
        <w:t xml:space="preserve"> </w:t>
      </w:r>
      <w:r w:rsidRPr="00055089">
        <w:rPr>
          <w:rFonts w:asciiTheme="majorBidi" w:hAnsiTheme="majorBidi" w:cstheme="majorBidi"/>
        </w:rPr>
        <w:t>Seul</w:t>
      </w:r>
      <w:r>
        <w:rPr>
          <w:rFonts w:asciiTheme="majorBidi" w:hAnsiTheme="majorBidi" w:cstheme="majorBidi"/>
        </w:rPr>
        <w:t>e</w:t>
      </w:r>
      <w:r w:rsidRPr="00055089">
        <w:rPr>
          <w:rFonts w:asciiTheme="majorBidi" w:hAnsiTheme="majorBidi" w:cstheme="majorBidi"/>
        </w:rPr>
        <w:t xml:space="preserve">s les </w:t>
      </w:r>
      <w:r>
        <w:rPr>
          <w:rFonts w:asciiTheme="majorBidi" w:hAnsiTheme="majorBidi" w:cstheme="majorBidi"/>
        </w:rPr>
        <w:t>personnes</w:t>
      </w:r>
      <w:r w:rsidRPr="00055089">
        <w:rPr>
          <w:rFonts w:asciiTheme="majorBidi" w:hAnsiTheme="majorBidi" w:cstheme="majorBidi"/>
        </w:rPr>
        <w:t xml:space="preserve"> acti</w:t>
      </w:r>
      <w:r>
        <w:rPr>
          <w:rFonts w:asciiTheme="majorBidi" w:hAnsiTheme="majorBidi" w:cstheme="majorBidi"/>
        </w:rPr>
        <w:t>ves</w:t>
      </w:r>
      <w:r w:rsidRPr="00055089">
        <w:rPr>
          <w:rFonts w:asciiTheme="majorBidi" w:hAnsiTheme="majorBidi" w:cstheme="majorBidi"/>
        </w:rPr>
        <w:t xml:space="preserve"> </w:t>
      </w:r>
      <w:r>
        <w:rPr>
          <w:rFonts w:asciiTheme="majorBidi" w:hAnsiTheme="majorBidi" w:cstheme="majorBidi"/>
        </w:rPr>
        <w:t>occupées dont</w:t>
      </w:r>
      <w:r w:rsidRPr="00055089">
        <w:rPr>
          <w:rFonts w:asciiTheme="majorBidi" w:hAnsiTheme="majorBidi" w:cstheme="majorBidi"/>
        </w:rPr>
        <w:t xml:space="preserve"> le diplôme et la profession </w:t>
      </w:r>
      <w:r>
        <w:rPr>
          <w:rFonts w:asciiTheme="majorBidi" w:hAnsiTheme="majorBidi" w:cstheme="majorBidi"/>
        </w:rPr>
        <w:t xml:space="preserve">ont été </w:t>
      </w:r>
      <w:r w:rsidRPr="00055089">
        <w:rPr>
          <w:rFonts w:asciiTheme="majorBidi" w:hAnsiTheme="majorBidi" w:cstheme="majorBidi"/>
        </w:rPr>
        <w:t xml:space="preserve">déclarés </w:t>
      </w:r>
      <w:r>
        <w:rPr>
          <w:rFonts w:asciiTheme="majorBidi" w:hAnsiTheme="majorBidi" w:cstheme="majorBidi"/>
        </w:rPr>
        <w:t xml:space="preserve">lors du recensement de 2014 </w:t>
      </w:r>
      <w:r w:rsidRPr="00055089">
        <w:rPr>
          <w:rFonts w:asciiTheme="majorBidi" w:hAnsiTheme="majorBidi" w:cstheme="majorBidi"/>
        </w:rPr>
        <w:t>ont été retenu</w:t>
      </w:r>
      <w:r>
        <w:rPr>
          <w:rFonts w:asciiTheme="majorBidi" w:hAnsiTheme="majorBidi" w:cstheme="majorBidi"/>
        </w:rPr>
        <w:t>e</w:t>
      </w:r>
      <w:r w:rsidRPr="00055089">
        <w:rPr>
          <w:rFonts w:asciiTheme="majorBidi" w:hAnsiTheme="majorBidi" w:cstheme="majorBidi"/>
        </w:rPr>
        <w:t>s</w:t>
      </w:r>
      <w:r>
        <w:rPr>
          <w:rFonts w:asciiTheme="majorBidi" w:hAnsiTheme="majorBidi" w:cstheme="majorBidi"/>
        </w:rPr>
        <w:t xml:space="preserve"> parmi la population étudiée, soit 5872 diplômes non déclarés sur 9627341 actifs occupés (6 pour 10000), et 186190 professions non classées sur 9627341 actifs occupés (1,9%).</w:t>
      </w:r>
    </w:p>
  </w:footnote>
  <w:footnote w:id="4">
    <w:p w:rsidR="000122B7" w:rsidRDefault="000122B7" w:rsidP="00906834">
      <w:pPr>
        <w:pStyle w:val="Notedebasdepage"/>
      </w:pPr>
      <w:r>
        <w:rPr>
          <w:rStyle w:val="Appelnotedebasdep"/>
        </w:rPr>
        <w:footnoteRef/>
      </w:r>
      <w:r>
        <w:t xml:space="preserve"> </w:t>
      </w:r>
      <w:r w:rsidRPr="00405C5E">
        <w:rPr>
          <w:rFonts w:asciiTheme="majorBidi" w:hAnsiTheme="majorBidi" w:cstheme="majorBidi"/>
        </w:rPr>
        <w:t xml:space="preserve">Le plus haut diplôme dont la personne </w:t>
      </w:r>
      <w:r>
        <w:rPr>
          <w:rFonts w:asciiTheme="majorBidi" w:hAnsiTheme="majorBidi" w:cstheme="majorBidi"/>
        </w:rPr>
        <w:t xml:space="preserve">recensée </w:t>
      </w:r>
      <w:r w:rsidRPr="00405C5E">
        <w:rPr>
          <w:rFonts w:asciiTheme="majorBidi" w:hAnsiTheme="majorBidi" w:cstheme="majorBidi"/>
        </w:rPr>
        <w:t>est titulaire</w:t>
      </w:r>
      <w:r>
        <w:rPr>
          <w:rFonts w:asciiTheme="majorBidi" w:hAnsiTheme="majorBidi" w:cstheme="majorBidi"/>
        </w:rPr>
        <w:t xml:space="preserve"> : diplôme d’enseignement général ou de formation professionnelle. </w:t>
      </w:r>
      <w:r w:rsidR="00DE78AA">
        <w:rPr>
          <w:rFonts w:asciiTheme="majorBidi" w:hAnsiTheme="majorBidi" w:cstheme="majorBidi"/>
        </w:rPr>
        <w:t xml:space="preserve">Si la personne recensée a un plus haut diplôme d’enseignement général et un </w:t>
      </w:r>
      <w:r w:rsidR="00906834">
        <w:rPr>
          <w:rFonts w:asciiTheme="majorBidi" w:hAnsiTheme="majorBidi" w:cstheme="majorBidi"/>
        </w:rPr>
        <w:t xml:space="preserve">autre </w:t>
      </w:r>
      <w:r w:rsidR="00DE78AA">
        <w:rPr>
          <w:rFonts w:asciiTheme="majorBidi" w:hAnsiTheme="majorBidi" w:cstheme="majorBidi"/>
        </w:rPr>
        <w:t xml:space="preserve">plus haut diplôme de formation professionnelle, seul le plus haut diplôme </w:t>
      </w:r>
      <w:r w:rsidR="00906834">
        <w:rPr>
          <w:rFonts w:asciiTheme="majorBidi" w:hAnsiTheme="majorBidi" w:cstheme="majorBidi"/>
        </w:rPr>
        <w:t>entre l</w:t>
      </w:r>
      <w:r w:rsidR="00DE78AA">
        <w:rPr>
          <w:rFonts w:asciiTheme="majorBidi" w:hAnsiTheme="majorBidi" w:cstheme="majorBidi"/>
        </w:rPr>
        <w:t xml:space="preserve">es deux a été retenu. </w:t>
      </w:r>
      <w:r w:rsidRPr="007A0E3E">
        <w:rPr>
          <w:rFonts w:asciiTheme="majorBidi" w:hAnsiTheme="majorBidi" w:cstheme="majorBidi"/>
        </w:rPr>
        <w:t>Dans la suite de l’étude cette appellation sera abrégée à « diplôme ».</w:t>
      </w:r>
    </w:p>
  </w:footnote>
  <w:footnote w:id="5">
    <w:p w:rsidR="000122B7" w:rsidRDefault="000122B7" w:rsidP="00516A53">
      <w:pPr>
        <w:pStyle w:val="Notedebasdepage"/>
      </w:pPr>
      <w:r>
        <w:rPr>
          <w:rStyle w:val="Appelnotedebasdep"/>
        </w:rPr>
        <w:footnoteRef/>
      </w:r>
      <w:r>
        <w:t xml:space="preserve"> </w:t>
      </w:r>
      <w:r>
        <w:rPr>
          <w:rFonts w:asciiTheme="majorBidi" w:hAnsiTheme="majorBidi" w:cstheme="majorBidi"/>
        </w:rPr>
        <w:t>L</w:t>
      </w:r>
      <w:r w:rsidRPr="00405C5E">
        <w:rPr>
          <w:rFonts w:asciiTheme="majorBidi" w:hAnsiTheme="majorBidi" w:cstheme="majorBidi"/>
        </w:rPr>
        <w:t>a profession principale c'est</w:t>
      </w:r>
      <w:r>
        <w:rPr>
          <w:rFonts w:asciiTheme="majorBidi" w:hAnsiTheme="majorBidi" w:cstheme="majorBidi"/>
        </w:rPr>
        <w:t xml:space="preserve"> </w:t>
      </w:r>
      <w:r w:rsidRPr="00405C5E">
        <w:rPr>
          <w:rFonts w:asciiTheme="majorBidi" w:hAnsiTheme="majorBidi" w:cstheme="majorBidi"/>
        </w:rPr>
        <w:t>le genre de travail principal habituel effectué par une personne active occupée au moment du recensement (dans le cas d’un chômeur, c’est le genre de travail habituel effectué précédemment). Si la personne exerce plusieurs professions, la profession principale est celle qui l’occupe le plus de temps.</w:t>
      </w:r>
      <w:r>
        <w:rPr>
          <w:rFonts w:asciiTheme="majorBidi" w:hAnsiTheme="majorBidi" w:cstheme="majorBidi"/>
        </w:rPr>
        <w:t xml:space="preserve"> </w:t>
      </w:r>
      <w:r w:rsidRPr="007A0E3E">
        <w:rPr>
          <w:rFonts w:asciiTheme="majorBidi" w:hAnsiTheme="majorBidi" w:cstheme="majorBidi"/>
        </w:rPr>
        <w:t>Dans la suite de l’étude cette appellation sera abrégée à « </w:t>
      </w:r>
      <w:r>
        <w:rPr>
          <w:rFonts w:asciiTheme="majorBidi" w:hAnsiTheme="majorBidi" w:cstheme="majorBidi"/>
        </w:rPr>
        <w:t>profession</w:t>
      </w:r>
      <w:r w:rsidRPr="007A0E3E">
        <w:rPr>
          <w:rFonts w:asciiTheme="majorBidi" w:hAnsiTheme="majorBidi" w:cstheme="majorBidi"/>
        </w:rPr>
        <w:t>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5F42"/>
    <w:multiLevelType w:val="hybridMultilevel"/>
    <w:tmpl w:val="4560ED3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1554A12"/>
    <w:multiLevelType w:val="hybridMultilevel"/>
    <w:tmpl w:val="FB5EC9B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9C85F25"/>
    <w:multiLevelType w:val="hybridMultilevel"/>
    <w:tmpl w:val="9502E2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6380B4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C6A427E"/>
    <w:multiLevelType w:val="multilevel"/>
    <w:tmpl w:val="AEFC6E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D655FC4"/>
    <w:multiLevelType w:val="hybridMultilevel"/>
    <w:tmpl w:val="34E830B4"/>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210A392C"/>
    <w:multiLevelType w:val="hybridMultilevel"/>
    <w:tmpl w:val="18C21EDE"/>
    <w:lvl w:ilvl="0" w:tplc="414E9A4E">
      <w:start w:val="2"/>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225428F1"/>
    <w:multiLevelType w:val="hybridMultilevel"/>
    <w:tmpl w:val="472237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751764C"/>
    <w:multiLevelType w:val="hybridMultilevel"/>
    <w:tmpl w:val="490CBA52"/>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9">
    <w:nsid w:val="27A10AE6"/>
    <w:multiLevelType w:val="hybridMultilevel"/>
    <w:tmpl w:val="8BAA908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2DDC0C6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FBB4C88"/>
    <w:multiLevelType w:val="hybridMultilevel"/>
    <w:tmpl w:val="69F40C5C"/>
    <w:lvl w:ilvl="0" w:tplc="040C0019">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nsid w:val="356B141A"/>
    <w:multiLevelType w:val="hybridMultilevel"/>
    <w:tmpl w:val="FE8270E0"/>
    <w:lvl w:ilvl="0" w:tplc="040C0019">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388802DA"/>
    <w:multiLevelType w:val="hybridMultilevel"/>
    <w:tmpl w:val="390AB32E"/>
    <w:lvl w:ilvl="0" w:tplc="107CE136">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nsid w:val="397D2DBC"/>
    <w:multiLevelType w:val="hybridMultilevel"/>
    <w:tmpl w:val="681A4A9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B416052"/>
    <w:multiLevelType w:val="hybridMultilevel"/>
    <w:tmpl w:val="E8AA8736"/>
    <w:lvl w:ilvl="0" w:tplc="040C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nsid w:val="3FF9757D"/>
    <w:multiLevelType w:val="hybridMultilevel"/>
    <w:tmpl w:val="2E3AF7A4"/>
    <w:lvl w:ilvl="0" w:tplc="E676EA68">
      <w:numFmt w:val="decimalZero"/>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0B363A3"/>
    <w:multiLevelType w:val="multilevel"/>
    <w:tmpl w:val="AEFC6E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14D5FBB"/>
    <w:multiLevelType w:val="hybridMultilevel"/>
    <w:tmpl w:val="505EA23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9">
    <w:nsid w:val="431077E2"/>
    <w:multiLevelType w:val="hybridMultilevel"/>
    <w:tmpl w:val="CEBC7688"/>
    <w:lvl w:ilvl="0" w:tplc="6CD22D1A">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nsid w:val="44EC4E8A"/>
    <w:multiLevelType w:val="hybridMultilevel"/>
    <w:tmpl w:val="9A1E0E7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1">
    <w:nsid w:val="480658A6"/>
    <w:multiLevelType w:val="hybridMultilevel"/>
    <w:tmpl w:val="311C4EB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2">
    <w:nsid w:val="49341052"/>
    <w:multiLevelType w:val="hybridMultilevel"/>
    <w:tmpl w:val="9CEA5F5C"/>
    <w:lvl w:ilvl="0" w:tplc="040C0001">
      <w:start w:val="1"/>
      <w:numFmt w:val="bullet"/>
      <w:lvlText w:val=""/>
      <w:lvlJc w:val="left"/>
      <w:pPr>
        <w:ind w:left="-2758" w:hanging="360"/>
      </w:pPr>
      <w:rPr>
        <w:rFonts w:ascii="Symbol" w:hAnsi="Symbol" w:hint="default"/>
      </w:rPr>
    </w:lvl>
    <w:lvl w:ilvl="1" w:tplc="040C0003" w:tentative="1">
      <w:start w:val="1"/>
      <w:numFmt w:val="bullet"/>
      <w:lvlText w:val="o"/>
      <w:lvlJc w:val="left"/>
      <w:pPr>
        <w:ind w:left="-2038" w:hanging="360"/>
      </w:pPr>
      <w:rPr>
        <w:rFonts w:ascii="Courier New" w:hAnsi="Courier New" w:cs="Courier New" w:hint="default"/>
      </w:rPr>
    </w:lvl>
    <w:lvl w:ilvl="2" w:tplc="040C0005" w:tentative="1">
      <w:start w:val="1"/>
      <w:numFmt w:val="bullet"/>
      <w:lvlText w:val=""/>
      <w:lvlJc w:val="left"/>
      <w:pPr>
        <w:ind w:left="-1318" w:hanging="360"/>
      </w:pPr>
      <w:rPr>
        <w:rFonts w:ascii="Wingdings" w:hAnsi="Wingdings" w:hint="default"/>
      </w:rPr>
    </w:lvl>
    <w:lvl w:ilvl="3" w:tplc="040C0001" w:tentative="1">
      <w:start w:val="1"/>
      <w:numFmt w:val="bullet"/>
      <w:lvlText w:val=""/>
      <w:lvlJc w:val="left"/>
      <w:pPr>
        <w:ind w:left="-598" w:hanging="360"/>
      </w:pPr>
      <w:rPr>
        <w:rFonts w:ascii="Symbol" w:hAnsi="Symbol" w:hint="default"/>
      </w:rPr>
    </w:lvl>
    <w:lvl w:ilvl="4" w:tplc="040C0003" w:tentative="1">
      <w:start w:val="1"/>
      <w:numFmt w:val="bullet"/>
      <w:lvlText w:val="o"/>
      <w:lvlJc w:val="left"/>
      <w:pPr>
        <w:ind w:left="122" w:hanging="360"/>
      </w:pPr>
      <w:rPr>
        <w:rFonts w:ascii="Courier New" w:hAnsi="Courier New" w:cs="Courier New" w:hint="default"/>
      </w:rPr>
    </w:lvl>
    <w:lvl w:ilvl="5" w:tplc="040C0005" w:tentative="1">
      <w:start w:val="1"/>
      <w:numFmt w:val="bullet"/>
      <w:lvlText w:val=""/>
      <w:lvlJc w:val="left"/>
      <w:pPr>
        <w:ind w:left="842" w:hanging="360"/>
      </w:pPr>
      <w:rPr>
        <w:rFonts w:ascii="Wingdings" w:hAnsi="Wingdings" w:hint="default"/>
      </w:rPr>
    </w:lvl>
    <w:lvl w:ilvl="6" w:tplc="040C0001" w:tentative="1">
      <w:start w:val="1"/>
      <w:numFmt w:val="bullet"/>
      <w:lvlText w:val=""/>
      <w:lvlJc w:val="left"/>
      <w:pPr>
        <w:ind w:left="1562" w:hanging="360"/>
      </w:pPr>
      <w:rPr>
        <w:rFonts w:ascii="Symbol" w:hAnsi="Symbol" w:hint="default"/>
      </w:rPr>
    </w:lvl>
    <w:lvl w:ilvl="7" w:tplc="040C0003" w:tentative="1">
      <w:start w:val="1"/>
      <w:numFmt w:val="bullet"/>
      <w:lvlText w:val="o"/>
      <w:lvlJc w:val="left"/>
      <w:pPr>
        <w:ind w:left="2282" w:hanging="360"/>
      </w:pPr>
      <w:rPr>
        <w:rFonts w:ascii="Courier New" w:hAnsi="Courier New" w:cs="Courier New" w:hint="default"/>
      </w:rPr>
    </w:lvl>
    <w:lvl w:ilvl="8" w:tplc="040C0005" w:tentative="1">
      <w:start w:val="1"/>
      <w:numFmt w:val="bullet"/>
      <w:lvlText w:val=""/>
      <w:lvlJc w:val="left"/>
      <w:pPr>
        <w:ind w:left="3002" w:hanging="360"/>
      </w:pPr>
      <w:rPr>
        <w:rFonts w:ascii="Wingdings" w:hAnsi="Wingdings" w:hint="default"/>
      </w:rPr>
    </w:lvl>
  </w:abstractNum>
  <w:abstractNum w:abstractNumId="23">
    <w:nsid w:val="4B52445F"/>
    <w:multiLevelType w:val="hybridMultilevel"/>
    <w:tmpl w:val="4AA88776"/>
    <w:lvl w:ilvl="0" w:tplc="2342E166">
      <w:start w:val="3"/>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nsid w:val="52C17004"/>
    <w:multiLevelType w:val="hybridMultilevel"/>
    <w:tmpl w:val="511299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4871120"/>
    <w:multiLevelType w:val="hybridMultilevel"/>
    <w:tmpl w:val="7D9AF44A"/>
    <w:lvl w:ilvl="0" w:tplc="6B7251D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nsid w:val="58201F12"/>
    <w:multiLevelType w:val="multilevel"/>
    <w:tmpl w:val="228488E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A1B00DA"/>
    <w:multiLevelType w:val="hybridMultilevel"/>
    <w:tmpl w:val="8B523E14"/>
    <w:lvl w:ilvl="0" w:tplc="C89E0FC0">
      <w:numFmt w:val="decimalZero"/>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32E2CDD"/>
    <w:multiLevelType w:val="hybridMultilevel"/>
    <w:tmpl w:val="B7B6419A"/>
    <w:lvl w:ilvl="0" w:tplc="77EE4DD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nsid w:val="65CF15C9"/>
    <w:multiLevelType w:val="hybridMultilevel"/>
    <w:tmpl w:val="C95427C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0">
    <w:nsid w:val="6D3B3DFF"/>
    <w:multiLevelType w:val="hybridMultilevel"/>
    <w:tmpl w:val="4800A3D4"/>
    <w:lvl w:ilvl="0" w:tplc="5254E872">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nsid w:val="6D982ABD"/>
    <w:multiLevelType w:val="hybridMultilevel"/>
    <w:tmpl w:val="83CCC8A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2">
    <w:nsid w:val="6E0B6478"/>
    <w:multiLevelType w:val="hybridMultilevel"/>
    <w:tmpl w:val="521203C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F83388F"/>
    <w:multiLevelType w:val="hybridMultilevel"/>
    <w:tmpl w:val="1F1A959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712447A1"/>
    <w:multiLevelType w:val="hybridMultilevel"/>
    <w:tmpl w:val="3C201A4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nsid w:val="762374A6"/>
    <w:multiLevelType w:val="hybridMultilevel"/>
    <w:tmpl w:val="8E0A7910"/>
    <w:lvl w:ilvl="0" w:tplc="040C0019">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nsid w:val="7D0325C8"/>
    <w:multiLevelType w:val="hybridMultilevel"/>
    <w:tmpl w:val="80140C8A"/>
    <w:lvl w:ilvl="0" w:tplc="B3BA9102">
      <w:start w:val="2"/>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nsid w:val="7D126B83"/>
    <w:multiLevelType w:val="hybridMultilevel"/>
    <w:tmpl w:val="AD2C1E1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E141B4D"/>
    <w:multiLevelType w:val="multilevel"/>
    <w:tmpl w:val="AEFC6E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9"/>
  </w:num>
  <w:num w:numId="5">
    <w:abstractNumId w:val="32"/>
  </w:num>
  <w:num w:numId="6">
    <w:abstractNumId w:val="14"/>
  </w:num>
  <w:num w:numId="7">
    <w:abstractNumId w:val="37"/>
  </w:num>
  <w:num w:numId="8">
    <w:abstractNumId w:val="5"/>
  </w:num>
  <w:num w:numId="9">
    <w:abstractNumId w:val="33"/>
  </w:num>
  <w:num w:numId="10">
    <w:abstractNumId w:val="35"/>
  </w:num>
  <w:num w:numId="11">
    <w:abstractNumId w:val="30"/>
  </w:num>
  <w:num w:numId="12">
    <w:abstractNumId w:val="6"/>
  </w:num>
  <w:num w:numId="13">
    <w:abstractNumId w:val="23"/>
  </w:num>
  <w:num w:numId="14">
    <w:abstractNumId w:val="36"/>
  </w:num>
  <w:num w:numId="15">
    <w:abstractNumId w:val="12"/>
  </w:num>
  <w:num w:numId="16">
    <w:abstractNumId w:val="13"/>
  </w:num>
  <w:num w:numId="17">
    <w:abstractNumId w:val="15"/>
  </w:num>
  <w:num w:numId="18">
    <w:abstractNumId w:val="24"/>
  </w:num>
  <w:num w:numId="19">
    <w:abstractNumId w:val="25"/>
  </w:num>
  <w:num w:numId="20">
    <w:abstractNumId w:val="10"/>
  </w:num>
  <w:num w:numId="21">
    <w:abstractNumId w:val="26"/>
  </w:num>
  <w:num w:numId="22">
    <w:abstractNumId w:val="38"/>
  </w:num>
  <w:num w:numId="23">
    <w:abstractNumId w:val="3"/>
  </w:num>
  <w:num w:numId="24">
    <w:abstractNumId w:val="4"/>
  </w:num>
  <w:num w:numId="25">
    <w:abstractNumId w:val="11"/>
  </w:num>
  <w:num w:numId="26">
    <w:abstractNumId w:val="28"/>
  </w:num>
  <w:num w:numId="27">
    <w:abstractNumId w:val="17"/>
  </w:num>
  <w:num w:numId="28">
    <w:abstractNumId w:val="2"/>
  </w:num>
  <w:num w:numId="29">
    <w:abstractNumId w:val="16"/>
  </w:num>
  <w:num w:numId="30">
    <w:abstractNumId w:val="27"/>
  </w:num>
  <w:num w:numId="31">
    <w:abstractNumId w:val="0"/>
  </w:num>
  <w:num w:numId="32">
    <w:abstractNumId w:val="18"/>
  </w:num>
  <w:num w:numId="33">
    <w:abstractNumId w:val="21"/>
  </w:num>
  <w:num w:numId="34">
    <w:abstractNumId w:val="34"/>
  </w:num>
  <w:num w:numId="35">
    <w:abstractNumId w:val="22"/>
  </w:num>
  <w:num w:numId="36">
    <w:abstractNumId w:val="20"/>
  </w:num>
  <w:num w:numId="37">
    <w:abstractNumId w:val="8"/>
  </w:num>
  <w:num w:numId="38">
    <w:abstractNumId w:val="1"/>
  </w:num>
  <w:num w:numId="39">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872BC"/>
    <w:rsid w:val="0000029E"/>
    <w:rsid w:val="000004F3"/>
    <w:rsid w:val="0000149D"/>
    <w:rsid w:val="00001F2A"/>
    <w:rsid w:val="00002EF8"/>
    <w:rsid w:val="00003814"/>
    <w:rsid w:val="00003A37"/>
    <w:rsid w:val="00003C5E"/>
    <w:rsid w:val="00004598"/>
    <w:rsid w:val="000048B5"/>
    <w:rsid w:val="000056E9"/>
    <w:rsid w:val="0000623D"/>
    <w:rsid w:val="00006B90"/>
    <w:rsid w:val="0000760B"/>
    <w:rsid w:val="000076FC"/>
    <w:rsid w:val="000122B7"/>
    <w:rsid w:val="00013ADE"/>
    <w:rsid w:val="00014294"/>
    <w:rsid w:val="000144DD"/>
    <w:rsid w:val="00014620"/>
    <w:rsid w:val="00014A1E"/>
    <w:rsid w:val="0001641D"/>
    <w:rsid w:val="00016618"/>
    <w:rsid w:val="00016ED6"/>
    <w:rsid w:val="00016EE3"/>
    <w:rsid w:val="000173FC"/>
    <w:rsid w:val="00017461"/>
    <w:rsid w:val="00017590"/>
    <w:rsid w:val="00017876"/>
    <w:rsid w:val="00017C8C"/>
    <w:rsid w:val="000201AA"/>
    <w:rsid w:val="0002135B"/>
    <w:rsid w:val="000227DD"/>
    <w:rsid w:val="00022922"/>
    <w:rsid w:val="00023A1B"/>
    <w:rsid w:val="00023A20"/>
    <w:rsid w:val="0002429E"/>
    <w:rsid w:val="000244CA"/>
    <w:rsid w:val="00024EFA"/>
    <w:rsid w:val="00026985"/>
    <w:rsid w:val="000307FF"/>
    <w:rsid w:val="00030909"/>
    <w:rsid w:val="00030F8A"/>
    <w:rsid w:val="00031A23"/>
    <w:rsid w:val="000324C6"/>
    <w:rsid w:val="000334F5"/>
    <w:rsid w:val="0003443B"/>
    <w:rsid w:val="0003459F"/>
    <w:rsid w:val="00034ACE"/>
    <w:rsid w:val="0003687C"/>
    <w:rsid w:val="00036E2D"/>
    <w:rsid w:val="00037530"/>
    <w:rsid w:val="00037D6A"/>
    <w:rsid w:val="000400DB"/>
    <w:rsid w:val="000408A2"/>
    <w:rsid w:val="00040912"/>
    <w:rsid w:val="0004109D"/>
    <w:rsid w:val="00041163"/>
    <w:rsid w:val="00041715"/>
    <w:rsid w:val="0004176B"/>
    <w:rsid w:val="00041A76"/>
    <w:rsid w:val="000422ED"/>
    <w:rsid w:val="000424C4"/>
    <w:rsid w:val="00042862"/>
    <w:rsid w:val="00042D40"/>
    <w:rsid w:val="00042FE8"/>
    <w:rsid w:val="0004302F"/>
    <w:rsid w:val="000431D8"/>
    <w:rsid w:val="000432C3"/>
    <w:rsid w:val="000435AC"/>
    <w:rsid w:val="00044C25"/>
    <w:rsid w:val="0004522F"/>
    <w:rsid w:val="000452CF"/>
    <w:rsid w:val="00045C9E"/>
    <w:rsid w:val="0004760A"/>
    <w:rsid w:val="0004768A"/>
    <w:rsid w:val="00047D49"/>
    <w:rsid w:val="00051137"/>
    <w:rsid w:val="00051463"/>
    <w:rsid w:val="000519AF"/>
    <w:rsid w:val="00051D4B"/>
    <w:rsid w:val="00052573"/>
    <w:rsid w:val="0005325F"/>
    <w:rsid w:val="00053460"/>
    <w:rsid w:val="00054687"/>
    <w:rsid w:val="00054B43"/>
    <w:rsid w:val="00054BBB"/>
    <w:rsid w:val="00054CD5"/>
    <w:rsid w:val="00055089"/>
    <w:rsid w:val="000553B4"/>
    <w:rsid w:val="0005655D"/>
    <w:rsid w:val="0005693D"/>
    <w:rsid w:val="00057184"/>
    <w:rsid w:val="000571BB"/>
    <w:rsid w:val="000575F4"/>
    <w:rsid w:val="0005796C"/>
    <w:rsid w:val="00060659"/>
    <w:rsid w:val="00060FF6"/>
    <w:rsid w:val="00061027"/>
    <w:rsid w:val="0006165E"/>
    <w:rsid w:val="000617CE"/>
    <w:rsid w:val="000623F1"/>
    <w:rsid w:val="00062C28"/>
    <w:rsid w:val="000635AB"/>
    <w:rsid w:val="000637EA"/>
    <w:rsid w:val="00064316"/>
    <w:rsid w:val="000644D3"/>
    <w:rsid w:val="00064593"/>
    <w:rsid w:val="00064749"/>
    <w:rsid w:val="00064ACD"/>
    <w:rsid w:val="00064C62"/>
    <w:rsid w:val="00064D05"/>
    <w:rsid w:val="00064F16"/>
    <w:rsid w:val="00065F1B"/>
    <w:rsid w:val="00066B1C"/>
    <w:rsid w:val="0006753D"/>
    <w:rsid w:val="000678E2"/>
    <w:rsid w:val="00067F2E"/>
    <w:rsid w:val="00070E45"/>
    <w:rsid w:val="00070FFA"/>
    <w:rsid w:val="000717E4"/>
    <w:rsid w:val="00071A91"/>
    <w:rsid w:val="0007244D"/>
    <w:rsid w:val="0007287F"/>
    <w:rsid w:val="00073830"/>
    <w:rsid w:val="000738DC"/>
    <w:rsid w:val="00074014"/>
    <w:rsid w:val="000740AA"/>
    <w:rsid w:val="00074386"/>
    <w:rsid w:val="000746C7"/>
    <w:rsid w:val="0007498C"/>
    <w:rsid w:val="00074CA7"/>
    <w:rsid w:val="00075997"/>
    <w:rsid w:val="000765EB"/>
    <w:rsid w:val="00077115"/>
    <w:rsid w:val="00077B1F"/>
    <w:rsid w:val="00080509"/>
    <w:rsid w:val="00080790"/>
    <w:rsid w:val="00081206"/>
    <w:rsid w:val="000812EC"/>
    <w:rsid w:val="000818B5"/>
    <w:rsid w:val="00081AAA"/>
    <w:rsid w:val="00081B75"/>
    <w:rsid w:val="00081C20"/>
    <w:rsid w:val="00081D3B"/>
    <w:rsid w:val="000852DD"/>
    <w:rsid w:val="00085EBD"/>
    <w:rsid w:val="00087355"/>
    <w:rsid w:val="00090270"/>
    <w:rsid w:val="000906C9"/>
    <w:rsid w:val="000906F2"/>
    <w:rsid w:val="00090992"/>
    <w:rsid w:val="00090AAD"/>
    <w:rsid w:val="00090D6F"/>
    <w:rsid w:val="00092445"/>
    <w:rsid w:val="000926FD"/>
    <w:rsid w:val="000927B4"/>
    <w:rsid w:val="000928BE"/>
    <w:rsid w:val="00092E62"/>
    <w:rsid w:val="00093546"/>
    <w:rsid w:val="0009413B"/>
    <w:rsid w:val="000943E8"/>
    <w:rsid w:val="00094ACF"/>
    <w:rsid w:val="00094C3C"/>
    <w:rsid w:val="00094C54"/>
    <w:rsid w:val="0009615A"/>
    <w:rsid w:val="00096932"/>
    <w:rsid w:val="000979E1"/>
    <w:rsid w:val="00097D46"/>
    <w:rsid w:val="000A0CD9"/>
    <w:rsid w:val="000A0E7F"/>
    <w:rsid w:val="000A14FE"/>
    <w:rsid w:val="000A1A9E"/>
    <w:rsid w:val="000A2187"/>
    <w:rsid w:val="000A25A9"/>
    <w:rsid w:val="000A303F"/>
    <w:rsid w:val="000A43A2"/>
    <w:rsid w:val="000A443B"/>
    <w:rsid w:val="000A45D7"/>
    <w:rsid w:val="000A4994"/>
    <w:rsid w:val="000A4AC4"/>
    <w:rsid w:val="000A6504"/>
    <w:rsid w:val="000A6726"/>
    <w:rsid w:val="000A6C82"/>
    <w:rsid w:val="000A76F7"/>
    <w:rsid w:val="000A7804"/>
    <w:rsid w:val="000A788E"/>
    <w:rsid w:val="000A7BFD"/>
    <w:rsid w:val="000B020D"/>
    <w:rsid w:val="000B1020"/>
    <w:rsid w:val="000B2512"/>
    <w:rsid w:val="000B261F"/>
    <w:rsid w:val="000B38A8"/>
    <w:rsid w:val="000B45BD"/>
    <w:rsid w:val="000B4D04"/>
    <w:rsid w:val="000B5994"/>
    <w:rsid w:val="000B5C5B"/>
    <w:rsid w:val="000B6578"/>
    <w:rsid w:val="000B7383"/>
    <w:rsid w:val="000B776E"/>
    <w:rsid w:val="000B7B1F"/>
    <w:rsid w:val="000C029B"/>
    <w:rsid w:val="000C0482"/>
    <w:rsid w:val="000C0967"/>
    <w:rsid w:val="000C0E72"/>
    <w:rsid w:val="000C0F77"/>
    <w:rsid w:val="000C1628"/>
    <w:rsid w:val="000C1BF8"/>
    <w:rsid w:val="000C1D61"/>
    <w:rsid w:val="000C2F0F"/>
    <w:rsid w:val="000C3163"/>
    <w:rsid w:val="000C3397"/>
    <w:rsid w:val="000C33D2"/>
    <w:rsid w:val="000C3468"/>
    <w:rsid w:val="000C3685"/>
    <w:rsid w:val="000C368B"/>
    <w:rsid w:val="000C397E"/>
    <w:rsid w:val="000C3F80"/>
    <w:rsid w:val="000C4228"/>
    <w:rsid w:val="000C4CA1"/>
    <w:rsid w:val="000C575E"/>
    <w:rsid w:val="000C5CE5"/>
    <w:rsid w:val="000C5DAA"/>
    <w:rsid w:val="000C6482"/>
    <w:rsid w:val="000C6DF0"/>
    <w:rsid w:val="000C75A3"/>
    <w:rsid w:val="000C7AFD"/>
    <w:rsid w:val="000C7C2D"/>
    <w:rsid w:val="000D0456"/>
    <w:rsid w:val="000D094F"/>
    <w:rsid w:val="000D0DE2"/>
    <w:rsid w:val="000D183E"/>
    <w:rsid w:val="000D29B0"/>
    <w:rsid w:val="000D2F2C"/>
    <w:rsid w:val="000D3442"/>
    <w:rsid w:val="000D3559"/>
    <w:rsid w:val="000D3AC6"/>
    <w:rsid w:val="000D3AD0"/>
    <w:rsid w:val="000D4853"/>
    <w:rsid w:val="000D5974"/>
    <w:rsid w:val="000D6638"/>
    <w:rsid w:val="000D6A72"/>
    <w:rsid w:val="000D742E"/>
    <w:rsid w:val="000D7785"/>
    <w:rsid w:val="000D7D47"/>
    <w:rsid w:val="000E01A6"/>
    <w:rsid w:val="000E0D8E"/>
    <w:rsid w:val="000E14D4"/>
    <w:rsid w:val="000E1B27"/>
    <w:rsid w:val="000E20EE"/>
    <w:rsid w:val="000E25D7"/>
    <w:rsid w:val="000E2DC4"/>
    <w:rsid w:val="000E4124"/>
    <w:rsid w:val="000E4BC4"/>
    <w:rsid w:val="000E4CBD"/>
    <w:rsid w:val="000E5559"/>
    <w:rsid w:val="000E76B6"/>
    <w:rsid w:val="000E787C"/>
    <w:rsid w:val="000F07DB"/>
    <w:rsid w:val="000F0871"/>
    <w:rsid w:val="000F0B13"/>
    <w:rsid w:val="000F1423"/>
    <w:rsid w:val="000F14DF"/>
    <w:rsid w:val="000F155F"/>
    <w:rsid w:val="000F1B59"/>
    <w:rsid w:val="000F376A"/>
    <w:rsid w:val="000F4155"/>
    <w:rsid w:val="000F7253"/>
    <w:rsid w:val="000F7EFB"/>
    <w:rsid w:val="00100B4E"/>
    <w:rsid w:val="00100D70"/>
    <w:rsid w:val="00100E32"/>
    <w:rsid w:val="00103D37"/>
    <w:rsid w:val="00104376"/>
    <w:rsid w:val="00104935"/>
    <w:rsid w:val="001060C3"/>
    <w:rsid w:val="001064D1"/>
    <w:rsid w:val="0010660A"/>
    <w:rsid w:val="00106D9C"/>
    <w:rsid w:val="0011018D"/>
    <w:rsid w:val="001111E8"/>
    <w:rsid w:val="00111629"/>
    <w:rsid w:val="00111C88"/>
    <w:rsid w:val="001128EF"/>
    <w:rsid w:val="001131D0"/>
    <w:rsid w:val="00113A23"/>
    <w:rsid w:val="00113B7D"/>
    <w:rsid w:val="00114F3E"/>
    <w:rsid w:val="00115AFC"/>
    <w:rsid w:val="001162EA"/>
    <w:rsid w:val="0011655C"/>
    <w:rsid w:val="00116DEC"/>
    <w:rsid w:val="00117B87"/>
    <w:rsid w:val="00117DD3"/>
    <w:rsid w:val="001208EF"/>
    <w:rsid w:val="00120E7C"/>
    <w:rsid w:val="001221C1"/>
    <w:rsid w:val="00122419"/>
    <w:rsid w:val="00122608"/>
    <w:rsid w:val="00122DBE"/>
    <w:rsid w:val="00123146"/>
    <w:rsid w:val="00123222"/>
    <w:rsid w:val="0012371F"/>
    <w:rsid w:val="00123B41"/>
    <w:rsid w:val="00124155"/>
    <w:rsid w:val="00124EB0"/>
    <w:rsid w:val="0012629F"/>
    <w:rsid w:val="001264A6"/>
    <w:rsid w:val="00126F29"/>
    <w:rsid w:val="0012729F"/>
    <w:rsid w:val="0013072E"/>
    <w:rsid w:val="0013148C"/>
    <w:rsid w:val="001326BF"/>
    <w:rsid w:val="0013299A"/>
    <w:rsid w:val="001333F8"/>
    <w:rsid w:val="0013348F"/>
    <w:rsid w:val="001337E9"/>
    <w:rsid w:val="001342B2"/>
    <w:rsid w:val="001345EE"/>
    <w:rsid w:val="00134913"/>
    <w:rsid w:val="00134B7A"/>
    <w:rsid w:val="00135165"/>
    <w:rsid w:val="00135C9A"/>
    <w:rsid w:val="00136616"/>
    <w:rsid w:val="00137275"/>
    <w:rsid w:val="00137BC5"/>
    <w:rsid w:val="00140905"/>
    <w:rsid w:val="00140D6F"/>
    <w:rsid w:val="00141BAE"/>
    <w:rsid w:val="00142163"/>
    <w:rsid w:val="00142FA6"/>
    <w:rsid w:val="001432FF"/>
    <w:rsid w:val="001439D1"/>
    <w:rsid w:val="00143A6E"/>
    <w:rsid w:val="00144D86"/>
    <w:rsid w:val="00145988"/>
    <w:rsid w:val="00146685"/>
    <w:rsid w:val="00146858"/>
    <w:rsid w:val="00146E6B"/>
    <w:rsid w:val="001470AD"/>
    <w:rsid w:val="00147BC1"/>
    <w:rsid w:val="00147CFB"/>
    <w:rsid w:val="001508DA"/>
    <w:rsid w:val="00150C0C"/>
    <w:rsid w:val="00150DA9"/>
    <w:rsid w:val="00151336"/>
    <w:rsid w:val="00152488"/>
    <w:rsid w:val="00152865"/>
    <w:rsid w:val="00152990"/>
    <w:rsid w:val="00152A90"/>
    <w:rsid w:val="0015368B"/>
    <w:rsid w:val="0015433C"/>
    <w:rsid w:val="00154497"/>
    <w:rsid w:val="00154DD4"/>
    <w:rsid w:val="001557CA"/>
    <w:rsid w:val="00155C58"/>
    <w:rsid w:val="00155FE0"/>
    <w:rsid w:val="001561FC"/>
    <w:rsid w:val="00156A34"/>
    <w:rsid w:val="00156BA3"/>
    <w:rsid w:val="00157DB9"/>
    <w:rsid w:val="0016054B"/>
    <w:rsid w:val="00160630"/>
    <w:rsid w:val="00161416"/>
    <w:rsid w:val="001614E8"/>
    <w:rsid w:val="001626C8"/>
    <w:rsid w:val="00162D6B"/>
    <w:rsid w:val="00162D8B"/>
    <w:rsid w:val="001639B4"/>
    <w:rsid w:val="00163DAF"/>
    <w:rsid w:val="001644D1"/>
    <w:rsid w:val="0016455A"/>
    <w:rsid w:val="001649FA"/>
    <w:rsid w:val="00164A6D"/>
    <w:rsid w:val="00164ACC"/>
    <w:rsid w:val="00164B2B"/>
    <w:rsid w:val="00164B79"/>
    <w:rsid w:val="0016535F"/>
    <w:rsid w:val="001657F1"/>
    <w:rsid w:val="00166C04"/>
    <w:rsid w:val="0016741B"/>
    <w:rsid w:val="00170CE3"/>
    <w:rsid w:val="00170EEA"/>
    <w:rsid w:val="0017162B"/>
    <w:rsid w:val="00171A5B"/>
    <w:rsid w:val="001729B5"/>
    <w:rsid w:val="00172AE7"/>
    <w:rsid w:val="00172C07"/>
    <w:rsid w:val="001734BE"/>
    <w:rsid w:val="00173D24"/>
    <w:rsid w:val="00174227"/>
    <w:rsid w:val="00174CDD"/>
    <w:rsid w:val="00175183"/>
    <w:rsid w:val="001752EF"/>
    <w:rsid w:val="001758C3"/>
    <w:rsid w:val="00175C17"/>
    <w:rsid w:val="00175DD6"/>
    <w:rsid w:val="001767B1"/>
    <w:rsid w:val="00177B12"/>
    <w:rsid w:val="00180453"/>
    <w:rsid w:val="001817C6"/>
    <w:rsid w:val="0018181F"/>
    <w:rsid w:val="001826E7"/>
    <w:rsid w:val="00182EDA"/>
    <w:rsid w:val="0018339C"/>
    <w:rsid w:val="00184A34"/>
    <w:rsid w:val="0018539D"/>
    <w:rsid w:val="00185CB2"/>
    <w:rsid w:val="00185CD6"/>
    <w:rsid w:val="00186395"/>
    <w:rsid w:val="00186454"/>
    <w:rsid w:val="001865C8"/>
    <w:rsid w:val="00187824"/>
    <w:rsid w:val="00187AE9"/>
    <w:rsid w:val="0019095B"/>
    <w:rsid w:val="00191CB3"/>
    <w:rsid w:val="00191E26"/>
    <w:rsid w:val="001922A8"/>
    <w:rsid w:val="001937CD"/>
    <w:rsid w:val="001945F7"/>
    <w:rsid w:val="0019496D"/>
    <w:rsid w:val="00194FFC"/>
    <w:rsid w:val="0019528B"/>
    <w:rsid w:val="00195442"/>
    <w:rsid w:val="001959DB"/>
    <w:rsid w:val="00195FA1"/>
    <w:rsid w:val="001975CD"/>
    <w:rsid w:val="001A0CB9"/>
    <w:rsid w:val="001A0CC0"/>
    <w:rsid w:val="001A2BA5"/>
    <w:rsid w:val="001A31F0"/>
    <w:rsid w:val="001A344C"/>
    <w:rsid w:val="001A3B89"/>
    <w:rsid w:val="001A3E96"/>
    <w:rsid w:val="001A459C"/>
    <w:rsid w:val="001A4D7D"/>
    <w:rsid w:val="001A4E00"/>
    <w:rsid w:val="001A4FD8"/>
    <w:rsid w:val="001A5843"/>
    <w:rsid w:val="001A5A90"/>
    <w:rsid w:val="001A5FE9"/>
    <w:rsid w:val="001A62A3"/>
    <w:rsid w:val="001A6D21"/>
    <w:rsid w:val="001A6DF2"/>
    <w:rsid w:val="001A7C78"/>
    <w:rsid w:val="001A7DAA"/>
    <w:rsid w:val="001A7E14"/>
    <w:rsid w:val="001A7EAB"/>
    <w:rsid w:val="001B065D"/>
    <w:rsid w:val="001B09A7"/>
    <w:rsid w:val="001B0FCD"/>
    <w:rsid w:val="001B1912"/>
    <w:rsid w:val="001B19FB"/>
    <w:rsid w:val="001B1CAE"/>
    <w:rsid w:val="001B2F21"/>
    <w:rsid w:val="001B3AF8"/>
    <w:rsid w:val="001B43FC"/>
    <w:rsid w:val="001B5A18"/>
    <w:rsid w:val="001B6636"/>
    <w:rsid w:val="001B671E"/>
    <w:rsid w:val="001B6E11"/>
    <w:rsid w:val="001B7D81"/>
    <w:rsid w:val="001C00A9"/>
    <w:rsid w:val="001C0A3F"/>
    <w:rsid w:val="001C2916"/>
    <w:rsid w:val="001C2BC5"/>
    <w:rsid w:val="001C3171"/>
    <w:rsid w:val="001C5A6D"/>
    <w:rsid w:val="001C5B04"/>
    <w:rsid w:val="001C6A7C"/>
    <w:rsid w:val="001C6ED5"/>
    <w:rsid w:val="001D1B46"/>
    <w:rsid w:val="001D2473"/>
    <w:rsid w:val="001D3819"/>
    <w:rsid w:val="001D3C63"/>
    <w:rsid w:val="001D4630"/>
    <w:rsid w:val="001D5258"/>
    <w:rsid w:val="001D5776"/>
    <w:rsid w:val="001D67A9"/>
    <w:rsid w:val="001D6B10"/>
    <w:rsid w:val="001E04CE"/>
    <w:rsid w:val="001E0A46"/>
    <w:rsid w:val="001E16C5"/>
    <w:rsid w:val="001E1AEE"/>
    <w:rsid w:val="001E1EFD"/>
    <w:rsid w:val="001E26D2"/>
    <w:rsid w:val="001E28BB"/>
    <w:rsid w:val="001E2B45"/>
    <w:rsid w:val="001E2B96"/>
    <w:rsid w:val="001E2CBE"/>
    <w:rsid w:val="001E4AF7"/>
    <w:rsid w:val="001E4EDA"/>
    <w:rsid w:val="001E4F6E"/>
    <w:rsid w:val="001E538C"/>
    <w:rsid w:val="001E5FEC"/>
    <w:rsid w:val="001E62E8"/>
    <w:rsid w:val="001E6A43"/>
    <w:rsid w:val="001E6D63"/>
    <w:rsid w:val="001E7482"/>
    <w:rsid w:val="001E7AE5"/>
    <w:rsid w:val="001F09B9"/>
    <w:rsid w:val="001F0B62"/>
    <w:rsid w:val="001F0DC5"/>
    <w:rsid w:val="001F0E4D"/>
    <w:rsid w:val="001F104E"/>
    <w:rsid w:val="001F12F0"/>
    <w:rsid w:val="001F173E"/>
    <w:rsid w:val="001F17D9"/>
    <w:rsid w:val="001F22BD"/>
    <w:rsid w:val="001F2582"/>
    <w:rsid w:val="001F295D"/>
    <w:rsid w:val="001F2D35"/>
    <w:rsid w:val="001F36F1"/>
    <w:rsid w:val="001F3C85"/>
    <w:rsid w:val="001F507E"/>
    <w:rsid w:val="001F7173"/>
    <w:rsid w:val="0020035D"/>
    <w:rsid w:val="00200560"/>
    <w:rsid w:val="00200772"/>
    <w:rsid w:val="00200A08"/>
    <w:rsid w:val="0020155B"/>
    <w:rsid w:val="00201749"/>
    <w:rsid w:val="002018A3"/>
    <w:rsid w:val="002028EB"/>
    <w:rsid w:val="00202E8F"/>
    <w:rsid w:val="00203143"/>
    <w:rsid w:val="002033FA"/>
    <w:rsid w:val="00203433"/>
    <w:rsid w:val="0020463C"/>
    <w:rsid w:val="002054B6"/>
    <w:rsid w:val="00207209"/>
    <w:rsid w:val="00207410"/>
    <w:rsid w:val="00207980"/>
    <w:rsid w:val="00210088"/>
    <w:rsid w:val="00210735"/>
    <w:rsid w:val="00210FDC"/>
    <w:rsid w:val="00212501"/>
    <w:rsid w:val="0021262A"/>
    <w:rsid w:val="00212CAC"/>
    <w:rsid w:val="00212E8A"/>
    <w:rsid w:val="00213037"/>
    <w:rsid w:val="00213853"/>
    <w:rsid w:val="00213BE0"/>
    <w:rsid w:val="0021511B"/>
    <w:rsid w:val="0021529D"/>
    <w:rsid w:val="00215F13"/>
    <w:rsid w:val="00217039"/>
    <w:rsid w:val="002177DC"/>
    <w:rsid w:val="002201C2"/>
    <w:rsid w:val="002202A6"/>
    <w:rsid w:val="00221A4B"/>
    <w:rsid w:val="00221F29"/>
    <w:rsid w:val="00222818"/>
    <w:rsid w:val="00222D0F"/>
    <w:rsid w:val="00223048"/>
    <w:rsid w:val="002234EA"/>
    <w:rsid w:val="00224678"/>
    <w:rsid w:val="00224E9C"/>
    <w:rsid w:val="0022634B"/>
    <w:rsid w:val="00226824"/>
    <w:rsid w:val="00226855"/>
    <w:rsid w:val="002303BD"/>
    <w:rsid w:val="00230CD2"/>
    <w:rsid w:val="0023133A"/>
    <w:rsid w:val="0023192E"/>
    <w:rsid w:val="0023257C"/>
    <w:rsid w:val="002327FE"/>
    <w:rsid w:val="0023281A"/>
    <w:rsid w:val="00233247"/>
    <w:rsid w:val="00233654"/>
    <w:rsid w:val="00233C7D"/>
    <w:rsid w:val="0023449E"/>
    <w:rsid w:val="0023453A"/>
    <w:rsid w:val="00234DAE"/>
    <w:rsid w:val="00234F74"/>
    <w:rsid w:val="0023599E"/>
    <w:rsid w:val="00235B61"/>
    <w:rsid w:val="00236237"/>
    <w:rsid w:val="0023661D"/>
    <w:rsid w:val="00237A40"/>
    <w:rsid w:val="00237DF7"/>
    <w:rsid w:val="00240EFA"/>
    <w:rsid w:val="002420D5"/>
    <w:rsid w:val="002432EA"/>
    <w:rsid w:val="00243DA7"/>
    <w:rsid w:val="00243F73"/>
    <w:rsid w:val="00245E5A"/>
    <w:rsid w:val="002469FD"/>
    <w:rsid w:val="00246A14"/>
    <w:rsid w:val="002471CC"/>
    <w:rsid w:val="00247371"/>
    <w:rsid w:val="0025001E"/>
    <w:rsid w:val="00250C48"/>
    <w:rsid w:val="00250CDD"/>
    <w:rsid w:val="00252175"/>
    <w:rsid w:val="0025287A"/>
    <w:rsid w:val="00252E6B"/>
    <w:rsid w:val="00253F79"/>
    <w:rsid w:val="00254226"/>
    <w:rsid w:val="002562CD"/>
    <w:rsid w:val="00256341"/>
    <w:rsid w:val="00257A6D"/>
    <w:rsid w:val="00257ABB"/>
    <w:rsid w:val="0026076E"/>
    <w:rsid w:val="00260A14"/>
    <w:rsid w:val="0026145C"/>
    <w:rsid w:val="00261466"/>
    <w:rsid w:val="002615D5"/>
    <w:rsid w:val="00261950"/>
    <w:rsid w:val="00261F1E"/>
    <w:rsid w:val="002638B3"/>
    <w:rsid w:val="00263D2B"/>
    <w:rsid w:val="00264D15"/>
    <w:rsid w:val="0026513D"/>
    <w:rsid w:val="00265783"/>
    <w:rsid w:val="00265A02"/>
    <w:rsid w:val="0026656B"/>
    <w:rsid w:val="002707CA"/>
    <w:rsid w:val="002707EB"/>
    <w:rsid w:val="0027083A"/>
    <w:rsid w:val="00270968"/>
    <w:rsid w:val="0027099C"/>
    <w:rsid w:val="00270D0E"/>
    <w:rsid w:val="00271B25"/>
    <w:rsid w:val="00271D92"/>
    <w:rsid w:val="00272354"/>
    <w:rsid w:val="002726E5"/>
    <w:rsid w:val="002730BB"/>
    <w:rsid w:val="00273BD0"/>
    <w:rsid w:val="00273DE0"/>
    <w:rsid w:val="002740B9"/>
    <w:rsid w:val="0027483B"/>
    <w:rsid w:val="00275656"/>
    <w:rsid w:val="002756C9"/>
    <w:rsid w:val="00276278"/>
    <w:rsid w:val="00276B05"/>
    <w:rsid w:val="0027791E"/>
    <w:rsid w:val="00277B6A"/>
    <w:rsid w:val="002806B3"/>
    <w:rsid w:val="00280909"/>
    <w:rsid w:val="00280DCA"/>
    <w:rsid w:val="002814F3"/>
    <w:rsid w:val="00281647"/>
    <w:rsid w:val="00281CAD"/>
    <w:rsid w:val="002827DF"/>
    <w:rsid w:val="0028282D"/>
    <w:rsid w:val="00282E4D"/>
    <w:rsid w:val="00283C48"/>
    <w:rsid w:val="00285167"/>
    <w:rsid w:val="00286430"/>
    <w:rsid w:val="002869F4"/>
    <w:rsid w:val="002870E2"/>
    <w:rsid w:val="0028793D"/>
    <w:rsid w:val="002908F0"/>
    <w:rsid w:val="00290D5B"/>
    <w:rsid w:val="00291FE4"/>
    <w:rsid w:val="0029328F"/>
    <w:rsid w:val="00293367"/>
    <w:rsid w:val="00293526"/>
    <w:rsid w:val="00293C48"/>
    <w:rsid w:val="00294EB4"/>
    <w:rsid w:val="00295052"/>
    <w:rsid w:val="00297119"/>
    <w:rsid w:val="002A09E8"/>
    <w:rsid w:val="002A104B"/>
    <w:rsid w:val="002A1313"/>
    <w:rsid w:val="002A1850"/>
    <w:rsid w:val="002A1FD0"/>
    <w:rsid w:val="002A3091"/>
    <w:rsid w:val="002A30E0"/>
    <w:rsid w:val="002A3202"/>
    <w:rsid w:val="002A336A"/>
    <w:rsid w:val="002A356C"/>
    <w:rsid w:val="002A4272"/>
    <w:rsid w:val="002A4458"/>
    <w:rsid w:val="002A49E5"/>
    <w:rsid w:val="002A53B3"/>
    <w:rsid w:val="002A585B"/>
    <w:rsid w:val="002B0068"/>
    <w:rsid w:val="002B042B"/>
    <w:rsid w:val="002B0689"/>
    <w:rsid w:val="002B0728"/>
    <w:rsid w:val="002B1198"/>
    <w:rsid w:val="002B16A9"/>
    <w:rsid w:val="002B1C26"/>
    <w:rsid w:val="002B1DDB"/>
    <w:rsid w:val="002B23A4"/>
    <w:rsid w:val="002B2439"/>
    <w:rsid w:val="002B2630"/>
    <w:rsid w:val="002B2B7A"/>
    <w:rsid w:val="002B3EAB"/>
    <w:rsid w:val="002B415A"/>
    <w:rsid w:val="002B4467"/>
    <w:rsid w:val="002B4829"/>
    <w:rsid w:val="002B4D2B"/>
    <w:rsid w:val="002B54E7"/>
    <w:rsid w:val="002B55C6"/>
    <w:rsid w:val="002B66C0"/>
    <w:rsid w:val="002B6783"/>
    <w:rsid w:val="002B690F"/>
    <w:rsid w:val="002B693B"/>
    <w:rsid w:val="002B6C24"/>
    <w:rsid w:val="002B7FD0"/>
    <w:rsid w:val="002C00C2"/>
    <w:rsid w:val="002C0246"/>
    <w:rsid w:val="002C11EA"/>
    <w:rsid w:val="002C24BA"/>
    <w:rsid w:val="002C29FF"/>
    <w:rsid w:val="002C2A57"/>
    <w:rsid w:val="002C2AED"/>
    <w:rsid w:val="002C2D61"/>
    <w:rsid w:val="002C32F4"/>
    <w:rsid w:val="002C330D"/>
    <w:rsid w:val="002C377A"/>
    <w:rsid w:val="002C3D80"/>
    <w:rsid w:val="002C4019"/>
    <w:rsid w:val="002C4B88"/>
    <w:rsid w:val="002C54AE"/>
    <w:rsid w:val="002C615F"/>
    <w:rsid w:val="002D035D"/>
    <w:rsid w:val="002D08DB"/>
    <w:rsid w:val="002D08EC"/>
    <w:rsid w:val="002D124F"/>
    <w:rsid w:val="002D1951"/>
    <w:rsid w:val="002D2222"/>
    <w:rsid w:val="002D2B60"/>
    <w:rsid w:val="002D313F"/>
    <w:rsid w:val="002D3555"/>
    <w:rsid w:val="002D61ED"/>
    <w:rsid w:val="002D65FE"/>
    <w:rsid w:val="002D71A6"/>
    <w:rsid w:val="002D7D0C"/>
    <w:rsid w:val="002E14AC"/>
    <w:rsid w:val="002E21E5"/>
    <w:rsid w:val="002E2307"/>
    <w:rsid w:val="002E2B63"/>
    <w:rsid w:val="002E3526"/>
    <w:rsid w:val="002E38FA"/>
    <w:rsid w:val="002E398C"/>
    <w:rsid w:val="002E3D09"/>
    <w:rsid w:val="002E4534"/>
    <w:rsid w:val="002E4894"/>
    <w:rsid w:val="002E4B78"/>
    <w:rsid w:val="002E581C"/>
    <w:rsid w:val="002E63CE"/>
    <w:rsid w:val="002E6638"/>
    <w:rsid w:val="002E70C3"/>
    <w:rsid w:val="002E7316"/>
    <w:rsid w:val="002E7498"/>
    <w:rsid w:val="002E794E"/>
    <w:rsid w:val="002F096C"/>
    <w:rsid w:val="002F150C"/>
    <w:rsid w:val="002F1686"/>
    <w:rsid w:val="002F1AD8"/>
    <w:rsid w:val="002F1E02"/>
    <w:rsid w:val="002F2B41"/>
    <w:rsid w:val="002F2BDC"/>
    <w:rsid w:val="002F2E54"/>
    <w:rsid w:val="002F3062"/>
    <w:rsid w:val="002F35EC"/>
    <w:rsid w:val="002F38F6"/>
    <w:rsid w:val="002F41D5"/>
    <w:rsid w:val="002F47C3"/>
    <w:rsid w:val="002F4C22"/>
    <w:rsid w:val="002F4EB4"/>
    <w:rsid w:val="002F52EC"/>
    <w:rsid w:val="002F5670"/>
    <w:rsid w:val="002F6943"/>
    <w:rsid w:val="002F729D"/>
    <w:rsid w:val="002F746A"/>
    <w:rsid w:val="002F74CF"/>
    <w:rsid w:val="00300358"/>
    <w:rsid w:val="003015C2"/>
    <w:rsid w:val="003017C0"/>
    <w:rsid w:val="00301878"/>
    <w:rsid w:val="00301921"/>
    <w:rsid w:val="0030214B"/>
    <w:rsid w:val="003021B6"/>
    <w:rsid w:val="003024D6"/>
    <w:rsid w:val="00302B32"/>
    <w:rsid w:val="00302B6F"/>
    <w:rsid w:val="003031BC"/>
    <w:rsid w:val="0030470A"/>
    <w:rsid w:val="003047CA"/>
    <w:rsid w:val="00306B58"/>
    <w:rsid w:val="00307B5D"/>
    <w:rsid w:val="003101D1"/>
    <w:rsid w:val="0031071B"/>
    <w:rsid w:val="003107D6"/>
    <w:rsid w:val="0031096A"/>
    <w:rsid w:val="00310C13"/>
    <w:rsid w:val="00310E1C"/>
    <w:rsid w:val="00311577"/>
    <w:rsid w:val="003119F2"/>
    <w:rsid w:val="00311E1E"/>
    <w:rsid w:val="003121A7"/>
    <w:rsid w:val="00312F6E"/>
    <w:rsid w:val="003133AB"/>
    <w:rsid w:val="0031515F"/>
    <w:rsid w:val="00315318"/>
    <w:rsid w:val="003159B2"/>
    <w:rsid w:val="00315B8B"/>
    <w:rsid w:val="003161DE"/>
    <w:rsid w:val="00316FF9"/>
    <w:rsid w:val="003200A7"/>
    <w:rsid w:val="00320FDB"/>
    <w:rsid w:val="003212D5"/>
    <w:rsid w:val="00321650"/>
    <w:rsid w:val="0032194B"/>
    <w:rsid w:val="003229A2"/>
    <w:rsid w:val="003230CE"/>
    <w:rsid w:val="003242E7"/>
    <w:rsid w:val="0032451F"/>
    <w:rsid w:val="00324CC4"/>
    <w:rsid w:val="00324D18"/>
    <w:rsid w:val="00325BF0"/>
    <w:rsid w:val="00325EA0"/>
    <w:rsid w:val="003266EE"/>
    <w:rsid w:val="00327695"/>
    <w:rsid w:val="00327E40"/>
    <w:rsid w:val="00330383"/>
    <w:rsid w:val="00330F52"/>
    <w:rsid w:val="003312E1"/>
    <w:rsid w:val="00331503"/>
    <w:rsid w:val="003320EF"/>
    <w:rsid w:val="00332C76"/>
    <w:rsid w:val="0033331A"/>
    <w:rsid w:val="00334557"/>
    <w:rsid w:val="003346AB"/>
    <w:rsid w:val="00334F6B"/>
    <w:rsid w:val="003354A6"/>
    <w:rsid w:val="003355E9"/>
    <w:rsid w:val="00335955"/>
    <w:rsid w:val="0033596B"/>
    <w:rsid w:val="00336855"/>
    <w:rsid w:val="003371FB"/>
    <w:rsid w:val="00337249"/>
    <w:rsid w:val="0033741F"/>
    <w:rsid w:val="00337536"/>
    <w:rsid w:val="003402E1"/>
    <w:rsid w:val="00340FEB"/>
    <w:rsid w:val="00341F38"/>
    <w:rsid w:val="0034202D"/>
    <w:rsid w:val="003425A1"/>
    <w:rsid w:val="00342BC6"/>
    <w:rsid w:val="00344CAD"/>
    <w:rsid w:val="003453F2"/>
    <w:rsid w:val="00345585"/>
    <w:rsid w:val="00346995"/>
    <w:rsid w:val="003478DB"/>
    <w:rsid w:val="00347926"/>
    <w:rsid w:val="00347CBD"/>
    <w:rsid w:val="00347D30"/>
    <w:rsid w:val="00347D6A"/>
    <w:rsid w:val="00350633"/>
    <w:rsid w:val="00350F48"/>
    <w:rsid w:val="003524BF"/>
    <w:rsid w:val="00352F21"/>
    <w:rsid w:val="00354075"/>
    <w:rsid w:val="00354A74"/>
    <w:rsid w:val="00354B83"/>
    <w:rsid w:val="00354C34"/>
    <w:rsid w:val="00355536"/>
    <w:rsid w:val="00355A9C"/>
    <w:rsid w:val="00356005"/>
    <w:rsid w:val="00356A33"/>
    <w:rsid w:val="0035701F"/>
    <w:rsid w:val="00357286"/>
    <w:rsid w:val="0035729D"/>
    <w:rsid w:val="00357342"/>
    <w:rsid w:val="0035767F"/>
    <w:rsid w:val="003601D0"/>
    <w:rsid w:val="00360247"/>
    <w:rsid w:val="00360D92"/>
    <w:rsid w:val="00361BBE"/>
    <w:rsid w:val="00361E80"/>
    <w:rsid w:val="00362CEF"/>
    <w:rsid w:val="0036343A"/>
    <w:rsid w:val="00363DBC"/>
    <w:rsid w:val="00364207"/>
    <w:rsid w:val="003643DB"/>
    <w:rsid w:val="003649AE"/>
    <w:rsid w:val="00364BD2"/>
    <w:rsid w:val="00365C42"/>
    <w:rsid w:val="00366ADF"/>
    <w:rsid w:val="00366BE7"/>
    <w:rsid w:val="00367755"/>
    <w:rsid w:val="0036798A"/>
    <w:rsid w:val="00367EC5"/>
    <w:rsid w:val="00367F8D"/>
    <w:rsid w:val="00370434"/>
    <w:rsid w:val="00370A64"/>
    <w:rsid w:val="00371357"/>
    <w:rsid w:val="00371A4F"/>
    <w:rsid w:val="003730BA"/>
    <w:rsid w:val="00373E9F"/>
    <w:rsid w:val="00374373"/>
    <w:rsid w:val="00374D94"/>
    <w:rsid w:val="00374DA9"/>
    <w:rsid w:val="00375932"/>
    <w:rsid w:val="00375BAD"/>
    <w:rsid w:val="003769D8"/>
    <w:rsid w:val="00376F6D"/>
    <w:rsid w:val="003770D7"/>
    <w:rsid w:val="003802A7"/>
    <w:rsid w:val="00380475"/>
    <w:rsid w:val="00380A9E"/>
    <w:rsid w:val="00380B1E"/>
    <w:rsid w:val="00380C69"/>
    <w:rsid w:val="00381024"/>
    <w:rsid w:val="00381976"/>
    <w:rsid w:val="00381A98"/>
    <w:rsid w:val="00381DC3"/>
    <w:rsid w:val="00382260"/>
    <w:rsid w:val="003824A6"/>
    <w:rsid w:val="003826E7"/>
    <w:rsid w:val="00383244"/>
    <w:rsid w:val="00383340"/>
    <w:rsid w:val="003851B7"/>
    <w:rsid w:val="00386217"/>
    <w:rsid w:val="00386A77"/>
    <w:rsid w:val="00386AFB"/>
    <w:rsid w:val="00386D02"/>
    <w:rsid w:val="00387365"/>
    <w:rsid w:val="00387699"/>
    <w:rsid w:val="00387996"/>
    <w:rsid w:val="00387C13"/>
    <w:rsid w:val="0039265B"/>
    <w:rsid w:val="003926C3"/>
    <w:rsid w:val="003927A6"/>
    <w:rsid w:val="00392AC0"/>
    <w:rsid w:val="00392E19"/>
    <w:rsid w:val="00392FC2"/>
    <w:rsid w:val="003932FE"/>
    <w:rsid w:val="0039345C"/>
    <w:rsid w:val="00394653"/>
    <w:rsid w:val="00394A74"/>
    <w:rsid w:val="00394FA1"/>
    <w:rsid w:val="003953BB"/>
    <w:rsid w:val="00395CC1"/>
    <w:rsid w:val="0039674A"/>
    <w:rsid w:val="00396B91"/>
    <w:rsid w:val="00397420"/>
    <w:rsid w:val="00397F7A"/>
    <w:rsid w:val="003A05AF"/>
    <w:rsid w:val="003A0BC8"/>
    <w:rsid w:val="003A0C87"/>
    <w:rsid w:val="003A1112"/>
    <w:rsid w:val="003A18E3"/>
    <w:rsid w:val="003A2179"/>
    <w:rsid w:val="003A284D"/>
    <w:rsid w:val="003A42DC"/>
    <w:rsid w:val="003A4F03"/>
    <w:rsid w:val="003A500F"/>
    <w:rsid w:val="003A502A"/>
    <w:rsid w:val="003A53FD"/>
    <w:rsid w:val="003A5CD6"/>
    <w:rsid w:val="003A5E28"/>
    <w:rsid w:val="003B0DD3"/>
    <w:rsid w:val="003B17B8"/>
    <w:rsid w:val="003B1B62"/>
    <w:rsid w:val="003B1C95"/>
    <w:rsid w:val="003B222D"/>
    <w:rsid w:val="003B33C7"/>
    <w:rsid w:val="003B33F8"/>
    <w:rsid w:val="003B394E"/>
    <w:rsid w:val="003B3E62"/>
    <w:rsid w:val="003B46EA"/>
    <w:rsid w:val="003B473B"/>
    <w:rsid w:val="003B4F65"/>
    <w:rsid w:val="003B50F3"/>
    <w:rsid w:val="003B638A"/>
    <w:rsid w:val="003B63CA"/>
    <w:rsid w:val="003B64BC"/>
    <w:rsid w:val="003B68A4"/>
    <w:rsid w:val="003B6A59"/>
    <w:rsid w:val="003B70F6"/>
    <w:rsid w:val="003B7C7F"/>
    <w:rsid w:val="003C007E"/>
    <w:rsid w:val="003C039C"/>
    <w:rsid w:val="003C03AD"/>
    <w:rsid w:val="003C09CD"/>
    <w:rsid w:val="003C0BC7"/>
    <w:rsid w:val="003C141C"/>
    <w:rsid w:val="003C2CE4"/>
    <w:rsid w:val="003C2E1A"/>
    <w:rsid w:val="003C2E81"/>
    <w:rsid w:val="003C39FB"/>
    <w:rsid w:val="003C3EA7"/>
    <w:rsid w:val="003C55C3"/>
    <w:rsid w:val="003C661D"/>
    <w:rsid w:val="003C6F8C"/>
    <w:rsid w:val="003C7C61"/>
    <w:rsid w:val="003C7DEC"/>
    <w:rsid w:val="003D00D4"/>
    <w:rsid w:val="003D040A"/>
    <w:rsid w:val="003D0866"/>
    <w:rsid w:val="003D0AE1"/>
    <w:rsid w:val="003D1BF4"/>
    <w:rsid w:val="003D31A3"/>
    <w:rsid w:val="003D3CD3"/>
    <w:rsid w:val="003D41A7"/>
    <w:rsid w:val="003D42EE"/>
    <w:rsid w:val="003D54F7"/>
    <w:rsid w:val="003D5FC3"/>
    <w:rsid w:val="003D6254"/>
    <w:rsid w:val="003D6328"/>
    <w:rsid w:val="003D6E5E"/>
    <w:rsid w:val="003D6F87"/>
    <w:rsid w:val="003E058A"/>
    <w:rsid w:val="003E0BD7"/>
    <w:rsid w:val="003E108C"/>
    <w:rsid w:val="003E140C"/>
    <w:rsid w:val="003E1781"/>
    <w:rsid w:val="003E2F14"/>
    <w:rsid w:val="003E3201"/>
    <w:rsid w:val="003E4AF6"/>
    <w:rsid w:val="003E5606"/>
    <w:rsid w:val="003E5B01"/>
    <w:rsid w:val="003E5D81"/>
    <w:rsid w:val="003E64A9"/>
    <w:rsid w:val="003E7FA8"/>
    <w:rsid w:val="003F0BA3"/>
    <w:rsid w:val="003F10EF"/>
    <w:rsid w:val="003F2451"/>
    <w:rsid w:val="003F3BBC"/>
    <w:rsid w:val="003F499D"/>
    <w:rsid w:val="003F4CB0"/>
    <w:rsid w:val="003F59F9"/>
    <w:rsid w:val="003F5D38"/>
    <w:rsid w:val="003F666A"/>
    <w:rsid w:val="003F696E"/>
    <w:rsid w:val="003F7417"/>
    <w:rsid w:val="003F7672"/>
    <w:rsid w:val="00400211"/>
    <w:rsid w:val="0040092B"/>
    <w:rsid w:val="00401318"/>
    <w:rsid w:val="0040224C"/>
    <w:rsid w:val="0040297D"/>
    <w:rsid w:val="00402DEC"/>
    <w:rsid w:val="00402F60"/>
    <w:rsid w:val="00403194"/>
    <w:rsid w:val="00403776"/>
    <w:rsid w:val="00403A1A"/>
    <w:rsid w:val="00403E4B"/>
    <w:rsid w:val="00404328"/>
    <w:rsid w:val="00404765"/>
    <w:rsid w:val="004051E3"/>
    <w:rsid w:val="004058B9"/>
    <w:rsid w:val="00405B8F"/>
    <w:rsid w:val="00405C5E"/>
    <w:rsid w:val="00406547"/>
    <w:rsid w:val="004071C3"/>
    <w:rsid w:val="00407328"/>
    <w:rsid w:val="004100E2"/>
    <w:rsid w:val="00410338"/>
    <w:rsid w:val="00411AAC"/>
    <w:rsid w:val="00411F0D"/>
    <w:rsid w:val="00412B71"/>
    <w:rsid w:val="00413150"/>
    <w:rsid w:val="004135F9"/>
    <w:rsid w:val="00413A2D"/>
    <w:rsid w:val="00414A9A"/>
    <w:rsid w:val="00414C3A"/>
    <w:rsid w:val="004151AC"/>
    <w:rsid w:val="00415EFB"/>
    <w:rsid w:val="00416C5D"/>
    <w:rsid w:val="00417489"/>
    <w:rsid w:val="00420BBE"/>
    <w:rsid w:val="004210D1"/>
    <w:rsid w:val="00422030"/>
    <w:rsid w:val="0042296C"/>
    <w:rsid w:val="00423409"/>
    <w:rsid w:val="00424B41"/>
    <w:rsid w:val="004256FC"/>
    <w:rsid w:val="00426980"/>
    <w:rsid w:val="00426C87"/>
    <w:rsid w:val="004270AB"/>
    <w:rsid w:val="00427761"/>
    <w:rsid w:val="00427E68"/>
    <w:rsid w:val="00431DD6"/>
    <w:rsid w:val="0043218F"/>
    <w:rsid w:val="0043233E"/>
    <w:rsid w:val="0043240A"/>
    <w:rsid w:val="00432F60"/>
    <w:rsid w:val="00433A3C"/>
    <w:rsid w:val="00433B6D"/>
    <w:rsid w:val="00434054"/>
    <w:rsid w:val="0043438A"/>
    <w:rsid w:val="004349D0"/>
    <w:rsid w:val="00434CB3"/>
    <w:rsid w:val="004358BC"/>
    <w:rsid w:val="00436E1A"/>
    <w:rsid w:val="00437232"/>
    <w:rsid w:val="004372F4"/>
    <w:rsid w:val="00437C84"/>
    <w:rsid w:val="00440375"/>
    <w:rsid w:val="004403F4"/>
    <w:rsid w:val="00440AA9"/>
    <w:rsid w:val="00440CA8"/>
    <w:rsid w:val="00440F54"/>
    <w:rsid w:val="0044153D"/>
    <w:rsid w:val="004416F8"/>
    <w:rsid w:val="00441955"/>
    <w:rsid w:val="00441B96"/>
    <w:rsid w:val="00442682"/>
    <w:rsid w:val="004429C2"/>
    <w:rsid w:val="00442DA5"/>
    <w:rsid w:val="00442F96"/>
    <w:rsid w:val="00442FE1"/>
    <w:rsid w:val="00443A9B"/>
    <w:rsid w:val="00443FA7"/>
    <w:rsid w:val="004444A4"/>
    <w:rsid w:val="00444571"/>
    <w:rsid w:val="004446BB"/>
    <w:rsid w:val="004458B2"/>
    <w:rsid w:val="00446016"/>
    <w:rsid w:val="0044617A"/>
    <w:rsid w:val="0044682C"/>
    <w:rsid w:val="00447C2E"/>
    <w:rsid w:val="00450668"/>
    <w:rsid w:val="00450A3C"/>
    <w:rsid w:val="00450D9E"/>
    <w:rsid w:val="00450DB7"/>
    <w:rsid w:val="00450E1B"/>
    <w:rsid w:val="004529BF"/>
    <w:rsid w:val="00453AA0"/>
    <w:rsid w:val="00455411"/>
    <w:rsid w:val="0045618C"/>
    <w:rsid w:val="004561E8"/>
    <w:rsid w:val="004562B5"/>
    <w:rsid w:val="004562BB"/>
    <w:rsid w:val="004565CB"/>
    <w:rsid w:val="0045679F"/>
    <w:rsid w:val="00456ECA"/>
    <w:rsid w:val="004573B7"/>
    <w:rsid w:val="004577DB"/>
    <w:rsid w:val="00460081"/>
    <w:rsid w:val="004608B5"/>
    <w:rsid w:val="00460926"/>
    <w:rsid w:val="00460A3B"/>
    <w:rsid w:val="00461583"/>
    <w:rsid w:val="004615C0"/>
    <w:rsid w:val="00461EF1"/>
    <w:rsid w:val="004620A7"/>
    <w:rsid w:val="004624F1"/>
    <w:rsid w:val="004625C5"/>
    <w:rsid w:val="00462CD6"/>
    <w:rsid w:val="0046365B"/>
    <w:rsid w:val="00463F75"/>
    <w:rsid w:val="00464C1D"/>
    <w:rsid w:val="00464EFD"/>
    <w:rsid w:val="004651AE"/>
    <w:rsid w:val="0046533E"/>
    <w:rsid w:val="00465762"/>
    <w:rsid w:val="004660A7"/>
    <w:rsid w:val="004671C6"/>
    <w:rsid w:val="004679B0"/>
    <w:rsid w:val="00471730"/>
    <w:rsid w:val="00471D45"/>
    <w:rsid w:val="00472BE5"/>
    <w:rsid w:val="0047378E"/>
    <w:rsid w:val="004756FD"/>
    <w:rsid w:val="00475E4F"/>
    <w:rsid w:val="00477B27"/>
    <w:rsid w:val="00477D6A"/>
    <w:rsid w:val="00477F1D"/>
    <w:rsid w:val="00477F29"/>
    <w:rsid w:val="0048058E"/>
    <w:rsid w:val="00480DA2"/>
    <w:rsid w:val="00482171"/>
    <w:rsid w:val="00482280"/>
    <w:rsid w:val="004823D9"/>
    <w:rsid w:val="00483FF2"/>
    <w:rsid w:val="004847B9"/>
    <w:rsid w:val="00485264"/>
    <w:rsid w:val="004858D0"/>
    <w:rsid w:val="00485F7A"/>
    <w:rsid w:val="0048607E"/>
    <w:rsid w:val="004865DC"/>
    <w:rsid w:val="00486D4B"/>
    <w:rsid w:val="0048770D"/>
    <w:rsid w:val="004879F4"/>
    <w:rsid w:val="00492A10"/>
    <w:rsid w:val="00493548"/>
    <w:rsid w:val="00493B78"/>
    <w:rsid w:val="004954BA"/>
    <w:rsid w:val="00497A56"/>
    <w:rsid w:val="00497AD0"/>
    <w:rsid w:val="00497C51"/>
    <w:rsid w:val="004A01CE"/>
    <w:rsid w:val="004A02B0"/>
    <w:rsid w:val="004A0EF7"/>
    <w:rsid w:val="004A13AA"/>
    <w:rsid w:val="004A1565"/>
    <w:rsid w:val="004A17AA"/>
    <w:rsid w:val="004A1841"/>
    <w:rsid w:val="004A2195"/>
    <w:rsid w:val="004A2868"/>
    <w:rsid w:val="004A2B45"/>
    <w:rsid w:val="004A2C70"/>
    <w:rsid w:val="004A3103"/>
    <w:rsid w:val="004A33F5"/>
    <w:rsid w:val="004A37AF"/>
    <w:rsid w:val="004A3C83"/>
    <w:rsid w:val="004A4989"/>
    <w:rsid w:val="004A512B"/>
    <w:rsid w:val="004A5B0C"/>
    <w:rsid w:val="004A6505"/>
    <w:rsid w:val="004B0553"/>
    <w:rsid w:val="004B05A9"/>
    <w:rsid w:val="004B0B02"/>
    <w:rsid w:val="004B0F2A"/>
    <w:rsid w:val="004B10EA"/>
    <w:rsid w:val="004B1586"/>
    <w:rsid w:val="004B22F7"/>
    <w:rsid w:val="004B2F9B"/>
    <w:rsid w:val="004B35F7"/>
    <w:rsid w:val="004B3797"/>
    <w:rsid w:val="004B3A8B"/>
    <w:rsid w:val="004B3C18"/>
    <w:rsid w:val="004B43E3"/>
    <w:rsid w:val="004B572B"/>
    <w:rsid w:val="004B6731"/>
    <w:rsid w:val="004B6958"/>
    <w:rsid w:val="004B7106"/>
    <w:rsid w:val="004C0206"/>
    <w:rsid w:val="004C05DB"/>
    <w:rsid w:val="004C0A94"/>
    <w:rsid w:val="004C139D"/>
    <w:rsid w:val="004C1507"/>
    <w:rsid w:val="004C1A1D"/>
    <w:rsid w:val="004C3274"/>
    <w:rsid w:val="004C3958"/>
    <w:rsid w:val="004C3F54"/>
    <w:rsid w:val="004C542A"/>
    <w:rsid w:val="004C58AD"/>
    <w:rsid w:val="004C5BFE"/>
    <w:rsid w:val="004C6153"/>
    <w:rsid w:val="004C69FF"/>
    <w:rsid w:val="004C6B73"/>
    <w:rsid w:val="004C6BCA"/>
    <w:rsid w:val="004C7199"/>
    <w:rsid w:val="004C7A7A"/>
    <w:rsid w:val="004D03CF"/>
    <w:rsid w:val="004D0C4F"/>
    <w:rsid w:val="004D0FD3"/>
    <w:rsid w:val="004D2CC1"/>
    <w:rsid w:val="004D2FC9"/>
    <w:rsid w:val="004D3644"/>
    <w:rsid w:val="004D4101"/>
    <w:rsid w:val="004D424B"/>
    <w:rsid w:val="004D483E"/>
    <w:rsid w:val="004D483F"/>
    <w:rsid w:val="004D4DA3"/>
    <w:rsid w:val="004D5351"/>
    <w:rsid w:val="004D5575"/>
    <w:rsid w:val="004D6219"/>
    <w:rsid w:val="004D6566"/>
    <w:rsid w:val="004E01CA"/>
    <w:rsid w:val="004E0740"/>
    <w:rsid w:val="004E1A08"/>
    <w:rsid w:val="004E1A58"/>
    <w:rsid w:val="004E1B09"/>
    <w:rsid w:val="004E2A83"/>
    <w:rsid w:val="004E3CDB"/>
    <w:rsid w:val="004E3EC3"/>
    <w:rsid w:val="004E467D"/>
    <w:rsid w:val="004E49A1"/>
    <w:rsid w:val="004E4E5E"/>
    <w:rsid w:val="004E6EED"/>
    <w:rsid w:val="004E7587"/>
    <w:rsid w:val="004E781A"/>
    <w:rsid w:val="004E7AFA"/>
    <w:rsid w:val="004F1209"/>
    <w:rsid w:val="004F1C3E"/>
    <w:rsid w:val="004F1E0B"/>
    <w:rsid w:val="004F31A9"/>
    <w:rsid w:val="004F325D"/>
    <w:rsid w:val="004F5C8A"/>
    <w:rsid w:val="004F64CD"/>
    <w:rsid w:val="004F76F2"/>
    <w:rsid w:val="004F7BF9"/>
    <w:rsid w:val="00500FB4"/>
    <w:rsid w:val="0050105C"/>
    <w:rsid w:val="0050109B"/>
    <w:rsid w:val="00501342"/>
    <w:rsid w:val="00502E63"/>
    <w:rsid w:val="00502F4A"/>
    <w:rsid w:val="0050318C"/>
    <w:rsid w:val="005051ED"/>
    <w:rsid w:val="00505E7A"/>
    <w:rsid w:val="005063C9"/>
    <w:rsid w:val="00506D04"/>
    <w:rsid w:val="005071E6"/>
    <w:rsid w:val="00507C0D"/>
    <w:rsid w:val="00507F2E"/>
    <w:rsid w:val="005113B5"/>
    <w:rsid w:val="0051294C"/>
    <w:rsid w:val="00512C60"/>
    <w:rsid w:val="00512E17"/>
    <w:rsid w:val="005132B6"/>
    <w:rsid w:val="005137E3"/>
    <w:rsid w:val="00514298"/>
    <w:rsid w:val="0051430F"/>
    <w:rsid w:val="005144C4"/>
    <w:rsid w:val="0051500F"/>
    <w:rsid w:val="005151F6"/>
    <w:rsid w:val="00516A53"/>
    <w:rsid w:val="00516A59"/>
    <w:rsid w:val="0051793A"/>
    <w:rsid w:val="0052126C"/>
    <w:rsid w:val="00521C22"/>
    <w:rsid w:val="00521E6C"/>
    <w:rsid w:val="00521F30"/>
    <w:rsid w:val="00521FCF"/>
    <w:rsid w:val="00521FDB"/>
    <w:rsid w:val="005222F8"/>
    <w:rsid w:val="00522D30"/>
    <w:rsid w:val="00523204"/>
    <w:rsid w:val="005233EF"/>
    <w:rsid w:val="00523834"/>
    <w:rsid w:val="00523A89"/>
    <w:rsid w:val="00523A8D"/>
    <w:rsid w:val="00523F7F"/>
    <w:rsid w:val="00523F8C"/>
    <w:rsid w:val="00524D26"/>
    <w:rsid w:val="00524F9B"/>
    <w:rsid w:val="00526A16"/>
    <w:rsid w:val="00527355"/>
    <w:rsid w:val="00527F17"/>
    <w:rsid w:val="005300CE"/>
    <w:rsid w:val="00530262"/>
    <w:rsid w:val="00530703"/>
    <w:rsid w:val="00530BF1"/>
    <w:rsid w:val="00530DF7"/>
    <w:rsid w:val="0053115A"/>
    <w:rsid w:val="00533C06"/>
    <w:rsid w:val="00534DBB"/>
    <w:rsid w:val="005362FB"/>
    <w:rsid w:val="00536625"/>
    <w:rsid w:val="00537FB1"/>
    <w:rsid w:val="005407CD"/>
    <w:rsid w:val="0054086A"/>
    <w:rsid w:val="00540AF6"/>
    <w:rsid w:val="00540B03"/>
    <w:rsid w:val="00540E1D"/>
    <w:rsid w:val="00541787"/>
    <w:rsid w:val="00541B3D"/>
    <w:rsid w:val="00541C23"/>
    <w:rsid w:val="005420E3"/>
    <w:rsid w:val="00544764"/>
    <w:rsid w:val="00544A1A"/>
    <w:rsid w:val="005452AF"/>
    <w:rsid w:val="00545B18"/>
    <w:rsid w:val="0054635A"/>
    <w:rsid w:val="0054660F"/>
    <w:rsid w:val="00547697"/>
    <w:rsid w:val="00547C77"/>
    <w:rsid w:val="00547DDD"/>
    <w:rsid w:val="005507D6"/>
    <w:rsid w:val="00551131"/>
    <w:rsid w:val="00551A67"/>
    <w:rsid w:val="005522F3"/>
    <w:rsid w:val="005538CB"/>
    <w:rsid w:val="00554147"/>
    <w:rsid w:val="0055599E"/>
    <w:rsid w:val="00556D8E"/>
    <w:rsid w:val="00556F3C"/>
    <w:rsid w:val="0055727A"/>
    <w:rsid w:val="00557E97"/>
    <w:rsid w:val="005610FF"/>
    <w:rsid w:val="0056226A"/>
    <w:rsid w:val="0056387E"/>
    <w:rsid w:val="00563964"/>
    <w:rsid w:val="005646B5"/>
    <w:rsid w:val="005646E4"/>
    <w:rsid w:val="005649AE"/>
    <w:rsid w:val="00564F53"/>
    <w:rsid w:val="00564F96"/>
    <w:rsid w:val="005653E8"/>
    <w:rsid w:val="0056630B"/>
    <w:rsid w:val="0056663E"/>
    <w:rsid w:val="005666A1"/>
    <w:rsid w:val="0056787A"/>
    <w:rsid w:val="00570C9F"/>
    <w:rsid w:val="00571688"/>
    <w:rsid w:val="005716C9"/>
    <w:rsid w:val="00571C19"/>
    <w:rsid w:val="0057221A"/>
    <w:rsid w:val="00572E19"/>
    <w:rsid w:val="00572FDD"/>
    <w:rsid w:val="0057380A"/>
    <w:rsid w:val="00574F98"/>
    <w:rsid w:val="00575E5E"/>
    <w:rsid w:val="00575EA1"/>
    <w:rsid w:val="00576043"/>
    <w:rsid w:val="00576EDB"/>
    <w:rsid w:val="00577B49"/>
    <w:rsid w:val="00580070"/>
    <w:rsid w:val="00585004"/>
    <w:rsid w:val="005858C8"/>
    <w:rsid w:val="00585FB5"/>
    <w:rsid w:val="00586315"/>
    <w:rsid w:val="00586939"/>
    <w:rsid w:val="00586CD3"/>
    <w:rsid w:val="00586D68"/>
    <w:rsid w:val="005906B2"/>
    <w:rsid w:val="00590C20"/>
    <w:rsid w:val="005928B7"/>
    <w:rsid w:val="00593AB1"/>
    <w:rsid w:val="00593CB9"/>
    <w:rsid w:val="00594787"/>
    <w:rsid w:val="00595781"/>
    <w:rsid w:val="00595DAD"/>
    <w:rsid w:val="0059609E"/>
    <w:rsid w:val="005966EE"/>
    <w:rsid w:val="00596B2A"/>
    <w:rsid w:val="00597066"/>
    <w:rsid w:val="00597303"/>
    <w:rsid w:val="00597B45"/>
    <w:rsid w:val="00597DF0"/>
    <w:rsid w:val="005A0116"/>
    <w:rsid w:val="005A0344"/>
    <w:rsid w:val="005A0444"/>
    <w:rsid w:val="005A0C50"/>
    <w:rsid w:val="005A18F4"/>
    <w:rsid w:val="005A1CC3"/>
    <w:rsid w:val="005A1D14"/>
    <w:rsid w:val="005A1E58"/>
    <w:rsid w:val="005A2F8E"/>
    <w:rsid w:val="005A3CDD"/>
    <w:rsid w:val="005A3E35"/>
    <w:rsid w:val="005A455E"/>
    <w:rsid w:val="005A5539"/>
    <w:rsid w:val="005A58E0"/>
    <w:rsid w:val="005A5AFE"/>
    <w:rsid w:val="005A5CA2"/>
    <w:rsid w:val="005A65BC"/>
    <w:rsid w:val="005A6AD8"/>
    <w:rsid w:val="005A7020"/>
    <w:rsid w:val="005A768D"/>
    <w:rsid w:val="005A7990"/>
    <w:rsid w:val="005B0549"/>
    <w:rsid w:val="005B0A68"/>
    <w:rsid w:val="005B175E"/>
    <w:rsid w:val="005B1FE7"/>
    <w:rsid w:val="005B3EA1"/>
    <w:rsid w:val="005B4652"/>
    <w:rsid w:val="005B56FB"/>
    <w:rsid w:val="005B5F07"/>
    <w:rsid w:val="005B5F6B"/>
    <w:rsid w:val="005B63B6"/>
    <w:rsid w:val="005B6EA6"/>
    <w:rsid w:val="005B74DD"/>
    <w:rsid w:val="005B77B8"/>
    <w:rsid w:val="005C0C4C"/>
    <w:rsid w:val="005C0CA7"/>
    <w:rsid w:val="005C1B5C"/>
    <w:rsid w:val="005C2D90"/>
    <w:rsid w:val="005C3EF3"/>
    <w:rsid w:val="005C4911"/>
    <w:rsid w:val="005C4D1D"/>
    <w:rsid w:val="005C4EBA"/>
    <w:rsid w:val="005C51F0"/>
    <w:rsid w:val="005C6477"/>
    <w:rsid w:val="005C72ED"/>
    <w:rsid w:val="005C75B1"/>
    <w:rsid w:val="005C7689"/>
    <w:rsid w:val="005C7BCB"/>
    <w:rsid w:val="005C7C75"/>
    <w:rsid w:val="005D01C6"/>
    <w:rsid w:val="005D080F"/>
    <w:rsid w:val="005D0AD2"/>
    <w:rsid w:val="005D197B"/>
    <w:rsid w:val="005D1E7F"/>
    <w:rsid w:val="005D2474"/>
    <w:rsid w:val="005D24BF"/>
    <w:rsid w:val="005D32DC"/>
    <w:rsid w:val="005D3AA6"/>
    <w:rsid w:val="005D46CA"/>
    <w:rsid w:val="005D49EB"/>
    <w:rsid w:val="005D4B0A"/>
    <w:rsid w:val="005D5ABB"/>
    <w:rsid w:val="005D68AD"/>
    <w:rsid w:val="005D6F1D"/>
    <w:rsid w:val="005D75FC"/>
    <w:rsid w:val="005D78B2"/>
    <w:rsid w:val="005E03AB"/>
    <w:rsid w:val="005E0734"/>
    <w:rsid w:val="005E15C7"/>
    <w:rsid w:val="005E1ADF"/>
    <w:rsid w:val="005E1D74"/>
    <w:rsid w:val="005E2421"/>
    <w:rsid w:val="005E3BE9"/>
    <w:rsid w:val="005E4888"/>
    <w:rsid w:val="005E48B5"/>
    <w:rsid w:val="005E5096"/>
    <w:rsid w:val="005E56B2"/>
    <w:rsid w:val="005E5D76"/>
    <w:rsid w:val="005E71F3"/>
    <w:rsid w:val="005E78B2"/>
    <w:rsid w:val="005E7FEA"/>
    <w:rsid w:val="005F01E0"/>
    <w:rsid w:val="005F1893"/>
    <w:rsid w:val="005F1C86"/>
    <w:rsid w:val="005F272B"/>
    <w:rsid w:val="005F297B"/>
    <w:rsid w:val="005F29F1"/>
    <w:rsid w:val="005F2D93"/>
    <w:rsid w:val="005F2FC7"/>
    <w:rsid w:val="005F39EC"/>
    <w:rsid w:val="005F410B"/>
    <w:rsid w:val="005F438A"/>
    <w:rsid w:val="005F4DCD"/>
    <w:rsid w:val="005F7960"/>
    <w:rsid w:val="00600291"/>
    <w:rsid w:val="0060299D"/>
    <w:rsid w:val="006036C7"/>
    <w:rsid w:val="00604B64"/>
    <w:rsid w:val="00604C70"/>
    <w:rsid w:val="00606411"/>
    <w:rsid w:val="0060672F"/>
    <w:rsid w:val="00607423"/>
    <w:rsid w:val="00607FA5"/>
    <w:rsid w:val="00610077"/>
    <w:rsid w:val="00610977"/>
    <w:rsid w:val="00610C6D"/>
    <w:rsid w:val="00610CC7"/>
    <w:rsid w:val="00610FDE"/>
    <w:rsid w:val="00611D1A"/>
    <w:rsid w:val="00613C44"/>
    <w:rsid w:val="0061446F"/>
    <w:rsid w:val="00614A6B"/>
    <w:rsid w:val="00614C93"/>
    <w:rsid w:val="00615902"/>
    <w:rsid w:val="00616664"/>
    <w:rsid w:val="00616B86"/>
    <w:rsid w:val="00617056"/>
    <w:rsid w:val="00617F2E"/>
    <w:rsid w:val="00620F7F"/>
    <w:rsid w:val="006213BF"/>
    <w:rsid w:val="00621BB4"/>
    <w:rsid w:val="006236D1"/>
    <w:rsid w:val="00623A76"/>
    <w:rsid w:val="00624623"/>
    <w:rsid w:val="00624C63"/>
    <w:rsid w:val="00625497"/>
    <w:rsid w:val="006264E9"/>
    <w:rsid w:val="00626704"/>
    <w:rsid w:val="00626D71"/>
    <w:rsid w:val="00626E05"/>
    <w:rsid w:val="00627109"/>
    <w:rsid w:val="0062790A"/>
    <w:rsid w:val="00627CEB"/>
    <w:rsid w:val="00627F5B"/>
    <w:rsid w:val="006302DF"/>
    <w:rsid w:val="00630678"/>
    <w:rsid w:val="006314F9"/>
    <w:rsid w:val="00631803"/>
    <w:rsid w:val="006321D1"/>
    <w:rsid w:val="00632348"/>
    <w:rsid w:val="00632783"/>
    <w:rsid w:val="0063309A"/>
    <w:rsid w:val="00633E54"/>
    <w:rsid w:val="006342F6"/>
    <w:rsid w:val="0063502E"/>
    <w:rsid w:val="00635053"/>
    <w:rsid w:val="00635176"/>
    <w:rsid w:val="00635512"/>
    <w:rsid w:val="00636479"/>
    <w:rsid w:val="00636C9C"/>
    <w:rsid w:val="006374C2"/>
    <w:rsid w:val="006374F5"/>
    <w:rsid w:val="006414FA"/>
    <w:rsid w:val="00642038"/>
    <w:rsid w:val="00642595"/>
    <w:rsid w:val="00642680"/>
    <w:rsid w:val="00642B1D"/>
    <w:rsid w:val="0064323F"/>
    <w:rsid w:val="006439D4"/>
    <w:rsid w:val="00643D74"/>
    <w:rsid w:val="00644A83"/>
    <w:rsid w:val="00644BCF"/>
    <w:rsid w:val="006456AF"/>
    <w:rsid w:val="006458BC"/>
    <w:rsid w:val="00645FF1"/>
    <w:rsid w:val="00646694"/>
    <w:rsid w:val="00647D69"/>
    <w:rsid w:val="006503AC"/>
    <w:rsid w:val="0065061D"/>
    <w:rsid w:val="00650905"/>
    <w:rsid w:val="00650936"/>
    <w:rsid w:val="00651205"/>
    <w:rsid w:val="006515E0"/>
    <w:rsid w:val="00652137"/>
    <w:rsid w:val="00652236"/>
    <w:rsid w:val="00652CE6"/>
    <w:rsid w:val="00652FC3"/>
    <w:rsid w:val="00653869"/>
    <w:rsid w:val="00653A6A"/>
    <w:rsid w:val="006547AC"/>
    <w:rsid w:val="00655B3F"/>
    <w:rsid w:val="00655B98"/>
    <w:rsid w:val="00656975"/>
    <w:rsid w:val="00656E8B"/>
    <w:rsid w:val="00657923"/>
    <w:rsid w:val="00657E9D"/>
    <w:rsid w:val="00660686"/>
    <w:rsid w:val="0066100C"/>
    <w:rsid w:val="00661207"/>
    <w:rsid w:val="006633D7"/>
    <w:rsid w:val="006637F3"/>
    <w:rsid w:val="0066403E"/>
    <w:rsid w:val="006648B2"/>
    <w:rsid w:val="00665048"/>
    <w:rsid w:val="00666661"/>
    <w:rsid w:val="00666872"/>
    <w:rsid w:val="006718DB"/>
    <w:rsid w:val="0067354F"/>
    <w:rsid w:val="00673E25"/>
    <w:rsid w:val="00675B5C"/>
    <w:rsid w:val="00675F5A"/>
    <w:rsid w:val="006760AB"/>
    <w:rsid w:val="006760FD"/>
    <w:rsid w:val="00677018"/>
    <w:rsid w:val="00677604"/>
    <w:rsid w:val="0068141D"/>
    <w:rsid w:val="006815CC"/>
    <w:rsid w:val="00682025"/>
    <w:rsid w:val="00682093"/>
    <w:rsid w:val="0068265C"/>
    <w:rsid w:val="0068266E"/>
    <w:rsid w:val="00682B14"/>
    <w:rsid w:val="00684499"/>
    <w:rsid w:val="00684712"/>
    <w:rsid w:val="00684A83"/>
    <w:rsid w:val="00684E53"/>
    <w:rsid w:val="00684EE8"/>
    <w:rsid w:val="006853B7"/>
    <w:rsid w:val="00685745"/>
    <w:rsid w:val="006857D3"/>
    <w:rsid w:val="00685BF9"/>
    <w:rsid w:val="0068639B"/>
    <w:rsid w:val="00686949"/>
    <w:rsid w:val="006874FF"/>
    <w:rsid w:val="00690959"/>
    <w:rsid w:val="00690A31"/>
    <w:rsid w:val="00690D0D"/>
    <w:rsid w:val="00691394"/>
    <w:rsid w:val="0069190B"/>
    <w:rsid w:val="00691AE8"/>
    <w:rsid w:val="00692936"/>
    <w:rsid w:val="006929E9"/>
    <w:rsid w:val="00692DF9"/>
    <w:rsid w:val="006936D0"/>
    <w:rsid w:val="006939F0"/>
    <w:rsid w:val="0069422A"/>
    <w:rsid w:val="00694B01"/>
    <w:rsid w:val="00694FA5"/>
    <w:rsid w:val="00695596"/>
    <w:rsid w:val="00695DB4"/>
    <w:rsid w:val="0069645D"/>
    <w:rsid w:val="006965D5"/>
    <w:rsid w:val="006969CA"/>
    <w:rsid w:val="00697DF0"/>
    <w:rsid w:val="00697E77"/>
    <w:rsid w:val="00697EBB"/>
    <w:rsid w:val="006A1013"/>
    <w:rsid w:val="006A11C0"/>
    <w:rsid w:val="006A27EB"/>
    <w:rsid w:val="006A29CB"/>
    <w:rsid w:val="006A2E82"/>
    <w:rsid w:val="006A40B4"/>
    <w:rsid w:val="006A414A"/>
    <w:rsid w:val="006A44CE"/>
    <w:rsid w:val="006A5E2C"/>
    <w:rsid w:val="006A675D"/>
    <w:rsid w:val="006A6FE5"/>
    <w:rsid w:val="006A769F"/>
    <w:rsid w:val="006A78E9"/>
    <w:rsid w:val="006B0193"/>
    <w:rsid w:val="006B2421"/>
    <w:rsid w:val="006B292A"/>
    <w:rsid w:val="006B377D"/>
    <w:rsid w:val="006B3A35"/>
    <w:rsid w:val="006B4333"/>
    <w:rsid w:val="006B60DE"/>
    <w:rsid w:val="006B62BA"/>
    <w:rsid w:val="006B7A1B"/>
    <w:rsid w:val="006B7E9A"/>
    <w:rsid w:val="006C0C48"/>
    <w:rsid w:val="006C1624"/>
    <w:rsid w:val="006C1C54"/>
    <w:rsid w:val="006C1EDD"/>
    <w:rsid w:val="006C2042"/>
    <w:rsid w:val="006C2B73"/>
    <w:rsid w:val="006C2E63"/>
    <w:rsid w:val="006C3172"/>
    <w:rsid w:val="006C3772"/>
    <w:rsid w:val="006C4263"/>
    <w:rsid w:val="006C5D23"/>
    <w:rsid w:val="006C6B8D"/>
    <w:rsid w:val="006C6EF9"/>
    <w:rsid w:val="006C725F"/>
    <w:rsid w:val="006C7296"/>
    <w:rsid w:val="006C78ED"/>
    <w:rsid w:val="006C7DBB"/>
    <w:rsid w:val="006C7F73"/>
    <w:rsid w:val="006D04DD"/>
    <w:rsid w:val="006D0BC0"/>
    <w:rsid w:val="006D1303"/>
    <w:rsid w:val="006D1475"/>
    <w:rsid w:val="006D1873"/>
    <w:rsid w:val="006D18EB"/>
    <w:rsid w:val="006D1B1D"/>
    <w:rsid w:val="006D20DE"/>
    <w:rsid w:val="006D213D"/>
    <w:rsid w:val="006D29B9"/>
    <w:rsid w:val="006D2E49"/>
    <w:rsid w:val="006D31B2"/>
    <w:rsid w:val="006D32AA"/>
    <w:rsid w:val="006D3CA6"/>
    <w:rsid w:val="006D3FF7"/>
    <w:rsid w:val="006D492C"/>
    <w:rsid w:val="006D5A84"/>
    <w:rsid w:val="006D607D"/>
    <w:rsid w:val="006D6911"/>
    <w:rsid w:val="006D6E61"/>
    <w:rsid w:val="006D7D40"/>
    <w:rsid w:val="006E036E"/>
    <w:rsid w:val="006E0B4E"/>
    <w:rsid w:val="006E0D19"/>
    <w:rsid w:val="006E11E8"/>
    <w:rsid w:val="006E1692"/>
    <w:rsid w:val="006E1F95"/>
    <w:rsid w:val="006E287E"/>
    <w:rsid w:val="006E37D5"/>
    <w:rsid w:val="006E3B35"/>
    <w:rsid w:val="006E3D9F"/>
    <w:rsid w:val="006E3DB7"/>
    <w:rsid w:val="006E3F26"/>
    <w:rsid w:val="006E4BA2"/>
    <w:rsid w:val="006E4BD1"/>
    <w:rsid w:val="006E57F6"/>
    <w:rsid w:val="006E5A03"/>
    <w:rsid w:val="006E7246"/>
    <w:rsid w:val="006E7FB7"/>
    <w:rsid w:val="006F09F9"/>
    <w:rsid w:val="006F11AF"/>
    <w:rsid w:val="006F2302"/>
    <w:rsid w:val="006F26F0"/>
    <w:rsid w:val="006F2E06"/>
    <w:rsid w:val="006F2F60"/>
    <w:rsid w:val="006F3094"/>
    <w:rsid w:val="006F4011"/>
    <w:rsid w:val="006F473D"/>
    <w:rsid w:val="006F49C5"/>
    <w:rsid w:val="006F4D57"/>
    <w:rsid w:val="006F4FA6"/>
    <w:rsid w:val="006F511C"/>
    <w:rsid w:val="006F5177"/>
    <w:rsid w:val="006F5BA9"/>
    <w:rsid w:val="006F5BE7"/>
    <w:rsid w:val="006F6CF6"/>
    <w:rsid w:val="006F728C"/>
    <w:rsid w:val="006F73D5"/>
    <w:rsid w:val="006F754D"/>
    <w:rsid w:val="006F7D1F"/>
    <w:rsid w:val="00700399"/>
    <w:rsid w:val="0070073B"/>
    <w:rsid w:val="00700FF1"/>
    <w:rsid w:val="00702E46"/>
    <w:rsid w:val="00703E4F"/>
    <w:rsid w:val="007044C6"/>
    <w:rsid w:val="007049D9"/>
    <w:rsid w:val="00705B9C"/>
    <w:rsid w:val="00705D07"/>
    <w:rsid w:val="0070713A"/>
    <w:rsid w:val="00707B62"/>
    <w:rsid w:val="0071134D"/>
    <w:rsid w:val="007119D6"/>
    <w:rsid w:val="00711FCD"/>
    <w:rsid w:val="007130AF"/>
    <w:rsid w:val="00713132"/>
    <w:rsid w:val="00713844"/>
    <w:rsid w:val="00713A5E"/>
    <w:rsid w:val="00713B43"/>
    <w:rsid w:val="007151E7"/>
    <w:rsid w:val="0071585E"/>
    <w:rsid w:val="00715B3E"/>
    <w:rsid w:val="0071606A"/>
    <w:rsid w:val="0071618D"/>
    <w:rsid w:val="00716361"/>
    <w:rsid w:val="00716766"/>
    <w:rsid w:val="007168D4"/>
    <w:rsid w:val="00716E71"/>
    <w:rsid w:val="00717BED"/>
    <w:rsid w:val="00720456"/>
    <w:rsid w:val="007210FE"/>
    <w:rsid w:val="00721583"/>
    <w:rsid w:val="00721EB5"/>
    <w:rsid w:val="00722507"/>
    <w:rsid w:val="007243C7"/>
    <w:rsid w:val="0072490E"/>
    <w:rsid w:val="0072513D"/>
    <w:rsid w:val="0072532C"/>
    <w:rsid w:val="00725BEC"/>
    <w:rsid w:val="00726039"/>
    <w:rsid w:val="007263A4"/>
    <w:rsid w:val="00726999"/>
    <w:rsid w:val="00727FE4"/>
    <w:rsid w:val="00730EFF"/>
    <w:rsid w:val="007317C9"/>
    <w:rsid w:val="00731CF5"/>
    <w:rsid w:val="0073262F"/>
    <w:rsid w:val="00732DB7"/>
    <w:rsid w:val="00732ED2"/>
    <w:rsid w:val="00733234"/>
    <w:rsid w:val="00733EAD"/>
    <w:rsid w:val="00734165"/>
    <w:rsid w:val="007353C3"/>
    <w:rsid w:val="007358CD"/>
    <w:rsid w:val="00735DCA"/>
    <w:rsid w:val="00736377"/>
    <w:rsid w:val="007369B1"/>
    <w:rsid w:val="00737723"/>
    <w:rsid w:val="00737786"/>
    <w:rsid w:val="00737FD5"/>
    <w:rsid w:val="007401B7"/>
    <w:rsid w:val="00740319"/>
    <w:rsid w:val="007403F6"/>
    <w:rsid w:val="00740419"/>
    <w:rsid w:val="00740D7F"/>
    <w:rsid w:val="00740F9F"/>
    <w:rsid w:val="007417AD"/>
    <w:rsid w:val="00741AD3"/>
    <w:rsid w:val="00741DDA"/>
    <w:rsid w:val="00742718"/>
    <w:rsid w:val="007433E1"/>
    <w:rsid w:val="007439EA"/>
    <w:rsid w:val="00743B94"/>
    <w:rsid w:val="00743CFD"/>
    <w:rsid w:val="00744787"/>
    <w:rsid w:val="0074541F"/>
    <w:rsid w:val="00746029"/>
    <w:rsid w:val="00746114"/>
    <w:rsid w:val="00747C8B"/>
    <w:rsid w:val="007503CE"/>
    <w:rsid w:val="00750CD9"/>
    <w:rsid w:val="007516B2"/>
    <w:rsid w:val="00751A4C"/>
    <w:rsid w:val="0075300D"/>
    <w:rsid w:val="00753840"/>
    <w:rsid w:val="00753ABE"/>
    <w:rsid w:val="00753F0C"/>
    <w:rsid w:val="00754879"/>
    <w:rsid w:val="00755401"/>
    <w:rsid w:val="007557C5"/>
    <w:rsid w:val="00755900"/>
    <w:rsid w:val="00755AE2"/>
    <w:rsid w:val="00755DD7"/>
    <w:rsid w:val="00756DE0"/>
    <w:rsid w:val="0075784E"/>
    <w:rsid w:val="007578D6"/>
    <w:rsid w:val="00760544"/>
    <w:rsid w:val="007611EC"/>
    <w:rsid w:val="00761B4F"/>
    <w:rsid w:val="00761B58"/>
    <w:rsid w:val="0076247F"/>
    <w:rsid w:val="0076263D"/>
    <w:rsid w:val="0076270F"/>
    <w:rsid w:val="00763BB0"/>
    <w:rsid w:val="00763BB1"/>
    <w:rsid w:val="00764330"/>
    <w:rsid w:val="00765265"/>
    <w:rsid w:val="007655D5"/>
    <w:rsid w:val="00765AF5"/>
    <w:rsid w:val="00765D7C"/>
    <w:rsid w:val="00766AA2"/>
    <w:rsid w:val="0076777A"/>
    <w:rsid w:val="00767E37"/>
    <w:rsid w:val="00767F04"/>
    <w:rsid w:val="0077052C"/>
    <w:rsid w:val="00770E01"/>
    <w:rsid w:val="00770E8D"/>
    <w:rsid w:val="007715E3"/>
    <w:rsid w:val="00771C89"/>
    <w:rsid w:val="0077232E"/>
    <w:rsid w:val="00773495"/>
    <w:rsid w:val="0077378F"/>
    <w:rsid w:val="00774A17"/>
    <w:rsid w:val="0077602F"/>
    <w:rsid w:val="00776109"/>
    <w:rsid w:val="007767BB"/>
    <w:rsid w:val="00776E3A"/>
    <w:rsid w:val="0077747B"/>
    <w:rsid w:val="00780582"/>
    <w:rsid w:val="00780CA1"/>
    <w:rsid w:val="00781D14"/>
    <w:rsid w:val="00781D6F"/>
    <w:rsid w:val="00781DFD"/>
    <w:rsid w:val="007823E6"/>
    <w:rsid w:val="007828FD"/>
    <w:rsid w:val="00783B52"/>
    <w:rsid w:val="00783C30"/>
    <w:rsid w:val="00785261"/>
    <w:rsid w:val="007869E9"/>
    <w:rsid w:val="00786AF8"/>
    <w:rsid w:val="00787848"/>
    <w:rsid w:val="00790BE9"/>
    <w:rsid w:val="0079267C"/>
    <w:rsid w:val="00792915"/>
    <w:rsid w:val="0079297C"/>
    <w:rsid w:val="007936D7"/>
    <w:rsid w:val="00793F22"/>
    <w:rsid w:val="00793F47"/>
    <w:rsid w:val="007940CB"/>
    <w:rsid w:val="007940E2"/>
    <w:rsid w:val="00794F71"/>
    <w:rsid w:val="007953FE"/>
    <w:rsid w:val="007957F4"/>
    <w:rsid w:val="00795A11"/>
    <w:rsid w:val="007967F5"/>
    <w:rsid w:val="0079691C"/>
    <w:rsid w:val="00796B6A"/>
    <w:rsid w:val="0079707D"/>
    <w:rsid w:val="00797494"/>
    <w:rsid w:val="00797D65"/>
    <w:rsid w:val="007A0AC9"/>
    <w:rsid w:val="007A0E3E"/>
    <w:rsid w:val="007A1361"/>
    <w:rsid w:val="007A1F95"/>
    <w:rsid w:val="007A378D"/>
    <w:rsid w:val="007A3C3D"/>
    <w:rsid w:val="007A4837"/>
    <w:rsid w:val="007A4F85"/>
    <w:rsid w:val="007A511C"/>
    <w:rsid w:val="007A591C"/>
    <w:rsid w:val="007A5B54"/>
    <w:rsid w:val="007A6105"/>
    <w:rsid w:val="007A6885"/>
    <w:rsid w:val="007A70D5"/>
    <w:rsid w:val="007A7608"/>
    <w:rsid w:val="007B09AD"/>
    <w:rsid w:val="007B0C8F"/>
    <w:rsid w:val="007B1710"/>
    <w:rsid w:val="007B2454"/>
    <w:rsid w:val="007B27DA"/>
    <w:rsid w:val="007B3F88"/>
    <w:rsid w:val="007B43F6"/>
    <w:rsid w:val="007B5E07"/>
    <w:rsid w:val="007B7108"/>
    <w:rsid w:val="007B7879"/>
    <w:rsid w:val="007C0001"/>
    <w:rsid w:val="007C03D6"/>
    <w:rsid w:val="007C1A06"/>
    <w:rsid w:val="007C235F"/>
    <w:rsid w:val="007C248A"/>
    <w:rsid w:val="007C290F"/>
    <w:rsid w:val="007C2961"/>
    <w:rsid w:val="007C298F"/>
    <w:rsid w:val="007C5624"/>
    <w:rsid w:val="007C60FC"/>
    <w:rsid w:val="007C6730"/>
    <w:rsid w:val="007C72B4"/>
    <w:rsid w:val="007C7ECC"/>
    <w:rsid w:val="007D0682"/>
    <w:rsid w:val="007D06BF"/>
    <w:rsid w:val="007D0D6A"/>
    <w:rsid w:val="007D1824"/>
    <w:rsid w:val="007D253D"/>
    <w:rsid w:val="007D27FC"/>
    <w:rsid w:val="007D37C5"/>
    <w:rsid w:val="007D3D0B"/>
    <w:rsid w:val="007D4B0B"/>
    <w:rsid w:val="007D57F9"/>
    <w:rsid w:val="007D615C"/>
    <w:rsid w:val="007D6448"/>
    <w:rsid w:val="007D66DA"/>
    <w:rsid w:val="007D78A9"/>
    <w:rsid w:val="007D7E44"/>
    <w:rsid w:val="007E0C95"/>
    <w:rsid w:val="007E1042"/>
    <w:rsid w:val="007E15F1"/>
    <w:rsid w:val="007E2294"/>
    <w:rsid w:val="007E382A"/>
    <w:rsid w:val="007E4B5B"/>
    <w:rsid w:val="007E63BD"/>
    <w:rsid w:val="007E6907"/>
    <w:rsid w:val="007E79C1"/>
    <w:rsid w:val="007F024F"/>
    <w:rsid w:val="007F06C7"/>
    <w:rsid w:val="007F09AC"/>
    <w:rsid w:val="007F0B8F"/>
    <w:rsid w:val="007F0F01"/>
    <w:rsid w:val="007F2372"/>
    <w:rsid w:val="007F3B48"/>
    <w:rsid w:val="007F5A45"/>
    <w:rsid w:val="007F5EA7"/>
    <w:rsid w:val="007F65AE"/>
    <w:rsid w:val="00803542"/>
    <w:rsid w:val="008037AD"/>
    <w:rsid w:val="00804637"/>
    <w:rsid w:val="00804678"/>
    <w:rsid w:val="00804A3F"/>
    <w:rsid w:val="008050D9"/>
    <w:rsid w:val="0080519C"/>
    <w:rsid w:val="008065A0"/>
    <w:rsid w:val="0080771D"/>
    <w:rsid w:val="00807734"/>
    <w:rsid w:val="008078C5"/>
    <w:rsid w:val="00807C00"/>
    <w:rsid w:val="008102B3"/>
    <w:rsid w:val="00810948"/>
    <w:rsid w:val="00810FEF"/>
    <w:rsid w:val="00811A00"/>
    <w:rsid w:val="00811D38"/>
    <w:rsid w:val="008122E0"/>
    <w:rsid w:val="008128D6"/>
    <w:rsid w:val="00812E5A"/>
    <w:rsid w:val="00812F10"/>
    <w:rsid w:val="00814449"/>
    <w:rsid w:val="0081537B"/>
    <w:rsid w:val="00816054"/>
    <w:rsid w:val="00816263"/>
    <w:rsid w:val="00817232"/>
    <w:rsid w:val="00817904"/>
    <w:rsid w:val="0082059E"/>
    <w:rsid w:val="0082104D"/>
    <w:rsid w:val="008238A7"/>
    <w:rsid w:val="00823B9D"/>
    <w:rsid w:val="00824131"/>
    <w:rsid w:val="00824A9B"/>
    <w:rsid w:val="00824EB2"/>
    <w:rsid w:val="00824F33"/>
    <w:rsid w:val="00825097"/>
    <w:rsid w:val="008252FE"/>
    <w:rsid w:val="00825DB0"/>
    <w:rsid w:val="00826B1D"/>
    <w:rsid w:val="0083029B"/>
    <w:rsid w:val="00831694"/>
    <w:rsid w:val="00831C39"/>
    <w:rsid w:val="00831F21"/>
    <w:rsid w:val="0083220C"/>
    <w:rsid w:val="0083267F"/>
    <w:rsid w:val="00833A40"/>
    <w:rsid w:val="00833ACA"/>
    <w:rsid w:val="00834671"/>
    <w:rsid w:val="00834A06"/>
    <w:rsid w:val="00834C42"/>
    <w:rsid w:val="0083554C"/>
    <w:rsid w:val="00836982"/>
    <w:rsid w:val="00836CEA"/>
    <w:rsid w:val="008372C9"/>
    <w:rsid w:val="00837539"/>
    <w:rsid w:val="00840755"/>
    <w:rsid w:val="00840BD5"/>
    <w:rsid w:val="00840C2D"/>
    <w:rsid w:val="0084131E"/>
    <w:rsid w:val="008414D1"/>
    <w:rsid w:val="00842090"/>
    <w:rsid w:val="00843100"/>
    <w:rsid w:val="008439A3"/>
    <w:rsid w:val="00843EF5"/>
    <w:rsid w:val="008441FB"/>
    <w:rsid w:val="00844218"/>
    <w:rsid w:val="008447E1"/>
    <w:rsid w:val="008447E4"/>
    <w:rsid w:val="00844FA9"/>
    <w:rsid w:val="00845030"/>
    <w:rsid w:val="00846225"/>
    <w:rsid w:val="0084670C"/>
    <w:rsid w:val="00846B52"/>
    <w:rsid w:val="00846D71"/>
    <w:rsid w:val="00846DC5"/>
    <w:rsid w:val="008476BD"/>
    <w:rsid w:val="00850C66"/>
    <w:rsid w:val="008513CE"/>
    <w:rsid w:val="008516DA"/>
    <w:rsid w:val="00851887"/>
    <w:rsid w:val="00851F72"/>
    <w:rsid w:val="00853882"/>
    <w:rsid w:val="00853BB1"/>
    <w:rsid w:val="00853D6D"/>
    <w:rsid w:val="00854A37"/>
    <w:rsid w:val="00854E32"/>
    <w:rsid w:val="00855B74"/>
    <w:rsid w:val="00856580"/>
    <w:rsid w:val="00856B58"/>
    <w:rsid w:val="00857825"/>
    <w:rsid w:val="00860963"/>
    <w:rsid w:val="0086152D"/>
    <w:rsid w:val="00861C56"/>
    <w:rsid w:val="0086287F"/>
    <w:rsid w:val="00862C85"/>
    <w:rsid w:val="0086388E"/>
    <w:rsid w:val="00863A76"/>
    <w:rsid w:val="00863C27"/>
    <w:rsid w:val="008649D8"/>
    <w:rsid w:val="008652A6"/>
    <w:rsid w:val="0086555C"/>
    <w:rsid w:val="00866A35"/>
    <w:rsid w:val="00867311"/>
    <w:rsid w:val="00867C06"/>
    <w:rsid w:val="00867F00"/>
    <w:rsid w:val="00867F98"/>
    <w:rsid w:val="00870C63"/>
    <w:rsid w:val="0087129A"/>
    <w:rsid w:val="00871CF7"/>
    <w:rsid w:val="00872A3B"/>
    <w:rsid w:val="00872D21"/>
    <w:rsid w:val="008732AA"/>
    <w:rsid w:val="008735BD"/>
    <w:rsid w:val="008737DD"/>
    <w:rsid w:val="00874355"/>
    <w:rsid w:val="00874D27"/>
    <w:rsid w:val="00874E98"/>
    <w:rsid w:val="00875194"/>
    <w:rsid w:val="0087556E"/>
    <w:rsid w:val="008756EB"/>
    <w:rsid w:val="00875C57"/>
    <w:rsid w:val="00876E59"/>
    <w:rsid w:val="00880436"/>
    <w:rsid w:val="00880F11"/>
    <w:rsid w:val="00881234"/>
    <w:rsid w:val="00881888"/>
    <w:rsid w:val="00882762"/>
    <w:rsid w:val="0088330E"/>
    <w:rsid w:val="0088397F"/>
    <w:rsid w:val="00884182"/>
    <w:rsid w:val="008849A9"/>
    <w:rsid w:val="00884AE4"/>
    <w:rsid w:val="00884CFD"/>
    <w:rsid w:val="00885819"/>
    <w:rsid w:val="008858E8"/>
    <w:rsid w:val="00886A12"/>
    <w:rsid w:val="00886A16"/>
    <w:rsid w:val="00886A9E"/>
    <w:rsid w:val="00886C27"/>
    <w:rsid w:val="00887DBD"/>
    <w:rsid w:val="0089030F"/>
    <w:rsid w:val="00890454"/>
    <w:rsid w:val="00890736"/>
    <w:rsid w:val="00891756"/>
    <w:rsid w:val="00891E8B"/>
    <w:rsid w:val="0089205C"/>
    <w:rsid w:val="00892E83"/>
    <w:rsid w:val="00893B71"/>
    <w:rsid w:val="00893F1D"/>
    <w:rsid w:val="00894417"/>
    <w:rsid w:val="00894D64"/>
    <w:rsid w:val="008951C8"/>
    <w:rsid w:val="00895A56"/>
    <w:rsid w:val="00896D08"/>
    <w:rsid w:val="00896DEA"/>
    <w:rsid w:val="00896E06"/>
    <w:rsid w:val="008A00FE"/>
    <w:rsid w:val="008A174B"/>
    <w:rsid w:val="008A1C0F"/>
    <w:rsid w:val="008A23E5"/>
    <w:rsid w:val="008A304E"/>
    <w:rsid w:val="008A57F7"/>
    <w:rsid w:val="008A70BC"/>
    <w:rsid w:val="008A735B"/>
    <w:rsid w:val="008A749D"/>
    <w:rsid w:val="008A7DF7"/>
    <w:rsid w:val="008B008C"/>
    <w:rsid w:val="008B0736"/>
    <w:rsid w:val="008B0CE0"/>
    <w:rsid w:val="008B242F"/>
    <w:rsid w:val="008B348F"/>
    <w:rsid w:val="008B35D0"/>
    <w:rsid w:val="008B3E4E"/>
    <w:rsid w:val="008B4392"/>
    <w:rsid w:val="008B45A2"/>
    <w:rsid w:val="008B4788"/>
    <w:rsid w:val="008B5331"/>
    <w:rsid w:val="008B5545"/>
    <w:rsid w:val="008B58EC"/>
    <w:rsid w:val="008B621F"/>
    <w:rsid w:val="008B6395"/>
    <w:rsid w:val="008B7452"/>
    <w:rsid w:val="008B7557"/>
    <w:rsid w:val="008C010C"/>
    <w:rsid w:val="008C08E3"/>
    <w:rsid w:val="008C0908"/>
    <w:rsid w:val="008C0C8B"/>
    <w:rsid w:val="008C110F"/>
    <w:rsid w:val="008C11EE"/>
    <w:rsid w:val="008C12CE"/>
    <w:rsid w:val="008C1459"/>
    <w:rsid w:val="008C19AA"/>
    <w:rsid w:val="008C1C61"/>
    <w:rsid w:val="008C1F14"/>
    <w:rsid w:val="008C241D"/>
    <w:rsid w:val="008C24B2"/>
    <w:rsid w:val="008C2BCF"/>
    <w:rsid w:val="008C35B9"/>
    <w:rsid w:val="008C3DFB"/>
    <w:rsid w:val="008C4498"/>
    <w:rsid w:val="008C46A4"/>
    <w:rsid w:val="008C47BD"/>
    <w:rsid w:val="008C4A87"/>
    <w:rsid w:val="008C5200"/>
    <w:rsid w:val="008C5979"/>
    <w:rsid w:val="008C59D0"/>
    <w:rsid w:val="008C5AD6"/>
    <w:rsid w:val="008C65E4"/>
    <w:rsid w:val="008C70A2"/>
    <w:rsid w:val="008C72AE"/>
    <w:rsid w:val="008C7887"/>
    <w:rsid w:val="008D013B"/>
    <w:rsid w:val="008D0514"/>
    <w:rsid w:val="008D07F1"/>
    <w:rsid w:val="008D14EC"/>
    <w:rsid w:val="008D1A49"/>
    <w:rsid w:val="008D3550"/>
    <w:rsid w:val="008D362A"/>
    <w:rsid w:val="008D37FE"/>
    <w:rsid w:val="008D3E90"/>
    <w:rsid w:val="008D3FE1"/>
    <w:rsid w:val="008D4210"/>
    <w:rsid w:val="008D4467"/>
    <w:rsid w:val="008D5387"/>
    <w:rsid w:val="008D6460"/>
    <w:rsid w:val="008D6CAB"/>
    <w:rsid w:val="008D7276"/>
    <w:rsid w:val="008D75B2"/>
    <w:rsid w:val="008E0380"/>
    <w:rsid w:val="008E1992"/>
    <w:rsid w:val="008E19A7"/>
    <w:rsid w:val="008E19CB"/>
    <w:rsid w:val="008E227E"/>
    <w:rsid w:val="008E2594"/>
    <w:rsid w:val="008E680F"/>
    <w:rsid w:val="008E7038"/>
    <w:rsid w:val="008E759A"/>
    <w:rsid w:val="008E7813"/>
    <w:rsid w:val="008F0366"/>
    <w:rsid w:val="008F0DF3"/>
    <w:rsid w:val="008F17CA"/>
    <w:rsid w:val="008F202B"/>
    <w:rsid w:val="008F32A7"/>
    <w:rsid w:val="008F4E42"/>
    <w:rsid w:val="008F60A8"/>
    <w:rsid w:val="008F6148"/>
    <w:rsid w:val="008F6AC5"/>
    <w:rsid w:val="008F6E86"/>
    <w:rsid w:val="008F71F2"/>
    <w:rsid w:val="009017B6"/>
    <w:rsid w:val="009017FC"/>
    <w:rsid w:val="00901A82"/>
    <w:rsid w:val="0090286A"/>
    <w:rsid w:val="00902D1C"/>
    <w:rsid w:val="00903FE7"/>
    <w:rsid w:val="009040D0"/>
    <w:rsid w:val="009042C5"/>
    <w:rsid w:val="00904AEB"/>
    <w:rsid w:val="00904C59"/>
    <w:rsid w:val="00905CBC"/>
    <w:rsid w:val="00906834"/>
    <w:rsid w:val="00906D70"/>
    <w:rsid w:val="00906F9E"/>
    <w:rsid w:val="009104A2"/>
    <w:rsid w:val="00911537"/>
    <w:rsid w:val="00911901"/>
    <w:rsid w:val="00912308"/>
    <w:rsid w:val="009128AE"/>
    <w:rsid w:val="00912DEF"/>
    <w:rsid w:val="009135CE"/>
    <w:rsid w:val="00915012"/>
    <w:rsid w:val="0091547C"/>
    <w:rsid w:val="0091590B"/>
    <w:rsid w:val="009166B4"/>
    <w:rsid w:val="009168A3"/>
    <w:rsid w:val="00917534"/>
    <w:rsid w:val="00917580"/>
    <w:rsid w:val="00917F24"/>
    <w:rsid w:val="00920502"/>
    <w:rsid w:val="00920E2A"/>
    <w:rsid w:val="00921A50"/>
    <w:rsid w:val="009221D3"/>
    <w:rsid w:val="00922244"/>
    <w:rsid w:val="0092230A"/>
    <w:rsid w:val="009225F1"/>
    <w:rsid w:val="00922735"/>
    <w:rsid w:val="009228ED"/>
    <w:rsid w:val="00922DF8"/>
    <w:rsid w:val="00923C87"/>
    <w:rsid w:val="00924561"/>
    <w:rsid w:val="00925228"/>
    <w:rsid w:val="00925310"/>
    <w:rsid w:val="00925470"/>
    <w:rsid w:val="00925CDF"/>
    <w:rsid w:val="00926522"/>
    <w:rsid w:val="00926657"/>
    <w:rsid w:val="00926772"/>
    <w:rsid w:val="009269D7"/>
    <w:rsid w:val="00926B87"/>
    <w:rsid w:val="0093268F"/>
    <w:rsid w:val="00932D07"/>
    <w:rsid w:val="009330B8"/>
    <w:rsid w:val="00933A5C"/>
    <w:rsid w:val="00933CE4"/>
    <w:rsid w:val="00933D1B"/>
    <w:rsid w:val="00933DDB"/>
    <w:rsid w:val="00933E28"/>
    <w:rsid w:val="00933F6C"/>
    <w:rsid w:val="00934596"/>
    <w:rsid w:val="00935B48"/>
    <w:rsid w:val="00936D7B"/>
    <w:rsid w:val="00937F73"/>
    <w:rsid w:val="009403D3"/>
    <w:rsid w:val="00940821"/>
    <w:rsid w:val="00940DB0"/>
    <w:rsid w:val="009417FB"/>
    <w:rsid w:val="00941C92"/>
    <w:rsid w:val="00941FD0"/>
    <w:rsid w:val="009422C8"/>
    <w:rsid w:val="009428CF"/>
    <w:rsid w:val="00942E9E"/>
    <w:rsid w:val="009440CE"/>
    <w:rsid w:val="00944CF4"/>
    <w:rsid w:val="00944FEB"/>
    <w:rsid w:val="009453AB"/>
    <w:rsid w:val="00945410"/>
    <w:rsid w:val="00946A62"/>
    <w:rsid w:val="00946F94"/>
    <w:rsid w:val="00947279"/>
    <w:rsid w:val="009479F1"/>
    <w:rsid w:val="00947C10"/>
    <w:rsid w:val="00947DF9"/>
    <w:rsid w:val="00950471"/>
    <w:rsid w:val="0095059A"/>
    <w:rsid w:val="009510ED"/>
    <w:rsid w:val="00951324"/>
    <w:rsid w:val="00951900"/>
    <w:rsid w:val="009521F2"/>
    <w:rsid w:val="0095237C"/>
    <w:rsid w:val="009527C6"/>
    <w:rsid w:val="00952D7A"/>
    <w:rsid w:val="009534DF"/>
    <w:rsid w:val="009536FF"/>
    <w:rsid w:val="00953BE6"/>
    <w:rsid w:val="0095484C"/>
    <w:rsid w:val="00955043"/>
    <w:rsid w:val="00955925"/>
    <w:rsid w:val="00955D6F"/>
    <w:rsid w:val="00956C32"/>
    <w:rsid w:val="009572A1"/>
    <w:rsid w:val="00960B47"/>
    <w:rsid w:val="00961021"/>
    <w:rsid w:val="0096133D"/>
    <w:rsid w:val="00961A12"/>
    <w:rsid w:val="00961A68"/>
    <w:rsid w:val="0096252D"/>
    <w:rsid w:val="00963501"/>
    <w:rsid w:val="00963AFB"/>
    <w:rsid w:val="00963FB5"/>
    <w:rsid w:val="0096454A"/>
    <w:rsid w:val="00964867"/>
    <w:rsid w:val="0096491C"/>
    <w:rsid w:val="00964BAE"/>
    <w:rsid w:val="0096565E"/>
    <w:rsid w:val="009661E5"/>
    <w:rsid w:val="00966898"/>
    <w:rsid w:val="009679B9"/>
    <w:rsid w:val="00970798"/>
    <w:rsid w:val="00972227"/>
    <w:rsid w:val="00972371"/>
    <w:rsid w:val="00972E82"/>
    <w:rsid w:val="00973484"/>
    <w:rsid w:val="00973F6D"/>
    <w:rsid w:val="00973FC9"/>
    <w:rsid w:val="00974382"/>
    <w:rsid w:val="00974B79"/>
    <w:rsid w:val="00974EAD"/>
    <w:rsid w:val="009752C9"/>
    <w:rsid w:val="00975D04"/>
    <w:rsid w:val="0097784C"/>
    <w:rsid w:val="00977A11"/>
    <w:rsid w:val="00977E71"/>
    <w:rsid w:val="00977EFD"/>
    <w:rsid w:val="009801A3"/>
    <w:rsid w:val="009805D3"/>
    <w:rsid w:val="009807DC"/>
    <w:rsid w:val="00980B55"/>
    <w:rsid w:val="00980EE5"/>
    <w:rsid w:val="0098118B"/>
    <w:rsid w:val="009813AE"/>
    <w:rsid w:val="009815AC"/>
    <w:rsid w:val="00981667"/>
    <w:rsid w:val="00981BBE"/>
    <w:rsid w:val="00982781"/>
    <w:rsid w:val="0098383D"/>
    <w:rsid w:val="009852AB"/>
    <w:rsid w:val="00985844"/>
    <w:rsid w:val="009859C4"/>
    <w:rsid w:val="009867B7"/>
    <w:rsid w:val="00987198"/>
    <w:rsid w:val="00987506"/>
    <w:rsid w:val="009878D3"/>
    <w:rsid w:val="00987BE3"/>
    <w:rsid w:val="0099054B"/>
    <w:rsid w:val="009906F6"/>
    <w:rsid w:val="009909A3"/>
    <w:rsid w:val="00991CCA"/>
    <w:rsid w:val="009926B2"/>
    <w:rsid w:val="0099282E"/>
    <w:rsid w:val="0099300D"/>
    <w:rsid w:val="00993196"/>
    <w:rsid w:val="009936FB"/>
    <w:rsid w:val="00993F6E"/>
    <w:rsid w:val="00994573"/>
    <w:rsid w:val="00995B7B"/>
    <w:rsid w:val="00995D21"/>
    <w:rsid w:val="009961AC"/>
    <w:rsid w:val="0099697E"/>
    <w:rsid w:val="00997223"/>
    <w:rsid w:val="0099726C"/>
    <w:rsid w:val="00997D6E"/>
    <w:rsid w:val="009A0103"/>
    <w:rsid w:val="009A075C"/>
    <w:rsid w:val="009A10CC"/>
    <w:rsid w:val="009A1476"/>
    <w:rsid w:val="009A16D7"/>
    <w:rsid w:val="009A17F9"/>
    <w:rsid w:val="009A2A5E"/>
    <w:rsid w:val="009A2BE3"/>
    <w:rsid w:val="009A3538"/>
    <w:rsid w:val="009A3A32"/>
    <w:rsid w:val="009A3D7F"/>
    <w:rsid w:val="009A3E2F"/>
    <w:rsid w:val="009A65E5"/>
    <w:rsid w:val="009A6662"/>
    <w:rsid w:val="009A6B33"/>
    <w:rsid w:val="009A7B01"/>
    <w:rsid w:val="009A7E53"/>
    <w:rsid w:val="009B2285"/>
    <w:rsid w:val="009B232F"/>
    <w:rsid w:val="009B2521"/>
    <w:rsid w:val="009B34D6"/>
    <w:rsid w:val="009B3667"/>
    <w:rsid w:val="009B3E66"/>
    <w:rsid w:val="009B4AAF"/>
    <w:rsid w:val="009B4C0D"/>
    <w:rsid w:val="009B52E7"/>
    <w:rsid w:val="009B5E7C"/>
    <w:rsid w:val="009B5F8C"/>
    <w:rsid w:val="009B6002"/>
    <w:rsid w:val="009B697F"/>
    <w:rsid w:val="009B6C90"/>
    <w:rsid w:val="009B7902"/>
    <w:rsid w:val="009B79A2"/>
    <w:rsid w:val="009B7A4D"/>
    <w:rsid w:val="009C0D5A"/>
    <w:rsid w:val="009C0FC1"/>
    <w:rsid w:val="009C11C9"/>
    <w:rsid w:val="009C1427"/>
    <w:rsid w:val="009C295B"/>
    <w:rsid w:val="009C2973"/>
    <w:rsid w:val="009C2B55"/>
    <w:rsid w:val="009C2FFC"/>
    <w:rsid w:val="009C528F"/>
    <w:rsid w:val="009C655C"/>
    <w:rsid w:val="009C6C6B"/>
    <w:rsid w:val="009C739D"/>
    <w:rsid w:val="009C7C75"/>
    <w:rsid w:val="009D0A1A"/>
    <w:rsid w:val="009D0E15"/>
    <w:rsid w:val="009D0E67"/>
    <w:rsid w:val="009D2644"/>
    <w:rsid w:val="009D320D"/>
    <w:rsid w:val="009D51FD"/>
    <w:rsid w:val="009D5400"/>
    <w:rsid w:val="009D5BB4"/>
    <w:rsid w:val="009D5BEA"/>
    <w:rsid w:val="009D5D20"/>
    <w:rsid w:val="009D5E17"/>
    <w:rsid w:val="009D61D8"/>
    <w:rsid w:val="009D6858"/>
    <w:rsid w:val="009D6A3A"/>
    <w:rsid w:val="009D6D16"/>
    <w:rsid w:val="009D7A7A"/>
    <w:rsid w:val="009D7C11"/>
    <w:rsid w:val="009E0EE3"/>
    <w:rsid w:val="009E1F68"/>
    <w:rsid w:val="009E22C5"/>
    <w:rsid w:val="009E2965"/>
    <w:rsid w:val="009E3123"/>
    <w:rsid w:val="009E4376"/>
    <w:rsid w:val="009E4559"/>
    <w:rsid w:val="009E4DC0"/>
    <w:rsid w:val="009E63F7"/>
    <w:rsid w:val="009E653B"/>
    <w:rsid w:val="009F00D7"/>
    <w:rsid w:val="009F0C72"/>
    <w:rsid w:val="009F0CE0"/>
    <w:rsid w:val="009F1959"/>
    <w:rsid w:val="009F1AE1"/>
    <w:rsid w:val="009F21EF"/>
    <w:rsid w:val="009F2261"/>
    <w:rsid w:val="009F260D"/>
    <w:rsid w:val="009F33C4"/>
    <w:rsid w:val="009F38F7"/>
    <w:rsid w:val="009F4594"/>
    <w:rsid w:val="009F465B"/>
    <w:rsid w:val="009F51BE"/>
    <w:rsid w:val="009F557B"/>
    <w:rsid w:val="009F5A31"/>
    <w:rsid w:val="009F6481"/>
    <w:rsid w:val="009F6DCF"/>
    <w:rsid w:val="009F6E1D"/>
    <w:rsid w:val="009F78F6"/>
    <w:rsid w:val="009F7FEA"/>
    <w:rsid w:val="00A00508"/>
    <w:rsid w:val="00A016A8"/>
    <w:rsid w:val="00A01B4E"/>
    <w:rsid w:val="00A0311C"/>
    <w:rsid w:val="00A04431"/>
    <w:rsid w:val="00A04E3A"/>
    <w:rsid w:val="00A04EBA"/>
    <w:rsid w:val="00A05000"/>
    <w:rsid w:val="00A054C1"/>
    <w:rsid w:val="00A056D5"/>
    <w:rsid w:val="00A056E3"/>
    <w:rsid w:val="00A056FF"/>
    <w:rsid w:val="00A057A4"/>
    <w:rsid w:val="00A0596C"/>
    <w:rsid w:val="00A05CD9"/>
    <w:rsid w:val="00A065AB"/>
    <w:rsid w:val="00A06629"/>
    <w:rsid w:val="00A0680B"/>
    <w:rsid w:val="00A06A87"/>
    <w:rsid w:val="00A074ED"/>
    <w:rsid w:val="00A07612"/>
    <w:rsid w:val="00A07BB6"/>
    <w:rsid w:val="00A10B72"/>
    <w:rsid w:val="00A114B6"/>
    <w:rsid w:val="00A11B8B"/>
    <w:rsid w:val="00A11FA1"/>
    <w:rsid w:val="00A12560"/>
    <w:rsid w:val="00A12F91"/>
    <w:rsid w:val="00A12FEA"/>
    <w:rsid w:val="00A133AE"/>
    <w:rsid w:val="00A134D9"/>
    <w:rsid w:val="00A15AC9"/>
    <w:rsid w:val="00A15CC9"/>
    <w:rsid w:val="00A15DF0"/>
    <w:rsid w:val="00A15E92"/>
    <w:rsid w:val="00A16E51"/>
    <w:rsid w:val="00A16F77"/>
    <w:rsid w:val="00A17000"/>
    <w:rsid w:val="00A17F3F"/>
    <w:rsid w:val="00A20488"/>
    <w:rsid w:val="00A205AA"/>
    <w:rsid w:val="00A207CF"/>
    <w:rsid w:val="00A20B2D"/>
    <w:rsid w:val="00A20E13"/>
    <w:rsid w:val="00A222B8"/>
    <w:rsid w:val="00A222E8"/>
    <w:rsid w:val="00A22963"/>
    <w:rsid w:val="00A22B78"/>
    <w:rsid w:val="00A23127"/>
    <w:rsid w:val="00A249D8"/>
    <w:rsid w:val="00A24B70"/>
    <w:rsid w:val="00A24BAD"/>
    <w:rsid w:val="00A24C1E"/>
    <w:rsid w:val="00A24E51"/>
    <w:rsid w:val="00A268AB"/>
    <w:rsid w:val="00A26B66"/>
    <w:rsid w:val="00A27D6D"/>
    <w:rsid w:val="00A27ECF"/>
    <w:rsid w:val="00A30149"/>
    <w:rsid w:val="00A301E2"/>
    <w:rsid w:val="00A30664"/>
    <w:rsid w:val="00A30D51"/>
    <w:rsid w:val="00A31FE7"/>
    <w:rsid w:val="00A3230B"/>
    <w:rsid w:val="00A32373"/>
    <w:rsid w:val="00A326C9"/>
    <w:rsid w:val="00A327F5"/>
    <w:rsid w:val="00A330DB"/>
    <w:rsid w:val="00A3372A"/>
    <w:rsid w:val="00A34400"/>
    <w:rsid w:val="00A344F7"/>
    <w:rsid w:val="00A347E6"/>
    <w:rsid w:val="00A35ECE"/>
    <w:rsid w:val="00A35F28"/>
    <w:rsid w:val="00A35FAD"/>
    <w:rsid w:val="00A36315"/>
    <w:rsid w:val="00A3644F"/>
    <w:rsid w:val="00A368F6"/>
    <w:rsid w:val="00A37566"/>
    <w:rsid w:val="00A3786B"/>
    <w:rsid w:val="00A405A2"/>
    <w:rsid w:val="00A40696"/>
    <w:rsid w:val="00A411AB"/>
    <w:rsid w:val="00A41A57"/>
    <w:rsid w:val="00A41BD0"/>
    <w:rsid w:val="00A41C58"/>
    <w:rsid w:val="00A4242A"/>
    <w:rsid w:val="00A432EA"/>
    <w:rsid w:val="00A4441F"/>
    <w:rsid w:val="00A44AB5"/>
    <w:rsid w:val="00A46637"/>
    <w:rsid w:val="00A4696B"/>
    <w:rsid w:val="00A469C4"/>
    <w:rsid w:val="00A46D58"/>
    <w:rsid w:val="00A46FDD"/>
    <w:rsid w:val="00A470C3"/>
    <w:rsid w:val="00A47309"/>
    <w:rsid w:val="00A4753C"/>
    <w:rsid w:val="00A50198"/>
    <w:rsid w:val="00A50316"/>
    <w:rsid w:val="00A50431"/>
    <w:rsid w:val="00A50D30"/>
    <w:rsid w:val="00A51978"/>
    <w:rsid w:val="00A528B8"/>
    <w:rsid w:val="00A533A3"/>
    <w:rsid w:val="00A54B29"/>
    <w:rsid w:val="00A54B5A"/>
    <w:rsid w:val="00A54DC9"/>
    <w:rsid w:val="00A552FC"/>
    <w:rsid w:val="00A557CB"/>
    <w:rsid w:val="00A55C02"/>
    <w:rsid w:val="00A55F03"/>
    <w:rsid w:val="00A56A93"/>
    <w:rsid w:val="00A571A5"/>
    <w:rsid w:val="00A57456"/>
    <w:rsid w:val="00A57677"/>
    <w:rsid w:val="00A57E72"/>
    <w:rsid w:val="00A62990"/>
    <w:rsid w:val="00A62C5B"/>
    <w:rsid w:val="00A62D8F"/>
    <w:rsid w:val="00A636F3"/>
    <w:rsid w:val="00A63889"/>
    <w:rsid w:val="00A6404C"/>
    <w:rsid w:val="00A643F2"/>
    <w:rsid w:val="00A64690"/>
    <w:rsid w:val="00A64C84"/>
    <w:rsid w:val="00A65271"/>
    <w:rsid w:val="00A65BD6"/>
    <w:rsid w:val="00A66485"/>
    <w:rsid w:val="00A66842"/>
    <w:rsid w:val="00A66C79"/>
    <w:rsid w:val="00A7029C"/>
    <w:rsid w:val="00A706FA"/>
    <w:rsid w:val="00A70F62"/>
    <w:rsid w:val="00A71198"/>
    <w:rsid w:val="00A719DA"/>
    <w:rsid w:val="00A71B8B"/>
    <w:rsid w:val="00A7208B"/>
    <w:rsid w:val="00A7233E"/>
    <w:rsid w:val="00A73079"/>
    <w:rsid w:val="00A732D2"/>
    <w:rsid w:val="00A74261"/>
    <w:rsid w:val="00A742BD"/>
    <w:rsid w:val="00A74437"/>
    <w:rsid w:val="00A74DEF"/>
    <w:rsid w:val="00A74F34"/>
    <w:rsid w:val="00A75F1C"/>
    <w:rsid w:val="00A76190"/>
    <w:rsid w:val="00A76238"/>
    <w:rsid w:val="00A763EF"/>
    <w:rsid w:val="00A76833"/>
    <w:rsid w:val="00A7753A"/>
    <w:rsid w:val="00A77E0A"/>
    <w:rsid w:val="00A803FD"/>
    <w:rsid w:val="00A80A0F"/>
    <w:rsid w:val="00A80A83"/>
    <w:rsid w:val="00A82F2D"/>
    <w:rsid w:val="00A83CE4"/>
    <w:rsid w:val="00A8461F"/>
    <w:rsid w:val="00A84BC3"/>
    <w:rsid w:val="00A85F9F"/>
    <w:rsid w:val="00A8619D"/>
    <w:rsid w:val="00A86235"/>
    <w:rsid w:val="00A867B4"/>
    <w:rsid w:val="00A872BC"/>
    <w:rsid w:val="00A876E5"/>
    <w:rsid w:val="00A91022"/>
    <w:rsid w:val="00A91346"/>
    <w:rsid w:val="00A92B5F"/>
    <w:rsid w:val="00A92C4B"/>
    <w:rsid w:val="00A92E83"/>
    <w:rsid w:val="00A932AD"/>
    <w:rsid w:val="00A94242"/>
    <w:rsid w:val="00A95081"/>
    <w:rsid w:val="00A950E2"/>
    <w:rsid w:val="00A9528B"/>
    <w:rsid w:val="00A95603"/>
    <w:rsid w:val="00A96689"/>
    <w:rsid w:val="00A96950"/>
    <w:rsid w:val="00A97014"/>
    <w:rsid w:val="00A970F2"/>
    <w:rsid w:val="00AA1187"/>
    <w:rsid w:val="00AA11AF"/>
    <w:rsid w:val="00AA1526"/>
    <w:rsid w:val="00AA16E3"/>
    <w:rsid w:val="00AA2DB6"/>
    <w:rsid w:val="00AA446C"/>
    <w:rsid w:val="00AA53A3"/>
    <w:rsid w:val="00AA5635"/>
    <w:rsid w:val="00AA57FF"/>
    <w:rsid w:val="00AA5850"/>
    <w:rsid w:val="00AA5A41"/>
    <w:rsid w:val="00AA60EB"/>
    <w:rsid w:val="00AA6B9C"/>
    <w:rsid w:val="00AA6C7F"/>
    <w:rsid w:val="00AA7408"/>
    <w:rsid w:val="00AA746F"/>
    <w:rsid w:val="00AA75C6"/>
    <w:rsid w:val="00AB051E"/>
    <w:rsid w:val="00AB0521"/>
    <w:rsid w:val="00AB0915"/>
    <w:rsid w:val="00AB1600"/>
    <w:rsid w:val="00AB1640"/>
    <w:rsid w:val="00AB1712"/>
    <w:rsid w:val="00AB2AC5"/>
    <w:rsid w:val="00AB318D"/>
    <w:rsid w:val="00AB356D"/>
    <w:rsid w:val="00AB366C"/>
    <w:rsid w:val="00AB3A4E"/>
    <w:rsid w:val="00AB4379"/>
    <w:rsid w:val="00AB440C"/>
    <w:rsid w:val="00AB5585"/>
    <w:rsid w:val="00AB5596"/>
    <w:rsid w:val="00AB5EA8"/>
    <w:rsid w:val="00AB6812"/>
    <w:rsid w:val="00AB6938"/>
    <w:rsid w:val="00AB755D"/>
    <w:rsid w:val="00AC04B4"/>
    <w:rsid w:val="00AC0BB4"/>
    <w:rsid w:val="00AC157A"/>
    <w:rsid w:val="00AC19CA"/>
    <w:rsid w:val="00AC1C5A"/>
    <w:rsid w:val="00AC2065"/>
    <w:rsid w:val="00AC21B1"/>
    <w:rsid w:val="00AC21F8"/>
    <w:rsid w:val="00AC2C74"/>
    <w:rsid w:val="00AC3A37"/>
    <w:rsid w:val="00AC3F63"/>
    <w:rsid w:val="00AC4D37"/>
    <w:rsid w:val="00AC509B"/>
    <w:rsid w:val="00AC595E"/>
    <w:rsid w:val="00AC5AE8"/>
    <w:rsid w:val="00AC66EB"/>
    <w:rsid w:val="00AC6EDE"/>
    <w:rsid w:val="00AC7333"/>
    <w:rsid w:val="00AC76D4"/>
    <w:rsid w:val="00AC7A6D"/>
    <w:rsid w:val="00AC7F0B"/>
    <w:rsid w:val="00AD074E"/>
    <w:rsid w:val="00AD16E9"/>
    <w:rsid w:val="00AD1792"/>
    <w:rsid w:val="00AD20B1"/>
    <w:rsid w:val="00AD2A96"/>
    <w:rsid w:val="00AD2F95"/>
    <w:rsid w:val="00AD34C3"/>
    <w:rsid w:val="00AD3DE0"/>
    <w:rsid w:val="00AD439E"/>
    <w:rsid w:val="00AD474F"/>
    <w:rsid w:val="00AD4968"/>
    <w:rsid w:val="00AD584E"/>
    <w:rsid w:val="00AD5DF9"/>
    <w:rsid w:val="00AD5E82"/>
    <w:rsid w:val="00AD5FA0"/>
    <w:rsid w:val="00AD612B"/>
    <w:rsid w:val="00AD6488"/>
    <w:rsid w:val="00AD652A"/>
    <w:rsid w:val="00AD72B9"/>
    <w:rsid w:val="00AD7375"/>
    <w:rsid w:val="00AD76BD"/>
    <w:rsid w:val="00AE01E9"/>
    <w:rsid w:val="00AE0BC5"/>
    <w:rsid w:val="00AE0BD1"/>
    <w:rsid w:val="00AE0FFC"/>
    <w:rsid w:val="00AE1479"/>
    <w:rsid w:val="00AE185A"/>
    <w:rsid w:val="00AE193B"/>
    <w:rsid w:val="00AE24C5"/>
    <w:rsid w:val="00AE2706"/>
    <w:rsid w:val="00AE3106"/>
    <w:rsid w:val="00AE3FCB"/>
    <w:rsid w:val="00AE4743"/>
    <w:rsid w:val="00AE4910"/>
    <w:rsid w:val="00AE4ADB"/>
    <w:rsid w:val="00AE4F46"/>
    <w:rsid w:val="00AE516F"/>
    <w:rsid w:val="00AE5212"/>
    <w:rsid w:val="00AE5749"/>
    <w:rsid w:val="00AE5833"/>
    <w:rsid w:val="00AF13FA"/>
    <w:rsid w:val="00AF143D"/>
    <w:rsid w:val="00AF3F70"/>
    <w:rsid w:val="00AF406D"/>
    <w:rsid w:val="00AF41E1"/>
    <w:rsid w:val="00AF495E"/>
    <w:rsid w:val="00AF4BD2"/>
    <w:rsid w:val="00AF523C"/>
    <w:rsid w:val="00AF5680"/>
    <w:rsid w:val="00AF59C0"/>
    <w:rsid w:val="00AF5F60"/>
    <w:rsid w:val="00AF65B1"/>
    <w:rsid w:val="00AF67D0"/>
    <w:rsid w:val="00AF6EF0"/>
    <w:rsid w:val="00AF7605"/>
    <w:rsid w:val="00B004A8"/>
    <w:rsid w:val="00B014D3"/>
    <w:rsid w:val="00B0227A"/>
    <w:rsid w:val="00B02451"/>
    <w:rsid w:val="00B0446D"/>
    <w:rsid w:val="00B05093"/>
    <w:rsid w:val="00B0523D"/>
    <w:rsid w:val="00B0597C"/>
    <w:rsid w:val="00B061FB"/>
    <w:rsid w:val="00B06740"/>
    <w:rsid w:val="00B06773"/>
    <w:rsid w:val="00B0684C"/>
    <w:rsid w:val="00B06F7F"/>
    <w:rsid w:val="00B0733D"/>
    <w:rsid w:val="00B07BDE"/>
    <w:rsid w:val="00B10092"/>
    <w:rsid w:val="00B1009D"/>
    <w:rsid w:val="00B10EED"/>
    <w:rsid w:val="00B112DC"/>
    <w:rsid w:val="00B113B9"/>
    <w:rsid w:val="00B11861"/>
    <w:rsid w:val="00B12090"/>
    <w:rsid w:val="00B12B10"/>
    <w:rsid w:val="00B12EFB"/>
    <w:rsid w:val="00B12F40"/>
    <w:rsid w:val="00B13A25"/>
    <w:rsid w:val="00B15A4B"/>
    <w:rsid w:val="00B163AD"/>
    <w:rsid w:val="00B17A83"/>
    <w:rsid w:val="00B17F40"/>
    <w:rsid w:val="00B20284"/>
    <w:rsid w:val="00B2034B"/>
    <w:rsid w:val="00B20FAE"/>
    <w:rsid w:val="00B21592"/>
    <w:rsid w:val="00B21873"/>
    <w:rsid w:val="00B21B0D"/>
    <w:rsid w:val="00B2270F"/>
    <w:rsid w:val="00B228D4"/>
    <w:rsid w:val="00B22943"/>
    <w:rsid w:val="00B22D7F"/>
    <w:rsid w:val="00B234B4"/>
    <w:rsid w:val="00B244E8"/>
    <w:rsid w:val="00B24BD3"/>
    <w:rsid w:val="00B24E32"/>
    <w:rsid w:val="00B25442"/>
    <w:rsid w:val="00B25A0B"/>
    <w:rsid w:val="00B25BDC"/>
    <w:rsid w:val="00B26E1A"/>
    <w:rsid w:val="00B276D7"/>
    <w:rsid w:val="00B27FC8"/>
    <w:rsid w:val="00B305E4"/>
    <w:rsid w:val="00B308B1"/>
    <w:rsid w:val="00B3198B"/>
    <w:rsid w:val="00B31B41"/>
    <w:rsid w:val="00B32693"/>
    <w:rsid w:val="00B32DE6"/>
    <w:rsid w:val="00B333F9"/>
    <w:rsid w:val="00B33CCA"/>
    <w:rsid w:val="00B33E6A"/>
    <w:rsid w:val="00B33F54"/>
    <w:rsid w:val="00B341B3"/>
    <w:rsid w:val="00B3596E"/>
    <w:rsid w:val="00B36650"/>
    <w:rsid w:val="00B36673"/>
    <w:rsid w:val="00B36ACD"/>
    <w:rsid w:val="00B37903"/>
    <w:rsid w:val="00B4030D"/>
    <w:rsid w:val="00B41805"/>
    <w:rsid w:val="00B41860"/>
    <w:rsid w:val="00B42781"/>
    <w:rsid w:val="00B42A46"/>
    <w:rsid w:val="00B4347F"/>
    <w:rsid w:val="00B43859"/>
    <w:rsid w:val="00B43961"/>
    <w:rsid w:val="00B44180"/>
    <w:rsid w:val="00B4578A"/>
    <w:rsid w:val="00B45A9B"/>
    <w:rsid w:val="00B45FE4"/>
    <w:rsid w:val="00B46B66"/>
    <w:rsid w:val="00B47052"/>
    <w:rsid w:val="00B47128"/>
    <w:rsid w:val="00B478E6"/>
    <w:rsid w:val="00B47F10"/>
    <w:rsid w:val="00B52081"/>
    <w:rsid w:val="00B528DF"/>
    <w:rsid w:val="00B53179"/>
    <w:rsid w:val="00B536A3"/>
    <w:rsid w:val="00B53AFE"/>
    <w:rsid w:val="00B55803"/>
    <w:rsid w:val="00B55889"/>
    <w:rsid w:val="00B55975"/>
    <w:rsid w:val="00B573E9"/>
    <w:rsid w:val="00B576BF"/>
    <w:rsid w:val="00B6029A"/>
    <w:rsid w:val="00B60B55"/>
    <w:rsid w:val="00B60BEF"/>
    <w:rsid w:val="00B60CC3"/>
    <w:rsid w:val="00B61CA4"/>
    <w:rsid w:val="00B6233E"/>
    <w:rsid w:val="00B623E2"/>
    <w:rsid w:val="00B62DA7"/>
    <w:rsid w:val="00B634D3"/>
    <w:rsid w:val="00B63BA1"/>
    <w:rsid w:val="00B6581A"/>
    <w:rsid w:val="00B65850"/>
    <w:rsid w:val="00B667E6"/>
    <w:rsid w:val="00B67EF4"/>
    <w:rsid w:val="00B71845"/>
    <w:rsid w:val="00B71B66"/>
    <w:rsid w:val="00B71C80"/>
    <w:rsid w:val="00B71F3D"/>
    <w:rsid w:val="00B72C09"/>
    <w:rsid w:val="00B73355"/>
    <w:rsid w:val="00B73401"/>
    <w:rsid w:val="00B73587"/>
    <w:rsid w:val="00B74192"/>
    <w:rsid w:val="00B74A52"/>
    <w:rsid w:val="00B751F1"/>
    <w:rsid w:val="00B754DE"/>
    <w:rsid w:val="00B7688A"/>
    <w:rsid w:val="00B76F1A"/>
    <w:rsid w:val="00B773EE"/>
    <w:rsid w:val="00B77995"/>
    <w:rsid w:val="00B80FE0"/>
    <w:rsid w:val="00B811E3"/>
    <w:rsid w:val="00B81D60"/>
    <w:rsid w:val="00B81F7F"/>
    <w:rsid w:val="00B82674"/>
    <w:rsid w:val="00B82862"/>
    <w:rsid w:val="00B82B91"/>
    <w:rsid w:val="00B82F06"/>
    <w:rsid w:val="00B836E7"/>
    <w:rsid w:val="00B849E1"/>
    <w:rsid w:val="00B84FC2"/>
    <w:rsid w:val="00B84FF2"/>
    <w:rsid w:val="00B85035"/>
    <w:rsid w:val="00B864D5"/>
    <w:rsid w:val="00B90C93"/>
    <w:rsid w:val="00B90D87"/>
    <w:rsid w:val="00B917BA"/>
    <w:rsid w:val="00B93966"/>
    <w:rsid w:val="00B93B9E"/>
    <w:rsid w:val="00B93DF6"/>
    <w:rsid w:val="00B9423D"/>
    <w:rsid w:val="00B94A9F"/>
    <w:rsid w:val="00B9586B"/>
    <w:rsid w:val="00B96098"/>
    <w:rsid w:val="00B966E9"/>
    <w:rsid w:val="00B96A26"/>
    <w:rsid w:val="00B96DF5"/>
    <w:rsid w:val="00BA00F2"/>
    <w:rsid w:val="00BA08BD"/>
    <w:rsid w:val="00BA18F4"/>
    <w:rsid w:val="00BA2A8D"/>
    <w:rsid w:val="00BA33F8"/>
    <w:rsid w:val="00BA3C3A"/>
    <w:rsid w:val="00BA3EE2"/>
    <w:rsid w:val="00BA52D0"/>
    <w:rsid w:val="00BA55A7"/>
    <w:rsid w:val="00BA5769"/>
    <w:rsid w:val="00BA5DCC"/>
    <w:rsid w:val="00BA62A3"/>
    <w:rsid w:val="00BA688A"/>
    <w:rsid w:val="00BA6F9B"/>
    <w:rsid w:val="00BA7486"/>
    <w:rsid w:val="00BA7589"/>
    <w:rsid w:val="00BA7607"/>
    <w:rsid w:val="00BA780F"/>
    <w:rsid w:val="00BB039C"/>
    <w:rsid w:val="00BB1F22"/>
    <w:rsid w:val="00BB5F1E"/>
    <w:rsid w:val="00BB78E7"/>
    <w:rsid w:val="00BC0C21"/>
    <w:rsid w:val="00BC1410"/>
    <w:rsid w:val="00BC1ACF"/>
    <w:rsid w:val="00BC214B"/>
    <w:rsid w:val="00BC2601"/>
    <w:rsid w:val="00BC2FFC"/>
    <w:rsid w:val="00BC30D2"/>
    <w:rsid w:val="00BC3306"/>
    <w:rsid w:val="00BC3661"/>
    <w:rsid w:val="00BC3BCD"/>
    <w:rsid w:val="00BC41D0"/>
    <w:rsid w:val="00BC46D3"/>
    <w:rsid w:val="00BC47DE"/>
    <w:rsid w:val="00BC4C2B"/>
    <w:rsid w:val="00BC4F27"/>
    <w:rsid w:val="00BC6578"/>
    <w:rsid w:val="00BC67EE"/>
    <w:rsid w:val="00BC6A45"/>
    <w:rsid w:val="00BC6E58"/>
    <w:rsid w:val="00BD055C"/>
    <w:rsid w:val="00BD106D"/>
    <w:rsid w:val="00BD112A"/>
    <w:rsid w:val="00BD1431"/>
    <w:rsid w:val="00BD172C"/>
    <w:rsid w:val="00BD1D99"/>
    <w:rsid w:val="00BD260D"/>
    <w:rsid w:val="00BD26D9"/>
    <w:rsid w:val="00BD27E6"/>
    <w:rsid w:val="00BD2C4D"/>
    <w:rsid w:val="00BD3B32"/>
    <w:rsid w:val="00BD44FC"/>
    <w:rsid w:val="00BD4CE0"/>
    <w:rsid w:val="00BD5AC4"/>
    <w:rsid w:val="00BD605B"/>
    <w:rsid w:val="00BD611E"/>
    <w:rsid w:val="00BD7E60"/>
    <w:rsid w:val="00BE0520"/>
    <w:rsid w:val="00BE065A"/>
    <w:rsid w:val="00BE19F3"/>
    <w:rsid w:val="00BE2083"/>
    <w:rsid w:val="00BE392A"/>
    <w:rsid w:val="00BE3B7B"/>
    <w:rsid w:val="00BE4835"/>
    <w:rsid w:val="00BE50E9"/>
    <w:rsid w:val="00BE546B"/>
    <w:rsid w:val="00BE550E"/>
    <w:rsid w:val="00BE567A"/>
    <w:rsid w:val="00BE5BBF"/>
    <w:rsid w:val="00BE60E6"/>
    <w:rsid w:val="00BE6374"/>
    <w:rsid w:val="00BE725B"/>
    <w:rsid w:val="00BF13CD"/>
    <w:rsid w:val="00BF2944"/>
    <w:rsid w:val="00BF296F"/>
    <w:rsid w:val="00BF2C58"/>
    <w:rsid w:val="00BF300A"/>
    <w:rsid w:val="00BF4D1D"/>
    <w:rsid w:val="00BF6345"/>
    <w:rsid w:val="00BF6502"/>
    <w:rsid w:val="00BF7A99"/>
    <w:rsid w:val="00BF7F1D"/>
    <w:rsid w:val="00C00087"/>
    <w:rsid w:val="00C00F41"/>
    <w:rsid w:val="00C01B77"/>
    <w:rsid w:val="00C01C2D"/>
    <w:rsid w:val="00C01FED"/>
    <w:rsid w:val="00C0323D"/>
    <w:rsid w:val="00C038DB"/>
    <w:rsid w:val="00C03EA6"/>
    <w:rsid w:val="00C0562C"/>
    <w:rsid w:val="00C073F6"/>
    <w:rsid w:val="00C07B9B"/>
    <w:rsid w:val="00C1025E"/>
    <w:rsid w:val="00C10E6F"/>
    <w:rsid w:val="00C1161B"/>
    <w:rsid w:val="00C117D4"/>
    <w:rsid w:val="00C121A8"/>
    <w:rsid w:val="00C1225D"/>
    <w:rsid w:val="00C12908"/>
    <w:rsid w:val="00C12EB8"/>
    <w:rsid w:val="00C13594"/>
    <w:rsid w:val="00C135CA"/>
    <w:rsid w:val="00C1360B"/>
    <w:rsid w:val="00C14F09"/>
    <w:rsid w:val="00C152EC"/>
    <w:rsid w:val="00C155B1"/>
    <w:rsid w:val="00C1604A"/>
    <w:rsid w:val="00C165E6"/>
    <w:rsid w:val="00C16D4B"/>
    <w:rsid w:val="00C16EDD"/>
    <w:rsid w:val="00C16F87"/>
    <w:rsid w:val="00C17BC8"/>
    <w:rsid w:val="00C2013A"/>
    <w:rsid w:val="00C206C3"/>
    <w:rsid w:val="00C20DD6"/>
    <w:rsid w:val="00C20EC5"/>
    <w:rsid w:val="00C21A81"/>
    <w:rsid w:val="00C21CB1"/>
    <w:rsid w:val="00C22124"/>
    <w:rsid w:val="00C2243F"/>
    <w:rsid w:val="00C225C1"/>
    <w:rsid w:val="00C22F73"/>
    <w:rsid w:val="00C230AA"/>
    <w:rsid w:val="00C24104"/>
    <w:rsid w:val="00C2418C"/>
    <w:rsid w:val="00C241BC"/>
    <w:rsid w:val="00C24B18"/>
    <w:rsid w:val="00C26974"/>
    <w:rsid w:val="00C26E9C"/>
    <w:rsid w:val="00C27264"/>
    <w:rsid w:val="00C27403"/>
    <w:rsid w:val="00C276A0"/>
    <w:rsid w:val="00C276F7"/>
    <w:rsid w:val="00C279F1"/>
    <w:rsid w:val="00C30217"/>
    <w:rsid w:val="00C30792"/>
    <w:rsid w:val="00C307C6"/>
    <w:rsid w:val="00C30BF1"/>
    <w:rsid w:val="00C30F0A"/>
    <w:rsid w:val="00C3124D"/>
    <w:rsid w:val="00C31331"/>
    <w:rsid w:val="00C31D83"/>
    <w:rsid w:val="00C3281E"/>
    <w:rsid w:val="00C348AF"/>
    <w:rsid w:val="00C34B26"/>
    <w:rsid w:val="00C34E3C"/>
    <w:rsid w:val="00C36901"/>
    <w:rsid w:val="00C36B04"/>
    <w:rsid w:val="00C37171"/>
    <w:rsid w:val="00C373E7"/>
    <w:rsid w:val="00C413F8"/>
    <w:rsid w:val="00C416F1"/>
    <w:rsid w:val="00C42499"/>
    <w:rsid w:val="00C43236"/>
    <w:rsid w:val="00C43753"/>
    <w:rsid w:val="00C43B88"/>
    <w:rsid w:val="00C44336"/>
    <w:rsid w:val="00C4439F"/>
    <w:rsid w:val="00C4484F"/>
    <w:rsid w:val="00C44CB1"/>
    <w:rsid w:val="00C4533D"/>
    <w:rsid w:val="00C4552D"/>
    <w:rsid w:val="00C462B8"/>
    <w:rsid w:val="00C46556"/>
    <w:rsid w:val="00C46600"/>
    <w:rsid w:val="00C46B73"/>
    <w:rsid w:val="00C47912"/>
    <w:rsid w:val="00C4798A"/>
    <w:rsid w:val="00C50B1C"/>
    <w:rsid w:val="00C50B8F"/>
    <w:rsid w:val="00C50E7C"/>
    <w:rsid w:val="00C51D95"/>
    <w:rsid w:val="00C51E30"/>
    <w:rsid w:val="00C51FAE"/>
    <w:rsid w:val="00C52210"/>
    <w:rsid w:val="00C52755"/>
    <w:rsid w:val="00C5294C"/>
    <w:rsid w:val="00C52A66"/>
    <w:rsid w:val="00C537B5"/>
    <w:rsid w:val="00C538C4"/>
    <w:rsid w:val="00C53F94"/>
    <w:rsid w:val="00C54827"/>
    <w:rsid w:val="00C55829"/>
    <w:rsid w:val="00C55D98"/>
    <w:rsid w:val="00C564B5"/>
    <w:rsid w:val="00C575E7"/>
    <w:rsid w:val="00C60E0F"/>
    <w:rsid w:val="00C61613"/>
    <w:rsid w:val="00C61DFF"/>
    <w:rsid w:val="00C62363"/>
    <w:rsid w:val="00C62425"/>
    <w:rsid w:val="00C63438"/>
    <w:rsid w:val="00C63442"/>
    <w:rsid w:val="00C6436C"/>
    <w:rsid w:val="00C648A9"/>
    <w:rsid w:val="00C64BE6"/>
    <w:rsid w:val="00C6517B"/>
    <w:rsid w:val="00C65301"/>
    <w:rsid w:val="00C656DD"/>
    <w:rsid w:val="00C65963"/>
    <w:rsid w:val="00C67980"/>
    <w:rsid w:val="00C67B72"/>
    <w:rsid w:val="00C67CD3"/>
    <w:rsid w:val="00C70CC5"/>
    <w:rsid w:val="00C70D03"/>
    <w:rsid w:val="00C70DB5"/>
    <w:rsid w:val="00C70E6C"/>
    <w:rsid w:val="00C71750"/>
    <w:rsid w:val="00C71DED"/>
    <w:rsid w:val="00C72229"/>
    <w:rsid w:val="00C7251D"/>
    <w:rsid w:val="00C72A46"/>
    <w:rsid w:val="00C7310D"/>
    <w:rsid w:val="00C738F8"/>
    <w:rsid w:val="00C743C4"/>
    <w:rsid w:val="00C74F45"/>
    <w:rsid w:val="00C7586B"/>
    <w:rsid w:val="00C76BC8"/>
    <w:rsid w:val="00C76DB8"/>
    <w:rsid w:val="00C76E6D"/>
    <w:rsid w:val="00C7760E"/>
    <w:rsid w:val="00C77882"/>
    <w:rsid w:val="00C7797D"/>
    <w:rsid w:val="00C809EF"/>
    <w:rsid w:val="00C8157A"/>
    <w:rsid w:val="00C8299F"/>
    <w:rsid w:val="00C83541"/>
    <w:rsid w:val="00C840C1"/>
    <w:rsid w:val="00C845F7"/>
    <w:rsid w:val="00C846F3"/>
    <w:rsid w:val="00C8499E"/>
    <w:rsid w:val="00C8607A"/>
    <w:rsid w:val="00C86603"/>
    <w:rsid w:val="00C87026"/>
    <w:rsid w:val="00C87C72"/>
    <w:rsid w:val="00C90455"/>
    <w:rsid w:val="00C905EF"/>
    <w:rsid w:val="00C9072B"/>
    <w:rsid w:val="00C90F20"/>
    <w:rsid w:val="00C91187"/>
    <w:rsid w:val="00C91311"/>
    <w:rsid w:val="00C9205C"/>
    <w:rsid w:val="00C92A33"/>
    <w:rsid w:val="00C932B6"/>
    <w:rsid w:val="00C93584"/>
    <w:rsid w:val="00C93A42"/>
    <w:rsid w:val="00C93DCB"/>
    <w:rsid w:val="00C94599"/>
    <w:rsid w:val="00C95AD6"/>
    <w:rsid w:val="00C96D92"/>
    <w:rsid w:val="00C970C1"/>
    <w:rsid w:val="00C975AB"/>
    <w:rsid w:val="00CA0571"/>
    <w:rsid w:val="00CA057D"/>
    <w:rsid w:val="00CA10B9"/>
    <w:rsid w:val="00CA295B"/>
    <w:rsid w:val="00CA2A02"/>
    <w:rsid w:val="00CA2A87"/>
    <w:rsid w:val="00CA37F9"/>
    <w:rsid w:val="00CA3D15"/>
    <w:rsid w:val="00CA48D7"/>
    <w:rsid w:val="00CA4DCA"/>
    <w:rsid w:val="00CA5B12"/>
    <w:rsid w:val="00CA5E40"/>
    <w:rsid w:val="00CA6754"/>
    <w:rsid w:val="00CA7523"/>
    <w:rsid w:val="00CA7CD4"/>
    <w:rsid w:val="00CA7FDF"/>
    <w:rsid w:val="00CB04B0"/>
    <w:rsid w:val="00CB0F3A"/>
    <w:rsid w:val="00CB234B"/>
    <w:rsid w:val="00CB2499"/>
    <w:rsid w:val="00CB26F0"/>
    <w:rsid w:val="00CB3329"/>
    <w:rsid w:val="00CB3697"/>
    <w:rsid w:val="00CB3BDD"/>
    <w:rsid w:val="00CB4218"/>
    <w:rsid w:val="00CB4924"/>
    <w:rsid w:val="00CB4B13"/>
    <w:rsid w:val="00CB51BF"/>
    <w:rsid w:val="00CB56B3"/>
    <w:rsid w:val="00CB62A5"/>
    <w:rsid w:val="00CB7278"/>
    <w:rsid w:val="00CC2030"/>
    <w:rsid w:val="00CC20D9"/>
    <w:rsid w:val="00CC241A"/>
    <w:rsid w:val="00CC34D5"/>
    <w:rsid w:val="00CC4608"/>
    <w:rsid w:val="00CC4936"/>
    <w:rsid w:val="00CC6216"/>
    <w:rsid w:val="00CC62BA"/>
    <w:rsid w:val="00CC6851"/>
    <w:rsid w:val="00CC6CA0"/>
    <w:rsid w:val="00CC7B87"/>
    <w:rsid w:val="00CD016A"/>
    <w:rsid w:val="00CD03E8"/>
    <w:rsid w:val="00CD08A8"/>
    <w:rsid w:val="00CD117B"/>
    <w:rsid w:val="00CD16D1"/>
    <w:rsid w:val="00CD1869"/>
    <w:rsid w:val="00CD3658"/>
    <w:rsid w:val="00CD3832"/>
    <w:rsid w:val="00CD543A"/>
    <w:rsid w:val="00CD5A3F"/>
    <w:rsid w:val="00CE02C7"/>
    <w:rsid w:val="00CE0612"/>
    <w:rsid w:val="00CE0A93"/>
    <w:rsid w:val="00CE1504"/>
    <w:rsid w:val="00CE15B1"/>
    <w:rsid w:val="00CE1A90"/>
    <w:rsid w:val="00CE1B56"/>
    <w:rsid w:val="00CE210B"/>
    <w:rsid w:val="00CE29B8"/>
    <w:rsid w:val="00CE313D"/>
    <w:rsid w:val="00CE3463"/>
    <w:rsid w:val="00CE3F3F"/>
    <w:rsid w:val="00CE49BC"/>
    <w:rsid w:val="00CE4EFB"/>
    <w:rsid w:val="00CE5431"/>
    <w:rsid w:val="00CE59EF"/>
    <w:rsid w:val="00CE62AC"/>
    <w:rsid w:val="00CF088B"/>
    <w:rsid w:val="00CF13CE"/>
    <w:rsid w:val="00CF19AD"/>
    <w:rsid w:val="00CF1EEA"/>
    <w:rsid w:val="00CF2057"/>
    <w:rsid w:val="00CF2801"/>
    <w:rsid w:val="00CF30C5"/>
    <w:rsid w:val="00CF3178"/>
    <w:rsid w:val="00CF4064"/>
    <w:rsid w:val="00CF40DA"/>
    <w:rsid w:val="00CF4322"/>
    <w:rsid w:val="00CF48CC"/>
    <w:rsid w:val="00CF4932"/>
    <w:rsid w:val="00CF4B81"/>
    <w:rsid w:val="00CF50CA"/>
    <w:rsid w:val="00CF5A2F"/>
    <w:rsid w:val="00CF716E"/>
    <w:rsid w:val="00CF771C"/>
    <w:rsid w:val="00CF7735"/>
    <w:rsid w:val="00D0004B"/>
    <w:rsid w:val="00D0147F"/>
    <w:rsid w:val="00D01AEA"/>
    <w:rsid w:val="00D01E37"/>
    <w:rsid w:val="00D02142"/>
    <w:rsid w:val="00D02292"/>
    <w:rsid w:val="00D0279C"/>
    <w:rsid w:val="00D02D1B"/>
    <w:rsid w:val="00D030F2"/>
    <w:rsid w:val="00D03125"/>
    <w:rsid w:val="00D04C59"/>
    <w:rsid w:val="00D055B7"/>
    <w:rsid w:val="00D060B3"/>
    <w:rsid w:val="00D061F3"/>
    <w:rsid w:val="00D06506"/>
    <w:rsid w:val="00D070E0"/>
    <w:rsid w:val="00D07358"/>
    <w:rsid w:val="00D079EA"/>
    <w:rsid w:val="00D07A18"/>
    <w:rsid w:val="00D10648"/>
    <w:rsid w:val="00D10812"/>
    <w:rsid w:val="00D109CE"/>
    <w:rsid w:val="00D10B40"/>
    <w:rsid w:val="00D10ECB"/>
    <w:rsid w:val="00D11501"/>
    <w:rsid w:val="00D116B9"/>
    <w:rsid w:val="00D14C82"/>
    <w:rsid w:val="00D158F8"/>
    <w:rsid w:val="00D16385"/>
    <w:rsid w:val="00D16A31"/>
    <w:rsid w:val="00D16D05"/>
    <w:rsid w:val="00D2171D"/>
    <w:rsid w:val="00D227B4"/>
    <w:rsid w:val="00D227D2"/>
    <w:rsid w:val="00D22E51"/>
    <w:rsid w:val="00D234D1"/>
    <w:rsid w:val="00D236AC"/>
    <w:rsid w:val="00D23CCF"/>
    <w:rsid w:val="00D271FC"/>
    <w:rsid w:val="00D3073C"/>
    <w:rsid w:val="00D30A09"/>
    <w:rsid w:val="00D313EB"/>
    <w:rsid w:val="00D317E5"/>
    <w:rsid w:val="00D31BAE"/>
    <w:rsid w:val="00D32EC9"/>
    <w:rsid w:val="00D33A22"/>
    <w:rsid w:val="00D33F2B"/>
    <w:rsid w:val="00D34459"/>
    <w:rsid w:val="00D34656"/>
    <w:rsid w:val="00D3472E"/>
    <w:rsid w:val="00D35A61"/>
    <w:rsid w:val="00D35AF1"/>
    <w:rsid w:val="00D35CD7"/>
    <w:rsid w:val="00D36459"/>
    <w:rsid w:val="00D3664F"/>
    <w:rsid w:val="00D37902"/>
    <w:rsid w:val="00D37C1C"/>
    <w:rsid w:val="00D40B78"/>
    <w:rsid w:val="00D42121"/>
    <w:rsid w:val="00D42503"/>
    <w:rsid w:val="00D4285D"/>
    <w:rsid w:val="00D42C06"/>
    <w:rsid w:val="00D4375A"/>
    <w:rsid w:val="00D44D82"/>
    <w:rsid w:val="00D44DAF"/>
    <w:rsid w:val="00D453C4"/>
    <w:rsid w:val="00D4588C"/>
    <w:rsid w:val="00D45F91"/>
    <w:rsid w:val="00D46635"/>
    <w:rsid w:val="00D46731"/>
    <w:rsid w:val="00D47FFB"/>
    <w:rsid w:val="00D50CB4"/>
    <w:rsid w:val="00D514FB"/>
    <w:rsid w:val="00D5309C"/>
    <w:rsid w:val="00D542CC"/>
    <w:rsid w:val="00D542FA"/>
    <w:rsid w:val="00D552A2"/>
    <w:rsid w:val="00D55921"/>
    <w:rsid w:val="00D559DC"/>
    <w:rsid w:val="00D55C39"/>
    <w:rsid w:val="00D5626D"/>
    <w:rsid w:val="00D5662C"/>
    <w:rsid w:val="00D568DE"/>
    <w:rsid w:val="00D56B23"/>
    <w:rsid w:val="00D56CB1"/>
    <w:rsid w:val="00D56DAB"/>
    <w:rsid w:val="00D5748F"/>
    <w:rsid w:val="00D57BDF"/>
    <w:rsid w:val="00D609F0"/>
    <w:rsid w:val="00D60DAB"/>
    <w:rsid w:val="00D61411"/>
    <w:rsid w:val="00D6182F"/>
    <w:rsid w:val="00D6201A"/>
    <w:rsid w:val="00D62740"/>
    <w:rsid w:val="00D62E89"/>
    <w:rsid w:val="00D62FB6"/>
    <w:rsid w:val="00D63132"/>
    <w:rsid w:val="00D63D81"/>
    <w:rsid w:val="00D64100"/>
    <w:rsid w:val="00D64675"/>
    <w:rsid w:val="00D65100"/>
    <w:rsid w:val="00D65497"/>
    <w:rsid w:val="00D65559"/>
    <w:rsid w:val="00D65B5F"/>
    <w:rsid w:val="00D65CBF"/>
    <w:rsid w:val="00D66025"/>
    <w:rsid w:val="00D66BCC"/>
    <w:rsid w:val="00D70BDB"/>
    <w:rsid w:val="00D70F47"/>
    <w:rsid w:val="00D743ED"/>
    <w:rsid w:val="00D75092"/>
    <w:rsid w:val="00D75316"/>
    <w:rsid w:val="00D75331"/>
    <w:rsid w:val="00D758CD"/>
    <w:rsid w:val="00D75E37"/>
    <w:rsid w:val="00D75EE2"/>
    <w:rsid w:val="00D7612C"/>
    <w:rsid w:val="00D766F2"/>
    <w:rsid w:val="00D769C3"/>
    <w:rsid w:val="00D76BE0"/>
    <w:rsid w:val="00D770EA"/>
    <w:rsid w:val="00D77828"/>
    <w:rsid w:val="00D77B8D"/>
    <w:rsid w:val="00D807A5"/>
    <w:rsid w:val="00D80B0E"/>
    <w:rsid w:val="00D81399"/>
    <w:rsid w:val="00D813F0"/>
    <w:rsid w:val="00D81A27"/>
    <w:rsid w:val="00D83F51"/>
    <w:rsid w:val="00D84E1A"/>
    <w:rsid w:val="00D853BA"/>
    <w:rsid w:val="00D8571A"/>
    <w:rsid w:val="00D864EB"/>
    <w:rsid w:val="00D87BE1"/>
    <w:rsid w:val="00D903FF"/>
    <w:rsid w:val="00D90A22"/>
    <w:rsid w:val="00D90E45"/>
    <w:rsid w:val="00D911A2"/>
    <w:rsid w:val="00D91BEB"/>
    <w:rsid w:val="00D92D9B"/>
    <w:rsid w:val="00D93035"/>
    <w:rsid w:val="00D93072"/>
    <w:rsid w:val="00D93DFD"/>
    <w:rsid w:val="00D9448D"/>
    <w:rsid w:val="00D952E0"/>
    <w:rsid w:val="00D962E6"/>
    <w:rsid w:val="00D96704"/>
    <w:rsid w:val="00D979AA"/>
    <w:rsid w:val="00D97D6F"/>
    <w:rsid w:val="00D97DD7"/>
    <w:rsid w:val="00DA040E"/>
    <w:rsid w:val="00DA0CA5"/>
    <w:rsid w:val="00DA1723"/>
    <w:rsid w:val="00DA228C"/>
    <w:rsid w:val="00DA257F"/>
    <w:rsid w:val="00DA26F2"/>
    <w:rsid w:val="00DA3D0F"/>
    <w:rsid w:val="00DA5917"/>
    <w:rsid w:val="00DA6D93"/>
    <w:rsid w:val="00DA6E57"/>
    <w:rsid w:val="00DA7666"/>
    <w:rsid w:val="00DA7BBE"/>
    <w:rsid w:val="00DA7DFE"/>
    <w:rsid w:val="00DB1BCC"/>
    <w:rsid w:val="00DB3130"/>
    <w:rsid w:val="00DB51B6"/>
    <w:rsid w:val="00DB5CF3"/>
    <w:rsid w:val="00DB79B0"/>
    <w:rsid w:val="00DC05E8"/>
    <w:rsid w:val="00DC0E43"/>
    <w:rsid w:val="00DC2263"/>
    <w:rsid w:val="00DC2478"/>
    <w:rsid w:val="00DC27AE"/>
    <w:rsid w:val="00DC35D0"/>
    <w:rsid w:val="00DC3B08"/>
    <w:rsid w:val="00DC3CDE"/>
    <w:rsid w:val="00DC40C1"/>
    <w:rsid w:val="00DC451F"/>
    <w:rsid w:val="00DC4DB4"/>
    <w:rsid w:val="00DC549D"/>
    <w:rsid w:val="00DC62EB"/>
    <w:rsid w:val="00DC6427"/>
    <w:rsid w:val="00DC7B9A"/>
    <w:rsid w:val="00DD1A84"/>
    <w:rsid w:val="00DD22E5"/>
    <w:rsid w:val="00DD2348"/>
    <w:rsid w:val="00DD244D"/>
    <w:rsid w:val="00DD251B"/>
    <w:rsid w:val="00DD3491"/>
    <w:rsid w:val="00DD3BEA"/>
    <w:rsid w:val="00DD4248"/>
    <w:rsid w:val="00DD45FA"/>
    <w:rsid w:val="00DD48E3"/>
    <w:rsid w:val="00DD4E0C"/>
    <w:rsid w:val="00DD59E9"/>
    <w:rsid w:val="00DD5F57"/>
    <w:rsid w:val="00DD646F"/>
    <w:rsid w:val="00DD7C94"/>
    <w:rsid w:val="00DE0166"/>
    <w:rsid w:val="00DE066F"/>
    <w:rsid w:val="00DE0880"/>
    <w:rsid w:val="00DE11E7"/>
    <w:rsid w:val="00DE2079"/>
    <w:rsid w:val="00DE3236"/>
    <w:rsid w:val="00DE4306"/>
    <w:rsid w:val="00DE474B"/>
    <w:rsid w:val="00DE48A1"/>
    <w:rsid w:val="00DE4C60"/>
    <w:rsid w:val="00DE6660"/>
    <w:rsid w:val="00DE6DA8"/>
    <w:rsid w:val="00DE6F9A"/>
    <w:rsid w:val="00DE72F6"/>
    <w:rsid w:val="00DE74C2"/>
    <w:rsid w:val="00DE78AA"/>
    <w:rsid w:val="00DE7B0E"/>
    <w:rsid w:val="00DF02C3"/>
    <w:rsid w:val="00DF0A5F"/>
    <w:rsid w:val="00DF100A"/>
    <w:rsid w:val="00DF1E7D"/>
    <w:rsid w:val="00DF2B80"/>
    <w:rsid w:val="00DF2DAA"/>
    <w:rsid w:val="00DF2FCE"/>
    <w:rsid w:val="00DF331F"/>
    <w:rsid w:val="00DF368B"/>
    <w:rsid w:val="00DF3F03"/>
    <w:rsid w:val="00DF3F45"/>
    <w:rsid w:val="00DF4529"/>
    <w:rsid w:val="00DF4CEC"/>
    <w:rsid w:val="00DF582D"/>
    <w:rsid w:val="00DF65FC"/>
    <w:rsid w:val="00DF67A5"/>
    <w:rsid w:val="00DF7B55"/>
    <w:rsid w:val="00DF7CC5"/>
    <w:rsid w:val="00E001E9"/>
    <w:rsid w:val="00E025BE"/>
    <w:rsid w:val="00E03A75"/>
    <w:rsid w:val="00E04C42"/>
    <w:rsid w:val="00E0536F"/>
    <w:rsid w:val="00E05FE9"/>
    <w:rsid w:val="00E06222"/>
    <w:rsid w:val="00E0649E"/>
    <w:rsid w:val="00E065F4"/>
    <w:rsid w:val="00E072ED"/>
    <w:rsid w:val="00E1045C"/>
    <w:rsid w:val="00E1126B"/>
    <w:rsid w:val="00E1134A"/>
    <w:rsid w:val="00E11A73"/>
    <w:rsid w:val="00E11DCB"/>
    <w:rsid w:val="00E122E7"/>
    <w:rsid w:val="00E12783"/>
    <w:rsid w:val="00E13352"/>
    <w:rsid w:val="00E13371"/>
    <w:rsid w:val="00E134A2"/>
    <w:rsid w:val="00E135E6"/>
    <w:rsid w:val="00E1464D"/>
    <w:rsid w:val="00E1536E"/>
    <w:rsid w:val="00E1546D"/>
    <w:rsid w:val="00E16A7C"/>
    <w:rsid w:val="00E16DE1"/>
    <w:rsid w:val="00E20BAC"/>
    <w:rsid w:val="00E20E08"/>
    <w:rsid w:val="00E20F25"/>
    <w:rsid w:val="00E21E3F"/>
    <w:rsid w:val="00E23A28"/>
    <w:rsid w:val="00E24B04"/>
    <w:rsid w:val="00E24C33"/>
    <w:rsid w:val="00E25508"/>
    <w:rsid w:val="00E2566A"/>
    <w:rsid w:val="00E2668B"/>
    <w:rsid w:val="00E269F4"/>
    <w:rsid w:val="00E27801"/>
    <w:rsid w:val="00E27812"/>
    <w:rsid w:val="00E2798D"/>
    <w:rsid w:val="00E27A14"/>
    <w:rsid w:val="00E27F88"/>
    <w:rsid w:val="00E3030E"/>
    <w:rsid w:val="00E303D7"/>
    <w:rsid w:val="00E30E18"/>
    <w:rsid w:val="00E316C0"/>
    <w:rsid w:val="00E31870"/>
    <w:rsid w:val="00E3202B"/>
    <w:rsid w:val="00E32DFF"/>
    <w:rsid w:val="00E334C5"/>
    <w:rsid w:val="00E3426B"/>
    <w:rsid w:val="00E34641"/>
    <w:rsid w:val="00E351B6"/>
    <w:rsid w:val="00E352BD"/>
    <w:rsid w:val="00E36274"/>
    <w:rsid w:val="00E36E8D"/>
    <w:rsid w:val="00E4065D"/>
    <w:rsid w:val="00E40787"/>
    <w:rsid w:val="00E4198D"/>
    <w:rsid w:val="00E41EA6"/>
    <w:rsid w:val="00E42697"/>
    <w:rsid w:val="00E429EA"/>
    <w:rsid w:val="00E43B15"/>
    <w:rsid w:val="00E43CBC"/>
    <w:rsid w:val="00E441DD"/>
    <w:rsid w:val="00E44985"/>
    <w:rsid w:val="00E449D5"/>
    <w:rsid w:val="00E4504E"/>
    <w:rsid w:val="00E4522A"/>
    <w:rsid w:val="00E46A48"/>
    <w:rsid w:val="00E46BF4"/>
    <w:rsid w:val="00E473D2"/>
    <w:rsid w:val="00E4781D"/>
    <w:rsid w:val="00E500E8"/>
    <w:rsid w:val="00E501E1"/>
    <w:rsid w:val="00E50904"/>
    <w:rsid w:val="00E51D56"/>
    <w:rsid w:val="00E52422"/>
    <w:rsid w:val="00E52FF1"/>
    <w:rsid w:val="00E533FA"/>
    <w:rsid w:val="00E53A99"/>
    <w:rsid w:val="00E54870"/>
    <w:rsid w:val="00E54B60"/>
    <w:rsid w:val="00E55280"/>
    <w:rsid w:val="00E55D49"/>
    <w:rsid w:val="00E55DA8"/>
    <w:rsid w:val="00E562E6"/>
    <w:rsid w:val="00E5681B"/>
    <w:rsid w:val="00E5686D"/>
    <w:rsid w:val="00E56C4B"/>
    <w:rsid w:val="00E56D85"/>
    <w:rsid w:val="00E56E97"/>
    <w:rsid w:val="00E57B3F"/>
    <w:rsid w:val="00E60AB5"/>
    <w:rsid w:val="00E6374C"/>
    <w:rsid w:val="00E64804"/>
    <w:rsid w:val="00E652D6"/>
    <w:rsid w:val="00E658D4"/>
    <w:rsid w:val="00E65EF5"/>
    <w:rsid w:val="00E66521"/>
    <w:rsid w:val="00E66845"/>
    <w:rsid w:val="00E67710"/>
    <w:rsid w:val="00E67B07"/>
    <w:rsid w:val="00E700A0"/>
    <w:rsid w:val="00E70890"/>
    <w:rsid w:val="00E70A4B"/>
    <w:rsid w:val="00E70E9B"/>
    <w:rsid w:val="00E71A5A"/>
    <w:rsid w:val="00E72D74"/>
    <w:rsid w:val="00E72F99"/>
    <w:rsid w:val="00E73155"/>
    <w:rsid w:val="00E734B1"/>
    <w:rsid w:val="00E73684"/>
    <w:rsid w:val="00E73E82"/>
    <w:rsid w:val="00E7449F"/>
    <w:rsid w:val="00E75DF2"/>
    <w:rsid w:val="00E7660B"/>
    <w:rsid w:val="00E76789"/>
    <w:rsid w:val="00E77016"/>
    <w:rsid w:val="00E80233"/>
    <w:rsid w:val="00E80E0F"/>
    <w:rsid w:val="00E8162D"/>
    <w:rsid w:val="00E831FC"/>
    <w:rsid w:val="00E834BA"/>
    <w:rsid w:val="00E8409F"/>
    <w:rsid w:val="00E840E4"/>
    <w:rsid w:val="00E843B9"/>
    <w:rsid w:val="00E85A07"/>
    <w:rsid w:val="00E85D06"/>
    <w:rsid w:val="00E85D13"/>
    <w:rsid w:val="00E864A8"/>
    <w:rsid w:val="00E86657"/>
    <w:rsid w:val="00E86784"/>
    <w:rsid w:val="00E87935"/>
    <w:rsid w:val="00E92285"/>
    <w:rsid w:val="00E92382"/>
    <w:rsid w:val="00E924C0"/>
    <w:rsid w:val="00E93A0C"/>
    <w:rsid w:val="00E94B5C"/>
    <w:rsid w:val="00E952C7"/>
    <w:rsid w:val="00E95476"/>
    <w:rsid w:val="00EA1C66"/>
    <w:rsid w:val="00EA226C"/>
    <w:rsid w:val="00EA2500"/>
    <w:rsid w:val="00EA2D19"/>
    <w:rsid w:val="00EA369B"/>
    <w:rsid w:val="00EA378C"/>
    <w:rsid w:val="00EA3961"/>
    <w:rsid w:val="00EA3ABD"/>
    <w:rsid w:val="00EA3B68"/>
    <w:rsid w:val="00EA4046"/>
    <w:rsid w:val="00EA48B9"/>
    <w:rsid w:val="00EA49E4"/>
    <w:rsid w:val="00EA5478"/>
    <w:rsid w:val="00EA588C"/>
    <w:rsid w:val="00EA7653"/>
    <w:rsid w:val="00EA7864"/>
    <w:rsid w:val="00EA7993"/>
    <w:rsid w:val="00EB004A"/>
    <w:rsid w:val="00EB07BB"/>
    <w:rsid w:val="00EB0A15"/>
    <w:rsid w:val="00EB0BA5"/>
    <w:rsid w:val="00EB0D9D"/>
    <w:rsid w:val="00EB1F37"/>
    <w:rsid w:val="00EB2716"/>
    <w:rsid w:val="00EB3380"/>
    <w:rsid w:val="00EB462A"/>
    <w:rsid w:val="00EB4E11"/>
    <w:rsid w:val="00EB5703"/>
    <w:rsid w:val="00EB612C"/>
    <w:rsid w:val="00EB6284"/>
    <w:rsid w:val="00EB7CFE"/>
    <w:rsid w:val="00EC0277"/>
    <w:rsid w:val="00EC0B52"/>
    <w:rsid w:val="00EC1DD6"/>
    <w:rsid w:val="00EC1EDF"/>
    <w:rsid w:val="00EC2200"/>
    <w:rsid w:val="00EC239C"/>
    <w:rsid w:val="00EC2820"/>
    <w:rsid w:val="00EC3BC7"/>
    <w:rsid w:val="00EC3D56"/>
    <w:rsid w:val="00EC4396"/>
    <w:rsid w:val="00EC58F0"/>
    <w:rsid w:val="00EC5C2D"/>
    <w:rsid w:val="00EC5C54"/>
    <w:rsid w:val="00EC6977"/>
    <w:rsid w:val="00EC7135"/>
    <w:rsid w:val="00EC79FC"/>
    <w:rsid w:val="00EC7E73"/>
    <w:rsid w:val="00ED06A3"/>
    <w:rsid w:val="00ED15AD"/>
    <w:rsid w:val="00ED1CBA"/>
    <w:rsid w:val="00ED2551"/>
    <w:rsid w:val="00ED2D7D"/>
    <w:rsid w:val="00ED4597"/>
    <w:rsid w:val="00ED475C"/>
    <w:rsid w:val="00ED4763"/>
    <w:rsid w:val="00ED5B2D"/>
    <w:rsid w:val="00ED60FE"/>
    <w:rsid w:val="00ED6230"/>
    <w:rsid w:val="00ED7081"/>
    <w:rsid w:val="00EE0286"/>
    <w:rsid w:val="00EE03F3"/>
    <w:rsid w:val="00EE0A3B"/>
    <w:rsid w:val="00EE185B"/>
    <w:rsid w:val="00EE1AA7"/>
    <w:rsid w:val="00EE1C01"/>
    <w:rsid w:val="00EE1D44"/>
    <w:rsid w:val="00EE3B1B"/>
    <w:rsid w:val="00EE41A0"/>
    <w:rsid w:val="00EE4C05"/>
    <w:rsid w:val="00EE5654"/>
    <w:rsid w:val="00EE58E5"/>
    <w:rsid w:val="00EE636A"/>
    <w:rsid w:val="00EE6AD2"/>
    <w:rsid w:val="00EE6F3A"/>
    <w:rsid w:val="00EE6FF0"/>
    <w:rsid w:val="00EE78D9"/>
    <w:rsid w:val="00EF12CD"/>
    <w:rsid w:val="00EF1F10"/>
    <w:rsid w:val="00EF26B5"/>
    <w:rsid w:val="00EF30C9"/>
    <w:rsid w:val="00EF3E69"/>
    <w:rsid w:val="00EF465D"/>
    <w:rsid w:val="00EF4913"/>
    <w:rsid w:val="00EF4C05"/>
    <w:rsid w:val="00EF6FC1"/>
    <w:rsid w:val="00EF7028"/>
    <w:rsid w:val="00EF72D3"/>
    <w:rsid w:val="00F00CA4"/>
    <w:rsid w:val="00F010E8"/>
    <w:rsid w:val="00F017F6"/>
    <w:rsid w:val="00F018B3"/>
    <w:rsid w:val="00F02075"/>
    <w:rsid w:val="00F0248B"/>
    <w:rsid w:val="00F02AAC"/>
    <w:rsid w:val="00F02FB3"/>
    <w:rsid w:val="00F03934"/>
    <w:rsid w:val="00F0419D"/>
    <w:rsid w:val="00F0473E"/>
    <w:rsid w:val="00F04ABF"/>
    <w:rsid w:val="00F071FE"/>
    <w:rsid w:val="00F07546"/>
    <w:rsid w:val="00F101BF"/>
    <w:rsid w:val="00F10DB9"/>
    <w:rsid w:val="00F1150B"/>
    <w:rsid w:val="00F123A7"/>
    <w:rsid w:val="00F12B10"/>
    <w:rsid w:val="00F130A8"/>
    <w:rsid w:val="00F13AA9"/>
    <w:rsid w:val="00F147AA"/>
    <w:rsid w:val="00F149D9"/>
    <w:rsid w:val="00F14E97"/>
    <w:rsid w:val="00F154BB"/>
    <w:rsid w:val="00F1589A"/>
    <w:rsid w:val="00F16585"/>
    <w:rsid w:val="00F2144F"/>
    <w:rsid w:val="00F2146B"/>
    <w:rsid w:val="00F22102"/>
    <w:rsid w:val="00F2282C"/>
    <w:rsid w:val="00F23239"/>
    <w:rsid w:val="00F24E39"/>
    <w:rsid w:val="00F253F8"/>
    <w:rsid w:val="00F255C8"/>
    <w:rsid w:val="00F2587D"/>
    <w:rsid w:val="00F2645C"/>
    <w:rsid w:val="00F2687D"/>
    <w:rsid w:val="00F26D6C"/>
    <w:rsid w:val="00F26D81"/>
    <w:rsid w:val="00F27584"/>
    <w:rsid w:val="00F30C88"/>
    <w:rsid w:val="00F30D93"/>
    <w:rsid w:val="00F31698"/>
    <w:rsid w:val="00F317B0"/>
    <w:rsid w:val="00F31ACD"/>
    <w:rsid w:val="00F32786"/>
    <w:rsid w:val="00F34611"/>
    <w:rsid w:val="00F34741"/>
    <w:rsid w:val="00F35586"/>
    <w:rsid w:val="00F3685F"/>
    <w:rsid w:val="00F36F10"/>
    <w:rsid w:val="00F3711F"/>
    <w:rsid w:val="00F3765D"/>
    <w:rsid w:val="00F3769D"/>
    <w:rsid w:val="00F37A12"/>
    <w:rsid w:val="00F40547"/>
    <w:rsid w:val="00F40C40"/>
    <w:rsid w:val="00F40F76"/>
    <w:rsid w:val="00F4192C"/>
    <w:rsid w:val="00F42969"/>
    <w:rsid w:val="00F43302"/>
    <w:rsid w:val="00F4379C"/>
    <w:rsid w:val="00F439E8"/>
    <w:rsid w:val="00F44052"/>
    <w:rsid w:val="00F444FB"/>
    <w:rsid w:val="00F45048"/>
    <w:rsid w:val="00F45460"/>
    <w:rsid w:val="00F46A0E"/>
    <w:rsid w:val="00F47A3F"/>
    <w:rsid w:val="00F47E29"/>
    <w:rsid w:val="00F50AF2"/>
    <w:rsid w:val="00F5113C"/>
    <w:rsid w:val="00F51731"/>
    <w:rsid w:val="00F519C8"/>
    <w:rsid w:val="00F52039"/>
    <w:rsid w:val="00F5226F"/>
    <w:rsid w:val="00F52457"/>
    <w:rsid w:val="00F52B18"/>
    <w:rsid w:val="00F540B0"/>
    <w:rsid w:val="00F55018"/>
    <w:rsid w:val="00F5518E"/>
    <w:rsid w:val="00F55582"/>
    <w:rsid w:val="00F56804"/>
    <w:rsid w:val="00F56E74"/>
    <w:rsid w:val="00F57E2C"/>
    <w:rsid w:val="00F602EA"/>
    <w:rsid w:val="00F607F4"/>
    <w:rsid w:val="00F61148"/>
    <w:rsid w:val="00F61549"/>
    <w:rsid w:val="00F62B38"/>
    <w:rsid w:val="00F62D25"/>
    <w:rsid w:val="00F632D6"/>
    <w:rsid w:val="00F6347E"/>
    <w:rsid w:val="00F63CC8"/>
    <w:rsid w:val="00F63DC4"/>
    <w:rsid w:val="00F65199"/>
    <w:rsid w:val="00F65414"/>
    <w:rsid w:val="00F66268"/>
    <w:rsid w:val="00F663C0"/>
    <w:rsid w:val="00F6642B"/>
    <w:rsid w:val="00F6681D"/>
    <w:rsid w:val="00F668AA"/>
    <w:rsid w:val="00F66E9F"/>
    <w:rsid w:val="00F702FD"/>
    <w:rsid w:val="00F7061A"/>
    <w:rsid w:val="00F70B9B"/>
    <w:rsid w:val="00F71870"/>
    <w:rsid w:val="00F718AD"/>
    <w:rsid w:val="00F71B26"/>
    <w:rsid w:val="00F72351"/>
    <w:rsid w:val="00F72A16"/>
    <w:rsid w:val="00F72AC1"/>
    <w:rsid w:val="00F72B19"/>
    <w:rsid w:val="00F72B42"/>
    <w:rsid w:val="00F73720"/>
    <w:rsid w:val="00F73BD4"/>
    <w:rsid w:val="00F73D62"/>
    <w:rsid w:val="00F74112"/>
    <w:rsid w:val="00F744BC"/>
    <w:rsid w:val="00F745F8"/>
    <w:rsid w:val="00F74A25"/>
    <w:rsid w:val="00F74E3C"/>
    <w:rsid w:val="00F75302"/>
    <w:rsid w:val="00F7578C"/>
    <w:rsid w:val="00F77C85"/>
    <w:rsid w:val="00F80326"/>
    <w:rsid w:val="00F8039B"/>
    <w:rsid w:val="00F809F5"/>
    <w:rsid w:val="00F81362"/>
    <w:rsid w:val="00F830FD"/>
    <w:rsid w:val="00F834FD"/>
    <w:rsid w:val="00F83AB9"/>
    <w:rsid w:val="00F83AD6"/>
    <w:rsid w:val="00F84932"/>
    <w:rsid w:val="00F84E39"/>
    <w:rsid w:val="00F862E5"/>
    <w:rsid w:val="00F86413"/>
    <w:rsid w:val="00F86A75"/>
    <w:rsid w:val="00F86D48"/>
    <w:rsid w:val="00F87329"/>
    <w:rsid w:val="00F87A95"/>
    <w:rsid w:val="00F90248"/>
    <w:rsid w:val="00F92C18"/>
    <w:rsid w:val="00F93128"/>
    <w:rsid w:val="00F942B8"/>
    <w:rsid w:val="00F95677"/>
    <w:rsid w:val="00F95E69"/>
    <w:rsid w:val="00F968D5"/>
    <w:rsid w:val="00F97C92"/>
    <w:rsid w:val="00FA0033"/>
    <w:rsid w:val="00FA0134"/>
    <w:rsid w:val="00FA0378"/>
    <w:rsid w:val="00FA047C"/>
    <w:rsid w:val="00FA0ED7"/>
    <w:rsid w:val="00FA1B90"/>
    <w:rsid w:val="00FA258D"/>
    <w:rsid w:val="00FA2968"/>
    <w:rsid w:val="00FA2D01"/>
    <w:rsid w:val="00FA347F"/>
    <w:rsid w:val="00FA3E94"/>
    <w:rsid w:val="00FA4375"/>
    <w:rsid w:val="00FA4586"/>
    <w:rsid w:val="00FA4B0F"/>
    <w:rsid w:val="00FA4B31"/>
    <w:rsid w:val="00FA638A"/>
    <w:rsid w:val="00FA7008"/>
    <w:rsid w:val="00FA7086"/>
    <w:rsid w:val="00FA73A6"/>
    <w:rsid w:val="00FA7E6D"/>
    <w:rsid w:val="00FB009F"/>
    <w:rsid w:val="00FB0247"/>
    <w:rsid w:val="00FB0A3D"/>
    <w:rsid w:val="00FB1697"/>
    <w:rsid w:val="00FB29D5"/>
    <w:rsid w:val="00FB2B20"/>
    <w:rsid w:val="00FB35C7"/>
    <w:rsid w:val="00FB43B7"/>
    <w:rsid w:val="00FB489F"/>
    <w:rsid w:val="00FB48C4"/>
    <w:rsid w:val="00FB49E5"/>
    <w:rsid w:val="00FB4EAD"/>
    <w:rsid w:val="00FB5192"/>
    <w:rsid w:val="00FB5A0B"/>
    <w:rsid w:val="00FB731C"/>
    <w:rsid w:val="00FB79EC"/>
    <w:rsid w:val="00FC0326"/>
    <w:rsid w:val="00FC0DAE"/>
    <w:rsid w:val="00FC10E9"/>
    <w:rsid w:val="00FC121E"/>
    <w:rsid w:val="00FC277C"/>
    <w:rsid w:val="00FC2B32"/>
    <w:rsid w:val="00FC2B47"/>
    <w:rsid w:val="00FC379D"/>
    <w:rsid w:val="00FC4915"/>
    <w:rsid w:val="00FC4A5F"/>
    <w:rsid w:val="00FC50CE"/>
    <w:rsid w:val="00FC5555"/>
    <w:rsid w:val="00FC57CF"/>
    <w:rsid w:val="00FC5DCA"/>
    <w:rsid w:val="00FC6171"/>
    <w:rsid w:val="00FC6E24"/>
    <w:rsid w:val="00FC6F3E"/>
    <w:rsid w:val="00FC739A"/>
    <w:rsid w:val="00FC7BAC"/>
    <w:rsid w:val="00FC7BB9"/>
    <w:rsid w:val="00FD040C"/>
    <w:rsid w:val="00FD150C"/>
    <w:rsid w:val="00FD227B"/>
    <w:rsid w:val="00FD2672"/>
    <w:rsid w:val="00FD2A37"/>
    <w:rsid w:val="00FD2B71"/>
    <w:rsid w:val="00FD2D46"/>
    <w:rsid w:val="00FD41E3"/>
    <w:rsid w:val="00FD4BF9"/>
    <w:rsid w:val="00FD4D92"/>
    <w:rsid w:val="00FD52C5"/>
    <w:rsid w:val="00FD554E"/>
    <w:rsid w:val="00FD5E0E"/>
    <w:rsid w:val="00FD69BB"/>
    <w:rsid w:val="00FD7096"/>
    <w:rsid w:val="00FD70B1"/>
    <w:rsid w:val="00FD70EF"/>
    <w:rsid w:val="00FD723C"/>
    <w:rsid w:val="00FD7465"/>
    <w:rsid w:val="00FE0186"/>
    <w:rsid w:val="00FE0499"/>
    <w:rsid w:val="00FE05A9"/>
    <w:rsid w:val="00FE0923"/>
    <w:rsid w:val="00FE0F58"/>
    <w:rsid w:val="00FE11A2"/>
    <w:rsid w:val="00FE2072"/>
    <w:rsid w:val="00FE2421"/>
    <w:rsid w:val="00FE3257"/>
    <w:rsid w:val="00FE39E7"/>
    <w:rsid w:val="00FE3ABE"/>
    <w:rsid w:val="00FE3D20"/>
    <w:rsid w:val="00FE3EF1"/>
    <w:rsid w:val="00FE40DA"/>
    <w:rsid w:val="00FE4495"/>
    <w:rsid w:val="00FE5272"/>
    <w:rsid w:val="00FE572D"/>
    <w:rsid w:val="00FE5D30"/>
    <w:rsid w:val="00FE69ED"/>
    <w:rsid w:val="00FE7BBB"/>
    <w:rsid w:val="00FF05FD"/>
    <w:rsid w:val="00FF077E"/>
    <w:rsid w:val="00FF1210"/>
    <w:rsid w:val="00FF25EA"/>
    <w:rsid w:val="00FF3518"/>
    <w:rsid w:val="00FF452A"/>
    <w:rsid w:val="00FF5D14"/>
    <w:rsid w:val="00FF5EA7"/>
    <w:rsid w:val="00FF6CA2"/>
    <w:rsid w:val="00FF727D"/>
    <w:rsid w:val="00FF7439"/>
    <w:rsid w:val="00FF7703"/>
    <w:rsid w:val="00FF784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81"/>
  </w:style>
  <w:style w:type="paragraph" w:styleId="Titre1">
    <w:name w:val="heading 1"/>
    <w:basedOn w:val="Normal"/>
    <w:next w:val="Normal"/>
    <w:link w:val="Titre1Car"/>
    <w:uiPriority w:val="9"/>
    <w:qFormat/>
    <w:rsid w:val="00E86784"/>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Titre2">
    <w:name w:val="heading 2"/>
    <w:basedOn w:val="Normal"/>
    <w:next w:val="Normal"/>
    <w:link w:val="Titre2Car"/>
    <w:uiPriority w:val="9"/>
    <w:unhideWhenUsed/>
    <w:qFormat/>
    <w:rsid w:val="00E86784"/>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E86784"/>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E86784"/>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Titre5">
    <w:name w:val="heading 5"/>
    <w:basedOn w:val="Normal"/>
    <w:next w:val="Normal"/>
    <w:link w:val="Titre5Car"/>
    <w:uiPriority w:val="9"/>
    <w:semiHidden/>
    <w:unhideWhenUsed/>
    <w:qFormat/>
    <w:rsid w:val="00E86784"/>
    <w:pPr>
      <w:keepNext/>
      <w:keepLines/>
      <w:spacing w:before="40" w:after="0"/>
      <w:outlineLvl w:val="4"/>
    </w:pPr>
    <w:rPr>
      <w:rFonts w:asciiTheme="majorHAnsi" w:eastAsiaTheme="majorEastAsia" w:hAnsiTheme="majorHAnsi" w:cstheme="majorBidi"/>
      <w:caps/>
      <w:color w:val="365F91" w:themeColor="accent1" w:themeShade="BF"/>
    </w:rPr>
  </w:style>
  <w:style w:type="paragraph" w:styleId="Titre6">
    <w:name w:val="heading 6"/>
    <w:basedOn w:val="Normal"/>
    <w:next w:val="Normal"/>
    <w:link w:val="Titre6Car"/>
    <w:uiPriority w:val="9"/>
    <w:semiHidden/>
    <w:unhideWhenUsed/>
    <w:qFormat/>
    <w:rsid w:val="00E86784"/>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Titre7">
    <w:name w:val="heading 7"/>
    <w:basedOn w:val="Normal"/>
    <w:next w:val="Normal"/>
    <w:link w:val="Titre7Car"/>
    <w:uiPriority w:val="9"/>
    <w:semiHidden/>
    <w:unhideWhenUsed/>
    <w:qFormat/>
    <w:rsid w:val="00E86784"/>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Titre8">
    <w:name w:val="heading 8"/>
    <w:basedOn w:val="Normal"/>
    <w:next w:val="Normal"/>
    <w:link w:val="Titre8Car"/>
    <w:uiPriority w:val="9"/>
    <w:semiHidden/>
    <w:unhideWhenUsed/>
    <w:qFormat/>
    <w:rsid w:val="00E86784"/>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Titre9">
    <w:name w:val="heading 9"/>
    <w:basedOn w:val="Normal"/>
    <w:next w:val="Normal"/>
    <w:link w:val="Titre9Car"/>
    <w:uiPriority w:val="9"/>
    <w:semiHidden/>
    <w:unhideWhenUsed/>
    <w:qFormat/>
    <w:rsid w:val="00E86784"/>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21">
    <w:name w:val="A2+1"/>
    <w:uiPriority w:val="99"/>
    <w:rsid w:val="00003814"/>
    <w:rPr>
      <w:color w:val="000000"/>
      <w:sz w:val="26"/>
      <w:szCs w:val="26"/>
    </w:rPr>
  </w:style>
  <w:style w:type="table" w:styleId="Grilledutableau">
    <w:name w:val="Table Grid"/>
    <w:basedOn w:val="TableauNormal"/>
    <w:uiPriority w:val="59"/>
    <w:rsid w:val="007C2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F437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379C"/>
    <w:rPr>
      <w:rFonts w:ascii="Tahoma" w:hAnsi="Tahoma" w:cs="Tahoma"/>
      <w:sz w:val="16"/>
      <w:szCs w:val="16"/>
    </w:rPr>
  </w:style>
  <w:style w:type="paragraph" w:customStyle="1" w:styleId="Default">
    <w:name w:val="Default"/>
    <w:rsid w:val="00AA585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A01B4E"/>
    <w:pPr>
      <w:tabs>
        <w:tab w:val="center" w:pos="4536"/>
        <w:tab w:val="right" w:pos="9072"/>
      </w:tabs>
      <w:spacing w:after="0" w:line="240" w:lineRule="auto"/>
    </w:pPr>
  </w:style>
  <w:style w:type="character" w:customStyle="1" w:styleId="En-tteCar">
    <w:name w:val="En-tête Car"/>
    <w:basedOn w:val="Policepardfaut"/>
    <w:link w:val="En-tte"/>
    <w:uiPriority w:val="99"/>
    <w:rsid w:val="00A01B4E"/>
  </w:style>
  <w:style w:type="paragraph" w:styleId="Pieddepage">
    <w:name w:val="footer"/>
    <w:basedOn w:val="Normal"/>
    <w:link w:val="PieddepageCar"/>
    <w:uiPriority w:val="99"/>
    <w:unhideWhenUsed/>
    <w:rsid w:val="00A01B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1B4E"/>
  </w:style>
  <w:style w:type="paragraph" w:styleId="Rvision">
    <w:name w:val="Revision"/>
    <w:hidden/>
    <w:uiPriority w:val="99"/>
    <w:semiHidden/>
    <w:rsid w:val="00935B48"/>
    <w:pPr>
      <w:spacing w:after="0" w:line="240" w:lineRule="auto"/>
    </w:pPr>
  </w:style>
  <w:style w:type="character" w:customStyle="1" w:styleId="Titre3Car">
    <w:name w:val="Titre 3 Car"/>
    <w:basedOn w:val="Policepardfaut"/>
    <w:link w:val="Titre3"/>
    <w:uiPriority w:val="9"/>
    <w:semiHidden/>
    <w:rsid w:val="00E86784"/>
    <w:rPr>
      <w:rFonts w:asciiTheme="majorHAnsi" w:eastAsiaTheme="majorEastAsia" w:hAnsiTheme="majorHAnsi" w:cstheme="majorBidi"/>
      <w:color w:val="365F91" w:themeColor="accent1" w:themeShade="BF"/>
      <w:sz w:val="28"/>
      <w:szCs w:val="28"/>
    </w:rPr>
  </w:style>
  <w:style w:type="character" w:customStyle="1" w:styleId="ParagraphedelisteCar">
    <w:name w:val="Paragraphe de liste Car"/>
    <w:basedOn w:val="Policepardfaut"/>
    <w:link w:val="Paragraphedeliste"/>
    <w:uiPriority w:val="34"/>
    <w:locked/>
    <w:rsid w:val="009F1AE1"/>
  </w:style>
  <w:style w:type="paragraph" w:styleId="Paragraphedeliste">
    <w:name w:val="List Paragraph"/>
    <w:basedOn w:val="Normal"/>
    <w:link w:val="ParagraphedelisteCar"/>
    <w:uiPriority w:val="34"/>
    <w:qFormat/>
    <w:rsid w:val="009F1AE1"/>
    <w:pPr>
      <w:ind w:left="720"/>
      <w:contextualSpacing/>
    </w:pPr>
  </w:style>
  <w:style w:type="paragraph" w:styleId="Notedebasdepage">
    <w:name w:val="footnote text"/>
    <w:basedOn w:val="Normal"/>
    <w:link w:val="NotedebasdepageCar"/>
    <w:uiPriority w:val="99"/>
    <w:semiHidden/>
    <w:unhideWhenUsed/>
    <w:rsid w:val="0060641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06411"/>
    <w:rPr>
      <w:sz w:val="20"/>
      <w:szCs w:val="20"/>
    </w:rPr>
  </w:style>
  <w:style w:type="character" w:styleId="Appelnotedebasdep">
    <w:name w:val="footnote reference"/>
    <w:basedOn w:val="Policepardfaut"/>
    <w:uiPriority w:val="99"/>
    <w:semiHidden/>
    <w:unhideWhenUsed/>
    <w:rsid w:val="00606411"/>
    <w:rPr>
      <w:vertAlign w:val="superscript"/>
    </w:rPr>
  </w:style>
  <w:style w:type="character" w:customStyle="1" w:styleId="Titre1Car">
    <w:name w:val="Titre 1 Car"/>
    <w:basedOn w:val="Policepardfaut"/>
    <w:link w:val="Titre1"/>
    <w:uiPriority w:val="9"/>
    <w:rsid w:val="00E86784"/>
    <w:rPr>
      <w:rFonts w:asciiTheme="majorHAnsi" w:eastAsiaTheme="majorEastAsia" w:hAnsiTheme="majorHAnsi" w:cstheme="majorBidi"/>
      <w:color w:val="244061" w:themeColor="accent1" w:themeShade="80"/>
      <w:sz w:val="36"/>
      <w:szCs w:val="36"/>
    </w:rPr>
  </w:style>
  <w:style w:type="character" w:customStyle="1" w:styleId="Titre2Car">
    <w:name w:val="Titre 2 Car"/>
    <w:basedOn w:val="Policepardfaut"/>
    <w:link w:val="Titre2"/>
    <w:uiPriority w:val="9"/>
    <w:rsid w:val="00E86784"/>
    <w:rPr>
      <w:rFonts w:asciiTheme="majorHAnsi" w:eastAsiaTheme="majorEastAsia" w:hAnsiTheme="majorHAnsi" w:cstheme="majorBidi"/>
      <w:color w:val="365F91" w:themeColor="accent1" w:themeShade="BF"/>
      <w:sz w:val="32"/>
      <w:szCs w:val="32"/>
    </w:rPr>
  </w:style>
  <w:style w:type="character" w:customStyle="1" w:styleId="Titre4Car">
    <w:name w:val="Titre 4 Car"/>
    <w:basedOn w:val="Policepardfaut"/>
    <w:link w:val="Titre4"/>
    <w:uiPriority w:val="9"/>
    <w:semiHidden/>
    <w:rsid w:val="00E86784"/>
    <w:rPr>
      <w:rFonts w:asciiTheme="majorHAnsi" w:eastAsiaTheme="majorEastAsia" w:hAnsiTheme="majorHAnsi" w:cstheme="majorBidi"/>
      <w:color w:val="365F91" w:themeColor="accent1" w:themeShade="BF"/>
      <w:sz w:val="24"/>
      <w:szCs w:val="24"/>
    </w:rPr>
  </w:style>
  <w:style w:type="character" w:customStyle="1" w:styleId="Titre5Car">
    <w:name w:val="Titre 5 Car"/>
    <w:basedOn w:val="Policepardfaut"/>
    <w:link w:val="Titre5"/>
    <w:uiPriority w:val="9"/>
    <w:semiHidden/>
    <w:rsid w:val="00E86784"/>
    <w:rPr>
      <w:rFonts w:asciiTheme="majorHAnsi" w:eastAsiaTheme="majorEastAsia" w:hAnsiTheme="majorHAnsi" w:cstheme="majorBidi"/>
      <w:caps/>
      <w:color w:val="365F91" w:themeColor="accent1" w:themeShade="BF"/>
    </w:rPr>
  </w:style>
  <w:style w:type="character" w:customStyle="1" w:styleId="Titre6Car">
    <w:name w:val="Titre 6 Car"/>
    <w:basedOn w:val="Policepardfaut"/>
    <w:link w:val="Titre6"/>
    <w:uiPriority w:val="9"/>
    <w:semiHidden/>
    <w:rsid w:val="00E86784"/>
    <w:rPr>
      <w:rFonts w:asciiTheme="majorHAnsi" w:eastAsiaTheme="majorEastAsia" w:hAnsiTheme="majorHAnsi" w:cstheme="majorBidi"/>
      <w:i/>
      <w:iCs/>
      <w:caps/>
      <w:color w:val="244061" w:themeColor="accent1" w:themeShade="80"/>
    </w:rPr>
  </w:style>
  <w:style w:type="character" w:customStyle="1" w:styleId="Titre7Car">
    <w:name w:val="Titre 7 Car"/>
    <w:basedOn w:val="Policepardfaut"/>
    <w:link w:val="Titre7"/>
    <w:uiPriority w:val="9"/>
    <w:semiHidden/>
    <w:rsid w:val="00E86784"/>
    <w:rPr>
      <w:rFonts w:asciiTheme="majorHAnsi" w:eastAsiaTheme="majorEastAsia" w:hAnsiTheme="majorHAnsi" w:cstheme="majorBidi"/>
      <w:b/>
      <w:bCs/>
      <w:color w:val="244061" w:themeColor="accent1" w:themeShade="80"/>
    </w:rPr>
  </w:style>
  <w:style w:type="character" w:customStyle="1" w:styleId="Titre8Car">
    <w:name w:val="Titre 8 Car"/>
    <w:basedOn w:val="Policepardfaut"/>
    <w:link w:val="Titre8"/>
    <w:uiPriority w:val="9"/>
    <w:semiHidden/>
    <w:rsid w:val="00E86784"/>
    <w:rPr>
      <w:rFonts w:asciiTheme="majorHAnsi" w:eastAsiaTheme="majorEastAsia" w:hAnsiTheme="majorHAnsi" w:cstheme="majorBidi"/>
      <w:b/>
      <w:bCs/>
      <w:i/>
      <w:iCs/>
      <w:color w:val="244061" w:themeColor="accent1" w:themeShade="80"/>
    </w:rPr>
  </w:style>
  <w:style w:type="character" w:customStyle="1" w:styleId="Titre9Car">
    <w:name w:val="Titre 9 Car"/>
    <w:basedOn w:val="Policepardfaut"/>
    <w:link w:val="Titre9"/>
    <w:uiPriority w:val="9"/>
    <w:semiHidden/>
    <w:rsid w:val="00E86784"/>
    <w:rPr>
      <w:rFonts w:asciiTheme="majorHAnsi" w:eastAsiaTheme="majorEastAsia" w:hAnsiTheme="majorHAnsi" w:cstheme="majorBidi"/>
      <w:i/>
      <w:iCs/>
      <w:color w:val="244061" w:themeColor="accent1" w:themeShade="80"/>
    </w:rPr>
  </w:style>
  <w:style w:type="paragraph" w:styleId="Lgende">
    <w:name w:val="caption"/>
    <w:basedOn w:val="Normal"/>
    <w:next w:val="Normal"/>
    <w:uiPriority w:val="35"/>
    <w:unhideWhenUsed/>
    <w:qFormat/>
    <w:rsid w:val="00E86784"/>
    <w:pPr>
      <w:spacing w:line="240" w:lineRule="auto"/>
    </w:pPr>
    <w:rPr>
      <w:b/>
      <w:bCs/>
      <w:smallCaps/>
      <w:color w:val="1F497D" w:themeColor="text2"/>
    </w:rPr>
  </w:style>
  <w:style w:type="paragraph" w:styleId="Titre">
    <w:name w:val="Title"/>
    <w:basedOn w:val="Normal"/>
    <w:next w:val="Normal"/>
    <w:link w:val="TitreCar"/>
    <w:uiPriority w:val="10"/>
    <w:qFormat/>
    <w:rsid w:val="00E86784"/>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reCar">
    <w:name w:val="Titre Car"/>
    <w:basedOn w:val="Policepardfaut"/>
    <w:link w:val="Titre"/>
    <w:uiPriority w:val="10"/>
    <w:rsid w:val="00E86784"/>
    <w:rPr>
      <w:rFonts w:asciiTheme="majorHAnsi" w:eastAsiaTheme="majorEastAsia" w:hAnsiTheme="majorHAnsi" w:cstheme="majorBidi"/>
      <w:caps/>
      <w:color w:val="1F497D" w:themeColor="text2"/>
      <w:spacing w:val="-15"/>
      <w:sz w:val="72"/>
      <w:szCs w:val="72"/>
    </w:rPr>
  </w:style>
  <w:style w:type="paragraph" w:styleId="Sous-titre">
    <w:name w:val="Subtitle"/>
    <w:basedOn w:val="Normal"/>
    <w:next w:val="Normal"/>
    <w:link w:val="Sous-titreCar"/>
    <w:uiPriority w:val="11"/>
    <w:qFormat/>
    <w:rsid w:val="00E86784"/>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ous-titreCar">
    <w:name w:val="Sous-titre Car"/>
    <w:basedOn w:val="Policepardfaut"/>
    <w:link w:val="Sous-titre"/>
    <w:uiPriority w:val="11"/>
    <w:rsid w:val="00E86784"/>
    <w:rPr>
      <w:rFonts w:asciiTheme="majorHAnsi" w:eastAsiaTheme="majorEastAsia" w:hAnsiTheme="majorHAnsi" w:cstheme="majorBidi"/>
      <w:color w:val="4F81BD" w:themeColor="accent1"/>
      <w:sz w:val="28"/>
      <w:szCs w:val="28"/>
    </w:rPr>
  </w:style>
  <w:style w:type="character" w:styleId="lev">
    <w:name w:val="Strong"/>
    <w:basedOn w:val="Policepardfaut"/>
    <w:uiPriority w:val="22"/>
    <w:qFormat/>
    <w:rsid w:val="00E86784"/>
    <w:rPr>
      <w:b/>
      <w:bCs/>
    </w:rPr>
  </w:style>
  <w:style w:type="character" w:styleId="Accentuation">
    <w:name w:val="Emphasis"/>
    <w:basedOn w:val="Policepardfaut"/>
    <w:uiPriority w:val="20"/>
    <w:qFormat/>
    <w:rsid w:val="00E86784"/>
    <w:rPr>
      <w:i/>
      <w:iCs/>
    </w:rPr>
  </w:style>
  <w:style w:type="paragraph" w:styleId="Sansinterligne">
    <w:name w:val="No Spacing"/>
    <w:uiPriority w:val="1"/>
    <w:qFormat/>
    <w:rsid w:val="00E86784"/>
    <w:pPr>
      <w:spacing w:after="0" w:line="240" w:lineRule="auto"/>
    </w:pPr>
  </w:style>
  <w:style w:type="paragraph" w:styleId="Citation">
    <w:name w:val="Quote"/>
    <w:basedOn w:val="Normal"/>
    <w:next w:val="Normal"/>
    <w:link w:val="CitationCar"/>
    <w:uiPriority w:val="29"/>
    <w:qFormat/>
    <w:rsid w:val="00E86784"/>
    <w:pPr>
      <w:spacing w:before="120" w:after="120"/>
      <w:ind w:left="720"/>
    </w:pPr>
    <w:rPr>
      <w:color w:val="1F497D" w:themeColor="text2"/>
      <w:sz w:val="24"/>
      <w:szCs w:val="24"/>
    </w:rPr>
  </w:style>
  <w:style w:type="character" w:customStyle="1" w:styleId="CitationCar">
    <w:name w:val="Citation Car"/>
    <w:basedOn w:val="Policepardfaut"/>
    <w:link w:val="Citation"/>
    <w:uiPriority w:val="29"/>
    <w:rsid w:val="00E86784"/>
    <w:rPr>
      <w:color w:val="1F497D" w:themeColor="text2"/>
      <w:sz w:val="24"/>
      <w:szCs w:val="24"/>
    </w:rPr>
  </w:style>
  <w:style w:type="paragraph" w:styleId="Citationintense">
    <w:name w:val="Intense Quote"/>
    <w:basedOn w:val="Normal"/>
    <w:next w:val="Normal"/>
    <w:link w:val="CitationintenseCar"/>
    <w:uiPriority w:val="30"/>
    <w:qFormat/>
    <w:rsid w:val="00E86784"/>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CitationintenseCar">
    <w:name w:val="Citation intense Car"/>
    <w:basedOn w:val="Policepardfaut"/>
    <w:link w:val="Citationintense"/>
    <w:uiPriority w:val="30"/>
    <w:rsid w:val="00E86784"/>
    <w:rPr>
      <w:rFonts w:asciiTheme="majorHAnsi" w:eastAsiaTheme="majorEastAsia" w:hAnsiTheme="majorHAnsi" w:cstheme="majorBidi"/>
      <w:color w:val="1F497D" w:themeColor="text2"/>
      <w:spacing w:val="-6"/>
      <w:sz w:val="32"/>
      <w:szCs w:val="32"/>
    </w:rPr>
  </w:style>
  <w:style w:type="character" w:styleId="Emphaseple">
    <w:name w:val="Subtle Emphasis"/>
    <w:basedOn w:val="Policepardfaut"/>
    <w:uiPriority w:val="19"/>
    <w:qFormat/>
    <w:rsid w:val="00E86784"/>
    <w:rPr>
      <w:i/>
      <w:iCs/>
      <w:color w:val="595959" w:themeColor="text1" w:themeTint="A6"/>
    </w:rPr>
  </w:style>
  <w:style w:type="character" w:styleId="Emphaseintense">
    <w:name w:val="Intense Emphasis"/>
    <w:basedOn w:val="Policepardfaut"/>
    <w:uiPriority w:val="21"/>
    <w:qFormat/>
    <w:rsid w:val="00E86784"/>
    <w:rPr>
      <w:b/>
      <w:bCs/>
      <w:i/>
      <w:iCs/>
    </w:rPr>
  </w:style>
  <w:style w:type="character" w:styleId="Rfrenceple">
    <w:name w:val="Subtle Reference"/>
    <w:basedOn w:val="Policepardfaut"/>
    <w:uiPriority w:val="31"/>
    <w:qFormat/>
    <w:rsid w:val="00E86784"/>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E86784"/>
    <w:rPr>
      <w:b/>
      <w:bCs/>
      <w:smallCaps/>
      <w:color w:val="1F497D" w:themeColor="text2"/>
      <w:u w:val="single"/>
    </w:rPr>
  </w:style>
  <w:style w:type="character" w:styleId="Titredulivre">
    <w:name w:val="Book Title"/>
    <w:basedOn w:val="Policepardfaut"/>
    <w:uiPriority w:val="33"/>
    <w:qFormat/>
    <w:rsid w:val="00E86784"/>
    <w:rPr>
      <w:b/>
      <w:bCs/>
      <w:smallCaps/>
      <w:spacing w:val="10"/>
    </w:rPr>
  </w:style>
  <w:style w:type="paragraph" w:styleId="En-ttedetabledesmatires">
    <w:name w:val="TOC Heading"/>
    <w:basedOn w:val="Titre1"/>
    <w:next w:val="Normal"/>
    <w:uiPriority w:val="39"/>
    <w:unhideWhenUsed/>
    <w:qFormat/>
    <w:rsid w:val="00E86784"/>
    <w:pPr>
      <w:outlineLvl w:val="9"/>
    </w:pPr>
  </w:style>
  <w:style w:type="paragraph" w:styleId="TM1">
    <w:name w:val="toc 1"/>
    <w:basedOn w:val="Normal"/>
    <w:next w:val="Normal"/>
    <w:autoRedefine/>
    <w:uiPriority w:val="39"/>
    <w:unhideWhenUsed/>
    <w:rsid w:val="00D070E0"/>
    <w:pPr>
      <w:tabs>
        <w:tab w:val="right" w:leader="dot" w:pos="9060"/>
      </w:tabs>
      <w:spacing w:after="0" w:line="240" w:lineRule="auto"/>
    </w:pPr>
    <w:rPr>
      <w:rFonts w:ascii="Times New Roman" w:hAnsi="Times New Roman" w:cs="Times New Roman"/>
      <w:b/>
      <w:smallCaps/>
      <w:noProof/>
      <w:color w:val="0000FF"/>
    </w:rPr>
  </w:style>
  <w:style w:type="paragraph" w:styleId="TM2">
    <w:name w:val="toc 2"/>
    <w:basedOn w:val="Normal"/>
    <w:next w:val="Normal"/>
    <w:autoRedefine/>
    <w:uiPriority w:val="39"/>
    <w:unhideWhenUsed/>
    <w:rsid w:val="008441FB"/>
    <w:pPr>
      <w:tabs>
        <w:tab w:val="left" w:pos="880"/>
        <w:tab w:val="right" w:leader="dot" w:pos="9060"/>
      </w:tabs>
      <w:spacing w:after="0" w:line="240" w:lineRule="auto"/>
      <w:ind w:left="221"/>
    </w:pPr>
    <w:rPr>
      <w:rFonts w:ascii="Times New Roman" w:hAnsi="Times New Roman" w:cs="Times New Roman"/>
      <w:bCs/>
      <w:noProof/>
    </w:rPr>
  </w:style>
  <w:style w:type="character" w:styleId="Lienhypertexte">
    <w:name w:val="Hyperlink"/>
    <w:basedOn w:val="Policepardfaut"/>
    <w:uiPriority w:val="99"/>
    <w:unhideWhenUsed/>
    <w:rsid w:val="0031071B"/>
    <w:rPr>
      <w:color w:val="0000FF" w:themeColor="hyperlink"/>
      <w:u w:val="single"/>
    </w:rPr>
  </w:style>
  <w:style w:type="character" w:styleId="Lienhypertextesuivivisit">
    <w:name w:val="FollowedHyperlink"/>
    <w:basedOn w:val="Policepardfaut"/>
    <w:uiPriority w:val="99"/>
    <w:semiHidden/>
    <w:unhideWhenUsed/>
    <w:rsid w:val="00F71B26"/>
    <w:rPr>
      <w:color w:val="800080"/>
      <w:u w:val="single"/>
    </w:rPr>
  </w:style>
  <w:style w:type="paragraph" w:customStyle="1" w:styleId="xl65">
    <w:name w:val="xl65"/>
    <w:basedOn w:val="Normal"/>
    <w:rsid w:val="00F71B26"/>
    <w:pPr>
      <w:spacing w:before="100" w:beforeAutospacing="1" w:after="100" w:afterAutospacing="1" w:line="240" w:lineRule="auto"/>
    </w:pPr>
    <w:rPr>
      <w:rFonts w:ascii="Arial" w:eastAsia="Times New Roman" w:hAnsi="Arial" w:cs="Arial"/>
      <w:sz w:val="16"/>
      <w:szCs w:val="16"/>
      <w:lang w:eastAsia="fr-FR"/>
    </w:rPr>
  </w:style>
  <w:style w:type="paragraph" w:customStyle="1" w:styleId="xl66">
    <w:name w:val="xl66"/>
    <w:basedOn w:val="Normal"/>
    <w:rsid w:val="00F71B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lang w:eastAsia="fr-FR"/>
    </w:rPr>
  </w:style>
  <w:style w:type="paragraph" w:customStyle="1" w:styleId="xl67">
    <w:name w:val="xl67"/>
    <w:basedOn w:val="Normal"/>
    <w:rsid w:val="00F71B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16"/>
      <w:szCs w:val="16"/>
      <w:lang w:eastAsia="fr-FR"/>
    </w:rPr>
  </w:style>
  <w:style w:type="paragraph" w:customStyle="1" w:styleId="xl68">
    <w:name w:val="xl68"/>
    <w:basedOn w:val="Normal"/>
    <w:rsid w:val="00F71B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fr-FR"/>
    </w:rPr>
  </w:style>
  <w:style w:type="paragraph" w:customStyle="1" w:styleId="xl69">
    <w:name w:val="xl69"/>
    <w:basedOn w:val="Normal"/>
    <w:rsid w:val="00F71B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70">
    <w:name w:val="xl70"/>
    <w:basedOn w:val="Normal"/>
    <w:rsid w:val="00F71B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fr-FR"/>
    </w:rPr>
  </w:style>
  <w:style w:type="paragraph" w:customStyle="1" w:styleId="xl71">
    <w:name w:val="xl71"/>
    <w:basedOn w:val="Normal"/>
    <w:rsid w:val="00F71B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16"/>
      <w:szCs w:val="16"/>
      <w:lang w:eastAsia="fr-FR"/>
    </w:rPr>
  </w:style>
  <w:style w:type="paragraph" w:customStyle="1" w:styleId="xl72">
    <w:name w:val="xl72"/>
    <w:basedOn w:val="Normal"/>
    <w:rsid w:val="00F71B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FF0000"/>
      <w:sz w:val="16"/>
      <w:szCs w:val="16"/>
      <w:lang w:eastAsia="fr-FR"/>
    </w:rPr>
  </w:style>
  <w:style w:type="paragraph" w:customStyle="1" w:styleId="xl73">
    <w:name w:val="xl73"/>
    <w:basedOn w:val="Normal"/>
    <w:rsid w:val="00F71B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16"/>
      <w:szCs w:val="16"/>
      <w:lang w:eastAsia="fr-FR"/>
    </w:rPr>
  </w:style>
  <w:style w:type="paragraph" w:customStyle="1" w:styleId="xl74">
    <w:name w:val="xl74"/>
    <w:basedOn w:val="Normal"/>
    <w:rsid w:val="00F71B2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75">
    <w:name w:val="xl75"/>
    <w:basedOn w:val="Normal"/>
    <w:rsid w:val="00F71B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fr-FR"/>
    </w:rPr>
  </w:style>
  <w:style w:type="paragraph" w:customStyle="1" w:styleId="xl76">
    <w:name w:val="xl76"/>
    <w:basedOn w:val="Normal"/>
    <w:rsid w:val="001264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FF0000"/>
      <w:sz w:val="16"/>
      <w:szCs w:val="16"/>
      <w:lang w:eastAsia="fr-FR"/>
    </w:rPr>
  </w:style>
  <w:style w:type="paragraph" w:customStyle="1" w:styleId="xl77">
    <w:name w:val="xl77"/>
    <w:basedOn w:val="Normal"/>
    <w:rsid w:val="001264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16"/>
      <w:szCs w:val="16"/>
      <w:lang w:eastAsia="fr-FR"/>
    </w:rPr>
  </w:style>
  <w:style w:type="paragraph" w:customStyle="1" w:styleId="xl78">
    <w:name w:val="xl78"/>
    <w:basedOn w:val="Normal"/>
    <w:rsid w:val="001264A6"/>
    <w:pPr>
      <w:spacing w:before="100" w:beforeAutospacing="1" w:after="100" w:afterAutospacing="1" w:line="240" w:lineRule="auto"/>
    </w:pPr>
    <w:rPr>
      <w:rFonts w:ascii="Arial" w:eastAsia="Times New Roman" w:hAnsi="Arial" w:cs="Arial"/>
      <w:b/>
      <w:bCs/>
      <w:color w:val="FF0000"/>
      <w:sz w:val="16"/>
      <w:szCs w:val="16"/>
      <w:lang w:eastAsia="fr-FR"/>
    </w:rPr>
  </w:style>
  <w:style w:type="paragraph" w:styleId="Tabledesillustrations">
    <w:name w:val="table of figures"/>
    <w:basedOn w:val="Normal"/>
    <w:next w:val="Normal"/>
    <w:uiPriority w:val="99"/>
    <w:unhideWhenUsed/>
    <w:rsid w:val="00124155"/>
    <w:pPr>
      <w:spacing w:after="0"/>
    </w:pPr>
  </w:style>
  <w:style w:type="paragraph" w:styleId="NormalWeb">
    <w:name w:val="Normal (Web)"/>
    <w:basedOn w:val="Normal"/>
    <w:uiPriority w:val="99"/>
    <w:semiHidden/>
    <w:unhideWhenUsed/>
    <w:rsid w:val="000A7BF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M3">
    <w:name w:val="toc 3"/>
    <w:basedOn w:val="Normal"/>
    <w:next w:val="Normal"/>
    <w:autoRedefine/>
    <w:uiPriority w:val="39"/>
    <w:unhideWhenUsed/>
    <w:rsid w:val="008441FB"/>
    <w:pPr>
      <w:tabs>
        <w:tab w:val="right" w:leader="dot" w:pos="9060"/>
      </w:tabs>
      <w:spacing w:after="0" w:line="240" w:lineRule="auto"/>
      <w:ind w:left="440"/>
    </w:pPr>
    <w:rPr>
      <w:rFonts w:ascii="Times New Roman" w:hAnsi="Times New Roman" w:cs="Times New Roman"/>
      <w:noProof/>
    </w:rPr>
  </w:style>
</w:styles>
</file>

<file path=word/webSettings.xml><?xml version="1.0" encoding="utf-8"?>
<w:webSettings xmlns:r="http://schemas.openxmlformats.org/officeDocument/2006/relationships" xmlns:w="http://schemas.openxmlformats.org/wordprocessingml/2006/main">
  <w:divs>
    <w:div w:id="13191040">
      <w:bodyDiv w:val="1"/>
      <w:marLeft w:val="0"/>
      <w:marRight w:val="0"/>
      <w:marTop w:val="0"/>
      <w:marBottom w:val="0"/>
      <w:divBdr>
        <w:top w:val="none" w:sz="0" w:space="0" w:color="auto"/>
        <w:left w:val="none" w:sz="0" w:space="0" w:color="auto"/>
        <w:bottom w:val="none" w:sz="0" w:space="0" w:color="auto"/>
        <w:right w:val="none" w:sz="0" w:space="0" w:color="auto"/>
      </w:divBdr>
    </w:div>
    <w:div w:id="32392639">
      <w:bodyDiv w:val="1"/>
      <w:marLeft w:val="0"/>
      <w:marRight w:val="0"/>
      <w:marTop w:val="0"/>
      <w:marBottom w:val="0"/>
      <w:divBdr>
        <w:top w:val="none" w:sz="0" w:space="0" w:color="auto"/>
        <w:left w:val="none" w:sz="0" w:space="0" w:color="auto"/>
        <w:bottom w:val="none" w:sz="0" w:space="0" w:color="auto"/>
        <w:right w:val="none" w:sz="0" w:space="0" w:color="auto"/>
      </w:divBdr>
    </w:div>
    <w:div w:id="51856627">
      <w:bodyDiv w:val="1"/>
      <w:marLeft w:val="0"/>
      <w:marRight w:val="0"/>
      <w:marTop w:val="0"/>
      <w:marBottom w:val="0"/>
      <w:divBdr>
        <w:top w:val="none" w:sz="0" w:space="0" w:color="auto"/>
        <w:left w:val="none" w:sz="0" w:space="0" w:color="auto"/>
        <w:bottom w:val="none" w:sz="0" w:space="0" w:color="auto"/>
        <w:right w:val="none" w:sz="0" w:space="0" w:color="auto"/>
      </w:divBdr>
    </w:div>
    <w:div w:id="71902767">
      <w:bodyDiv w:val="1"/>
      <w:marLeft w:val="0"/>
      <w:marRight w:val="0"/>
      <w:marTop w:val="0"/>
      <w:marBottom w:val="0"/>
      <w:divBdr>
        <w:top w:val="none" w:sz="0" w:space="0" w:color="auto"/>
        <w:left w:val="none" w:sz="0" w:space="0" w:color="auto"/>
        <w:bottom w:val="none" w:sz="0" w:space="0" w:color="auto"/>
        <w:right w:val="none" w:sz="0" w:space="0" w:color="auto"/>
      </w:divBdr>
    </w:div>
    <w:div w:id="160587668">
      <w:bodyDiv w:val="1"/>
      <w:marLeft w:val="0"/>
      <w:marRight w:val="0"/>
      <w:marTop w:val="0"/>
      <w:marBottom w:val="0"/>
      <w:divBdr>
        <w:top w:val="none" w:sz="0" w:space="0" w:color="auto"/>
        <w:left w:val="none" w:sz="0" w:space="0" w:color="auto"/>
        <w:bottom w:val="none" w:sz="0" w:space="0" w:color="auto"/>
        <w:right w:val="none" w:sz="0" w:space="0" w:color="auto"/>
      </w:divBdr>
    </w:div>
    <w:div w:id="168761815">
      <w:bodyDiv w:val="1"/>
      <w:marLeft w:val="0"/>
      <w:marRight w:val="0"/>
      <w:marTop w:val="0"/>
      <w:marBottom w:val="0"/>
      <w:divBdr>
        <w:top w:val="none" w:sz="0" w:space="0" w:color="auto"/>
        <w:left w:val="none" w:sz="0" w:space="0" w:color="auto"/>
        <w:bottom w:val="none" w:sz="0" w:space="0" w:color="auto"/>
        <w:right w:val="none" w:sz="0" w:space="0" w:color="auto"/>
      </w:divBdr>
    </w:div>
    <w:div w:id="175460441">
      <w:bodyDiv w:val="1"/>
      <w:marLeft w:val="0"/>
      <w:marRight w:val="0"/>
      <w:marTop w:val="0"/>
      <w:marBottom w:val="0"/>
      <w:divBdr>
        <w:top w:val="none" w:sz="0" w:space="0" w:color="auto"/>
        <w:left w:val="none" w:sz="0" w:space="0" w:color="auto"/>
        <w:bottom w:val="none" w:sz="0" w:space="0" w:color="auto"/>
        <w:right w:val="none" w:sz="0" w:space="0" w:color="auto"/>
      </w:divBdr>
    </w:div>
    <w:div w:id="177281976">
      <w:bodyDiv w:val="1"/>
      <w:marLeft w:val="0"/>
      <w:marRight w:val="0"/>
      <w:marTop w:val="0"/>
      <w:marBottom w:val="0"/>
      <w:divBdr>
        <w:top w:val="none" w:sz="0" w:space="0" w:color="auto"/>
        <w:left w:val="none" w:sz="0" w:space="0" w:color="auto"/>
        <w:bottom w:val="none" w:sz="0" w:space="0" w:color="auto"/>
        <w:right w:val="none" w:sz="0" w:space="0" w:color="auto"/>
      </w:divBdr>
    </w:div>
    <w:div w:id="197862900">
      <w:bodyDiv w:val="1"/>
      <w:marLeft w:val="0"/>
      <w:marRight w:val="0"/>
      <w:marTop w:val="0"/>
      <w:marBottom w:val="0"/>
      <w:divBdr>
        <w:top w:val="none" w:sz="0" w:space="0" w:color="auto"/>
        <w:left w:val="none" w:sz="0" w:space="0" w:color="auto"/>
        <w:bottom w:val="none" w:sz="0" w:space="0" w:color="auto"/>
        <w:right w:val="none" w:sz="0" w:space="0" w:color="auto"/>
      </w:divBdr>
    </w:div>
    <w:div w:id="241254271">
      <w:bodyDiv w:val="1"/>
      <w:marLeft w:val="0"/>
      <w:marRight w:val="0"/>
      <w:marTop w:val="0"/>
      <w:marBottom w:val="0"/>
      <w:divBdr>
        <w:top w:val="none" w:sz="0" w:space="0" w:color="auto"/>
        <w:left w:val="none" w:sz="0" w:space="0" w:color="auto"/>
        <w:bottom w:val="none" w:sz="0" w:space="0" w:color="auto"/>
        <w:right w:val="none" w:sz="0" w:space="0" w:color="auto"/>
      </w:divBdr>
    </w:div>
    <w:div w:id="247887408">
      <w:bodyDiv w:val="1"/>
      <w:marLeft w:val="0"/>
      <w:marRight w:val="0"/>
      <w:marTop w:val="0"/>
      <w:marBottom w:val="0"/>
      <w:divBdr>
        <w:top w:val="none" w:sz="0" w:space="0" w:color="auto"/>
        <w:left w:val="none" w:sz="0" w:space="0" w:color="auto"/>
        <w:bottom w:val="none" w:sz="0" w:space="0" w:color="auto"/>
        <w:right w:val="none" w:sz="0" w:space="0" w:color="auto"/>
      </w:divBdr>
    </w:div>
    <w:div w:id="250822540">
      <w:bodyDiv w:val="1"/>
      <w:marLeft w:val="0"/>
      <w:marRight w:val="0"/>
      <w:marTop w:val="0"/>
      <w:marBottom w:val="0"/>
      <w:divBdr>
        <w:top w:val="none" w:sz="0" w:space="0" w:color="auto"/>
        <w:left w:val="none" w:sz="0" w:space="0" w:color="auto"/>
        <w:bottom w:val="none" w:sz="0" w:space="0" w:color="auto"/>
        <w:right w:val="none" w:sz="0" w:space="0" w:color="auto"/>
      </w:divBdr>
    </w:div>
    <w:div w:id="315113917">
      <w:bodyDiv w:val="1"/>
      <w:marLeft w:val="0"/>
      <w:marRight w:val="0"/>
      <w:marTop w:val="0"/>
      <w:marBottom w:val="0"/>
      <w:divBdr>
        <w:top w:val="none" w:sz="0" w:space="0" w:color="auto"/>
        <w:left w:val="none" w:sz="0" w:space="0" w:color="auto"/>
        <w:bottom w:val="none" w:sz="0" w:space="0" w:color="auto"/>
        <w:right w:val="none" w:sz="0" w:space="0" w:color="auto"/>
      </w:divBdr>
    </w:div>
    <w:div w:id="326566474">
      <w:bodyDiv w:val="1"/>
      <w:marLeft w:val="0"/>
      <w:marRight w:val="0"/>
      <w:marTop w:val="0"/>
      <w:marBottom w:val="0"/>
      <w:divBdr>
        <w:top w:val="none" w:sz="0" w:space="0" w:color="auto"/>
        <w:left w:val="none" w:sz="0" w:space="0" w:color="auto"/>
        <w:bottom w:val="none" w:sz="0" w:space="0" w:color="auto"/>
        <w:right w:val="none" w:sz="0" w:space="0" w:color="auto"/>
      </w:divBdr>
    </w:div>
    <w:div w:id="326908464">
      <w:bodyDiv w:val="1"/>
      <w:marLeft w:val="0"/>
      <w:marRight w:val="0"/>
      <w:marTop w:val="0"/>
      <w:marBottom w:val="0"/>
      <w:divBdr>
        <w:top w:val="none" w:sz="0" w:space="0" w:color="auto"/>
        <w:left w:val="none" w:sz="0" w:space="0" w:color="auto"/>
        <w:bottom w:val="none" w:sz="0" w:space="0" w:color="auto"/>
        <w:right w:val="none" w:sz="0" w:space="0" w:color="auto"/>
      </w:divBdr>
    </w:div>
    <w:div w:id="338697750">
      <w:bodyDiv w:val="1"/>
      <w:marLeft w:val="0"/>
      <w:marRight w:val="0"/>
      <w:marTop w:val="0"/>
      <w:marBottom w:val="0"/>
      <w:divBdr>
        <w:top w:val="none" w:sz="0" w:space="0" w:color="auto"/>
        <w:left w:val="none" w:sz="0" w:space="0" w:color="auto"/>
        <w:bottom w:val="none" w:sz="0" w:space="0" w:color="auto"/>
        <w:right w:val="none" w:sz="0" w:space="0" w:color="auto"/>
      </w:divBdr>
    </w:div>
    <w:div w:id="341785735">
      <w:bodyDiv w:val="1"/>
      <w:marLeft w:val="0"/>
      <w:marRight w:val="0"/>
      <w:marTop w:val="0"/>
      <w:marBottom w:val="0"/>
      <w:divBdr>
        <w:top w:val="none" w:sz="0" w:space="0" w:color="auto"/>
        <w:left w:val="none" w:sz="0" w:space="0" w:color="auto"/>
        <w:bottom w:val="none" w:sz="0" w:space="0" w:color="auto"/>
        <w:right w:val="none" w:sz="0" w:space="0" w:color="auto"/>
      </w:divBdr>
    </w:div>
    <w:div w:id="358046126">
      <w:bodyDiv w:val="1"/>
      <w:marLeft w:val="0"/>
      <w:marRight w:val="0"/>
      <w:marTop w:val="0"/>
      <w:marBottom w:val="0"/>
      <w:divBdr>
        <w:top w:val="none" w:sz="0" w:space="0" w:color="auto"/>
        <w:left w:val="none" w:sz="0" w:space="0" w:color="auto"/>
        <w:bottom w:val="none" w:sz="0" w:space="0" w:color="auto"/>
        <w:right w:val="none" w:sz="0" w:space="0" w:color="auto"/>
      </w:divBdr>
    </w:div>
    <w:div w:id="359085404">
      <w:bodyDiv w:val="1"/>
      <w:marLeft w:val="0"/>
      <w:marRight w:val="0"/>
      <w:marTop w:val="0"/>
      <w:marBottom w:val="0"/>
      <w:divBdr>
        <w:top w:val="none" w:sz="0" w:space="0" w:color="auto"/>
        <w:left w:val="none" w:sz="0" w:space="0" w:color="auto"/>
        <w:bottom w:val="none" w:sz="0" w:space="0" w:color="auto"/>
        <w:right w:val="none" w:sz="0" w:space="0" w:color="auto"/>
      </w:divBdr>
    </w:div>
    <w:div w:id="424301742">
      <w:bodyDiv w:val="1"/>
      <w:marLeft w:val="0"/>
      <w:marRight w:val="0"/>
      <w:marTop w:val="0"/>
      <w:marBottom w:val="0"/>
      <w:divBdr>
        <w:top w:val="none" w:sz="0" w:space="0" w:color="auto"/>
        <w:left w:val="none" w:sz="0" w:space="0" w:color="auto"/>
        <w:bottom w:val="none" w:sz="0" w:space="0" w:color="auto"/>
        <w:right w:val="none" w:sz="0" w:space="0" w:color="auto"/>
      </w:divBdr>
    </w:div>
    <w:div w:id="486366732">
      <w:bodyDiv w:val="1"/>
      <w:marLeft w:val="0"/>
      <w:marRight w:val="0"/>
      <w:marTop w:val="0"/>
      <w:marBottom w:val="0"/>
      <w:divBdr>
        <w:top w:val="none" w:sz="0" w:space="0" w:color="auto"/>
        <w:left w:val="none" w:sz="0" w:space="0" w:color="auto"/>
        <w:bottom w:val="none" w:sz="0" w:space="0" w:color="auto"/>
        <w:right w:val="none" w:sz="0" w:space="0" w:color="auto"/>
      </w:divBdr>
    </w:div>
    <w:div w:id="526989923">
      <w:bodyDiv w:val="1"/>
      <w:marLeft w:val="0"/>
      <w:marRight w:val="0"/>
      <w:marTop w:val="0"/>
      <w:marBottom w:val="0"/>
      <w:divBdr>
        <w:top w:val="none" w:sz="0" w:space="0" w:color="auto"/>
        <w:left w:val="none" w:sz="0" w:space="0" w:color="auto"/>
        <w:bottom w:val="none" w:sz="0" w:space="0" w:color="auto"/>
        <w:right w:val="none" w:sz="0" w:space="0" w:color="auto"/>
      </w:divBdr>
    </w:div>
    <w:div w:id="566646814">
      <w:bodyDiv w:val="1"/>
      <w:marLeft w:val="0"/>
      <w:marRight w:val="0"/>
      <w:marTop w:val="0"/>
      <w:marBottom w:val="0"/>
      <w:divBdr>
        <w:top w:val="none" w:sz="0" w:space="0" w:color="auto"/>
        <w:left w:val="none" w:sz="0" w:space="0" w:color="auto"/>
        <w:bottom w:val="none" w:sz="0" w:space="0" w:color="auto"/>
        <w:right w:val="none" w:sz="0" w:space="0" w:color="auto"/>
      </w:divBdr>
    </w:div>
    <w:div w:id="570506866">
      <w:bodyDiv w:val="1"/>
      <w:marLeft w:val="0"/>
      <w:marRight w:val="0"/>
      <w:marTop w:val="0"/>
      <w:marBottom w:val="0"/>
      <w:divBdr>
        <w:top w:val="none" w:sz="0" w:space="0" w:color="auto"/>
        <w:left w:val="none" w:sz="0" w:space="0" w:color="auto"/>
        <w:bottom w:val="none" w:sz="0" w:space="0" w:color="auto"/>
        <w:right w:val="none" w:sz="0" w:space="0" w:color="auto"/>
      </w:divBdr>
    </w:div>
    <w:div w:id="592471963">
      <w:bodyDiv w:val="1"/>
      <w:marLeft w:val="0"/>
      <w:marRight w:val="0"/>
      <w:marTop w:val="0"/>
      <w:marBottom w:val="0"/>
      <w:divBdr>
        <w:top w:val="none" w:sz="0" w:space="0" w:color="auto"/>
        <w:left w:val="none" w:sz="0" w:space="0" w:color="auto"/>
        <w:bottom w:val="none" w:sz="0" w:space="0" w:color="auto"/>
        <w:right w:val="none" w:sz="0" w:space="0" w:color="auto"/>
      </w:divBdr>
    </w:div>
    <w:div w:id="620692145">
      <w:bodyDiv w:val="1"/>
      <w:marLeft w:val="0"/>
      <w:marRight w:val="0"/>
      <w:marTop w:val="0"/>
      <w:marBottom w:val="0"/>
      <w:divBdr>
        <w:top w:val="none" w:sz="0" w:space="0" w:color="auto"/>
        <w:left w:val="none" w:sz="0" w:space="0" w:color="auto"/>
        <w:bottom w:val="none" w:sz="0" w:space="0" w:color="auto"/>
        <w:right w:val="none" w:sz="0" w:space="0" w:color="auto"/>
      </w:divBdr>
    </w:div>
    <w:div w:id="632715317">
      <w:bodyDiv w:val="1"/>
      <w:marLeft w:val="0"/>
      <w:marRight w:val="0"/>
      <w:marTop w:val="0"/>
      <w:marBottom w:val="0"/>
      <w:divBdr>
        <w:top w:val="none" w:sz="0" w:space="0" w:color="auto"/>
        <w:left w:val="none" w:sz="0" w:space="0" w:color="auto"/>
        <w:bottom w:val="none" w:sz="0" w:space="0" w:color="auto"/>
        <w:right w:val="none" w:sz="0" w:space="0" w:color="auto"/>
      </w:divBdr>
    </w:div>
    <w:div w:id="663704160">
      <w:bodyDiv w:val="1"/>
      <w:marLeft w:val="0"/>
      <w:marRight w:val="0"/>
      <w:marTop w:val="0"/>
      <w:marBottom w:val="0"/>
      <w:divBdr>
        <w:top w:val="none" w:sz="0" w:space="0" w:color="auto"/>
        <w:left w:val="none" w:sz="0" w:space="0" w:color="auto"/>
        <w:bottom w:val="none" w:sz="0" w:space="0" w:color="auto"/>
        <w:right w:val="none" w:sz="0" w:space="0" w:color="auto"/>
      </w:divBdr>
    </w:div>
    <w:div w:id="725370404">
      <w:bodyDiv w:val="1"/>
      <w:marLeft w:val="0"/>
      <w:marRight w:val="0"/>
      <w:marTop w:val="0"/>
      <w:marBottom w:val="0"/>
      <w:divBdr>
        <w:top w:val="none" w:sz="0" w:space="0" w:color="auto"/>
        <w:left w:val="none" w:sz="0" w:space="0" w:color="auto"/>
        <w:bottom w:val="none" w:sz="0" w:space="0" w:color="auto"/>
        <w:right w:val="none" w:sz="0" w:space="0" w:color="auto"/>
      </w:divBdr>
    </w:div>
    <w:div w:id="728648073">
      <w:bodyDiv w:val="1"/>
      <w:marLeft w:val="0"/>
      <w:marRight w:val="0"/>
      <w:marTop w:val="0"/>
      <w:marBottom w:val="0"/>
      <w:divBdr>
        <w:top w:val="none" w:sz="0" w:space="0" w:color="auto"/>
        <w:left w:val="none" w:sz="0" w:space="0" w:color="auto"/>
        <w:bottom w:val="none" w:sz="0" w:space="0" w:color="auto"/>
        <w:right w:val="none" w:sz="0" w:space="0" w:color="auto"/>
      </w:divBdr>
    </w:div>
    <w:div w:id="732120057">
      <w:bodyDiv w:val="1"/>
      <w:marLeft w:val="0"/>
      <w:marRight w:val="0"/>
      <w:marTop w:val="0"/>
      <w:marBottom w:val="0"/>
      <w:divBdr>
        <w:top w:val="none" w:sz="0" w:space="0" w:color="auto"/>
        <w:left w:val="none" w:sz="0" w:space="0" w:color="auto"/>
        <w:bottom w:val="none" w:sz="0" w:space="0" w:color="auto"/>
        <w:right w:val="none" w:sz="0" w:space="0" w:color="auto"/>
      </w:divBdr>
    </w:div>
    <w:div w:id="749734623">
      <w:bodyDiv w:val="1"/>
      <w:marLeft w:val="0"/>
      <w:marRight w:val="0"/>
      <w:marTop w:val="0"/>
      <w:marBottom w:val="0"/>
      <w:divBdr>
        <w:top w:val="none" w:sz="0" w:space="0" w:color="auto"/>
        <w:left w:val="none" w:sz="0" w:space="0" w:color="auto"/>
        <w:bottom w:val="none" w:sz="0" w:space="0" w:color="auto"/>
        <w:right w:val="none" w:sz="0" w:space="0" w:color="auto"/>
      </w:divBdr>
    </w:div>
    <w:div w:id="802623479">
      <w:bodyDiv w:val="1"/>
      <w:marLeft w:val="0"/>
      <w:marRight w:val="0"/>
      <w:marTop w:val="0"/>
      <w:marBottom w:val="0"/>
      <w:divBdr>
        <w:top w:val="none" w:sz="0" w:space="0" w:color="auto"/>
        <w:left w:val="none" w:sz="0" w:space="0" w:color="auto"/>
        <w:bottom w:val="none" w:sz="0" w:space="0" w:color="auto"/>
        <w:right w:val="none" w:sz="0" w:space="0" w:color="auto"/>
      </w:divBdr>
    </w:div>
    <w:div w:id="832375374">
      <w:bodyDiv w:val="1"/>
      <w:marLeft w:val="0"/>
      <w:marRight w:val="0"/>
      <w:marTop w:val="0"/>
      <w:marBottom w:val="0"/>
      <w:divBdr>
        <w:top w:val="none" w:sz="0" w:space="0" w:color="auto"/>
        <w:left w:val="none" w:sz="0" w:space="0" w:color="auto"/>
        <w:bottom w:val="none" w:sz="0" w:space="0" w:color="auto"/>
        <w:right w:val="none" w:sz="0" w:space="0" w:color="auto"/>
      </w:divBdr>
    </w:div>
    <w:div w:id="846212438">
      <w:bodyDiv w:val="1"/>
      <w:marLeft w:val="0"/>
      <w:marRight w:val="0"/>
      <w:marTop w:val="0"/>
      <w:marBottom w:val="0"/>
      <w:divBdr>
        <w:top w:val="none" w:sz="0" w:space="0" w:color="auto"/>
        <w:left w:val="none" w:sz="0" w:space="0" w:color="auto"/>
        <w:bottom w:val="none" w:sz="0" w:space="0" w:color="auto"/>
        <w:right w:val="none" w:sz="0" w:space="0" w:color="auto"/>
      </w:divBdr>
    </w:div>
    <w:div w:id="852498711">
      <w:bodyDiv w:val="1"/>
      <w:marLeft w:val="0"/>
      <w:marRight w:val="0"/>
      <w:marTop w:val="0"/>
      <w:marBottom w:val="0"/>
      <w:divBdr>
        <w:top w:val="none" w:sz="0" w:space="0" w:color="auto"/>
        <w:left w:val="none" w:sz="0" w:space="0" w:color="auto"/>
        <w:bottom w:val="none" w:sz="0" w:space="0" w:color="auto"/>
        <w:right w:val="none" w:sz="0" w:space="0" w:color="auto"/>
      </w:divBdr>
    </w:div>
    <w:div w:id="854877673">
      <w:bodyDiv w:val="1"/>
      <w:marLeft w:val="0"/>
      <w:marRight w:val="0"/>
      <w:marTop w:val="0"/>
      <w:marBottom w:val="0"/>
      <w:divBdr>
        <w:top w:val="none" w:sz="0" w:space="0" w:color="auto"/>
        <w:left w:val="none" w:sz="0" w:space="0" w:color="auto"/>
        <w:bottom w:val="none" w:sz="0" w:space="0" w:color="auto"/>
        <w:right w:val="none" w:sz="0" w:space="0" w:color="auto"/>
      </w:divBdr>
    </w:div>
    <w:div w:id="893780088">
      <w:bodyDiv w:val="1"/>
      <w:marLeft w:val="0"/>
      <w:marRight w:val="0"/>
      <w:marTop w:val="0"/>
      <w:marBottom w:val="0"/>
      <w:divBdr>
        <w:top w:val="none" w:sz="0" w:space="0" w:color="auto"/>
        <w:left w:val="none" w:sz="0" w:space="0" w:color="auto"/>
        <w:bottom w:val="none" w:sz="0" w:space="0" w:color="auto"/>
        <w:right w:val="none" w:sz="0" w:space="0" w:color="auto"/>
      </w:divBdr>
    </w:div>
    <w:div w:id="909535056">
      <w:bodyDiv w:val="1"/>
      <w:marLeft w:val="0"/>
      <w:marRight w:val="0"/>
      <w:marTop w:val="0"/>
      <w:marBottom w:val="0"/>
      <w:divBdr>
        <w:top w:val="none" w:sz="0" w:space="0" w:color="auto"/>
        <w:left w:val="none" w:sz="0" w:space="0" w:color="auto"/>
        <w:bottom w:val="none" w:sz="0" w:space="0" w:color="auto"/>
        <w:right w:val="none" w:sz="0" w:space="0" w:color="auto"/>
      </w:divBdr>
    </w:div>
    <w:div w:id="929318314">
      <w:bodyDiv w:val="1"/>
      <w:marLeft w:val="0"/>
      <w:marRight w:val="0"/>
      <w:marTop w:val="0"/>
      <w:marBottom w:val="0"/>
      <w:divBdr>
        <w:top w:val="none" w:sz="0" w:space="0" w:color="auto"/>
        <w:left w:val="none" w:sz="0" w:space="0" w:color="auto"/>
        <w:bottom w:val="none" w:sz="0" w:space="0" w:color="auto"/>
        <w:right w:val="none" w:sz="0" w:space="0" w:color="auto"/>
      </w:divBdr>
    </w:div>
    <w:div w:id="972441502">
      <w:bodyDiv w:val="1"/>
      <w:marLeft w:val="0"/>
      <w:marRight w:val="0"/>
      <w:marTop w:val="0"/>
      <w:marBottom w:val="0"/>
      <w:divBdr>
        <w:top w:val="none" w:sz="0" w:space="0" w:color="auto"/>
        <w:left w:val="none" w:sz="0" w:space="0" w:color="auto"/>
        <w:bottom w:val="none" w:sz="0" w:space="0" w:color="auto"/>
        <w:right w:val="none" w:sz="0" w:space="0" w:color="auto"/>
      </w:divBdr>
    </w:div>
    <w:div w:id="1001354315">
      <w:bodyDiv w:val="1"/>
      <w:marLeft w:val="0"/>
      <w:marRight w:val="0"/>
      <w:marTop w:val="0"/>
      <w:marBottom w:val="0"/>
      <w:divBdr>
        <w:top w:val="none" w:sz="0" w:space="0" w:color="auto"/>
        <w:left w:val="none" w:sz="0" w:space="0" w:color="auto"/>
        <w:bottom w:val="none" w:sz="0" w:space="0" w:color="auto"/>
        <w:right w:val="none" w:sz="0" w:space="0" w:color="auto"/>
      </w:divBdr>
    </w:div>
    <w:div w:id="1003893788">
      <w:bodyDiv w:val="1"/>
      <w:marLeft w:val="0"/>
      <w:marRight w:val="0"/>
      <w:marTop w:val="0"/>
      <w:marBottom w:val="0"/>
      <w:divBdr>
        <w:top w:val="none" w:sz="0" w:space="0" w:color="auto"/>
        <w:left w:val="none" w:sz="0" w:space="0" w:color="auto"/>
        <w:bottom w:val="none" w:sz="0" w:space="0" w:color="auto"/>
        <w:right w:val="none" w:sz="0" w:space="0" w:color="auto"/>
      </w:divBdr>
    </w:div>
    <w:div w:id="1024290225">
      <w:bodyDiv w:val="1"/>
      <w:marLeft w:val="0"/>
      <w:marRight w:val="0"/>
      <w:marTop w:val="0"/>
      <w:marBottom w:val="0"/>
      <w:divBdr>
        <w:top w:val="none" w:sz="0" w:space="0" w:color="auto"/>
        <w:left w:val="none" w:sz="0" w:space="0" w:color="auto"/>
        <w:bottom w:val="none" w:sz="0" w:space="0" w:color="auto"/>
        <w:right w:val="none" w:sz="0" w:space="0" w:color="auto"/>
      </w:divBdr>
    </w:div>
    <w:div w:id="1025448722">
      <w:bodyDiv w:val="1"/>
      <w:marLeft w:val="0"/>
      <w:marRight w:val="0"/>
      <w:marTop w:val="0"/>
      <w:marBottom w:val="0"/>
      <w:divBdr>
        <w:top w:val="none" w:sz="0" w:space="0" w:color="auto"/>
        <w:left w:val="none" w:sz="0" w:space="0" w:color="auto"/>
        <w:bottom w:val="none" w:sz="0" w:space="0" w:color="auto"/>
        <w:right w:val="none" w:sz="0" w:space="0" w:color="auto"/>
      </w:divBdr>
    </w:div>
    <w:div w:id="1104112278">
      <w:bodyDiv w:val="1"/>
      <w:marLeft w:val="0"/>
      <w:marRight w:val="0"/>
      <w:marTop w:val="0"/>
      <w:marBottom w:val="0"/>
      <w:divBdr>
        <w:top w:val="none" w:sz="0" w:space="0" w:color="auto"/>
        <w:left w:val="none" w:sz="0" w:space="0" w:color="auto"/>
        <w:bottom w:val="none" w:sz="0" w:space="0" w:color="auto"/>
        <w:right w:val="none" w:sz="0" w:space="0" w:color="auto"/>
      </w:divBdr>
    </w:div>
    <w:div w:id="1106345706">
      <w:bodyDiv w:val="1"/>
      <w:marLeft w:val="0"/>
      <w:marRight w:val="0"/>
      <w:marTop w:val="0"/>
      <w:marBottom w:val="0"/>
      <w:divBdr>
        <w:top w:val="none" w:sz="0" w:space="0" w:color="auto"/>
        <w:left w:val="none" w:sz="0" w:space="0" w:color="auto"/>
        <w:bottom w:val="none" w:sz="0" w:space="0" w:color="auto"/>
        <w:right w:val="none" w:sz="0" w:space="0" w:color="auto"/>
      </w:divBdr>
    </w:div>
    <w:div w:id="1113861397">
      <w:bodyDiv w:val="1"/>
      <w:marLeft w:val="0"/>
      <w:marRight w:val="0"/>
      <w:marTop w:val="0"/>
      <w:marBottom w:val="0"/>
      <w:divBdr>
        <w:top w:val="none" w:sz="0" w:space="0" w:color="auto"/>
        <w:left w:val="none" w:sz="0" w:space="0" w:color="auto"/>
        <w:bottom w:val="none" w:sz="0" w:space="0" w:color="auto"/>
        <w:right w:val="none" w:sz="0" w:space="0" w:color="auto"/>
      </w:divBdr>
    </w:div>
    <w:div w:id="1115440383">
      <w:bodyDiv w:val="1"/>
      <w:marLeft w:val="0"/>
      <w:marRight w:val="0"/>
      <w:marTop w:val="0"/>
      <w:marBottom w:val="0"/>
      <w:divBdr>
        <w:top w:val="none" w:sz="0" w:space="0" w:color="auto"/>
        <w:left w:val="none" w:sz="0" w:space="0" w:color="auto"/>
        <w:bottom w:val="none" w:sz="0" w:space="0" w:color="auto"/>
        <w:right w:val="none" w:sz="0" w:space="0" w:color="auto"/>
      </w:divBdr>
    </w:div>
    <w:div w:id="1119496627">
      <w:bodyDiv w:val="1"/>
      <w:marLeft w:val="0"/>
      <w:marRight w:val="0"/>
      <w:marTop w:val="0"/>
      <w:marBottom w:val="0"/>
      <w:divBdr>
        <w:top w:val="none" w:sz="0" w:space="0" w:color="auto"/>
        <w:left w:val="none" w:sz="0" w:space="0" w:color="auto"/>
        <w:bottom w:val="none" w:sz="0" w:space="0" w:color="auto"/>
        <w:right w:val="none" w:sz="0" w:space="0" w:color="auto"/>
      </w:divBdr>
    </w:div>
    <w:div w:id="1123183904">
      <w:bodyDiv w:val="1"/>
      <w:marLeft w:val="0"/>
      <w:marRight w:val="0"/>
      <w:marTop w:val="0"/>
      <w:marBottom w:val="0"/>
      <w:divBdr>
        <w:top w:val="none" w:sz="0" w:space="0" w:color="auto"/>
        <w:left w:val="none" w:sz="0" w:space="0" w:color="auto"/>
        <w:bottom w:val="none" w:sz="0" w:space="0" w:color="auto"/>
        <w:right w:val="none" w:sz="0" w:space="0" w:color="auto"/>
      </w:divBdr>
    </w:div>
    <w:div w:id="1139297920">
      <w:bodyDiv w:val="1"/>
      <w:marLeft w:val="0"/>
      <w:marRight w:val="0"/>
      <w:marTop w:val="0"/>
      <w:marBottom w:val="0"/>
      <w:divBdr>
        <w:top w:val="none" w:sz="0" w:space="0" w:color="auto"/>
        <w:left w:val="none" w:sz="0" w:space="0" w:color="auto"/>
        <w:bottom w:val="none" w:sz="0" w:space="0" w:color="auto"/>
        <w:right w:val="none" w:sz="0" w:space="0" w:color="auto"/>
      </w:divBdr>
    </w:div>
    <w:div w:id="1157722093">
      <w:bodyDiv w:val="1"/>
      <w:marLeft w:val="0"/>
      <w:marRight w:val="0"/>
      <w:marTop w:val="0"/>
      <w:marBottom w:val="0"/>
      <w:divBdr>
        <w:top w:val="none" w:sz="0" w:space="0" w:color="auto"/>
        <w:left w:val="none" w:sz="0" w:space="0" w:color="auto"/>
        <w:bottom w:val="none" w:sz="0" w:space="0" w:color="auto"/>
        <w:right w:val="none" w:sz="0" w:space="0" w:color="auto"/>
      </w:divBdr>
    </w:div>
    <w:div w:id="1181771850">
      <w:bodyDiv w:val="1"/>
      <w:marLeft w:val="0"/>
      <w:marRight w:val="0"/>
      <w:marTop w:val="0"/>
      <w:marBottom w:val="0"/>
      <w:divBdr>
        <w:top w:val="none" w:sz="0" w:space="0" w:color="auto"/>
        <w:left w:val="none" w:sz="0" w:space="0" w:color="auto"/>
        <w:bottom w:val="none" w:sz="0" w:space="0" w:color="auto"/>
        <w:right w:val="none" w:sz="0" w:space="0" w:color="auto"/>
      </w:divBdr>
    </w:div>
    <w:div w:id="1205021115">
      <w:bodyDiv w:val="1"/>
      <w:marLeft w:val="0"/>
      <w:marRight w:val="0"/>
      <w:marTop w:val="0"/>
      <w:marBottom w:val="0"/>
      <w:divBdr>
        <w:top w:val="none" w:sz="0" w:space="0" w:color="auto"/>
        <w:left w:val="none" w:sz="0" w:space="0" w:color="auto"/>
        <w:bottom w:val="none" w:sz="0" w:space="0" w:color="auto"/>
        <w:right w:val="none" w:sz="0" w:space="0" w:color="auto"/>
      </w:divBdr>
    </w:div>
    <w:div w:id="1211529503">
      <w:bodyDiv w:val="1"/>
      <w:marLeft w:val="0"/>
      <w:marRight w:val="0"/>
      <w:marTop w:val="0"/>
      <w:marBottom w:val="0"/>
      <w:divBdr>
        <w:top w:val="none" w:sz="0" w:space="0" w:color="auto"/>
        <w:left w:val="none" w:sz="0" w:space="0" w:color="auto"/>
        <w:bottom w:val="none" w:sz="0" w:space="0" w:color="auto"/>
        <w:right w:val="none" w:sz="0" w:space="0" w:color="auto"/>
      </w:divBdr>
    </w:div>
    <w:div w:id="1255288395">
      <w:bodyDiv w:val="1"/>
      <w:marLeft w:val="0"/>
      <w:marRight w:val="0"/>
      <w:marTop w:val="0"/>
      <w:marBottom w:val="0"/>
      <w:divBdr>
        <w:top w:val="none" w:sz="0" w:space="0" w:color="auto"/>
        <w:left w:val="none" w:sz="0" w:space="0" w:color="auto"/>
        <w:bottom w:val="none" w:sz="0" w:space="0" w:color="auto"/>
        <w:right w:val="none" w:sz="0" w:space="0" w:color="auto"/>
      </w:divBdr>
    </w:div>
    <w:div w:id="1255942971">
      <w:bodyDiv w:val="1"/>
      <w:marLeft w:val="0"/>
      <w:marRight w:val="0"/>
      <w:marTop w:val="0"/>
      <w:marBottom w:val="0"/>
      <w:divBdr>
        <w:top w:val="none" w:sz="0" w:space="0" w:color="auto"/>
        <w:left w:val="none" w:sz="0" w:space="0" w:color="auto"/>
        <w:bottom w:val="none" w:sz="0" w:space="0" w:color="auto"/>
        <w:right w:val="none" w:sz="0" w:space="0" w:color="auto"/>
      </w:divBdr>
    </w:div>
    <w:div w:id="1264417769">
      <w:bodyDiv w:val="1"/>
      <w:marLeft w:val="0"/>
      <w:marRight w:val="0"/>
      <w:marTop w:val="0"/>
      <w:marBottom w:val="0"/>
      <w:divBdr>
        <w:top w:val="none" w:sz="0" w:space="0" w:color="auto"/>
        <w:left w:val="none" w:sz="0" w:space="0" w:color="auto"/>
        <w:bottom w:val="none" w:sz="0" w:space="0" w:color="auto"/>
        <w:right w:val="none" w:sz="0" w:space="0" w:color="auto"/>
      </w:divBdr>
    </w:div>
    <w:div w:id="1306661507">
      <w:bodyDiv w:val="1"/>
      <w:marLeft w:val="0"/>
      <w:marRight w:val="0"/>
      <w:marTop w:val="0"/>
      <w:marBottom w:val="0"/>
      <w:divBdr>
        <w:top w:val="none" w:sz="0" w:space="0" w:color="auto"/>
        <w:left w:val="none" w:sz="0" w:space="0" w:color="auto"/>
        <w:bottom w:val="none" w:sz="0" w:space="0" w:color="auto"/>
        <w:right w:val="none" w:sz="0" w:space="0" w:color="auto"/>
      </w:divBdr>
    </w:div>
    <w:div w:id="1307777507">
      <w:bodyDiv w:val="1"/>
      <w:marLeft w:val="0"/>
      <w:marRight w:val="0"/>
      <w:marTop w:val="0"/>
      <w:marBottom w:val="0"/>
      <w:divBdr>
        <w:top w:val="none" w:sz="0" w:space="0" w:color="auto"/>
        <w:left w:val="none" w:sz="0" w:space="0" w:color="auto"/>
        <w:bottom w:val="none" w:sz="0" w:space="0" w:color="auto"/>
        <w:right w:val="none" w:sz="0" w:space="0" w:color="auto"/>
      </w:divBdr>
    </w:div>
    <w:div w:id="1338191818">
      <w:bodyDiv w:val="1"/>
      <w:marLeft w:val="0"/>
      <w:marRight w:val="0"/>
      <w:marTop w:val="0"/>
      <w:marBottom w:val="0"/>
      <w:divBdr>
        <w:top w:val="none" w:sz="0" w:space="0" w:color="auto"/>
        <w:left w:val="none" w:sz="0" w:space="0" w:color="auto"/>
        <w:bottom w:val="none" w:sz="0" w:space="0" w:color="auto"/>
        <w:right w:val="none" w:sz="0" w:space="0" w:color="auto"/>
      </w:divBdr>
    </w:div>
    <w:div w:id="1361396304">
      <w:bodyDiv w:val="1"/>
      <w:marLeft w:val="0"/>
      <w:marRight w:val="0"/>
      <w:marTop w:val="0"/>
      <w:marBottom w:val="0"/>
      <w:divBdr>
        <w:top w:val="none" w:sz="0" w:space="0" w:color="auto"/>
        <w:left w:val="none" w:sz="0" w:space="0" w:color="auto"/>
        <w:bottom w:val="none" w:sz="0" w:space="0" w:color="auto"/>
        <w:right w:val="none" w:sz="0" w:space="0" w:color="auto"/>
      </w:divBdr>
    </w:div>
    <w:div w:id="1448043562">
      <w:bodyDiv w:val="1"/>
      <w:marLeft w:val="0"/>
      <w:marRight w:val="0"/>
      <w:marTop w:val="0"/>
      <w:marBottom w:val="0"/>
      <w:divBdr>
        <w:top w:val="none" w:sz="0" w:space="0" w:color="auto"/>
        <w:left w:val="none" w:sz="0" w:space="0" w:color="auto"/>
        <w:bottom w:val="none" w:sz="0" w:space="0" w:color="auto"/>
        <w:right w:val="none" w:sz="0" w:space="0" w:color="auto"/>
      </w:divBdr>
    </w:div>
    <w:div w:id="1459033994">
      <w:bodyDiv w:val="1"/>
      <w:marLeft w:val="0"/>
      <w:marRight w:val="0"/>
      <w:marTop w:val="0"/>
      <w:marBottom w:val="0"/>
      <w:divBdr>
        <w:top w:val="none" w:sz="0" w:space="0" w:color="auto"/>
        <w:left w:val="none" w:sz="0" w:space="0" w:color="auto"/>
        <w:bottom w:val="none" w:sz="0" w:space="0" w:color="auto"/>
        <w:right w:val="none" w:sz="0" w:space="0" w:color="auto"/>
      </w:divBdr>
    </w:div>
    <w:div w:id="1461918186">
      <w:bodyDiv w:val="1"/>
      <w:marLeft w:val="0"/>
      <w:marRight w:val="0"/>
      <w:marTop w:val="0"/>
      <w:marBottom w:val="0"/>
      <w:divBdr>
        <w:top w:val="none" w:sz="0" w:space="0" w:color="auto"/>
        <w:left w:val="none" w:sz="0" w:space="0" w:color="auto"/>
        <w:bottom w:val="none" w:sz="0" w:space="0" w:color="auto"/>
        <w:right w:val="none" w:sz="0" w:space="0" w:color="auto"/>
      </w:divBdr>
    </w:div>
    <w:div w:id="1484199424">
      <w:bodyDiv w:val="1"/>
      <w:marLeft w:val="0"/>
      <w:marRight w:val="0"/>
      <w:marTop w:val="0"/>
      <w:marBottom w:val="0"/>
      <w:divBdr>
        <w:top w:val="none" w:sz="0" w:space="0" w:color="auto"/>
        <w:left w:val="none" w:sz="0" w:space="0" w:color="auto"/>
        <w:bottom w:val="none" w:sz="0" w:space="0" w:color="auto"/>
        <w:right w:val="none" w:sz="0" w:space="0" w:color="auto"/>
      </w:divBdr>
    </w:div>
    <w:div w:id="1523933085">
      <w:bodyDiv w:val="1"/>
      <w:marLeft w:val="0"/>
      <w:marRight w:val="0"/>
      <w:marTop w:val="0"/>
      <w:marBottom w:val="0"/>
      <w:divBdr>
        <w:top w:val="none" w:sz="0" w:space="0" w:color="auto"/>
        <w:left w:val="none" w:sz="0" w:space="0" w:color="auto"/>
        <w:bottom w:val="none" w:sz="0" w:space="0" w:color="auto"/>
        <w:right w:val="none" w:sz="0" w:space="0" w:color="auto"/>
      </w:divBdr>
    </w:div>
    <w:div w:id="1541211933">
      <w:bodyDiv w:val="1"/>
      <w:marLeft w:val="0"/>
      <w:marRight w:val="0"/>
      <w:marTop w:val="0"/>
      <w:marBottom w:val="0"/>
      <w:divBdr>
        <w:top w:val="none" w:sz="0" w:space="0" w:color="auto"/>
        <w:left w:val="none" w:sz="0" w:space="0" w:color="auto"/>
        <w:bottom w:val="none" w:sz="0" w:space="0" w:color="auto"/>
        <w:right w:val="none" w:sz="0" w:space="0" w:color="auto"/>
      </w:divBdr>
    </w:div>
    <w:div w:id="1568765368">
      <w:bodyDiv w:val="1"/>
      <w:marLeft w:val="0"/>
      <w:marRight w:val="0"/>
      <w:marTop w:val="0"/>
      <w:marBottom w:val="0"/>
      <w:divBdr>
        <w:top w:val="none" w:sz="0" w:space="0" w:color="auto"/>
        <w:left w:val="none" w:sz="0" w:space="0" w:color="auto"/>
        <w:bottom w:val="none" w:sz="0" w:space="0" w:color="auto"/>
        <w:right w:val="none" w:sz="0" w:space="0" w:color="auto"/>
      </w:divBdr>
    </w:div>
    <w:div w:id="1622417921">
      <w:bodyDiv w:val="1"/>
      <w:marLeft w:val="0"/>
      <w:marRight w:val="0"/>
      <w:marTop w:val="0"/>
      <w:marBottom w:val="0"/>
      <w:divBdr>
        <w:top w:val="none" w:sz="0" w:space="0" w:color="auto"/>
        <w:left w:val="none" w:sz="0" w:space="0" w:color="auto"/>
        <w:bottom w:val="none" w:sz="0" w:space="0" w:color="auto"/>
        <w:right w:val="none" w:sz="0" w:space="0" w:color="auto"/>
      </w:divBdr>
    </w:div>
    <w:div w:id="1644968573">
      <w:bodyDiv w:val="1"/>
      <w:marLeft w:val="0"/>
      <w:marRight w:val="0"/>
      <w:marTop w:val="0"/>
      <w:marBottom w:val="0"/>
      <w:divBdr>
        <w:top w:val="none" w:sz="0" w:space="0" w:color="auto"/>
        <w:left w:val="none" w:sz="0" w:space="0" w:color="auto"/>
        <w:bottom w:val="none" w:sz="0" w:space="0" w:color="auto"/>
        <w:right w:val="none" w:sz="0" w:space="0" w:color="auto"/>
      </w:divBdr>
    </w:div>
    <w:div w:id="1674645150">
      <w:bodyDiv w:val="1"/>
      <w:marLeft w:val="0"/>
      <w:marRight w:val="0"/>
      <w:marTop w:val="0"/>
      <w:marBottom w:val="0"/>
      <w:divBdr>
        <w:top w:val="none" w:sz="0" w:space="0" w:color="auto"/>
        <w:left w:val="none" w:sz="0" w:space="0" w:color="auto"/>
        <w:bottom w:val="none" w:sz="0" w:space="0" w:color="auto"/>
        <w:right w:val="none" w:sz="0" w:space="0" w:color="auto"/>
      </w:divBdr>
    </w:div>
    <w:div w:id="1730225346">
      <w:bodyDiv w:val="1"/>
      <w:marLeft w:val="0"/>
      <w:marRight w:val="0"/>
      <w:marTop w:val="0"/>
      <w:marBottom w:val="0"/>
      <w:divBdr>
        <w:top w:val="none" w:sz="0" w:space="0" w:color="auto"/>
        <w:left w:val="none" w:sz="0" w:space="0" w:color="auto"/>
        <w:bottom w:val="none" w:sz="0" w:space="0" w:color="auto"/>
        <w:right w:val="none" w:sz="0" w:space="0" w:color="auto"/>
      </w:divBdr>
    </w:div>
    <w:div w:id="1736319308">
      <w:bodyDiv w:val="1"/>
      <w:marLeft w:val="0"/>
      <w:marRight w:val="0"/>
      <w:marTop w:val="0"/>
      <w:marBottom w:val="0"/>
      <w:divBdr>
        <w:top w:val="none" w:sz="0" w:space="0" w:color="auto"/>
        <w:left w:val="none" w:sz="0" w:space="0" w:color="auto"/>
        <w:bottom w:val="none" w:sz="0" w:space="0" w:color="auto"/>
        <w:right w:val="none" w:sz="0" w:space="0" w:color="auto"/>
      </w:divBdr>
    </w:div>
    <w:div w:id="1743285659">
      <w:bodyDiv w:val="1"/>
      <w:marLeft w:val="0"/>
      <w:marRight w:val="0"/>
      <w:marTop w:val="0"/>
      <w:marBottom w:val="0"/>
      <w:divBdr>
        <w:top w:val="none" w:sz="0" w:space="0" w:color="auto"/>
        <w:left w:val="none" w:sz="0" w:space="0" w:color="auto"/>
        <w:bottom w:val="none" w:sz="0" w:space="0" w:color="auto"/>
        <w:right w:val="none" w:sz="0" w:space="0" w:color="auto"/>
      </w:divBdr>
    </w:div>
    <w:div w:id="1758819319">
      <w:bodyDiv w:val="1"/>
      <w:marLeft w:val="0"/>
      <w:marRight w:val="0"/>
      <w:marTop w:val="0"/>
      <w:marBottom w:val="0"/>
      <w:divBdr>
        <w:top w:val="none" w:sz="0" w:space="0" w:color="auto"/>
        <w:left w:val="none" w:sz="0" w:space="0" w:color="auto"/>
        <w:bottom w:val="none" w:sz="0" w:space="0" w:color="auto"/>
        <w:right w:val="none" w:sz="0" w:space="0" w:color="auto"/>
      </w:divBdr>
    </w:div>
    <w:div w:id="1759866885">
      <w:bodyDiv w:val="1"/>
      <w:marLeft w:val="0"/>
      <w:marRight w:val="0"/>
      <w:marTop w:val="0"/>
      <w:marBottom w:val="0"/>
      <w:divBdr>
        <w:top w:val="none" w:sz="0" w:space="0" w:color="auto"/>
        <w:left w:val="none" w:sz="0" w:space="0" w:color="auto"/>
        <w:bottom w:val="none" w:sz="0" w:space="0" w:color="auto"/>
        <w:right w:val="none" w:sz="0" w:space="0" w:color="auto"/>
      </w:divBdr>
    </w:div>
    <w:div w:id="1764955715">
      <w:bodyDiv w:val="1"/>
      <w:marLeft w:val="0"/>
      <w:marRight w:val="0"/>
      <w:marTop w:val="0"/>
      <w:marBottom w:val="0"/>
      <w:divBdr>
        <w:top w:val="none" w:sz="0" w:space="0" w:color="auto"/>
        <w:left w:val="none" w:sz="0" w:space="0" w:color="auto"/>
        <w:bottom w:val="none" w:sz="0" w:space="0" w:color="auto"/>
        <w:right w:val="none" w:sz="0" w:space="0" w:color="auto"/>
      </w:divBdr>
    </w:div>
    <w:div w:id="1775323020">
      <w:bodyDiv w:val="1"/>
      <w:marLeft w:val="0"/>
      <w:marRight w:val="0"/>
      <w:marTop w:val="0"/>
      <w:marBottom w:val="0"/>
      <w:divBdr>
        <w:top w:val="none" w:sz="0" w:space="0" w:color="auto"/>
        <w:left w:val="none" w:sz="0" w:space="0" w:color="auto"/>
        <w:bottom w:val="none" w:sz="0" w:space="0" w:color="auto"/>
        <w:right w:val="none" w:sz="0" w:space="0" w:color="auto"/>
      </w:divBdr>
    </w:div>
    <w:div w:id="1790473645">
      <w:bodyDiv w:val="1"/>
      <w:marLeft w:val="0"/>
      <w:marRight w:val="0"/>
      <w:marTop w:val="0"/>
      <w:marBottom w:val="0"/>
      <w:divBdr>
        <w:top w:val="none" w:sz="0" w:space="0" w:color="auto"/>
        <w:left w:val="none" w:sz="0" w:space="0" w:color="auto"/>
        <w:bottom w:val="none" w:sz="0" w:space="0" w:color="auto"/>
        <w:right w:val="none" w:sz="0" w:space="0" w:color="auto"/>
      </w:divBdr>
    </w:div>
    <w:div w:id="1793205495">
      <w:bodyDiv w:val="1"/>
      <w:marLeft w:val="0"/>
      <w:marRight w:val="0"/>
      <w:marTop w:val="0"/>
      <w:marBottom w:val="0"/>
      <w:divBdr>
        <w:top w:val="none" w:sz="0" w:space="0" w:color="auto"/>
        <w:left w:val="none" w:sz="0" w:space="0" w:color="auto"/>
        <w:bottom w:val="none" w:sz="0" w:space="0" w:color="auto"/>
        <w:right w:val="none" w:sz="0" w:space="0" w:color="auto"/>
      </w:divBdr>
    </w:div>
    <w:div w:id="1813016274">
      <w:bodyDiv w:val="1"/>
      <w:marLeft w:val="0"/>
      <w:marRight w:val="0"/>
      <w:marTop w:val="0"/>
      <w:marBottom w:val="0"/>
      <w:divBdr>
        <w:top w:val="none" w:sz="0" w:space="0" w:color="auto"/>
        <w:left w:val="none" w:sz="0" w:space="0" w:color="auto"/>
        <w:bottom w:val="none" w:sz="0" w:space="0" w:color="auto"/>
        <w:right w:val="none" w:sz="0" w:space="0" w:color="auto"/>
      </w:divBdr>
    </w:div>
    <w:div w:id="1844391900">
      <w:bodyDiv w:val="1"/>
      <w:marLeft w:val="0"/>
      <w:marRight w:val="0"/>
      <w:marTop w:val="0"/>
      <w:marBottom w:val="0"/>
      <w:divBdr>
        <w:top w:val="none" w:sz="0" w:space="0" w:color="auto"/>
        <w:left w:val="none" w:sz="0" w:space="0" w:color="auto"/>
        <w:bottom w:val="none" w:sz="0" w:space="0" w:color="auto"/>
        <w:right w:val="none" w:sz="0" w:space="0" w:color="auto"/>
      </w:divBdr>
    </w:div>
    <w:div w:id="1863975661">
      <w:bodyDiv w:val="1"/>
      <w:marLeft w:val="0"/>
      <w:marRight w:val="0"/>
      <w:marTop w:val="0"/>
      <w:marBottom w:val="0"/>
      <w:divBdr>
        <w:top w:val="none" w:sz="0" w:space="0" w:color="auto"/>
        <w:left w:val="none" w:sz="0" w:space="0" w:color="auto"/>
        <w:bottom w:val="none" w:sz="0" w:space="0" w:color="auto"/>
        <w:right w:val="none" w:sz="0" w:space="0" w:color="auto"/>
      </w:divBdr>
    </w:div>
    <w:div w:id="1888486178">
      <w:bodyDiv w:val="1"/>
      <w:marLeft w:val="0"/>
      <w:marRight w:val="0"/>
      <w:marTop w:val="0"/>
      <w:marBottom w:val="0"/>
      <w:divBdr>
        <w:top w:val="none" w:sz="0" w:space="0" w:color="auto"/>
        <w:left w:val="none" w:sz="0" w:space="0" w:color="auto"/>
        <w:bottom w:val="none" w:sz="0" w:space="0" w:color="auto"/>
        <w:right w:val="none" w:sz="0" w:space="0" w:color="auto"/>
      </w:divBdr>
    </w:div>
    <w:div w:id="1891335474">
      <w:bodyDiv w:val="1"/>
      <w:marLeft w:val="0"/>
      <w:marRight w:val="0"/>
      <w:marTop w:val="0"/>
      <w:marBottom w:val="0"/>
      <w:divBdr>
        <w:top w:val="none" w:sz="0" w:space="0" w:color="auto"/>
        <w:left w:val="none" w:sz="0" w:space="0" w:color="auto"/>
        <w:bottom w:val="none" w:sz="0" w:space="0" w:color="auto"/>
        <w:right w:val="none" w:sz="0" w:space="0" w:color="auto"/>
      </w:divBdr>
    </w:div>
    <w:div w:id="1893034040">
      <w:bodyDiv w:val="1"/>
      <w:marLeft w:val="0"/>
      <w:marRight w:val="0"/>
      <w:marTop w:val="0"/>
      <w:marBottom w:val="0"/>
      <w:divBdr>
        <w:top w:val="none" w:sz="0" w:space="0" w:color="auto"/>
        <w:left w:val="none" w:sz="0" w:space="0" w:color="auto"/>
        <w:bottom w:val="none" w:sz="0" w:space="0" w:color="auto"/>
        <w:right w:val="none" w:sz="0" w:space="0" w:color="auto"/>
      </w:divBdr>
    </w:div>
    <w:div w:id="1893694363">
      <w:bodyDiv w:val="1"/>
      <w:marLeft w:val="0"/>
      <w:marRight w:val="0"/>
      <w:marTop w:val="0"/>
      <w:marBottom w:val="0"/>
      <w:divBdr>
        <w:top w:val="none" w:sz="0" w:space="0" w:color="auto"/>
        <w:left w:val="none" w:sz="0" w:space="0" w:color="auto"/>
        <w:bottom w:val="none" w:sz="0" w:space="0" w:color="auto"/>
        <w:right w:val="none" w:sz="0" w:space="0" w:color="auto"/>
      </w:divBdr>
    </w:div>
    <w:div w:id="1894853841">
      <w:bodyDiv w:val="1"/>
      <w:marLeft w:val="0"/>
      <w:marRight w:val="0"/>
      <w:marTop w:val="0"/>
      <w:marBottom w:val="0"/>
      <w:divBdr>
        <w:top w:val="none" w:sz="0" w:space="0" w:color="auto"/>
        <w:left w:val="none" w:sz="0" w:space="0" w:color="auto"/>
        <w:bottom w:val="none" w:sz="0" w:space="0" w:color="auto"/>
        <w:right w:val="none" w:sz="0" w:space="0" w:color="auto"/>
      </w:divBdr>
    </w:div>
    <w:div w:id="1959146174">
      <w:bodyDiv w:val="1"/>
      <w:marLeft w:val="0"/>
      <w:marRight w:val="0"/>
      <w:marTop w:val="0"/>
      <w:marBottom w:val="0"/>
      <w:divBdr>
        <w:top w:val="none" w:sz="0" w:space="0" w:color="auto"/>
        <w:left w:val="none" w:sz="0" w:space="0" w:color="auto"/>
        <w:bottom w:val="none" w:sz="0" w:space="0" w:color="auto"/>
        <w:right w:val="none" w:sz="0" w:space="0" w:color="auto"/>
      </w:divBdr>
    </w:div>
    <w:div w:id="1967660826">
      <w:bodyDiv w:val="1"/>
      <w:marLeft w:val="0"/>
      <w:marRight w:val="0"/>
      <w:marTop w:val="0"/>
      <w:marBottom w:val="0"/>
      <w:divBdr>
        <w:top w:val="none" w:sz="0" w:space="0" w:color="auto"/>
        <w:left w:val="none" w:sz="0" w:space="0" w:color="auto"/>
        <w:bottom w:val="none" w:sz="0" w:space="0" w:color="auto"/>
        <w:right w:val="none" w:sz="0" w:space="0" w:color="auto"/>
      </w:divBdr>
    </w:div>
    <w:div w:id="1983193380">
      <w:bodyDiv w:val="1"/>
      <w:marLeft w:val="0"/>
      <w:marRight w:val="0"/>
      <w:marTop w:val="0"/>
      <w:marBottom w:val="0"/>
      <w:divBdr>
        <w:top w:val="none" w:sz="0" w:space="0" w:color="auto"/>
        <w:left w:val="none" w:sz="0" w:space="0" w:color="auto"/>
        <w:bottom w:val="none" w:sz="0" w:space="0" w:color="auto"/>
        <w:right w:val="none" w:sz="0" w:space="0" w:color="auto"/>
      </w:divBdr>
    </w:div>
    <w:div w:id="2004701765">
      <w:bodyDiv w:val="1"/>
      <w:marLeft w:val="0"/>
      <w:marRight w:val="0"/>
      <w:marTop w:val="0"/>
      <w:marBottom w:val="0"/>
      <w:divBdr>
        <w:top w:val="none" w:sz="0" w:space="0" w:color="auto"/>
        <w:left w:val="none" w:sz="0" w:space="0" w:color="auto"/>
        <w:bottom w:val="none" w:sz="0" w:space="0" w:color="auto"/>
        <w:right w:val="none" w:sz="0" w:space="0" w:color="auto"/>
      </w:divBdr>
    </w:div>
    <w:div w:id="2018654157">
      <w:bodyDiv w:val="1"/>
      <w:marLeft w:val="0"/>
      <w:marRight w:val="0"/>
      <w:marTop w:val="0"/>
      <w:marBottom w:val="0"/>
      <w:divBdr>
        <w:top w:val="none" w:sz="0" w:space="0" w:color="auto"/>
        <w:left w:val="none" w:sz="0" w:space="0" w:color="auto"/>
        <w:bottom w:val="none" w:sz="0" w:space="0" w:color="auto"/>
        <w:right w:val="none" w:sz="0" w:space="0" w:color="auto"/>
      </w:divBdr>
    </w:div>
    <w:div w:id="2021151871">
      <w:bodyDiv w:val="1"/>
      <w:marLeft w:val="0"/>
      <w:marRight w:val="0"/>
      <w:marTop w:val="0"/>
      <w:marBottom w:val="0"/>
      <w:divBdr>
        <w:top w:val="none" w:sz="0" w:space="0" w:color="auto"/>
        <w:left w:val="none" w:sz="0" w:space="0" w:color="auto"/>
        <w:bottom w:val="none" w:sz="0" w:space="0" w:color="auto"/>
        <w:right w:val="none" w:sz="0" w:space="0" w:color="auto"/>
      </w:divBdr>
    </w:div>
    <w:div w:id="2057851353">
      <w:bodyDiv w:val="1"/>
      <w:marLeft w:val="0"/>
      <w:marRight w:val="0"/>
      <w:marTop w:val="0"/>
      <w:marBottom w:val="0"/>
      <w:divBdr>
        <w:top w:val="none" w:sz="0" w:space="0" w:color="auto"/>
        <w:left w:val="none" w:sz="0" w:space="0" w:color="auto"/>
        <w:bottom w:val="none" w:sz="0" w:space="0" w:color="auto"/>
        <w:right w:val="none" w:sz="0" w:space="0" w:color="auto"/>
      </w:divBdr>
    </w:div>
    <w:div w:id="2068719718">
      <w:bodyDiv w:val="1"/>
      <w:marLeft w:val="0"/>
      <w:marRight w:val="0"/>
      <w:marTop w:val="0"/>
      <w:marBottom w:val="0"/>
      <w:divBdr>
        <w:top w:val="none" w:sz="0" w:space="0" w:color="auto"/>
        <w:left w:val="none" w:sz="0" w:space="0" w:color="auto"/>
        <w:bottom w:val="none" w:sz="0" w:space="0" w:color="auto"/>
        <w:right w:val="none" w:sz="0" w:space="0" w:color="auto"/>
      </w:divBdr>
    </w:div>
    <w:div w:id="2097437341">
      <w:bodyDiv w:val="1"/>
      <w:marLeft w:val="0"/>
      <w:marRight w:val="0"/>
      <w:marTop w:val="0"/>
      <w:marBottom w:val="0"/>
      <w:divBdr>
        <w:top w:val="none" w:sz="0" w:space="0" w:color="auto"/>
        <w:left w:val="none" w:sz="0" w:space="0" w:color="auto"/>
        <w:bottom w:val="none" w:sz="0" w:space="0" w:color="auto"/>
        <w:right w:val="none" w:sz="0" w:space="0" w:color="auto"/>
      </w:divBdr>
    </w:div>
    <w:div w:id="2114129271">
      <w:bodyDiv w:val="1"/>
      <w:marLeft w:val="0"/>
      <w:marRight w:val="0"/>
      <w:marTop w:val="0"/>
      <w:marBottom w:val="0"/>
      <w:divBdr>
        <w:top w:val="none" w:sz="0" w:space="0" w:color="auto"/>
        <w:left w:val="none" w:sz="0" w:space="0" w:color="auto"/>
        <w:bottom w:val="none" w:sz="0" w:space="0" w:color="auto"/>
        <w:right w:val="none" w:sz="0" w:space="0" w:color="auto"/>
      </w:divBdr>
    </w:div>
    <w:div w:id="2114782981">
      <w:bodyDiv w:val="1"/>
      <w:marLeft w:val="0"/>
      <w:marRight w:val="0"/>
      <w:marTop w:val="0"/>
      <w:marBottom w:val="0"/>
      <w:divBdr>
        <w:top w:val="none" w:sz="0" w:space="0" w:color="auto"/>
        <w:left w:val="none" w:sz="0" w:space="0" w:color="auto"/>
        <w:bottom w:val="none" w:sz="0" w:space="0" w:color="auto"/>
        <w:right w:val="none" w:sz="0" w:space="0" w:color="auto"/>
      </w:divBdr>
    </w:div>
    <w:div w:id="2117166078">
      <w:bodyDiv w:val="1"/>
      <w:marLeft w:val="0"/>
      <w:marRight w:val="0"/>
      <w:marTop w:val="0"/>
      <w:marBottom w:val="0"/>
      <w:divBdr>
        <w:top w:val="none" w:sz="0" w:space="0" w:color="auto"/>
        <w:left w:val="none" w:sz="0" w:space="0" w:color="auto"/>
        <w:bottom w:val="none" w:sz="0" w:space="0" w:color="auto"/>
        <w:right w:val="none" w:sz="0" w:space="0" w:color="auto"/>
      </w:divBdr>
    </w:div>
    <w:div w:id="21366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5.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H:\EL%20YOUBI\ETUDES\Graphiques%201%20et%202.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H:\EL%20YOUBI\ETUDES\Graphique%2039.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H:\EL%20YOUBI\RGPH\RGPH2014\15%2011%202017\RGPH2014_ADE_DEC_SUR_AO_PHD_PROF_ACT_VARIABLES_%20DU%2015%20NOVEMBRE%202017.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H:\EL%20YOUBI\ETUDES\Graphique%204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H:\EL%20YOUBI\ETUDES\Graphiques%201%20et%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EL%20YOUBI\ETUDES\Graphique%20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EL%20YOUBI\ETUDES\Graphique%2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EL%20YOUBI\ETUDES\Graphique%20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EL%20YOUBI\ETUDES\Graphique%20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EL%20YOUBI\ETUDES\Graphique%201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H:\EL%20YOUBI\ETUDES\Graphique%2013.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H:\EL%20YOUBI\ETUDES\Graphique%20adequation%20grands%20groupes%20de%20profess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spPr>
            <a:ln>
              <a:noFill/>
            </a:ln>
          </c:spPr>
          <c:dLbls>
            <c:txPr>
              <a:bodyPr/>
              <a:lstStyle/>
              <a:p>
                <a:pPr>
                  <a:defRPr sz="800" b="1"/>
                </a:pPr>
                <a:endParaRPr lang="fr-FR"/>
              </a:p>
            </c:txPr>
            <c:showVal val="1"/>
          </c:dLbls>
          <c:cat>
            <c:strRef>
              <c:f>Français!$B$5:$B$13</c:f>
              <c:strCache>
                <c:ptCount val="9"/>
                <c:pt idx="0">
                  <c:v>Primaire</c:v>
                </c:pt>
                <c:pt idx="1">
                  <c:v>Secondaire collégial</c:v>
                </c:pt>
                <c:pt idx="2">
                  <c:v>Secondaire qualifiant</c:v>
                </c:pt>
                <c:pt idx="3">
                  <c:v>BTS/CPGE</c:v>
                </c:pt>
                <c:pt idx="4">
                  <c:v>DEUG</c:v>
                </c:pt>
                <c:pt idx="5">
                  <c:v>Licence</c:v>
                </c:pt>
                <c:pt idx="6">
                  <c:v>DEA/DES/Master</c:v>
                </c:pt>
                <c:pt idx="7">
                  <c:v>Ingénieur/Cadre supérieur</c:v>
                </c:pt>
                <c:pt idx="8">
                  <c:v>Doctorat</c:v>
                </c:pt>
              </c:strCache>
            </c:strRef>
          </c:cat>
          <c:val>
            <c:numRef>
              <c:f>Français!$G$5:$G$13</c:f>
              <c:numCache>
                <c:formatCode>0.0</c:formatCode>
                <c:ptCount val="9"/>
                <c:pt idx="0">
                  <c:v>20.152659709406155</c:v>
                </c:pt>
                <c:pt idx="1">
                  <c:v>22.361625804156414</c:v>
                </c:pt>
                <c:pt idx="2">
                  <c:v>19.765299871136616</c:v>
                </c:pt>
                <c:pt idx="3">
                  <c:v>17.145534041224177</c:v>
                </c:pt>
                <c:pt idx="4">
                  <c:v>15.081912489728841</c:v>
                </c:pt>
                <c:pt idx="5">
                  <c:v>18.917526782741529</c:v>
                </c:pt>
                <c:pt idx="6">
                  <c:v>15.914066670276878</c:v>
                </c:pt>
                <c:pt idx="7">
                  <c:v>7.6544879083059012</c:v>
                </c:pt>
                <c:pt idx="8">
                  <c:v>3.896239191582457</c:v>
                </c:pt>
              </c:numCache>
            </c:numRef>
          </c:val>
        </c:ser>
        <c:axId val="61254272"/>
        <c:axId val="73335168"/>
      </c:barChart>
      <c:catAx>
        <c:axId val="61254272"/>
        <c:scaling>
          <c:orientation val="minMax"/>
        </c:scaling>
        <c:axPos val="b"/>
        <c:tickLblPos val="nextTo"/>
        <c:txPr>
          <a:bodyPr/>
          <a:lstStyle/>
          <a:p>
            <a:pPr>
              <a:defRPr sz="600" b="1"/>
            </a:pPr>
            <a:endParaRPr lang="fr-FR"/>
          </a:p>
        </c:txPr>
        <c:crossAx val="73335168"/>
        <c:crosses val="autoZero"/>
        <c:auto val="1"/>
        <c:lblAlgn val="ctr"/>
        <c:lblOffset val="100"/>
      </c:catAx>
      <c:valAx>
        <c:axId val="73335168"/>
        <c:scaling>
          <c:orientation val="minMax"/>
          <c:max val="35"/>
        </c:scaling>
        <c:axPos val="l"/>
        <c:majorGridlines/>
        <c:numFmt formatCode="0.0" sourceLinked="1"/>
        <c:tickLblPos val="nextTo"/>
        <c:txPr>
          <a:bodyPr/>
          <a:lstStyle/>
          <a:p>
            <a:pPr>
              <a:defRPr sz="900" b="1"/>
            </a:pPr>
            <a:endParaRPr lang="fr-FR"/>
          </a:p>
        </c:txPr>
        <c:crossAx val="61254272"/>
        <c:crosses val="autoZero"/>
        <c:crossBetween val="between"/>
      </c:valAx>
    </c:plotArea>
    <c:legend>
      <c:legendPos val="b"/>
      <c:legendEntry>
        <c:idx val="0"/>
        <c:txPr>
          <a:bodyPr/>
          <a:lstStyle/>
          <a:p>
            <a:pPr>
              <a:defRPr>
                <a:solidFill>
                  <a:schemeClr val="bg1"/>
                </a:solidFill>
              </a:defRPr>
            </a:pPr>
            <a:endParaRPr lang="fr-FR"/>
          </a:p>
        </c:txPr>
      </c:legendEntry>
    </c:legend>
    <c:plotVisOnly val="1"/>
  </c:chart>
  <c:spPr>
    <a:ln>
      <a:noFill/>
    </a:ln>
  </c:spPr>
  <c:externalData r:id="rId1"/>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percentStacked"/>
        <c:ser>
          <c:idx val="2"/>
          <c:order val="2"/>
          <c:tx>
            <c:strRef>
              <c:f>Feuil1!$A$6</c:f>
              <c:strCache>
                <c:ptCount val="1"/>
                <c:pt idx="0">
                  <c:v>DEG (Part %)</c:v>
                </c:pt>
              </c:strCache>
            </c:strRef>
          </c:tx>
          <c:spPr>
            <a:solidFill>
              <a:schemeClr val="tx2">
                <a:lumMod val="60000"/>
                <a:lumOff val="40000"/>
              </a:schemeClr>
            </a:solidFill>
          </c:spPr>
          <c:dLbls>
            <c:txPr>
              <a:bodyPr/>
              <a:lstStyle/>
              <a:p>
                <a:pPr>
                  <a:defRPr sz="900" b="1"/>
                </a:pPr>
                <a:endParaRPr lang="fr-FR"/>
              </a:p>
            </c:txPr>
            <c:showVal val="1"/>
          </c:dLbls>
          <c:cat>
            <c:strRef>
              <c:f>Feuil1!$B$3:$H$3</c:f>
              <c:strCache>
                <c:ptCount val="7"/>
                <c:pt idx="0">
                  <c:v> 3 - Employés</c:v>
                </c:pt>
                <c:pt idx="1">
                  <c:v>4 - Commerçants et intermédiaires commerciaux et financiers</c:v>
                </c:pt>
                <c:pt idx="2">
                  <c:v>5 - Exploitants agricoles, pêcheurs de poissons et d'autres espèces aquatiques, forestiers, chasseurs et travailleurs as</c:v>
                </c:pt>
                <c:pt idx="3">
                  <c:v>6 - Artisans et ouvriers qualifiés des métiers artisanaux (non compris les ouvriers de l'agriculture)</c:v>
                </c:pt>
                <c:pt idx="4">
                  <c:v>7 - Ouvriers et manœuvres agricoles et de la pêche (y compris les ouvriers qualifiés)</c:v>
                </c:pt>
                <c:pt idx="5">
                  <c:v>8 - Conducteurs d'installations et de machines et ouvriers de l'assemblage</c:v>
                </c:pt>
                <c:pt idx="6">
                  <c:v>9 - Manœuvres non agricoles, manutentionnaires et travailleurs des petits métiers</c:v>
                </c:pt>
              </c:strCache>
            </c:strRef>
          </c:cat>
          <c:val>
            <c:numRef>
              <c:f>Feuil1!$B$6:$H$6</c:f>
              <c:numCache>
                <c:formatCode>0.0</c:formatCode>
                <c:ptCount val="7"/>
                <c:pt idx="0">
                  <c:v>50.435960564652135</c:v>
                </c:pt>
                <c:pt idx="1">
                  <c:v>57.052234187399328</c:v>
                </c:pt>
                <c:pt idx="2">
                  <c:v>55.557374365689974</c:v>
                </c:pt>
                <c:pt idx="3">
                  <c:v>31.927702429008431</c:v>
                </c:pt>
                <c:pt idx="4">
                  <c:v>75.421706462302097</c:v>
                </c:pt>
                <c:pt idx="5">
                  <c:v>34.375631781117221</c:v>
                </c:pt>
                <c:pt idx="6">
                  <c:v>68.66211479661591</c:v>
                </c:pt>
              </c:numCache>
            </c:numRef>
          </c:val>
        </c:ser>
        <c:ser>
          <c:idx val="3"/>
          <c:order val="3"/>
          <c:tx>
            <c:strRef>
              <c:f>Feuil1!$A$7</c:f>
              <c:strCache>
                <c:ptCount val="1"/>
                <c:pt idx="0">
                  <c:v>DFP (Part %)</c:v>
                </c:pt>
              </c:strCache>
            </c:strRef>
          </c:tx>
          <c:spPr>
            <a:solidFill>
              <a:srgbClr val="C00000"/>
            </a:solidFill>
          </c:spPr>
          <c:dLbls>
            <c:txPr>
              <a:bodyPr/>
              <a:lstStyle/>
              <a:p>
                <a:pPr>
                  <a:defRPr sz="900" b="1"/>
                </a:pPr>
                <a:endParaRPr lang="fr-FR"/>
              </a:p>
            </c:txPr>
            <c:showVal val="1"/>
          </c:dLbls>
          <c:cat>
            <c:strRef>
              <c:f>Feuil1!$B$3:$H$3</c:f>
              <c:strCache>
                <c:ptCount val="7"/>
                <c:pt idx="0">
                  <c:v> 3 - Employés</c:v>
                </c:pt>
                <c:pt idx="1">
                  <c:v>4 - Commerçants et intermédiaires commerciaux et financiers</c:v>
                </c:pt>
                <c:pt idx="2">
                  <c:v>5 - Exploitants agricoles, pêcheurs de poissons et d'autres espèces aquatiques, forestiers, chasseurs et travailleurs as</c:v>
                </c:pt>
                <c:pt idx="3">
                  <c:v>6 - Artisans et ouvriers qualifiés des métiers artisanaux (non compris les ouvriers de l'agriculture)</c:v>
                </c:pt>
                <c:pt idx="4">
                  <c:v>7 - Ouvriers et manœuvres agricoles et de la pêche (y compris les ouvriers qualifiés)</c:v>
                </c:pt>
                <c:pt idx="5">
                  <c:v>8 - Conducteurs d'installations et de machines et ouvriers de l'assemblage</c:v>
                </c:pt>
                <c:pt idx="6">
                  <c:v>9 - Manœuvres non agricoles, manutentionnaires et travailleurs des petits métiers</c:v>
                </c:pt>
              </c:strCache>
            </c:strRef>
          </c:cat>
          <c:val>
            <c:numRef>
              <c:f>Feuil1!$B$7:$H$7</c:f>
              <c:numCache>
                <c:formatCode>0.0</c:formatCode>
                <c:ptCount val="7"/>
                <c:pt idx="0">
                  <c:v>49.564039435347745</c:v>
                </c:pt>
                <c:pt idx="1">
                  <c:v>42.947765812600544</c:v>
                </c:pt>
                <c:pt idx="2">
                  <c:v>44.442625634310026</c:v>
                </c:pt>
                <c:pt idx="3">
                  <c:v>68.072297570991239</c:v>
                </c:pt>
                <c:pt idx="4">
                  <c:v>24.578293537697846</c:v>
                </c:pt>
                <c:pt idx="5">
                  <c:v>65.624368218882339</c:v>
                </c:pt>
                <c:pt idx="6">
                  <c:v>31.33788520338414</c:v>
                </c:pt>
              </c:numCache>
            </c:numRef>
          </c:val>
        </c:ser>
        <c:overlap val="100"/>
        <c:axId val="76623872"/>
        <c:axId val="76625408"/>
      </c:barChart>
      <c:lineChart>
        <c:grouping val="standard"/>
        <c:ser>
          <c:idx val="0"/>
          <c:order val="0"/>
          <c:tx>
            <c:strRef>
              <c:f>Feuil1!$A$4</c:f>
              <c:strCache>
                <c:ptCount val="1"/>
                <c:pt idx="0">
                  <c:v>DEG (Tx DEC)</c:v>
                </c:pt>
              </c:strCache>
            </c:strRef>
          </c:tx>
          <c:cat>
            <c:strRef>
              <c:f>Feuil1!$B$3:$H$3</c:f>
              <c:strCache>
                <c:ptCount val="7"/>
                <c:pt idx="0">
                  <c:v> 3 - Employés</c:v>
                </c:pt>
                <c:pt idx="1">
                  <c:v>4 - Commerçants et intermédiaires commerciaux et financiers</c:v>
                </c:pt>
                <c:pt idx="2">
                  <c:v>5 - Exploitants agricoles, pêcheurs de poissons et d'autres espèces aquatiques, forestiers, chasseurs et travailleurs as</c:v>
                </c:pt>
                <c:pt idx="3">
                  <c:v>6 - Artisans et ouvriers qualifiés des métiers artisanaux (non compris les ouvriers de l'agriculture)</c:v>
                </c:pt>
                <c:pt idx="4">
                  <c:v>7 - Ouvriers et manœuvres agricoles et de la pêche (y compris les ouvriers qualifiés)</c:v>
                </c:pt>
                <c:pt idx="5">
                  <c:v>8 - Conducteurs d'installations et de machines et ouvriers de l'assemblage</c:v>
                </c:pt>
                <c:pt idx="6">
                  <c:v>9 - Manœuvres non agricoles, manutentionnaires et travailleurs des petits métiers</c:v>
                </c:pt>
              </c:strCache>
            </c:strRef>
          </c:cat>
          <c:val>
            <c:numRef>
              <c:f>Feuil1!$B$4:$H$4</c:f>
              <c:numCache>
                <c:formatCode>0.0</c:formatCode>
                <c:ptCount val="7"/>
                <c:pt idx="0">
                  <c:v>18.998327440903523</c:v>
                </c:pt>
                <c:pt idx="1">
                  <c:v>6.528405308556275</c:v>
                </c:pt>
                <c:pt idx="2">
                  <c:v>2.3902586747233934</c:v>
                </c:pt>
                <c:pt idx="3">
                  <c:v>3.009623474483762</c:v>
                </c:pt>
                <c:pt idx="4">
                  <c:v>20.240948864239318</c:v>
                </c:pt>
                <c:pt idx="5">
                  <c:v>2.9912976168136587</c:v>
                </c:pt>
                <c:pt idx="6">
                  <c:v>33.339167239998872</c:v>
                </c:pt>
              </c:numCache>
            </c:numRef>
          </c:val>
        </c:ser>
        <c:ser>
          <c:idx val="1"/>
          <c:order val="1"/>
          <c:tx>
            <c:strRef>
              <c:f>Feuil1!$A$5</c:f>
              <c:strCache>
                <c:ptCount val="1"/>
                <c:pt idx="0">
                  <c:v>DFP (Tx DEC)</c:v>
                </c:pt>
              </c:strCache>
            </c:strRef>
          </c:tx>
          <c:cat>
            <c:strRef>
              <c:f>Feuil1!$B$3:$H$3</c:f>
              <c:strCache>
                <c:ptCount val="7"/>
                <c:pt idx="0">
                  <c:v> 3 - Employés</c:v>
                </c:pt>
                <c:pt idx="1">
                  <c:v>4 - Commerçants et intermédiaires commerciaux et financiers</c:v>
                </c:pt>
                <c:pt idx="2">
                  <c:v>5 - Exploitants agricoles, pêcheurs de poissons et d'autres espèces aquatiques, forestiers, chasseurs et travailleurs as</c:v>
                </c:pt>
                <c:pt idx="3">
                  <c:v>6 - Artisans et ouvriers qualifiés des métiers artisanaux (non compris les ouvriers de l'agriculture)</c:v>
                </c:pt>
                <c:pt idx="4">
                  <c:v>7 - Ouvriers et manœuvres agricoles et de la pêche (y compris les ouvriers qualifiés)</c:v>
                </c:pt>
                <c:pt idx="5">
                  <c:v>8 - Conducteurs d'installations et de machines et ouvriers de l'assemblage</c:v>
                </c:pt>
                <c:pt idx="6">
                  <c:v>9 - Manœuvres non agricoles, manutentionnaires et travailleurs des petits métiers</c:v>
                </c:pt>
              </c:strCache>
            </c:strRef>
          </c:cat>
          <c:val>
            <c:numRef>
              <c:f>Feuil1!$B$5:$H$5</c:f>
              <c:numCache>
                <c:formatCode>0.0</c:formatCode>
                <c:ptCount val="7"/>
                <c:pt idx="0">
                  <c:v>59.141757536882594</c:v>
                </c:pt>
                <c:pt idx="1">
                  <c:v>39.341799421735821</c:v>
                </c:pt>
                <c:pt idx="2">
                  <c:v>30.622603203248314</c:v>
                </c:pt>
                <c:pt idx="3">
                  <c:v>19.93210772785833</c:v>
                </c:pt>
                <c:pt idx="4">
                  <c:v>87.609974238079019</c:v>
                </c:pt>
                <c:pt idx="5">
                  <c:v>31.11182108626199</c:v>
                </c:pt>
                <c:pt idx="6">
                  <c:v>92.922604422604408</c:v>
                </c:pt>
              </c:numCache>
            </c:numRef>
          </c:val>
        </c:ser>
        <c:marker val="1"/>
        <c:axId val="76645120"/>
        <c:axId val="76626944"/>
      </c:lineChart>
      <c:catAx>
        <c:axId val="76623872"/>
        <c:scaling>
          <c:orientation val="minMax"/>
        </c:scaling>
        <c:axPos val="b"/>
        <c:tickLblPos val="nextTo"/>
        <c:txPr>
          <a:bodyPr/>
          <a:lstStyle/>
          <a:p>
            <a:pPr>
              <a:defRPr sz="500"/>
            </a:pPr>
            <a:endParaRPr lang="fr-FR"/>
          </a:p>
        </c:txPr>
        <c:crossAx val="76625408"/>
        <c:crosses val="autoZero"/>
        <c:auto val="1"/>
        <c:lblAlgn val="ctr"/>
        <c:lblOffset val="100"/>
      </c:catAx>
      <c:valAx>
        <c:axId val="76625408"/>
        <c:scaling>
          <c:orientation val="minMax"/>
        </c:scaling>
        <c:axPos val="l"/>
        <c:majorGridlines/>
        <c:numFmt formatCode="0%" sourceLinked="0"/>
        <c:tickLblPos val="nextTo"/>
        <c:txPr>
          <a:bodyPr/>
          <a:lstStyle/>
          <a:p>
            <a:pPr>
              <a:defRPr sz="800"/>
            </a:pPr>
            <a:endParaRPr lang="fr-FR"/>
          </a:p>
        </c:txPr>
        <c:crossAx val="76623872"/>
        <c:crosses val="autoZero"/>
        <c:crossBetween val="between"/>
      </c:valAx>
      <c:valAx>
        <c:axId val="76626944"/>
        <c:scaling>
          <c:orientation val="minMax"/>
        </c:scaling>
        <c:axPos val="r"/>
        <c:numFmt formatCode="0.0" sourceLinked="1"/>
        <c:tickLblPos val="nextTo"/>
        <c:txPr>
          <a:bodyPr/>
          <a:lstStyle/>
          <a:p>
            <a:pPr>
              <a:defRPr sz="800"/>
            </a:pPr>
            <a:endParaRPr lang="fr-FR"/>
          </a:p>
        </c:txPr>
        <c:crossAx val="76645120"/>
        <c:crosses val="max"/>
        <c:crossBetween val="between"/>
      </c:valAx>
      <c:catAx>
        <c:axId val="76645120"/>
        <c:scaling>
          <c:orientation val="minMax"/>
        </c:scaling>
        <c:delete val="1"/>
        <c:axPos val="b"/>
        <c:tickLblPos val="none"/>
        <c:crossAx val="76626944"/>
        <c:crosses val="autoZero"/>
        <c:auto val="1"/>
        <c:lblAlgn val="ctr"/>
        <c:lblOffset val="100"/>
      </c:catAx>
    </c:plotArea>
    <c:legend>
      <c:legendPos val="b"/>
      <c:txPr>
        <a:bodyPr/>
        <a:lstStyle/>
        <a:p>
          <a:pPr>
            <a:defRPr sz="800" b="1"/>
          </a:pPr>
          <a:endParaRPr lang="fr-FR"/>
        </a:p>
      </c:txPr>
    </c:legend>
    <c:plotVisOnly val="1"/>
    <c:dispBlanksAs val="gap"/>
  </c:chart>
  <c:spPr>
    <a:ln>
      <a:noFill/>
    </a:ln>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ACT_PHD!$I$12180:$I$12181</c:f>
              <c:strCache>
                <c:ptCount val="1"/>
                <c:pt idx="0">
                  <c:v>Déclassement</c:v>
                </c:pt>
              </c:strCache>
            </c:strRef>
          </c:tx>
          <c:dLbls>
            <c:txPr>
              <a:bodyPr/>
              <a:lstStyle/>
              <a:p>
                <a:pPr>
                  <a:defRPr sz="700" b="1">
                    <a:solidFill>
                      <a:schemeClr val="tx2">
                        <a:lumMod val="60000"/>
                        <a:lumOff val="40000"/>
                      </a:schemeClr>
                    </a:solidFill>
                  </a:defRPr>
                </a:pPr>
                <a:endParaRPr lang="fr-FR"/>
              </a:p>
            </c:txPr>
            <c:showVal val="1"/>
          </c:dLbls>
          <c:cat>
            <c:strRef>
              <c:f>ACT_PHD!$H$12182:$H$12190</c:f>
              <c:strCache>
                <c:ptCount val="9"/>
                <c:pt idx="0">
                  <c:v>Agriculture, sylviculture et pêche</c:v>
                </c:pt>
                <c:pt idx="1">
                  <c:v>Industries extractives et manufacturières</c:v>
                </c:pt>
                <c:pt idx="2">
                  <c:v>Eau et électricité</c:v>
                </c:pt>
                <c:pt idx="3">
                  <c:v>Construction</c:v>
                </c:pt>
                <c:pt idx="4">
                  <c:v>Commerce et réparation d'automobiles et de motocycles</c:v>
                </c:pt>
                <c:pt idx="5">
                  <c:v>Transport, entreposage et communication</c:v>
                </c:pt>
                <c:pt idx="6">
                  <c:v>Autres services marchands</c:v>
                </c:pt>
                <c:pt idx="7">
                  <c:v>Administration publique, enseignement, santé humaine et action sociale</c:v>
                </c:pt>
                <c:pt idx="8">
                  <c:v>Activités extraterritoriales et non déclarées</c:v>
                </c:pt>
              </c:strCache>
            </c:strRef>
          </c:cat>
          <c:val>
            <c:numRef>
              <c:f>ACT_PHD!$I$12182:$I$12190</c:f>
              <c:numCache>
                <c:formatCode>###0.0</c:formatCode>
                <c:ptCount val="9"/>
                <c:pt idx="0">
                  <c:v>3.4575974289637434</c:v>
                </c:pt>
                <c:pt idx="1">
                  <c:v>8.9712434183880205</c:v>
                </c:pt>
                <c:pt idx="2">
                  <c:v>15.474028949109975</c:v>
                </c:pt>
                <c:pt idx="3">
                  <c:v>4.7142958592573443</c:v>
                </c:pt>
                <c:pt idx="4">
                  <c:v>8.1748108849230317</c:v>
                </c:pt>
                <c:pt idx="5">
                  <c:v>8.5425001174234048</c:v>
                </c:pt>
                <c:pt idx="6">
                  <c:v>10.627343972566401</c:v>
                </c:pt>
                <c:pt idx="7">
                  <c:v>11.864343769023797</c:v>
                </c:pt>
                <c:pt idx="8">
                  <c:v>15.031744055769979</c:v>
                </c:pt>
              </c:numCache>
            </c:numRef>
          </c:val>
        </c:ser>
        <c:ser>
          <c:idx val="1"/>
          <c:order val="1"/>
          <c:tx>
            <c:strRef>
              <c:f>ACT_PHD!$J$12180:$J$12181</c:f>
              <c:strCache>
                <c:ptCount val="1"/>
                <c:pt idx="0">
                  <c:v>Surclassement</c:v>
                </c:pt>
              </c:strCache>
            </c:strRef>
          </c:tx>
          <c:dLbls>
            <c:txPr>
              <a:bodyPr/>
              <a:lstStyle/>
              <a:p>
                <a:pPr>
                  <a:defRPr sz="700" b="1">
                    <a:solidFill>
                      <a:srgbClr val="C00000"/>
                    </a:solidFill>
                  </a:defRPr>
                </a:pPr>
                <a:endParaRPr lang="fr-FR"/>
              </a:p>
            </c:txPr>
            <c:showVal val="1"/>
          </c:dLbls>
          <c:cat>
            <c:strRef>
              <c:f>ACT_PHD!$H$12182:$H$12190</c:f>
              <c:strCache>
                <c:ptCount val="9"/>
                <c:pt idx="0">
                  <c:v>Agriculture, sylviculture et pêche</c:v>
                </c:pt>
                <c:pt idx="1">
                  <c:v>Industries extractives et manufacturières</c:v>
                </c:pt>
                <c:pt idx="2">
                  <c:v>Eau et électricité</c:v>
                </c:pt>
                <c:pt idx="3">
                  <c:v>Construction</c:v>
                </c:pt>
                <c:pt idx="4">
                  <c:v>Commerce et réparation d'automobiles et de motocycles</c:v>
                </c:pt>
                <c:pt idx="5">
                  <c:v>Transport, entreposage et communication</c:v>
                </c:pt>
                <c:pt idx="6">
                  <c:v>Autres services marchands</c:v>
                </c:pt>
                <c:pt idx="7">
                  <c:v>Administration publique, enseignement, santé humaine et action sociale</c:v>
                </c:pt>
                <c:pt idx="8">
                  <c:v>Activités extraterritoriales et non déclarées</c:v>
                </c:pt>
              </c:strCache>
            </c:strRef>
          </c:cat>
          <c:val>
            <c:numRef>
              <c:f>ACT_PHD!$J$12182:$J$12190</c:f>
              <c:numCache>
                <c:formatCode>###0.0</c:formatCode>
                <c:ptCount val="9"/>
                <c:pt idx="0">
                  <c:v>43.666879355150961</c:v>
                </c:pt>
                <c:pt idx="1">
                  <c:v>60.455105867827129</c:v>
                </c:pt>
                <c:pt idx="2">
                  <c:v>24.174034039809271</c:v>
                </c:pt>
                <c:pt idx="3">
                  <c:v>54.382048037890002</c:v>
                </c:pt>
                <c:pt idx="4">
                  <c:v>58.798966298107935</c:v>
                </c:pt>
                <c:pt idx="5">
                  <c:v>54.687439373796238</c:v>
                </c:pt>
                <c:pt idx="6">
                  <c:v>34.669522065741184</c:v>
                </c:pt>
                <c:pt idx="7">
                  <c:v>26.011589704030374</c:v>
                </c:pt>
                <c:pt idx="8">
                  <c:v>35.034329544475213</c:v>
                </c:pt>
              </c:numCache>
            </c:numRef>
          </c:val>
        </c:ser>
        <c:ser>
          <c:idx val="2"/>
          <c:order val="2"/>
          <c:tx>
            <c:strRef>
              <c:f>ACT_PHD!$K$12180:$K$12181</c:f>
              <c:strCache>
                <c:ptCount val="1"/>
                <c:pt idx="0">
                  <c:v>Adéquation</c:v>
                </c:pt>
              </c:strCache>
            </c:strRef>
          </c:tx>
          <c:dLbls>
            <c:txPr>
              <a:bodyPr/>
              <a:lstStyle/>
              <a:p>
                <a:pPr>
                  <a:defRPr sz="700" b="1">
                    <a:solidFill>
                      <a:schemeClr val="accent3">
                        <a:lumMod val="75000"/>
                      </a:schemeClr>
                    </a:solidFill>
                  </a:defRPr>
                </a:pPr>
                <a:endParaRPr lang="fr-FR"/>
              </a:p>
            </c:txPr>
            <c:showVal val="1"/>
          </c:dLbls>
          <c:cat>
            <c:strRef>
              <c:f>ACT_PHD!$H$12182:$H$12190</c:f>
              <c:strCache>
                <c:ptCount val="9"/>
                <c:pt idx="0">
                  <c:v>Agriculture, sylviculture et pêche</c:v>
                </c:pt>
                <c:pt idx="1">
                  <c:v>Industries extractives et manufacturières</c:v>
                </c:pt>
                <c:pt idx="2">
                  <c:v>Eau et électricité</c:v>
                </c:pt>
                <c:pt idx="3">
                  <c:v>Construction</c:v>
                </c:pt>
                <c:pt idx="4">
                  <c:v>Commerce et réparation d'automobiles et de motocycles</c:v>
                </c:pt>
                <c:pt idx="5">
                  <c:v>Transport, entreposage et communication</c:v>
                </c:pt>
                <c:pt idx="6">
                  <c:v>Autres services marchands</c:v>
                </c:pt>
                <c:pt idx="7">
                  <c:v>Administration publique, enseignement, santé humaine et action sociale</c:v>
                </c:pt>
                <c:pt idx="8">
                  <c:v>Activités extraterritoriales et non déclarées</c:v>
                </c:pt>
              </c:strCache>
            </c:strRef>
          </c:cat>
          <c:val>
            <c:numRef>
              <c:f>ACT_PHD!$K$12182:$K$12190</c:f>
              <c:numCache>
                <c:formatCode>###0.0</c:formatCode>
                <c:ptCount val="9"/>
                <c:pt idx="0">
                  <c:v>52.875523215885302</c:v>
                </c:pt>
                <c:pt idx="1">
                  <c:v>30.573650713784851</c:v>
                </c:pt>
                <c:pt idx="2">
                  <c:v>60.351937011080622</c:v>
                </c:pt>
                <c:pt idx="3">
                  <c:v>40.903656102852594</c:v>
                </c:pt>
                <c:pt idx="4">
                  <c:v>33.026222816969359</c:v>
                </c:pt>
                <c:pt idx="5">
                  <c:v>36.770060508780205</c:v>
                </c:pt>
                <c:pt idx="6">
                  <c:v>54.703133961692394</c:v>
                </c:pt>
                <c:pt idx="7">
                  <c:v>62.124066526945832</c:v>
                </c:pt>
                <c:pt idx="8">
                  <c:v>49.93392639975486</c:v>
                </c:pt>
              </c:numCache>
            </c:numRef>
          </c:val>
        </c:ser>
        <c:axId val="76667520"/>
        <c:axId val="98304384"/>
      </c:barChart>
      <c:catAx>
        <c:axId val="76667520"/>
        <c:scaling>
          <c:orientation val="minMax"/>
        </c:scaling>
        <c:axPos val="b"/>
        <c:tickLblPos val="nextTo"/>
        <c:txPr>
          <a:bodyPr/>
          <a:lstStyle/>
          <a:p>
            <a:pPr>
              <a:defRPr sz="400" b="1"/>
            </a:pPr>
            <a:endParaRPr lang="fr-FR"/>
          </a:p>
        </c:txPr>
        <c:crossAx val="98304384"/>
        <c:crosses val="autoZero"/>
        <c:auto val="1"/>
        <c:lblAlgn val="ctr"/>
        <c:lblOffset val="100"/>
      </c:catAx>
      <c:valAx>
        <c:axId val="98304384"/>
        <c:scaling>
          <c:orientation val="minMax"/>
          <c:max val="100"/>
        </c:scaling>
        <c:axPos val="l"/>
        <c:majorGridlines/>
        <c:numFmt formatCode="###0.0" sourceLinked="1"/>
        <c:tickLblPos val="nextTo"/>
        <c:txPr>
          <a:bodyPr/>
          <a:lstStyle/>
          <a:p>
            <a:pPr>
              <a:defRPr sz="700" b="1"/>
            </a:pPr>
            <a:endParaRPr lang="fr-FR"/>
          </a:p>
        </c:txPr>
        <c:crossAx val="76667520"/>
        <c:crosses val="autoZero"/>
        <c:crossBetween val="between"/>
      </c:valAx>
    </c:plotArea>
    <c:legend>
      <c:legendPos val="b"/>
      <c:txPr>
        <a:bodyPr/>
        <a:lstStyle/>
        <a:p>
          <a:pPr>
            <a:defRPr sz="900" b="1"/>
          </a:pPr>
          <a:endParaRPr lang="fr-FR"/>
        </a:p>
      </c:txPr>
    </c:legend>
    <c:plotVisOnly val="1"/>
  </c:chart>
  <c:spPr>
    <a:ln>
      <a:noFill/>
    </a:ln>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percentStacked"/>
        <c:ser>
          <c:idx val="2"/>
          <c:order val="2"/>
          <c:tx>
            <c:strRef>
              <c:f>Français!$A$6</c:f>
              <c:strCache>
                <c:ptCount val="1"/>
                <c:pt idx="0">
                  <c:v>DEG (Part %)</c:v>
                </c:pt>
              </c:strCache>
            </c:strRef>
          </c:tx>
          <c:spPr>
            <a:solidFill>
              <a:schemeClr val="tx2">
                <a:lumMod val="60000"/>
                <a:lumOff val="40000"/>
              </a:schemeClr>
            </a:solidFill>
          </c:spPr>
          <c:dLbls>
            <c:txPr>
              <a:bodyPr/>
              <a:lstStyle/>
              <a:p>
                <a:pPr>
                  <a:defRPr sz="900" b="1"/>
                </a:pPr>
                <a:endParaRPr lang="fr-FR"/>
              </a:p>
            </c:txPr>
            <c:showVal val="1"/>
          </c:dLbls>
          <c:cat>
            <c:strRef>
              <c:f>Français!$B$3:$H$3</c:f>
              <c:strCache>
                <c:ptCount val="7"/>
                <c:pt idx="0">
                  <c:v>Agriculture, sylviculture et pêche</c:v>
                </c:pt>
                <c:pt idx="1">
                  <c:v>Industries extractives et manufacturières</c:v>
                </c:pt>
                <c:pt idx="2">
                  <c:v>Eau et électricité</c:v>
                </c:pt>
                <c:pt idx="3">
                  <c:v>Construction</c:v>
                </c:pt>
                <c:pt idx="4">
                  <c:v>Commerce et réparation d'automobiles et de motocycles</c:v>
                </c:pt>
                <c:pt idx="5">
                  <c:v>Transport, entreposage et communication</c:v>
                </c:pt>
                <c:pt idx="6">
                  <c:v> Autres services marchands</c:v>
                </c:pt>
              </c:strCache>
            </c:strRef>
          </c:cat>
          <c:val>
            <c:numRef>
              <c:f>Français!$B$6:$H$6</c:f>
              <c:numCache>
                <c:formatCode>0.0</c:formatCode>
                <c:ptCount val="7"/>
                <c:pt idx="0">
                  <c:v>73.63675947032759</c:v>
                </c:pt>
                <c:pt idx="1">
                  <c:v>47.361303089666833</c:v>
                </c:pt>
                <c:pt idx="2">
                  <c:v>47.834192345652006</c:v>
                </c:pt>
                <c:pt idx="3">
                  <c:v>62.313048557418703</c:v>
                </c:pt>
                <c:pt idx="4">
                  <c:v>60.272826043217464</c:v>
                </c:pt>
                <c:pt idx="5">
                  <c:v>52.769477181994205</c:v>
                </c:pt>
                <c:pt idx="6">
                  <c:v>55.726129867175004</c:v>
                </c:pt>
              </c:numCache>
            </c:numRef>
          </c:val>
        </c:ser>
        <c:ser>
          <c:idx val="3"/>
          <c:order val="3"/>
          <c:tx>
            <c:strRef>
              <c:f>Français!$A$7</c:f>
              <c:strCache>
                <c:ptCount val="1"/>
                <c:pt idx="0">
                  <c:v>DFP (Part %)</c:v>
                </c:pt>
              </c:strCache>
            </c:strRef>
          </c:tx>
          <c:spPr>
            <a:solidFill>
              <a:srgbClr val="C00000"/>
            </a:solidFill>
          </c:spPr>
          <c:dLbls>
            <c:txPr>
              <a:bodyPr/>
              <a:lstStyle/>
              <a:p>
                <a:pPr>
                  <a:defRPr sz="900" b="1"/>
                </a:pPr>
                <a:endParaRPr lang="fr-FR"/>
              </a:p>
            </c:txPr>
            <c:showVal val="1"/>
          </c:dLbls>
          <c:cat>
            <c:strRef>
              <c:f>Français!$B$3:$H$3</c:f>
              <c:strCache>
                <c:ptCount val="7"/>
                <c:pt idx="0">
                  <c:v>Agriculture, sylviculture et pêche</c:v>
                </c:pt>
                <c:pt idx="1">
                  <c:v>Industries extractives et manufacturières</c:v>
                </c:pt>
                <c:pt idx="2">
                  <c:v>Eau et électricité</c:v>
                </c:pt>
                <c:pt idx="3">
                  <c:v>Construction</c:v>
                </c:pt>
                <c:pt idx="4">
                  <c:v>Commerce et réparation d'automobiles et de motocycles</c:v>
                </c:pt>
                <c:pt idx="5">
                  <c:v>Transport, entreposage et communication</c:v>
                </c:pt>
                <c:pt idx="6">
                  <c:v> Autres services marchands</c:v>
                </c:pt>
              </c:strCache>
            </c:strRef>
          </c:cat>
          <c:val>
            <c:numRef>
              <c:f>Français!$B$7:$H$7</c:f>
              <c:numCache>
                <c:formatCode>0.0</c:formatCode>
                <c:ptCount val="7"/>
                <c:pt idx="0">
                  <c:v>26.36324052967241</c:v>
                </c:pt>
                <c:pt idx="1">
                  <c:v>52.638696910333032</c:v>
                </c:pt>
                <c:pt idx="2">
                  <c:v>52.165807654347994</c:v>
                </c:pt>
                <c:pt idx="3">
                  <c:v>37.686951442581133</c:v>
                </c:pt>
                <c:pt idx="4">
                  <c:v>39.727173956782423</c:v>
                </c:pt>
                <c:pt idx="5">
                  <c:v>47.230522818006015</c:v>
                </c:pt>
                <c:pt idx="6">
                  <c:v>44.273870132825287</c:v>
                </c:pt>
              </c:numCache>
            </c:numRef>
          </c:val>
        </c:ser>
        <c:overlap val="100"/>
        <c:axId val="98349056"/>
        <c:axId val="98350592"/>
      </c:barChart>
      <c:lineChart>
        <c:grouping val="standard"/>
        <c:ser>
          <c:idx val="0"/>
          <c:order val="0"/>
          <c:tx>
            <c:strRef>
              <c:f>Français!$A$4</c:f>
              <c:strCache>
                <c:ptCount val="1"/>
                <c:pt idx="0">
                  <c:v>DEG (Taux DEC)</c:v>
                </c:pt>
              </c:strCache>
            </c:strRef>
          </c:tx>
          <c:cat>
            <c:strRef>
              <c:f>Français!$B$3:$H$3</c:f>
              <c:strCache>
                <c:ptCount val="7"/>
                <c:pt idx="0">
                  <c:v>Agriculture, sylviculture et pêche</c:v>
                </c:pt>
                <c:pt idx="1">
                  <c:v>Industries extractives et manufacturières</c:v>
                </c:pt>
                <c:pt idx="2">
                  <c:v>Eau et électricité</c:v>
                </c:pt>
                <c:pt idx="3">
                  <c:v>Construction</c:v>
                </c:pt>
                <c:pt idx="4">
                  <c:v>Commerce et réparation d'automobiles et de motocycles</c:v>
                </c:pt>
                <c:pt idx="5">
                  <c:v>Transport, entreposage et communication</c:v>
                </c:pt>
                <c:pt idx="6">
                  <c:v> Autres services marchands</c:v>
                </c:pt>
              </c:strCache>
            </c:strRef>
          </c:cat>
          <c:val>
            <c:numRef>
              <c:f>Français!$B$4:$H$4</c:f>
              <c:numCache>
                <c:formatCode>0.0</c:formatCode>
                <c:ptCount val="7"/>
                <c:pt idx="0">
                  <c:v>13.54512410867194</c:v>
                </c:pt>
                <c:pt idx="1">
                  <c:v>10.866971043162595</c:v>
                </c:pt>
                <c:pt idx="2">
                  <c:v>16.762739220659359</c:v>
                </c:pt>
                <c:pt idx="3">
                  <c:v>8.9965912419774341</c:v>
                </c:pt>
                <c:pt idx="4">
                  <c:v>11.642407764092468</c:v>
                </c:pt>
                <c:pt idx="5">
                  <c:v>9.7872208354209249</c:v>
                </c:pt>
                <c:pt idx="6">
                  <c:v>14.63092711139484</c:v>
                </c:pt>
              </c:numCache>
            </c:numRef>
          </c:val>
        </c:ser>
        <c:ser>
          <c:idx val="1"/>
          <c:order val="1"/>
          <c:tx>
            <c:strRef>
              <c:f>Français!$A$5</c:f>
              <c:strCache>
                <c:ptCount val="1"/>
                <c:pt idx="0">
                  <c:v>DFP (Taux DEC)</c:v>
                </c:pt>
              </c:strCache>
            </c:strRef>
          </c:tx>
          <c:cat>
            <c:strRef>
              <c:f>Français!$B$3:$H$3</c:f>
              <c:strCache>
                <c:ptCount val="7"/>
                <c:pt idx="0">
                  <c:v>Agriculture, sylviculture et pêche</c:v>
                </c:pt>
                <c:pt idx="1">
                  <c:v>Industries extractives et manufacturières</c:v>
                </c:pt>
                <c:pt idx="2">
                  <c:v>Eau et électricité</c:v>
                </c:pt>
                <c:pt idx="3">
                  <c:v>Construction</c:v>
                </c:pt>
                <c:pt idx="4">
                  <c:v>Commerce et réparation d'automobiles et de motocycles</c:v>
                </c:pt>
                <c:pt idx="5">
                  <c:v>Transport, entreposage et communication</c:v>
                </c:pt>
                <c:pt idx="6">
                  <c:v> Autres services marchands</c:v>
                </c:pt>
              </c:strCache>
            </c:strRef>
          </c:cat>
          <c:val>
            <c:numRef>
              <c:f>Français!$B$5:$H$5</c:f>
              <c:numCache>
                <c:formatCode>0.0</c:formatCode>
                <c:ptCount val="7"/>
                <c:pt idx="0">
                  <c:v>59.6453613026599</c:v>
                </c:pt>
                <c:pt idx="1">
                  <c:v>32.485808094755903</c:v>
                </c:pt>
                <c:pt idx="2">
                  <c:v>37.193119624706938</c:v>
                </c:pt>
                <c:pt idx="3">
                  <c:v>26.726402651056823</c:v>
                </c:pt>
                <c:pt idx="4">
                  <c:v>43.430406475452969</c:v>
                </c:pt>
                <c:pt idx="5">
                  <c:v>37.582271257371126</c:v>
                </c:pt>
                <c:pt idx="6">
                  <c:v>36.22817378352137</c:v>
                </c:pt>
              </c:numCache>
            </c:numRef>
          </c:val>
        </c:ser>
        <c:marker val="1"/>
        <c:axId val="100532992"/>
        <c:axId val="98352128"/>
      </c:lineChart>
      <c:catAx>
        <c:axId val="98349056"/>
        <c:scaling>
          <c:orientation val="minMax"/>
        </c:scaling>
        <c:axPos val="b"/>
        <c:tickLblPos val="nextTo"/>
        <c:txPr>
          <a:bodyPr/>
          <a:lstStyle/>
          <a:p>
            <a:pPr>
              <a:defRPr sz="500"/>
            </a:pPr>
            <a:endParaRPr lang="fr-FR"/>
          </a:p>
        </c:txPr>
        <c:crossAx val="98350592"/>
        <c:crosses val="autoZero"/>
        <c:auto val="1"/>
        <c:lblAlgn val="ctr"/>
        <c:lblOffset val="100"/>
      </c:catAx>
      <c:valAx>
        <c:axId val="98350592"/>
        <c:scaling>
          <c:orientation val="minMax"/>
        </c:scaling>
        <c:axPos val="l"/>
        <c:majorGridlines/>
        <c:numFmt formatCode="0%" sourceLinked="0"/>
        <c:tickLblPos val="nextTo"/>
        <c:txPr>
          <a:bodyPr/>
          <a:lstStyle/>
          <a:p>
            <a:pPr>
              <a:defRPr sz="800"/>
            </a:pPr>
            <a:endParaRPr lang="fr-FR"/>
          </a:p>
        </c:txPr>
        <c:crossAx val="98349056"/>
        <c:crosses val="autoZero"/>
        <c:crossBetween val="between"/>
      </c:valAx>
      <c:valAx>
        <c:axId val="98352128"/>
        <c:scaling>
          <c:orientation val="minMax"/>
        </c:scaling>
        <c:axPos val="r"/>
        <c:numFmt formatCode="0.0" sourceLinked="1"/>
        <c:tickLblPos val="nextTo"/>
        <c:txPr>
          <a:bodyPr/>
          <a:lstStyle/>
          <a:p>
            <a:pPr>
              <a:defRPr sz="800"/>
            </a:pPr>
            <a:endParaRPr lang="fr-FR"/>
          </a:p>
        </c:txPr>
        <c:crossAx val="100532992"/>
        <c:crosses val="max"/>
        <c:crossBetween val="between"/>
      </c:valAx>
      <c:catAx>
        <c:axId val="100532992"/>
        <c:scaling>
          <c:orientation val="minMax"/>
        </c:scaling>
        <c:delete val="1"/>
        <c:axPos val="b"/>
        <c:tickLblPos val="none"/>
        <c:crossAx val="98352128"/>
        <c:crosses val="autoZero"/>
        <c:auto val="1"/>
        <c:lblAlgn val="ctr"/>
        <c:lblOffset val="100"/>
      </c:catAx>
    </c:plotArea>
    <c:legend>
      <c:legendPos val="b"/>
      <c:txPr>
        <a:bodyPr/>
        <a:lstStyle/>
        <a:p>
          <a:pPr>
            <a:defRPr sz="700" b="1"/>
          </a:pPr>
          <a:endParaRPr lang="fr-FR"/>
        </a:p>
      </c:txPr>
    </c:legend>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spPr>
            <a:ln>
              <a:noFill/>
            </a:ln>
          </c:spPr>
          <c:dLbls>
            <c:txPr>
              <a:bodyPr/>
              <a:lstStyle/>
              <a:p>
                <a:pPr>
                  <a:defRPr sz="800" b="1"/>
                </a:pPr>
                <a:endParaRPr lang="fr-FR"/>
              </a:p>
            </c:txPr>
            <c:showVal val="1"/>
          </c:dLbls>
          <c:cat>
            <c:strRef>
              <c:f>Français!$B$15:$B$19</c:f>
              <c:strCache>
                <c:ptCount val="5"/>
                <c:pt idx="0">
                  <c:v>Technicien spécialisé</c:v>
                </c:pt>
                <c:pt idx="1">
                  <c:v>Technicien/Cadre moyen</c:v>
                </c:pt>
                <c:pt idx="2">
                  <c:v>Qualification professionnelle</c:v>
                </c:pt>
                <c:pt idx="3">
                  <c:v>Spécialisation professionnelle</c:v>
                </c:pt>
                <c:pt idx="4">
                  <c:v>Initiation professionnelle</c:v>
                </c:pt>
              </c:strCache>
            </c:strRef>
          </c:cat>
          <c:val>
            <c:numRef>
              <c:f>Français!$G$15:$G$19</c:f>
              <c:numCache>
                <c:formatCode>0.0</c:formatCode>
                <c:ptCount val="5"/>
                <c:pt idx="0">
                  <c:v>26.380242081557718</c:v>
                </c:pt>
                <c:pt idx="1">
                  <c:v>21.53432142837589</c:v>
                </c:pt>
                <c:pt idx="2">
                  <c:v>28.362042913266777</c:v>
                </c:pt>
                <c:pt idx="3">
                  <c:v>26.454906122861548</c:v>
                </c:pt>
                <c:pt idx="4">
                  <c:v>21.318158372019553</c:v>
                </c:pt>
              </c:numCache>
            </c:numRef>
          </c:val>
        </c:ser>
        <c:axId val="73363840"/>
        <c:axId val="73365376"/>
      </c:barChart>
      <c:catAx>
        <c:axId val="73363840"/>
        <c:scaling>
          <c:orientation val="minMax"/>
        </c:scaling>
        <c:axPos val="b"/>
        <c:tickLblPos val="nextTo"/>
        <c:txPr>
          <a:bodyPr/>
          <a:lstStyle/>
          <a:p>
            <a:pPr>
              <a:defRPr sz="600"/>
            </a:pPr>
            <a:endParaRPr lang="fr-FR"/>
          </a:p>
        </c:txPr>
        <c:crossAx val="73365376"/>
        <c:crosses val="autoZero"/>
        <c:auto val="1"/>
        <c:lblAlgn val="ctr"/>
        <c:lblOffset val="100"/>
      </c:catAx>
      <c:valAx>
        <c:axId val="73365376"/>
        <c:scaling>
          <c:orientation val="minMax"/>
          <c:max val="35"/>
        </c:scaling>
        <c:axPos val="l"/>
        <c:majorGridlines/>
        <c:numFmt formatCode="0.0" sourceLinked="1"/>
        <c:tickLblPos val="nextTo"/>
        <c:txPr>
          <a:bodyPr/>
          <a:lstStyle/>
          <a:p>
            <a:pPr>
              <a:defRPr sz="900" b="1"/>
            </a:pPr>
            <a:endParaRPr lang="fr-FR"/>
          </a:p>
        </c:txPr>
        <c:crossAx val="73363840"/>
        <c:crosses val="autoZero"/>
        <c:crossBetween val="between"/>
      </c:valAx>
    </c:plotArea>
    <c:legend>
      <c:legendPos val="b"/>
      <c:txPr>
        <a:bodyPr/>
        <a:lstStyle/>
        <a:p>
          <a:pPr>
            <a:defRPr>
              <a:solidFill>
                <a:schemeClr val="bg1"/>
              </a:solidFill>
            </a:defRPr>
          </a:pPr>
          <a:endParaRPr lang="fr-FR"/>
        </a:p>
      </c:txPr>
    </c:legend>
    <c:plotVisOnly val="1"/>
  </c:chart>
  <c:spPr>
    <a:ln>
      <a:noFill/>
    </a:ln>
  </c:sp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autoTitleDeleted val="1"/>
    <c:view3D>
      <c:rotX val="30"/>
      <c:perspective val="30"/>
    </c:view3D>
    <c:plotArea>
      <c:layout/>
      <c:pie3DChart>
        <c:varyColors val="1"/>
        <c:ser>
          <c:idx val="0"/>
          <c:order val="0"/>
          <c:tx>
            <c:strRef>
              <c:f>Feuil1!$A$4</c:f>
              <c:strCache>
                <c:ptCount val="1"/>
                <c:pt idx="0">
                  <c:v>Total</c:v>
                </c:pt>
              </c:strCache>
            </c:strRef>
          </c:tx>
          <c:explosion val="25"/>
          <c:dLbls>
            <c:txPr>
              <a:bodyPr/>
              <a:lstStyle/>
              <a:p>
                <a:pPr>
                  <a:defRPr b="1"/>
                </a:pPr>
                <a:endParaRPr lang="fr-FR"/>
              </a:p>
            </c:txPr>
            <c:showVal val="1"/>
            <c:showLeaderLines val="1"/>
          </c:dLbls>
          <c:cat>
            <c:strRef>
              <c:f>Feuil1!$B$3:$D$3</c:f>
              <c:strCache>
                <c:ptCount val="3"/>
                <c:pt idx="0">
                  <c:v>Adéquation</c:v>
                </c:pt>
                <c:pt idx="1">
                  <c:v>Déclassement</c:v>
                </c:pt>
                <c:pt idx="2">
                  <c:v>Surclassement</c:v>
                </c:pt>
              </c:strCache>
            </c:strRef>
          </c:cat>
          <c:val>
            <c:numRef>
              <c:f>Feuil1!$B$4:$D$4</c:f>
              <c:numCache>
                <c:formatCode>###0.0</c:formatCode>
                <c:ptCount val="3"/>
                <c:pt idx="0">
                  <c:v>45.734713755725515</c:v>
                </c:pt>
                <c:pt idx="1">
                  <c:v>7.615422514232387</c:v>
                </c:pt>
                <c:pt idx="2">
                  <c:v>46.7</c:v>
                </c:pt>
              </c:numCache>
            </c:numRef>
          </c:val>
        </c:ser>
      </c:pie3DChart>
    </c:plotArea>
    <c:legend>
      <c:legendPos val="r"/>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lineChart>
        <c:grouping val="standard"/>
        <c:ser>
          <c:idx val="0"/>
          <c:order val="0"/>
          <c:tx>
            <c:strRef>
              <c:f>Feuil1!$B$3</c:f>
              <c:strCache>
                <c:ptCount val="1"/>
                <c:pt idx="0">
                  <c:v>Déclassement</c:v>
                </c:pt>
              </c:strCache>
            </c:strRef>
          </c:tx>
          <c:dLbls>
            <c:dLbl>
              <c:idx val="4"/>
              <c:layout>
                <c:manualLayout>
                  <c:x val="-2.442002442002452E-3"/>
                  <c:y val="-3.2407407407407607E-2"/>
                </c:manualLayout>
              </c:layout>
              <c:dLblPos val="r"/>
              <c:showVal val="1"/>
            </c:dLbl>
            <c:dLbl>
              <c:idx val="5"/>
              <c:layout>
                <c:manualLayout>
                  <c:x val="-2.6862026862026871E-2"/>
                  <c:y val="5.5555555555555455E-2"/>
                </c:manualLayout>
              </c:layout>
              <c:dLblPos val="r"/>
              <c:showVal val="1"/>
            </c:dLbl>
            <c:txPr>
              <a:bodyPr/>
              <a:lstStyle/>
              <a:p>
                <a:pPr>
                  <a:defRPr sz="800" b="1" i="0" u="none" strike="noStrike" baseline="0">
                    <a:solidFill>
                      <a:srgbClr val="0066CC"/>
                    </a:solidFill>
                    <a:latin typeface="Calibri"/>
                    <a:ea typeface="Calibri"/>
                    <a:cs typeface="Calibri"/>
                  </a:defRPr>
                </a:pPr>
                <a:endParaRPr lang="fr-FR"/>
              </a:p>
            </c:txPr>
            <c:showVal val="1"/>
          </c:dLbls>
          <c:cat>
            <c:strRef>
              <c:f>Feuil1!$A$4:$A$15</c:f>
              <c:strCache>
                <c:ptCount val="12"/>
                <c:pt idx="0">
                  <c:v>15-19 ans</c:v>
                </c:pt>
                <c:pt idx="1">
                  <c:v>20-24 ans</c:v>
                </c:pt>
                <c:pt idx="2">
                  <c:v>25-29 ans</c:v>
                </c:pt>
                <c:pt idx="3">
                  <c:v>30-34 ans</c:v>
                </c:pt>
                <c:pt idx="4">
                  <c:v>35-39 ans</c:v>
                </c:pt>
                <c:pt idx="5">
                  <c:v>40-44 ans</c:v>
                </c:pt>
                <c:pt idx="6">
                  <c:v>45-49 ans</c:v>
                </c:pt>
                <c:pt idx="7">
                  <c:v>50-54 ans</c:v>
                </c:pt>
                <c:pt idx="8">
                  <c:v>55-59 ans</c:v>
                </c:pt>
                <c:pt idx="9">
                  <c:v>60-64 ans</c:v>
                </c:pt>
                <c:pt idx="10">
                  <c:v>65-69 ans</c:v>
                </c:pt>
                <c:pt idx="11">
                  <c:v>70-74 ans</c:v>
                </c:pt>
              </c:strCache>
            </c:strRef>
          </c:cat>
          <c:val>
            <c:numRef>
              <c:f>Feuil1!$B$4:$B$15</c:f>
              <c:numCache>
                <c:formatCode>0.0</c:formatCode>
                <c:ptCount val="12"/>
                <c:pt idx="0">
                  <c:v>2.5370340734349672</c:v>
                </c:pt>
                <c:pt idx="1">
                  <c:v>12.530563112740833</c:v>
                </c:pt>
                <c:pt idx="2">
                  <c:v>21.422637229593775</c:v>
                </c:pt>
                <c:pt idx="3">
                  <c:v>17.675463926133627</c:v>
                </c:pt>
                <c:pt idx="4">
                  <c:v>13.691578705668698</c:v>
                </c:pt>
                <c:pt idx="5">
                  <c:v>12.264627502278753</c:v>
                </c:pt>
                <c:pt idx="6">
                  <c:v>9.9778039090169006</c:v>
                </c:pt>
                <c:pt idx="7">
                  <c:v>6.3439072078152332</c:v>
                </c:pt>
                <c:pt idx="8">
                  <c:v>2.5615263117611451</c:v>
                </c:pt>
                <c:pt idx="9">
                  <c:v>0.67297991218976283</c:v>
                </c:pt>
                <c:pt idx="10">
                  <c:v>0.19677286927963553</c:v>
                </c:pt>
                <c:pt idx="11">
                  <c:v>7.6538244769306776E-2</c:v>
                </c:pt>
              </c:numCache>
            </c:numRef>
          </c:val>
        </c:ser>
        <c:ser>
          <c:idx val="1"/>
          <c:order val="1"/>
          <c:tx>
            <c:strRef>
              <c:f>Feuil1!$C$3</c:f>
              <c:strCache>
                <c:ptCount val="1"/>
                <c:pt idx="0">
                  <c:v>Surclassement</c:v>
                </c:pt>
              </c:strCache>
            </c:strRef>
          </c:tx>
          <c:dLbls>
            <c:dLbl>
              <c:idx val="3"/>
              <c:layout>
                <c:manualLayout>
                  <c:x val="-1.7094017094017103E-2"/>
                  <c:y val="5.5555555555555455E-2"/>
                </c:manualLayout>
              </c:layout>
              <c:dLblPos val="r"/>
              <c:showVal val="1"/>
            </c:dLbl>
            <c:dLbl>
              <c:idx val="4"/>
              <c:layout>
                <c:manualLayout>
                  <c:x val="-2.1978021978022021E-2"/>
                  <c:y val="4.1666666666666664E-2"/>
                </c:manualLayout>
              </c:layout>
              <c:dLblPos val="r"/>
              <c:showVal val="1"/>
            </c:dLbl>
            <c:dLbl>
              <c:idx val="5"/>
              <c:layout>
                <c:manualLayout>
                  <c:x val="-1.2210012210012227E-2"/>
                  <c:y val="-4.1666666666666664E-2"/>
                </c:manualLayout>
              </c:layout>
              <c:dLblPos val="r"/>
              <c:showVal val="1"/>
            </c:dLbl>
            <c:dLbl>
              <c:idx val="6"/>
              <c:layout>
                <c:manualLayout>
                  <c:x val="-7.3260073260073303E-3"/>
                  <c:y val="-3.2407407407407607E-2"/>
                </c:manualLayout>
              </c:layout>
              <c:dLblPos val="r"/>
              <c:showVal val="1"/>
            </c:dLbl>
            <c:txPr>
              <a:bodyPr/>
              <a:lstStyle/>
              <a:p>
                <a:pPr>
                  <a:defRPr sz="800" b="1" i="0" u="none" strike="noStrike" baseline="0">
                    <a:solidFill>
                      <a:srgbClr val="993300"/>
                    </a:solidFill>
                    <a:latin typeface="Calibri"/>
                    <a:ea typeface="Calibri"/>
                    <a:cs typeface="Calibri"/>
                  </a:defRPr>
                </a:pPr>
                <a:endParaRPr lang="fr-FR"/>
              </a:p>
            </c:txPr>
            <c:showVal val="1"/>
          </c:dLbls>
          <c:cat>
            <c:strRef>
              <c:f>Feuil1!$A$4:$A$15</c:f>
              <c:strCache>
                <c:ptCount val="12"/>
                <c:pt idx="0">
                  <c:v>15-19 ans</c:v>
                </c:pt>
                <c:pt idx="1">
                  <c:v>20-24 ans</c:v>
                </c:pt>
                <c:pt idx="2">
                  <c:v>25-29 ans</c:v>
                </c:pt>
                <c:pt idx="3">
                  <c:v>30-34 ans</c:v>
                </c:pt>
                <c:pt idx="4">
                  <c:v>35-39 ans</c:v>
                </c:pt>
                <c:pt idx="5">
                  <c:v>40-44 ans</c:v>
                </c:pt>
                <c:pt idx="6">
                  <c:v>45-49 ans</c:v>
                </c:pt>
                <c:pt idx="7">
                  <c:v>50-54 ans</c:v>
                </c:pt>
                <c:pt idx="8">
                  <c:v>55-59 ans</c:v>
                </c:pt>
                <c:pt idx="9">
                  <c:v>60-64 ans</c:v>
                </c:pt>
                <c:pt idx="10">
                  <c:v>65-69 ans</c:v>
                </c:pt>
                <c:pt idx="11">
                  <c:v>70-74 ans</c:v>
                </c:pt>
              </c:strCache>
            </c:strRef>
          </c:cat>
          <c:val>
            <c:numRef>
              <c:f>Feuil1!$C$4:$C$15</c:f>
              <c:numCache>
                <c:formatCode>0.0</c:formatCode>
                <c:ptCount val="12"/>
                <c:pt idx="0">
                  <c:v>3.6785899919671152</c:v>
                </c:pt>
                <c:pt idx="1">
                  <c:v>8.7305629563934151</c:v>
                </c:pt>
                <c:pt idx="2">
                  <c:v>11.615723559623319</c:v>
                </c:pt>
                <c:pt idx="3">
                  <c:v>13.162826813124532</c:v>
                </c:pt>
                <c:pt idx="4">
                  <c:v>12.747620120747722</c:v>
                </c:pt>
                <c:pt idx="5">
                  <c:v>12.113371849999448</c:v>
                </c:pt>
                <c:pt idx="6">
                  <c:v>10.2047659376488</c:v>
                </c:pt>
                <c:pt idx="7">
                  <c:v>10.300633544030052</c:v>
                </c:pt>
                <c:pt idx="8">
                  <c:v>7.9662346112046114</c:v>
                </c:pt>
                <c:pt idx="9">
                  <c:v>4.7809538781400045</c:v>
                </c:pt>
                <c:pt idx="10">
                  <c:v>2.0781007491303845</c:v>
                </c:pt>
                <c:pt idx="11">
                  <c:v>1.4462832447050185</c:v>
                </c:pt>
              </c:numCache>
            </c:numRef>
          </c:val>
        </c:ser>
        <c:ser>
          <c:idx val="2"/>
          <c:order val="2"/>
          <c:tx>
            <c:strRef>
              <c:f>Feuil1!$D$3</c:f>
              <c:strCache>
                <c:ptCount val="1"/>
                <c:pt idx="0">
                  <c:v>Adéquation</c:v>
                </c:pt>
              </c:strCache>
            </c:strRef>
          </c:tx>
          <c:dLbls>
            <c:dLbl>
              <c:idx val="0"/>
              <c:layout>
                <c:manualLayout>
                  <c:x val="-4.1514041514041512E-2"/>
                  <c:y val="-5.0925925925925923E-2"/>
                </c:manualLayout>
              </c:layout>
              <c:dLblPos val="r"/>
              <c:showVal val="1"/>
            </c:dLbl>
            <c:dLbl>
              <c:idx val="1"/>
              <c:layout>
                <c:manualLayout>
                  <c:x val="-7.0818070818071094E-2"/>
                  <c:y val="-1.3888888888888966E-2"/>
                </c:manualLayout>
              </c:layout>
              <c:dLblPos val="r"/>
              <c:showVal val="1"/>
            </c:dLbl>
            <c:dLbl>
              <c:idx val="2"/>
              <c:layout>
                <c:manualLayout>
                  <c:x val="-3.1746031746031744E-2"/>
                  <c:y val="-4.6296296296296509E-2"/>
                </c:manualLayout>
              </c:layout>
              <c:dLblPos val="r"/>
              <c:showVal val="1"/>
            </c:dLbl>
            <c:dLbl>
              <c:idx val="6"/>
              <c:layout>
                <c:manualLayout>
                  <c:x val="-2.6862026862026871E-2"/>
                  <c:y val="4.1666666666666664E-2"/>
                </c:manualLayout>
              </c:layout>
              <c:dLblPos val="r"/>
              <c:showVal val="1"/>
            </c:dLbl>
            <c:txPr>
              <a:bodyPr/>
              <a:lstStyle/>
              <a:p>
                <a:pPr>
                  <a:defRPr sz="800" b="1" i="0" u="none" strike="noStrike" baseline="0">
                    <a:solidFill>
                      <a:srgbClr val="FF99CC"/>
                    </a:solidFill>
                    <a:latin typeface="Calibri"/>
                    <a:ea typeface="Calibri"/>
                    <a:cs typeface="Calibri"/>
                  </a:defRPr>
                </a:pPr>
                <a:endParaRPr lang="fr-FR"/>
              </a:p>
            </c:txPr>
            <c:showVal val="1"/>
          </c:dLbls>
          <c:cat>
            <c:strRef>
              <c:f>Feuil1!$A$4:$A$15</c:f>
              <c:strCache>
                <c:ptCount val="12"/>
                <c:pt idx="0">
                  <c:v>15-19 ans</c:v>
                </c:pt>
                <c:pt idx="1">
                  <c:v>20-24 ans</c:v>
                </c:pt>
                <c:pt idx="2">
                  <c:v>25-29 ans</c:v>
                </c:pt>
                <c:pt idx="3">
                  <c:v>30-34 ans</c:v>
                </c:pt>
                <c:pt idx="4">
                  <c:v>35-39 ans</c:v>
                </c:pt>
                <c:pt idx="5">
                  <c:v>40-44 ans</c:v>
                </c:pt>
                <c:pt idx="6">
                  <c:v>45-49 ans</c:v>
                </c:pt>
                <c:pt idx="7">
                  <c:v>50-54 ans</c:v>
                </c:pt>
                <c:pt idx="8">
                  <c:v>55-59 ans</c:v>
                </c:pt>
                <c:pt idx="9">
                  <c:v>60-64 ans</c:v>
                </c:pt>
                <c:pt idx="10">
                  <c:v>65-69 ans</c:v>
                </c:pt>
                <c:pt idx="11">
                  <c:v>70-74 ans</c:v>
                </c:pt>
              </c:strCache>
            </c:strRef>
          </c:cat>
          <c:val>
            <c:numRef>
              <c:f>Feuil1!$D$4:$D$15</c:f>
              <c:numCache>
                <c:formatCode>0.0</c:formatCode>
                <c:ptCount val="12"/>
                <c:pt idx="0">
                  <c:v>5.9280740577678355</c:v>
                </c:pt>
                <c:pt idx="1">
                  <c:v>11.493598730173442</c:v>
                </c:pt>
                <c:pt idx="2">
                  <c:v>14.882135533130235</c:v>
                </c:pt>
                <c:pt idx="3">
                  <c:v>14.815122058602066</c:v>
                </c:pt>
                <c:pt idx="4">
                  <c:v>13.260349202303304</c:v>
                </c:pt>
                <c:pt idx="5">
                  <c:v>11.92654470461472</c:v>
                </c:pt>
                <c:pt idx="6">
                  <c:v>9.9198016475304414</c:v>
                </c:pt>
                <c:pt idx="7">
                  <c:v>8.7533686320399475</c:v>
                </c:pt>
                <c:pt idx="8">
                  <c:v>5.4416007229669514</c:v>
                </c:pt>
                <c:pt idx="9">
                  <c:v>2.2224977117632752</c:v>
                </c:pt>
                <c:pt idx="10">
                  <c:v>0.72630371563300333</c:v>
                </c:pt>
                <c:pt idx="11">
                  <c:v>0.38998505404873085</c:v>
                </c:pt>
              </c:numCache>
            </c:numRef>
          </c:val>
        </c:ser>
        <c:marker val="1"/>
        <c:axId val="76605312"/>
        <c:axId val="76606848"/>
      </c:lineChart>
      <c:catAx>
        <c:axId val="76605312"/>
        <c:scaling>
          <c:orientation val="minMax"/>
        </c:scaling>
        <c:axPos val="b"/>
        <c:numFmt formatCode="General" sourceLinked="1"/>
        <c:tickLblPos val="nextTo"/>
        <c:txPr>
          <a:bodyPr rot="0" vert="horz"/>
          <a:lstStyle/>
          <a:p>
            <a:pPr>
              <a:defRPr sz="800" b="0" i="0" u="none" strike="noStrike" baseline="0">
                <a:solidFill>
                  <a:srgbClr val="000000"/>
                </a:solidFill>
                <a:latin typeface="Times New Roman"/>
                <a:ea typeface="Times New Roman"/>
                <a:cs typeface="Times New Roman"/>
              </a:defRPr>
            </a:pPr>
            <a:endParaRPr lang="fr-FR"/>
          </a:p>
        </c:txPr>
        <c:crossAx val="76606848"/>
        <c:crosses val="autoZero"/>
        <c:auto val="1"/>
        <c:lblAlgn val="ctr"/>
        <c:lblOffset val="100"/>
      </c:catAx>
      <c:valAx>
        <c:axId val="76606848"/>
        <c:scaling>
          <c:orientation val="minMax"/>
        </c:scaling>
        <c:axPos val="l"/>
        <c:majorGridlines/>
        <c:numFmt formatCode="0.0" sourceLinked="1"/>
        <c:tickLblPos val="nextTo"/>
        <c:txPr>
          <a:bodyPr rot="0" vert="horz"/>
          <a:lstStyle/>
          <a:p>
            <a:pPr>
              <a:defRPr sz="800" b="0" i="0" u="none" strike="noStrike" baseline="0">
                <a:solidFill>
                  <a:srgbClr val="000000"/>
                </a:solidFill>
                <a:latin typeface="Times New Roman"/>
                <a:ea typeface="Times New Roman"/>
                <a:cs typeface="Times New Roman"/>
              </a:defRPr>
            </a:pPr>
            <a:endParaRPr lang="fr-FR"/>
          </a:p>
        </c:txPr>
        <c:crossAx val="76605312"/>
        <c:crosses val="autoZero"/>
        <c:crossBetween val="between"/>
      </c:valAx>
    </c:plotArea>
    <c:legend>
      <c:legendPos val="b"/>
      <c:txPr>
        <a:bodyPr/>
        <a:lstStyle/>
        <a:p>
          <a:pPr>
            <a:defRPr sz="920" b="1" i="0" u="none" strike="noStrike" baseline="0">
              <a:solidFill>
                <a:srgbClr val="000000"/>
              </a:solidFill>
              <a:latin typeface="Calibri"/>
              <a:ea typeface="Calibri"/>
              <a:cs typeface="Calibri"/>
            </a:defRPr>
          </a:pPr>
          <a:endParaRPr lang="fr-FR"/>
        </a:p>
      </c:txPr>
    </c:legend>
    <c:plotVisOnly val="1"/>
    <c:dispBlanksAs val="gap"/>
  </c:chart>
  <c:spPr>
    <a:ln>
      <a:noFill/>
    </a:ln>
  </c:spPr>
  <c:txPr>
    <a:bodyPr/>
    <a:lstStyle/>
    <a:p>
      <a:pPr>
        <a:defRPr sz="1000" b="0" i="0" u="none" strike="noStrike" baseline="0">
          <a:solidFill>
            <a:srgbClr val="000000"/>
          </a:solidFill>
          <a:latin typeface="Calibri"/>
          <a:ea typeface="Calibri"/>
          <a:cs typeface="Calibri"/>
        </a:defRPr>
      </a:pPr>
      <a:endParaRPr lang="fr-F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lineChart>
        <c:grouping val="standard"/>
        <c:ser>
          <c:idx val="0"/>
          <c:order val="0"/>
          <c:tx>
            <c:strRef>
              <c:f>Feuil1!$B$3</c:f>
              <c:strCache>
                <c:ptCount val="1"/>
                <c:pt idx="0">
                  <c:v>Déclassement</c:v>
                </c:pt>
              </c:strCache>
            </c:strRef>
          </c:tx>
          <c:dLbls>
            <c:dLbl>
              <c:idx val="0"/>
              <c:layout>
                <c:manualLayout>
                  <c:x val="-2.9304029304029304E-2"/>
                  <c:y val="-2.7777777777777964E-2"/>
                </c:manualLayout>
              </c:layout>
              <c:dLblPos val="r"/>
              <c:showVal val="1"/>
            </c:dLbl>
            <c:dLbl>
              <c:idx val="1"/>
              <c:layout>
                <c:manualLayout>
                  <c:x val="-2.1978021978021955E-2"/>
                  <c:y val="-3.2407407407407531E-2"/>
                </c:manualLayout>
              </c:layout>
              <c:dLblPos val="r"/>
              <c:showVal val="1"/>
            </c:dLbl>
            <c:dLbl>
              <c:idx val="2"/>
              <c:layout>
                <c:manualLayout>
                  <c:x val="-2.6862026862026871E-2"/>
                  <c:y val="-3.7037037037037056E-2"/>
                </c:manualLayout>
              </c:layout>
              <c:dLblPos val="r"/>
              <c:showVal val="1"/>
            </c:dLbl>
            <c:dLbl>
              <c:idx val="3"/>
              <c:layout>
                <c:manualLayout>
                  <c:x val="-1.9536019536019543E-2"/>
                  <c:y val="-4.1666666666666567E-2"/>
                </c:manualLayout>
              </c:layout>
              <c:dLblPos val="r"/>
              <c:showVal val="1"/>
            </c:dLbl>
            <c:dLbl>
              <c:idx val="4"/>
              <c:layout>
                <c:manualLayout>
                  <c:x val="-1.4652014652014652E-2"/>
                  <c:y val="-3.2407407407407621E-2"/>
                </c:manualLayout>
              </c:layout>
              <c:dLblPos val="r"/>
              <c:showVal val="1"/>
            </c:dLbl>
            <c:dLbl>
              <c:idx val="5"/>
              <c:layout>
                <c:manualLayout>
                  <c:x val="-2.4420024420024451E-2"/>
                  <c:y val="-4.1666666666666664E-2"/>
                </c:manualLayout>
              </c:layout>
              <c:dLblPos val="r"/>
              <c:showVal val="1"/>
            </c:dLbl>
            <c:dLbl>
              <c:idx val="6"/>
              <c:layout>
                <c:manualLayout>
                  <c:x val="-1.7094017094017103E-2"/>
                  <c:y val="-2.777777777777803E-2"/>
                </c:manualLayout>
              </c:layout>
              <c:dLblPos val="r"/>
              <c:showVal val="1"/>
            </c:dLbl>
            <c:dLbl>
              <c:idx val="7"/>
              <c:layout>
                <c:manualLayout>
                  <c:x val="-2.4420024420024537E-3"/>
                  <c:y val="-2.3148148148148227E-2"/>
                </c:manualLayout>
              </c:layout>
              <c:dLblPos val="r"/>
              <c:showVal val="1"/>
            </c:dLbl>
            <c:dLbl>
              <c:idx val="8"/>
              <c:layout>
                <c:manualLayout>
                  <c:x val="-7.3260073260074145E-3"/>
                  <c:y val="-1.8518518518518514E-2"/>
                </c:manualLayout>
              </c:layout>
              <c:dLblPos val="r"/>
              <c:showVal val="1"/>
            </c:dLbl>
            <c:dLbl>
              <c:idx val="9"/>
              <c:layout>
                <c:manualLayout>
                  <c:x val="-9.7680097680097697E-3"/>
                  <c:y val="-1.8518518518518681E-2"/>
                </c:manualLayout>
              </c:layout>
              <c:dLblPos val="r"/>
              <c:showVal val="1"/>
            </c:dLbl>
            <c:dLbl>
              <c:idx val="10"/>
              <c:layout>
                <c:manualLayout>
                  <c:x val="-1.7094017094017103E-2"/>
                  <c:y val="-2.777777777777803E-2"/>
                </c:manualLayout>
              </c:layout>
              <c:dLblPos val="r"/>
              <c:showVal val="1"/>
            </c:dLbl>
            <c:txPr>
              <a:bodyPr/>
              <a:lstStyle/>
              <a:p>
                <a:pPr>
                  <a:defRPr sz="800" b="1" i="0" u="none" strike="noStrike" baseline="0">
                    <a:solidFill>
                      <a:srgbClr val="0066CC"/>
                    </a:solidFill>
                    <a:latin typeface="Calibri"/>
                    <a:ea typeface="Calibri"/>
                    <a:cs typeface="Calibri"/>
                  </a:defRPr>
                </a:pPr>
                <a:endParaRPr lang="fr-FR"/>
              </a:p>
            </c:txPr>
            <c:showVal val="1"/>
          </c:dLbls>
          <c:cat>
            <c:strRef>
              <c:f>Feuil1!$A$4:$A$15</c:f>
              <c:strCache>
                <c:ptCount val="12"/>
                <c:pt idx="0">
                  <c:v>15-19 ans</c:v>
                </c:pt>
                <c:pt idx="1">
                  <c:v>20-24 ans</c:v>
                </c:pt>
                <c:pt idx="2">
                  <c:v>25-29 ans</c:v>
                </c:pt>
                <c:pt idx="3">
                  <c:v>30-34 ans</c:v>
                </c:pt>
                <c:pt idx="4">
                  <c:v>35-39 ans</c:v>
                </c:pt>
                <c:pt idx="5">
                  <c:v>40-44 ans</c:v>
                </c:pt>
                <c:pt idx="6">
                  <c:v>45-49 ans</c:v>
                </c:pt>
                <c:pt idx="7">
                  <c:v>50-54 ans</c:v>
                </c:pt>
                <c:pt idx="8">
                  <c:v>55-59 ans</c:v>
                </c:pt>
                <c:pt idx="9">
                  <c:v>60-64 ans</c:v>
                </c:pt>
                <c:pt idx="10">
                  <c:v>65-69 ans</c:v>
                </c:pt>
                <c:pt idx="11">
                  <c:v>70-74 ans</c:v>
                </c:pt>
              </c:strCache>
            </c:strRef>
          </c:cat>
          <c:val>
            <c:numRef>
              <c:f>Feuil1!$B$4:$B$15</c:f>
              <c:numCache>
                <c:formatCode>0.0</c:formatCode>
                <c:ptCount val="12"/>
                <c:pt idx="0">
                  <c:v>4.1815371065258677</c:v>
                </c:pt>
                <c:pt idx="1">
                  <c:v>9.2793757413432179</c:v>
                </c:pt>
                <c:pt idx="2">
                  <c:v>11.773757725615498</c:v>
                </c:pt>
                <c:pt idx="3">
                  <c:v>9.4379930211683281</c:v>
                </c:pt>
                <c:pt idx="4">
                  <c:v>7.9873711419715514</c:v>
                </c:pt>
                <c:pt idx="5">
                  <c:v>7.7578588228666385</c:v>
                </c:pt>
                <c:pt idx="6">
                  <c:v>7.5553373136718935</c:v>
                </c:pt>
                <c:pt idx="7">
                  <c:v>5.1994429534870727</c:v>
                </c:pt>
                <c:pt idx="8">
                  <c:v>3.0479808182703469</c:v>
                </c:pt>
                <c:pt idx="9">
                  <c:v>1.5539745888522558</c:v>
                </c:pt>
                <c:pt idx="10">
                  <c:v>1.1381747347746993</c:v>
                </c:pt>
                <c:pt idx="11">
                  <c:v>0.67864369971867511</c:v>
                </c:pt>
              </c:numCache>
            </c:numRef>
          </c:val>
        </c:ser>
        <c:ser>
          <c:idx val="1"/>
          <c:order val="1"/>
          <c:tx>
            <c:strRef>
              <c:f>Feuil1!$C$3</c:f>
              <c:strCache>
                <c:ptCount val="1"/>
                <c:pt idx="0">
                  <c:v>Surclassement</c:v>
                </c:pt>
              </c:strCache>
            </c:strRef>
          </c:tx>
          <c:dLbls>
            <c:dLbl>
              <c:idx val="0"/>
              <c:layout>
                <c:manualLayout>
                  <c:x val="-9.7680097680097697E-3"/>
                  <c:y val="3.7037037037037056E-2"/>
                </c:manualLayout>
              </c:layout>
              <c:dLblPos val="r"/>
              <c:showVal val="1"/>
            </c:dLbl>
            <c:dLbl>
              <c:idx val="1"/>
              <c:layout>
                <c:manualLayout>
                  <c:x val="-2.4420024420024212E-3"/>
                  <c:y val="2.777777777777803E-2"/>
                </c:manualLayout>
              </c:layout>
              <c:dLblPos val="r"/>
              <c:showVal val="1"/>
            </c:dLbl>
            <c:dLbl>
              <c:idx val="2"/>
              <c:layout>
                <c:manualLayout>
                  <c:x val="0"/>
                  <c:y val="2.3148148148148147E-2"/>
                </c:manualLayout>
              </c:layout>
              <c:dLblPos val="r"/>
              <c:showVal val="1"/>
            </c:dLbl>
            <c:dLbl>
              <c:idx val="3"/>
              <c:layout>
                <c:manualLayout>
                  <c:x val="-2.4420024420024537E-3"/>
                  <c:y val="1.8518518518518583E-2"/>
                </c:manualLayout>
              </c:layout>
              <c:dLblPos val="r"/>
              <c:showVal val="1"/>
            </c:dLbl>
            <c:dLbl>
              <c:idx val="4"/>
              <c:layout>
                <c:manualLayout>
                  <c:x val="0"/>
                  <c:y val="2.777777777777803E-2"/>
                </c:manualLayout>
              </c:layout>
              <c:dLblPos val="r"/>
              <c:showVal val="1"/>
            </c:dLbl>
            <c:dLbl>
              <c:idx val="5"/>
              <c:layout>
                <c:manualLayout>
                  <c:x val="-1.4652014652014652E-2"/>
                  <c:y val="-4.1666666666666664E-2"/>
                </c:manualLayout>
              </c:layout>
              <c:dLblPos val="r"/>
              <c:showVal val="1"/>
            </c:dLbl>
            <c:dLbl>
              <c:idx val="6"/>
              <c:layout>
                <c:manualLayout>
                  <c:x val="-7.3260073260073303E-3"/>
                  <c:y val="-5.0925925925925923E-2"/>
                </c:manualLayout>
              </c:layout>
              <c:dLblPos val="r"/>
              <c:showVal val="1"/>
            </c:dLbl>
            <c:dLbl>
              <c:idx val="7"/>
              <c:layout>
                <c:manualLayout>
                  <c:x val="-3.1746031746031744E-2"/>
                  <c:y val="-5.0925925925925992E-2"/>
                </c:manualLayout>
              </c:layout>
              <c:dLblPos val="r"/>
              <c:showVal val="1"/>
            </c:dLbl>
            <c:dLbl>
              <c:idx val="8"/>
              <c:layout>
                <c:manualLayout>
                  <c:x val="-8.9539055177285895E-17"/>
                  <c:y val="1.8518518518518583E-2"/>
                </c:manualLayout>
              </c:layout>
              <c:dLblPos val="r"/>
              <c:showVal val="1"/>
            </c:dLbl>
            <c:dLbl>
              <c:idx val="9"/>
              <c:layout>
                <c:manualLayout>
                  <c:x val="0"/>
                  <c:y val="1.3888888888888975E-2"/>
                </c:manualLayout>
              </c:layout>
              <c:dLblPos val="r"/>
              <c:showVal val="1"/>
            </c:dLbl>
            <c:dLbl>
              <c:idx val="10"/>
              <c:layout>
                <c:manualLayout>
                  <c:x val="0"/>
                  <c:y val="1.3888888888888975E-2"/>
                </c:manualLayout>
              </c:layout>
              <c:dLblPos val="r"/>
              <c:showVal val="1"/>
            </c:dLbl>
            <c:txPr>
              <a:bodyPr/>
              <a:lstStyle/>
              <a:p>
                <a:pPr>
                  <a:defRPr sz="800" b="1" i="0" u="none" strike="noStrike" baseline="0">
                    <a:solidFill>
                      <a:srgbClr val="993300"/>
                    </a:solidFill>
                    <a:latin typeface="Calibri"/>
                    <a:ea typeface="Calibri"/>
                    <a:cs typeface="Calibri"/>
                  </a:defRPr>
                </a:pPr>
                <a:endParaRPr lang="fr-FR"/>
              </a:p>
            </c:txPr>
            <c:showVal val="1"/>
          </c:dLbls>
          <c:cat>
            <c:strRef>
              <c:f>Feuil1!$A$4:$A$15</c:f>
              <c:strCache>
                <c:ptCount val="12"/>
                <c:pt idx="0">
                  <c:v>15-19 ans</c:v>
                </c:pt>
                <c:pt idx="1">
                  <c:v>20-24 ans</c:v>
                </c:pt>
                <c:pt idx="2">
                  <c:v>25-29 ans</c:v>
                </c:pt>
                <c:pt idx="3">
                  <c:v>30-34 ans</c:v>
                </c:pt>
                <c:pt idx="4">
                  <c:v>35-39 ans</c:v>
                </c:pt>
                <c:pt idx="5">
                  <c:v>40-44 ans</c:v>
                </c:pt>
                <c:pt idx="6">
                  <c:v>45-49 ans</c:v>
                </c:pt>
                <c:pt idx="7">
                  <c:v>50-54 ans</c:v>
                </c:pt>
                <c:pt idx="8">
                  <c:v>55-59 ans</c:v>
                </c:pt>
                <c:pt idx="9">
                  <c:v>60-64 ans</c:v>
                </c:pt>
                <c:pt idx="10">
                  <c:v>65-69 ans</c:v>
                </c:pt>
                <c:pt idx="11">
                  <c:v>70-74 ans</c:v>
                </c:pt>
              </c:strCache>
            </c:strRef>
          </c:cat>
          <c:val>
            <c:numRef>
              <c:f>Feuil1!$C$4:$C$15</c:f>
              <c:numCache>
                <c:formatCode>0.0</c:formatCode>
                <c:ptCount val="12"/>
                <c:pt idx="0">
                  <c:v>37.140471756103345</c:v>
                </c:pt>
                <c:pt idx="1">
                  <c:v>39.604706260620979</c:v>
                </c:pt>
                <c:pt idx="2">
                  <c:v>39.106126878679262</c:v>
                </c:pt>
                <c:pt idx="3">
                  <c:v>43.054085945441351</c:v>
                </c:pt>
                <c:pt idx="4">
                  <c:v>45.554976448754729</c:v>
                </c:pt>
                <c:pt idx="5">
                  <c:v>46.936309029195961</c:v>
                </c:pt>
                <c:pt idx="6">
                  <c:v>47.334557080204434</c:v>
                </c:pt>
                <c:pt idx="7">
                  <c:v>51.715450056856604</c:v>
                </c:pt>
                <c:pt idx="8">
                  <c:v>58.066129277969502</c:v>
                </c:pt>
                <c:pt idx="9">
                  <c:v>67.625850733606626</c:v>
                </c:pt>
                <c:pt idx="10">
                  <c:v>73.632017000177086</c:v>
                </c:pt>
                <c:pt idx="11">
                  <c:v>78.554859088889984</c:v>
                </c:pt>
              </c:numCache>
            </c:numRef>
          </c:val>
        </c:ser>
        <c:ser>
          <c:idx val="2"/>
          <c:order val="2"/>
          <c:tx>
            <c:strRef>
              <c:f>Feuil1!$D$3</c:f>
              <c:strCache>
                <c:ptCount val="1"/>
                <c:pt idx="0">
                  <c:v>Adéquation</c:v>
                </c:pt>
              </c:strCache>
            </c:strRef>
          </c:tx>
          <c:dLbls>
            <c:dLbl>
              <c:idx val="0"/>
              <c:layout>
                <c:manualLayout>
                  <c:x val="0"/>
                  <c:y val="-1.8518518518518552E-2"/>
                </c:manualLayout>
              </c:layout>
              <c:dLblPos val="r"/>
              <c:showVal val="1"/>
            </c:dLbl>
            <c:dLbl>
              <c:idx val="1"/>
              <c:layout>
                <c:manualLayout>
                  <c:x val="-7.3260073260073026E-3"/>
                  <c:y val="-3.7037037037037056E-2"/>
                </c:manualLayout>
              </c:layout>
              <c:dLblPos val="r"/>
              <c:showVal val="1"/>
            </c:dLbl>
            <c:dLbl>
              <c:idx val="2"/>
              <c:layout>
                <c:manualLayout>
                  <c:x val="-4.8840048840049013E-3"/>
                  <c:y val="-4.1666666666666664E-2"/>
                </c:manualLayout>
              </c:layout>
              <c:dLblPos val="r"/>
              <c:showVal val="1"/>
            </c:dLbl>
            <c:dLbl>
              <c:idx val="3"/>
              <c:layout>
                <c:manualLayout>
                  <c:x val="-2.4420024420024537E-3"/>
                  <c:y val="-2.3148148148148147E-2"/>
                </c:manualLayout>
              </c:layout>
              <c:dLblPos val="r"/>
              <c:showVal val="1"/>
            </c:dLbl>
            <c:dLbl>
              <c:idx val="4"/>
              <c:layout>
                <c:manualLayout>
                  <c:x val="-1.4652014652014652E-2"/>
                  <c:y val="-3.7037037037037056E-2"/>
                </c:manualLayout>
              </c:layout>
              <c:dLblPos val="r"/>
              <c:showVal val="1"/>
            </c:dLbl>
            <c:dLbl>
              <c:idx val="5"/>
              <c:layout>
                <c:manualLayout>
                  <c:x val="0"/>
                  <c:y val="3.2407407407407621E-2"/>
                </c:manualLayout>
              </c:layout>
              <c:dLblPos val="r"/>
              <c:showVal val="1"/>
            </c:dLbl>
            <c:dLbl>
              <c:idx val="6"/>
              <c:layout>
                <c:manualLayout>
                  <c:x val="-2.4420024420024537E-3"/>
                  <c:y val="4.1666666666666664E-2"/>
                </c:manualLayout>
              </c:layout>
              <c:dLblPos val="r"/>
              <c:showVal val="1"/>
            </c:dLbl>
            <c:dLbl>
              <c:idx val="7"/>
              <c:layout>
                <c:manualLayout>
                  <c:x val="0"/>
                  <c:y val="3.2407407407407621E-2"/>
                </c:manualLayout>
              </c:layout>
              <c:dLblPos val="r"/>
              <c:showVal val="1"/>
            </c:dLbl>
            <c:dLbl>
              <c:idx val="8"/>
              <c:layout>
                <c:manualLayout>
                  <c:x val="-8.9539055177285895E-17"/>
                  <c:y val="-9.2592592592593385E-3"/>
                </c:manualLayout>
              </c:layout>
              <c:dLblPos val="r"/>
              <c:showVal val="1"/>
            </c:dLbl>
            <c:dLbl>
              <c:idx val="9"/>
              <c:layout>
                <c:manualLayout>
                  <c:x val="-9.7680097680097697E-3"/>
                  <c:y val="-3.7037037037037056E-2"/>
                </c:manualLayout>
              </c:layout>
              <c:dLblPos val="r"/>
              <c:showVal val="1"/>
            </c:dLbl>
            <c:dLbl>
              <c:idx val="10"/>
              <c:layout>
                <c:manualLayout>
                  <c:x val="0"/>
                  <c:y val="-3.7037037037037056E-2"/>
                </c:manualLayout>
              </c:layout>
              <c:dLblPos val="r"/>
              <c:showVal val="1"/>
            </c:dLbl>
            <c:txPr>
              <a:bodyPr/>
              <a:lstStyle/>
              <a:p>
                <a:pPr>
                  <a:defRPr sz="800" b="1" i="0" u="none" strike="noStrike" baseline="0">
                    <a:solidFill>
                      <a:srgbClr val="666699"/>
                    </a:solidFill>
                    <a:latin typeface="Calibri"/>
                    <a:ea typeface="Calibri"/>
                    <a:cs typeface="Calibri"/>
                  </a:defRPr>
                </a:pPr>
                <a:endParaRPr lang="fr-FR"/>
              </a:p>
            </c:txPr>
            <c:showVal val="1"/>
          </c:dLbls>
          <c:cat>
            <c:strRef>
              <c:f>Feuil1!$A$4:$A$15</c:f>
              <c:strCache>
                <c:ptCount val="12"/>
                <c:pt idx="0">
                  <c:v>15-19 ans</c:v>
                </c:pt>
                <c:pt idx="1">
                  <c:v>20-24 ans</c:v>
                </c:pt>
                <c:pt idx="2">
                  <c:v>25-29 ans</c:v>
                </c:pt>
                <c:pt idx="3">
                  <c:v>30-34 ans</c:v>
                </c:pt>
                <c:pt idx="4">
                  <c:v>35-39 ans</c:v>
                </c:pt>
                <c:pt idx="5">
                  <c:v>40-44 ans</c:v>
                </c:pt>
                <c:pt idx="6">
                  <c:v>45-49 ans</c:v>
                </c:pt>
                <c:pt idx="7">
                  <c:v>50-54 ans</c:v>
                </c:pt>
                <c:pt idx="8">
                  <c:v>55-59 ans</c:v>
                </c:pt>
                <c:pt idx="9">
                  <c:v>60-64 ans</c:v>
                </c:pt>
                <c:pt idx="10">
                  <c:v>65-69 ans</c:v>
                </c:pt>
                <c:pt idx="11">
                  <c:v>70-74 ans</c:v>
                </c:pt>
              </c:strCache>
            </c:strRef>
          </c:cat>
          <c:val>
            <c:numRef>
              <c:f>Feuil1!$D$4:$D$15</c:f>
              <c:numCache>
                <c:formatCode>0.0</c:formatCode>
                <c:ptCount val="12"/>
                <c:pt idx="0">
                  <c:v>58.677991137370753</c:v>
                </c:pt>
                <c:pt idx="1">
                  <c:v>51.115917998035989</c:v>
                </c:pt>
                <c:pt idx="2">
                  <c:v>49.12011539570544</c:v>
                </c:pt>
                <c:pt idx="3">
                  <c:v>47.507921033390048</c:v>
                </c:pt>
                <c:pt idx="4">
                  <c:v>46.4576524092735</c:v>
                </c:pt>
                <c:pt idx="5">
                  <c:v>45.305832147937416</c:v>
                </c:pt>
                <c:pt idx="6">
                  <c:v>45.110105606123511</c:v>
                </c:pt>
                <c:pt idx="7">
                  <c:v>43.085106989656296</c:v>
                </c:pt>
                <c:pt idx="8">
                  <c:v>38.885889903759981</c:v>
                </c:pt>
                <c:pt idx="9">
                  <c:v>30.820174677540628</c:v>
                </c:pt>
                <c:pt idx="10">
                  <c:v>25.229808265048231</c:v>
                </c:pt>
                <c:pt idx="11">
                  <c:v>20.76649721139124</c:v>
                </c:pt>
              </c:numCache>
            </c:numRef>
          </c:val>
        </c:ser>
        <c:marker val="1"/>
        <c:axId val="76736000"/>
        <c:axId val="76737536"/>
      </c:lineChart>
      <c:catAx>
        <c:axId val="76736000"/>
        <c:scaling>
          <c:orientation val="minMax"/>
        </c:scaling>
        <c:axPos val="b"/>
        <c:numFmt formatCode="General" sourceLinked="1"/>
        <c:tickLblPos val="nextTo"/>
        <c:txPr>
          <a:bodyPr rot="0" vert="horz"/>
          <a:lstStyle/>
          <a:p>
            <a:pPr>
              <a:defRPr sz="800" b="0" i="0" u="none" strike="noStrike" baseline="0">
                <a:solidFill>
                  <a:srgbClr val="000000"/>
                </a:solidFill>
                <a:latin typeface="Times New Roman"/>
                <a:ea typeface="Times New Roman"/>
                <a:cs typeface="Times New Roman"/>
              </a:defRPr>
            </a:pPr>
            <a:endParaRPr lang="fr-FR"/>
          </a:p>
        </c:txPr>
        <c:crossAx val="76737536"/>
        <c:crosses val="autoZero"/>
        <c:auto val="1"/>
        <c:lblAlgn val="ctr"/>
        <c:lblOffset val="100"/>
      </c:catAx>
      <c:valAx>
        <c:axId val="76737536"/>
        <c:scaling>
          <c:orientation val="minMax"/>
          <c:max val="100"/>
        </c:scaling>
        <c:axPos val="l"/>
        <c:majorGridlines/>
        <c:numFmt formatCode="0.0" sourceLinked="1"/>
        <c:tickLblPos val="nextTo"/>
        <c:txPr>
          <a:bodyPr rot="0" vert="horz"/>
          <a:lstStyle/>
          <a:p>
            <a:pPr>
              <a:defRPr sz="800" b="0" i="0" u="none" strike="noStrike" baseline="0">
                <a:solidFill>
                  <a:srgbClr val="000000"/>
                </a:solidFill>
                <a:latin typeface="Times New Roman"/>
                <a:ea typeface="Times New Roman"/>
                <a:cs typeface="Times New Roman"/>
              </a:defRPr>
            </a:pPr>
            <a:endParaRPr lang="fr-FR"/>
          </a:p>
        </c:txPr>
        <c:crossAx val="76736000"/>
        <c:crosses val="autoZero"/>
        <c:crossBetween val="between"/>
        <c:majorUnit val="10"/>
      </c:valAx>
    </c:plotArea>
    <c:legend>
      <c:legendPos val="b"/>
      <c:txPr>
        <a:bodyPr/>
        <a:lstStyle/>
        <a:p>
          <a:pPr>
            <a:defRPr sz="920" b="1" i="0" u="none" strike="noStrike" baseline="0">
              <a:solidFill>
                <a:srgbClr val="000000"/>
              </a:solidFill>
              <a:latin typeface="Calibri"/>
              <a:ea typeface="Calibri"/>
              <a:cs typeface="Calibri"/>
            </a:defRPr>
          </a:pPr>
          <a:endParaRPr lang="fr-FR"/>
        </a:p>
      </c:txPr>
    </c:legend>
    <c:plotVisOnly val="1"/>
    <c:dispBlanksAs val="gap"/>
  </c:chart>
  <c:spPr>
    <a:ln>
      <a:noFill/>
    </a:ln>
  </c:spPr>
  <c:txPr>
    <a:bodyPr/>
    <a:lstStyle/>
    <a:p>
      <a:pPr>
        <a:defRPr sz="1000" b="0" i="0" u="none" strike="noStrike" baseline="0">
          <a:solidFill>
            <a:srgbClr val="000000"/>
          </a:solidFill>
          <a:latin typeface="Calibri"/>
          <a:ea typeface="Calibri"/>
          <a:cs typeface="Calibri"/>
        </a:defRPr>
      </a:pPr>
      <a:endParaRPr lang="fr-FR"/>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stacked"/>
        <c:ser>
          <c:idx val="0"/>
          <c:order val="0"/>
          <c:tx>
            <c:strRef>
              <c:f>'G:\RGPH2014\10 11 2017\[RGPH2014_ADEQUATION_AO_VARIABLES_ DU 10 NOVEMBRE 2017.xls]NIV INSTR'!$A$30</c:f>
              <c:strCache>
                <c:ptCount val="1"/>
                <c:pt idx="0">
                  <c:v>Adéquation</c:v>
                </c:pt>
              </c:strCache>
            </c:strRef>
          </c:tx>
          <c:dLbls>
            <c:numFmt formatCode="#,##0.0" sourceLinked="0"/>
            <c:txPr>
              <a:bodyPr/>
              <a:lstStyle/>
              <a:p>
                <a:pPr>
                  <a:defRPr sz="800" b="1"/>
                </a:pPr>
                <a:endParaRPr lang="fr-FR"/>
              </a:p>
            </c:txPr>
            <c:showVal val="1"/>
          </c:dLbls>
          <c:cat>
            <c:strRef>
              <c:f>'G:\RGPH2014\10 11 2017\[RGPH2014_ADEQUATION_AO_VARIABLES_ DU 10 NOVEMBRE 2017.xls]NIV INSTR'!$B$29:$G$29</c:f>
              <c:strCache>
                <c:ptCount val="6"/>
                <c:pt idx="0">
                  <c:v>Néant</c:v>
                </c:pt>
                <c:pt idx="1">
                  <c:v>Préscolaire</c:v>
                </c:pt>
                <c:pt idx="2">
                  <c:v>Primaire</c:v>
                </c:pt>
                <c:pt idx="3">
                  <c:v>Secondaire collégial</c:v>
                </c:pt>
                <c:pt idx="4">
                  <c:v>Secondaire qualifiant</c:v>
                </c:pt>
                <c:pt idx="5">
                  <c:v>Supérieur</c:v>
                </c:pt>
              </c:strCache>
            </c:strRef>
          </c:cat>
          <c:val>
            <c:numRef>
              <c:f>'G:\RGPH2014\10 11 2017\[RGPH2014_ADEQUATION_AO_VARIABLES_ DU 10 NOVEMBRE 2017.xls]NIV INSTR'!$B$30:$G$30</c:f>
              <c:numCache>
                <c:formatCode>General</c:formatCode>
                <c:ptCount val="6"/>
                <c:pt idx="0">
                  <c:v>42.504078494430594</c:v>
                </c:pt>
                <c:pt idx="1">
                  <c:v>31.055244202526904</c:v>
                </c:pt>
                <c:pt idx="2">
                  <c:v>36.462844182319479</c:v>
                </c:pt>
                <c:pt idx="3">
                  <c:v>43.365612919868433</c:v>
                </c:pt>
                <c:pt idx="4">
                  <c:v>63.241816126762046</c:v>
                </c:pt>
                <c:pt idx="5">
                  <c:v>67.056363046011029</c:v>
                </c:pt>
              </c:numCache>
            </c:numRef>
          </c:val>
        </c:ser>
        <c:ser>
          <c:idx val="1"/>
          <c:order val="1"/>
          <c:tx>
            <c:strRef>
              <c:f>'G:\RGPH2014\10 11 2017\[RGPH2014_ADEQUATION_AO_VARIABLES_ DU 10 NOVEMBRE 2017.xls]NIV INSTR'!$A$31</c:f>
              <c:strCache>
                <c:ptCount val="1"/>
                <c:pt idx="0">
                  <c:v>Déclassement</c:v>
                </c:pt>
              </c:strCache>
            </c:strRef>
          </c:tx>
          <c:dLbls>
            <c:numFmt formatCode="#,##0.0" sourceLinked="0"/>
            <c:txPr>
              <a:bodyPr/>
              <a:lstStyle/>
              <a:p>
                <a:pPr>
                  <a:defRPr sz="800" b="1"/>
                </a:pPr>
                <a:endParaRPr lang="fr-FR"/>
              </a:p>
            </c:txPr>
            <c:showVal val="1"/>
          </c:dLbls>
          <c:cat>
            <c:strRef>
              <c:f>'G:\RGPH2014\10 11 2017\[RGPH2014_ADEQUATION_AO_VARIABLES_ DU 10 NOVEMBRE 2017.xls]NIV INSTR'!$B$29:$G$29</c:f>
              <c:strCache>
                <c:ptCount val="6"/>
                <c:pt idx="0">
                  <c:v>Néant</c:v>
                </c:pt>
                <c:pt idx="1">
                  <c:v>Préscolaire</c:v>
                </c:pt>
                <c:pt idx="2">
                  <c:v>Primaire</c:v>
                </c:pt>
                <c:pt idx="3">
                  <c:v>Secondaire collégial</c:v>
                </c:pt>
                <c:pt idx="4">
                  <c:v>Secondaire qualifiant</c:v>
                </c:pt>
                <c:pt idx="5">
                  <c:v>Supérieur</c:v>
                </c:pt>
              </c:strCache>
            </c:strRef>
          </c:cat>
          <c:val>
            <c:numRef>
              <c:f>'G:\RGPH2014\10 11 2017\[RGPH2014_ADEQUATION_AO_VARIABLES_ DU 10 NOVEMBRE 2017.xls]NIV INSTR'!$B$31:$G$31</c:f>
              <c:numCache>
                <c:formatCode>General</c:formatCode>
                <c:ptCount val="6"/>
                <c:pt idx="0">
                  <c:v>0</c:v>
                </c:pt>
                <c:pt idx="1">
                  <c:v>0</c:v>
                </c:pt>
                <c:pt idx="2">
                  <c:v>0.40688001285125913</c:v>
                </c:pt>
                <c:pt idx="3">
                  <c:v>5.9581350771716215</c:v>
                </c:pt>
                <c:pt idx="4">
                  <c:v>26.96235951461896</c:v>
                </c:pt>
                <c:pt idx="5">
                  <c:v>28.358672192829989</c:v>
                </c:pt>
              </c:numCache>
            </c:numRef>
          </c:val>
        </c:ser>
        <c:ser>
          <c:idx val="2"/>
          <c:order val="2"/>
          <c:tx>
            <c:strRef>
              <c:f>'G:\RGPH2014\10 11 2017\[RGPH2014_ADEQUATION_AO_VARIABLES_ DU 10 NOVEMBRE 2017.xls]NIV INSTR'!$A$32</c:f>
              <c:strCache>
                <c:ptCount val="1"/>
                <c:pt idx="0">
                  <c:v>Surclassement</c:v>
                </c:pt>
              </c:strCache>
            </c:strRef>
          </c:tx>
          <c:dLbls>
            <c:numFmt formatCode="#,##0.0" sourceLinked="0"/>
            <c:txPr>
              <a:bodyPr/>
              <a:lstStyle/>
              <a:p>
                <a:pPr>
                  <a:defRPr sz="800" b="1"/>
                </a:pPr>
                <a:endParaRPr lang="fr-FR"/>
              </a:p>
            </c:txPr>
            <c:showVal val="1"/>
          </c:dLbls>
          <c:cat>
            <c:strRef>
              <c:f>'G:\RGPH2014\10 11 2017\[RGPH2014_ADEQUATION_AO_VARIABLES_ DU 10 NOVEMBRE 2017.xls]NIV INSTR'!$B$29:$G$29</c:f>
              <c:strCache>
                <c:ptCount val="6"/>
                <c:pt idx="0">
                  <c:v>Néant</c:v>
                </c:pt>
                <c:pt idx="1">
                  <c:v>Préscolaire</c:v>
                </c:pt>
                <c:pt idx="2">
                  <c:v>Primaire</c:v>
                </c:pt>
                <c:pt idx="3">
                  <c:v>Secondaire collégial</c:v>
                </c:pt>
                <c:pt idx="4">
                  <c:v>Secondaire qualifiant</c:v>
                </c:pt>
                <c:pt idx="5">
                  <c:v>Supérieur</c:v>
                </c:pt>
              </c:strCache>
            </c:strRef>
          </c:cat>
          <c:val>
            <c:numRef>
              <c:f>'G:\RGPH2014\10 11 2017\[RGPH2014_ADEQUATION_AO_VARIABLES_ DU 10 NOVEMBRE 2017.xls]NIV INSTR'!$B$32:$G$32</c:f>
              <c:numCache>
                <c:formatCode>General</c:formatCode>
                <c:ptCount val="6"/>
                <c:pt idx="0">
                  <c:v>57.495921505569392</c:v>
                </c:pt>
                <c:pt idx="1">
                  <c:v>68.944755797473007</c:v>
                </c:pt>
                <c:pt idx="2">
                  <c:v>63.130275804829296</c:v>
                </c:pt>
                <c:pt idx="3">
                  <c:v>50.676252002960013</c:v>
                </c:pt>
                <c:pt idx="4">
                  <c:v>9.7958243586189244</c:v>
                </c:pt>
                <c:pt idx="5">
                  <c:v>4.5849647611589655</c:v>
                </c:pt>
              </c:numCache>
            </c:numRef>
          </c:val>
        </c:ser>
        <c:overlap val="100"/>
        <c:axId val="98399360"/>
        <c:axId val="98400896"/>
      </c:barChart>
      <c:catAx>
        <c:axId val="98399360"/>
        <c:scaling>
          <c:orientation val="minMax"/>
        </c:scaling>
        <c:axPos val="b"/>
        <c:numFmt formatCode="General" sourceLinked="1"/>
        <c:tickLblPos val="nextTo"/>
        <c:txPr>
          <a:bodyPr/>
          <a:lstStyle/>
          <a:p>
            <a:pPr>
              <a:defRPr sz="800" b="1">
                <a:latin typeface="Times New Roman" pitchFamily="18" charset="0"/>
                <a:cs typeface="Times New Roman" pitchFamily="18" charset="0"/>
              </a:defRPr>
            </a:pPr>
            <a:endParaRPr lang="fr-FR"/>
          </a:p>
        </c:txPr>
        <c:crossAx val="98400896"/>
        <c:crosses val="autoZero"/>
        <c:auto val="1"/>
        <c:lblAlgn val="ctr"/>
        <c:lblOffset val="100"/>
      </c:catAx>
      <c:valAx>
        <c:axId val="98400896"/>
        <c:scaling>
          <c:orientation val="minMax"/>
          <c:max val="100"/>
        </c:scaling>
        <c:axPos val="l"/>
        <c:majorGridlines/>
        <c:numFmt formatCode="General" sourceLinked="1"/>
        <c:tickLblPos val="nextTo"/>
        <c:txPr>
          <a:bodyPr/>
          <a:lstStyle/>
          <a:p>
            <a:pPr>
              <a:defRPr sz="800" b="1">
                <a:latin typeface="Times New Roman" pitchFamily="18" charset="0"/>
                <a:cs typeface="Times New Roman" pitchFamily="18" charset="0"/>
              </a:defRPr>
            </a:pPr>
            <a:endParaRPr lang="fr-FR"/>
          </a:p>
        </c:txPr>
        <c:crossAx val="98399360"/>
        <c:crosses val="autoZero"/>
        <c:crossBetween val="between"/>
      </c:valAx>
    </c:plotArea>
    <c:legend>
      <c:legendPos val="b"/>
      <c:txPr>
        <a:bodyPr/>
        <a:lstStyle/>
        <a:p>
          <a:pPr>
            <a:defRPr sz="800" b="1">
              <a:latin typeface="Times New Roman" pitchFamily="18" charset="0"/>
              <a:cs typeface="Times New Roman" pitchFamily="18" charset="0"/>
            </a:defRPr>
          </a:pPr>
          <a:endParaRPr lang="fr-FR"/>
        </a:p>
      </c:txPr>
    </c:legend>
    <c:plotVisOnly val="1"/>
    <c:dispBlanksAs val="gap"/>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stacked"/>
        <c:ser>
          <c:idx val="0"/>
          <c:order val="0"/>
          <c:tx>
            <c:strRef>
              <c:f>'G:\RGPH2014\10 11 2017\[RGPH2014_ADEQUATION_AO_VARIABLES_ DU 10 NOVEMBRE 2017.xls]STATUT PROF'!$A$30</c:f>
              <c:strCache>
                <c:ptCount val="1"/>
                <c:pt idx="0">
                  <c:v>Adéquation</c:v>
                </c:pt>
              </c:strCache>
            </c:strRef>
          </c:tx>
          <c:dLbls>
            <c:numFmt formatCode="#,##0.0" sourceLinked="0"/>
            <c:txPr>
              <a:bodyPr/>
              <a:lstStyle/>
              <a:p>
                <a:pPr>
                  <a:defRPr sz="800" b="1">
                    <a:solidFill>
                      <a:schemeClr val="bg1"/>
                    </a:solidFill>
                  </a:defRPr>
                </a:pPr>
                <a:endParaRPr lang="fr-FR"/>
              </a:p>
            </c:txPr>
            <c:showVal val="1"/>
          </c:dLbls>
          <c:cat>
            <c:strRef>
              <c:f>'G:\RGPH2014\10 11 2017\[RGPH2014_ADEQUATION_AO_VARIABLES_ DU 10 NOVEMBRE 2017.xls]STATUT PROF'!$B$29:$I$29</c:f>
              <c:strCache>
                <c:ptCount val="8"/>
                <c:pt idx="0">
                  <c:v>Employeur (&lt; 5)</c:v>
                </c:pt>
                <c:pt idx="1">
                  <c:v>Employeur (5 et +)</c:v>
                </c:pt>
                <c:pt idx="2">
                  <c:v>Indépendant</c:v>
                </c:pt>
                <c:pt idx="3">
                  <c:v>Salarié du secteur public</c:v>
                </c:pt>
                <c:pt idx="4">
                  <c:v>Salarié du secteur privé</c:v>
                </c:pt>
                <c:pt idx="5">
                  <c:v>Aide familiale</c:v>
                </c:pt>
                <c:pt idx="6">
                  <c:v>Apprenti</c:v>
                </c:pt>
                <c:pt idx="7">
                  <c:v>Associé/Partenaire</c:v>
                </c:pt>
              </c:strCache>
            </c:strRef>
          </c:cat>
          <c:val>
            <c:numRef>
              <c:f>'G:\RGPH2014\10 11 2017\[RGPH2014_ADEQUATION_AO_VARIABLES_ DU 10 NOVEMBRE 2017.xls]STATUT PROF'!$B$30:$I$30</c:f>
              <c:numCache>
                <c:formatCode>General</c:formatCode>
                <c:ptCount val="8"/>
                <c:pt idx="0">
                  <c:v>34.886826936594964</c:v>
                </c:pt>
                <c:pt idx="1">
                  <c:v>33.680610469713578</c:v>
                </c:pt>
                <c:pt idx="2">
                  <c:v>23.459245893884017</c:v>
                </c:pt>
                <c:pt idx="3">
                  <c:v>62.005167205416264</c:v>
                </c:pt>
                <c:pt idx="4">
                  <c:v>52.085049051812824</c:v>
                </c:pt>
                <c:pt idx="5">
                  <c:v>85.879018844768495</c:v>
                </c:pt>
                <c:pt idx="6">
                  <c:v>82.136554535629557</c:v>
                </c:pt>
                <c:pt idx="7">
                  <c:v>23.899378528393193</c:v>
                </c:pt>
              </c:numCache>
            </c:numRef>
          </c:val>
        </c:ser>
        <c:ser>
          <c:idx val="1"/>
          <c:order val="1"/>
          <c:tx>
            <c:strRef>
              <c:f>'G:\RGPH2014\10 11 2017\[RGPH2014_ADEQUATION_AO_VARIABLES_ DU 10 NOVEMBRE 2017.xls]STATUT PROF'!$A$31</c:f>
              <c:strCache>
                <c:ptCount val="1"/>
                <c:pt idx="0">
                  <c:v>Déclassement</c:v>
                </c:pt>
              </c:strCache>
            </c:strRef>
          </c:tx>
          <c:dLbls>
            <c:numFmt formatCode="#,##0.0" sourceLinked="0"/>
            <c:txPr>
              <a:bodyPr/>
              <a:lstStyle/>
              <a:p>
                <a:pPr>
                  <a:defRPr sz="800" b="1"/>
                </a:pPr>
                <a:endParaRPr lang="fr-FR"/>
              </a:p>
            </c:txPr>
            <c:showVal val="1"/>
          </c:dLbls>
          <c:cat>
            <c:strRef>
              <c:f>'G:\RGPH2014\10 11 2017\[RGPH2014_ADEQUATION_AO_VARIABLES_ DU 10 NOVEMBRE 2017.xls]STATUT PROF'!$B$29:$I$29</c:f>
              <c:strCache>
                <c:ptCount val="8"/>
                <c:pt idx="0">
                  <c:v>Employeur (&lt; 5)</c:v>
                </c:pt>
                <c:pt idx="1">
                  <c:v>Employeur (5 et +)</c:v>
                </c:pt>
                <c:pt idx="2">
                  <c:v>Indépendant</c:v>
                </c:pt>
                <c:pt idx="3">
                  <c:v>Salarié du secteur public</c:v>
                </c:pt>
                <c:pt idx="4">
                  <c:v>Salarié du secteur privé</c:v>
                </c:pt>
                <c:pt idx="5">
                  <c:v>Aide familiale</c:v>
                </c:pt>
                <c:pt idx="6">
                  <c:v>Apprenti</c:v>
                </c:pt>
                <c:pt idx="7">
                  <c:v>Associé/Partenaire</c:v>
                </c:pt>
              </c:strCache>
            </c:strRef>
          </c:cat>
          <c:val>
            <c:numRef>
              <c:f>'G:\RGPH2014\10 11 2017\[RGPH2014_ADEQUATION_AO_VARIABLES_ DU 10 NOVEMBRE 2017.xls]STATUT PROF'!$B$31:$I$31</c:f>
              <c:numCache>
                <c:formatCode>General</c:formatCode>
                <c:ptCount val="8"/>
                <c:pt idx="0">
                  <c:v>6.8850461596138528</c:v>
                </c:pt>
                <c:pt idx="1">
                  <c:v>0</c:v>
                </c:pt>
                <c:pt idx="2">
                  <c:v>3.318747426242926</c:v>
                </c:pt>
                <c:pt idx="3">
                  <c:v>13.247652495452718</c:v>
                </c:pt>
                <c:pt idx="4">
                  <c:v>9.6144699609695259</c:v>
                </c:pt>
                <c:pt idx="5">
                  <c:v>5.8349346811568346</c:v>
                </c:pt>
                <c:pt idx="6">
                  <c:v>13.18759490553907</c:v>
                </c:pt>
                <c:pt idx="7">
                  <c:v>4.5193083163337917</c:v>
                </c:pt>
              </c:numCache>
            </c:numRef>
          </c:val>
        </c:ser>
        <c:ser>
          <c:idx val="2"/>
          <c:order val="2"/>
          <c:tx>
            <c:strRef>
              <c:f>'G:\RGPH2014\10 11 2017\[RGPH2014_ADEQUATION_AO_VARIABLES_ DU 10 NOVEMBRE 2017.xls]STATUT PROF'!$A$32</c:f>
              <c:strCache>
                <c:ptCount val="1"/>
                <c:pt idx="0">
                  <c:v>Surclassement</c:v>
                </c:pt>
              </c:strCache>
            </c:strRef>
          </c:tx>
          <c:dLbls>
            <c:numFmt formatCode="#,##0.0" sourceLinked="0"/>
            <c:txPr>
              <a:bodyPr/>
              <a:lstStyle/>
              <a:p>
                <a:pPr>
                  <a:defRPr sz="800" b="1"/>
                </a:pPr>
                <a:endParaRPr lang="fr-FR"/>
              </a:p>
            </c:txPr>
            <c:showVal val="1"/>
          </c:dLbls>
          <c:cat>
            <c:strRef>
              <c:f>'G:\RGPH2014\10 11 2017\[RGPH2014_ADEQUATION_AO_VARIABLES_ DU 10 NOVEMBRE 2017.xls]STATUT PROF'!$B$29:$I$29</c:f>
              <c:strCache>
                <c:ptCount val="8"/>
                <c:pt idx="0">
                  <c:v>Employeur (&lt; 5)</c:v>
                </c:pt>
                <c:pt idx="1">
                  <c:v>Employeur (5 et +)</c:v>
                </c:pt>
                <c:pt idx="2">
                  <c:v>Indépendant</c:v>
                </c:pt>
                <c:pt idx="3">
                  <c:v>Salarié du secteur public</c:v>
                </c:pt>
                <c:pt idx="4">
                  <c:v>Salarié du secteur privé</c:v>
                </c:pt>
                <c:pt idx="5">
                  <c:v>Aide familiale</c:v>
                </c:pt>
                <c:pt idx="6">
                  <c:v>Apprenti</c:v>
                </c:pt>
                <c:pt idx="7">
                  <c:v>Associé/Partenaire</c:v>
                </c:pt>
              </c:strCache>
            </c:strRef>
          </c:cat>
          <c:val>
            <c:numRef>
              <c:f>'G:\RGPH2014\10 11 2017\[RGPH2014_ADEQUATION_AO_VARIABLES_ DU 10 NOVEMBRE 2017.xls]STATUT PROF'!$B$32:$I$32</c:f>
              <c:numCache>
                <c:formatCode>General</c:formatCode>
                <c:ptCount val="8"/>
                <c:pt idx="0">
                  <c:v>58.228126903791278</c:v>
                </c:pt>
                <c:pt idx="1">
                  <c:v>66.319389530286259</c:v>
                </c:pt>
                <c:pt idx="2">
                  <c:v>73.222006679873047</c:v>
                </c:pt>
                <c:pt idx="3">
                  <c:v>24.747180299130882</c:v>
                </c:pt>
                <c:pt idx="4">
                  <c:v>38.300480987217227</c:v>
                </c:pt>
                <c:pt idx="5">
                  <c:v>8.2860464740743147</c:v>
                </c:pt>
                <c:pt idx="6">
                  <c:v>4.6758505588311685</c:v>
                </c:pt>
                <c:pt idx="7">
                  <c:v>71.581313155273023</c:v>
                </c:pt>
              </c:numCache>
            </c:numRef>
          </c:val>
        </c:ser>
        <c:overlap val="100"/>
        <c:axId val="98435840"/>
        <c:axId val="98437376"/>
      </c:barChart>
      <c:catAx>
        <c:axId val="98435840"/>
        <c:scaling>
          <c:orientation val="minMax"/>
        </c:scaling>
        <c:axPos val="b"/>
        <c:numFmt formatCode="General" sourceLinked="1"/>
        <c:tickLblPos val="nextTo"/>
        <c:txPr>
          <a:bodyPr/>
          <a:lstStyle/>
          <a:p>
            <a:pPr>
              <a:defRPr sz="600" b="1">
                <a:latin typeface="Times New Roman" pitchFamily="18" charset="0"/>
                <a:cs typeface="Times New Roman" pitchFamily="18" charset="0"/>
              </a:defRPr>
            </a:pPr>
            <a:endParaRPr lang="fr-FR"/>
          </a:p>
        </c:txPr>
        <c:crossAx val="98437376"/>
        <c:crosses val="autoZero"/>
        <c:auto val="1"/>
        <c:lblAlgn val="ctr"/>
        <c:lblOffset val="100"/>
      </c:catAx>
      <c:valAx>
        <c:axId val="98437376"/>
        <c:scaling>
          <c:orientation val="minMax"/>
          <c:max val="100"/>
        </c:scaling>
        <c:axPos val="l"/>
        <c:majorGridlines/>
        <c:numFmt formatCode="General" sourceLinked="1"/>
        <c:tickLblPos val="nextTo"/>
        <c:txPr>
          <a:bodyPr/>
          <a:lstStyle/>
          <a:p>
            <a:pPr>
              <a:defRPr sz="800" b="1">
                <a:latin typeface="Times New Roman" pitchFamily="18" charset="0"/>
                <a:cs typeface="Times New Roman" pitchFamily="18" charset="0"/>
              </a:defRPr>
            </a:pPr>
            <a:endParaRPr lang="fr-FR"/>
          </a:p>
        </c:txPr>
        <c:crossAx val="98435840"/>
        <c:crosses val="autoZero"/>
        <c:crossBetween val="between"/>
      </c:valAx>
    </c:plotArea>
    <c:legend>
      <c:legendPos val="b"/>
      <c:txPr>
        <a:bodyPr/>
        <a:lstStyle/>
        <a:p>
          <a:pPr>
            <a:defRPr sz="900" b="1">
              <a:latin typeface="Times New Roman" pitchFamily="18" charset="0"/>
              <a:cs typeface="Times New Roman" pitchFamily="18" charset="0"/>
            </a:defRPr>
          </a:pPr>
          <a:endParaRPr lang="fr-FR"/>
        </a:p>
      </c:txPr>
    </c:legend>
    <c:plotVisOnly val="1"/>
    <c:dispBlanksAs val="gap"/>
  </c:chart>
  <c:spPr>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lineChart>
        <c:grouping val="standard"/>
        <c:ser>
          <c:idx val="0"/>
          <c:order val="0"/>
          <c:tx>
            <c:strRef>
              <c:f>Feuil1!$C$5</c:f>
              <c:strCache>
                <c:ptCount val="1"/>
                <c:pt idx="0">
                  <c:v>Adéquation</c:v>
                </c:pt>
              </c:strCache>
            </c:strRef>
          </c:tx>
          <c:dLbls>
            <c:dLbl>
              <c:idx val="1"/>
              <c:layout>
                <c:manualLayout>
                  <c:x val="-4.4444377145164554E-2"/>
                  <c:y val="4.0522834645669331E-2"/>
                </c:manualLayout>
              </c:layout>
              <c:showVal val="1"/>
            </c:dLbl>
            <c:dLbl>
              <c:idx val="2"/>
              <c:layout>
                <c:manualLayout>
                  <c:x val="-4.1666666666666664E-2"/>
                  <c:y val="-4.7058823529411813E-2"/>
                </c:manualLayout>
              </c:layout>
              <c:showVal val="1"/>
            </c:dLbl>
            <c:dLbl>
              <c:idx val="6"/>
              <c:layout>
                <c:manualLayout>
                  <c:x val="0"/>
                  <c:y val="2.6666666666666672E-2"/>
                </c:manualLayout>
              </c:layout>
              <c:showVal val="1"/>
            </c:dLbl>
            <c:dLbl>
              <c:idx val="7"/>
              <c:layout>
                <c:manualLayout>
                  <c:x val="0"/>
                  <c:y val="3.137254901960785E-2"/>
                </c:manualLayout>
              </c:layout>
              <c:showVal val="1"/>
            </c:dLbl>
            <c:dLbl>
              <c:idx val="9"/>
              <c:layout>
                <c:manualLayout>
                  <c:x val="-3.5897435897435895E-2"/>
                  <c:y val="-4.0000000000000022E-2"/>
                </c:manualLayout>
              </c:layout>
              <c:showVal val="1"/>
            </c:dLbl>
            <c:dLbl>
              <c:idx val="10"/>
              <c:layout>
                <c:manualLayout>
                  <c:x val="-3.6111111111111212E-2"/>
                  <c:y val="-3.137254901960785E-2"/>
                </c:manualLayout>
              </c:layout>
              <c:showVal val="1"/>
            </c:dLbl>
            <c:dLbl>
              <c:idx val="11"/>
              <c:layout>
                <c:manualLayout>
                  <c:x val="-1.5384615384615432E-2"/>
                  <c:y val="5.7777777777777782E-2"/>
                </c:manualLayout>
              </c:layout>
              <c:showVal val="1"/>
            </c:dLbl>
            <c:dLbl>
              <c:idx val="12"/>
              <c:layout>
                <c:manualLayout>
                  <c:x val="-1.6880274581061987E-2"/>
                  <c:y val="3.3725634295713035E-2"/>
                </c:manualLayout>
              </c:layout>
              <c:showVal val="1"/>
            </c:dLbl>
            <c:dLbl>
              <c:idx val="13"/>
              <c:layout>
                <c:manualLayout>
                  <c:x val="0"/>
                  <c:y val="3.137254901960785E-2"/>
                </c:manualLayout>
              </c:layout>
              <c:showVal val="1"/>
            </c:dLbl>
            <c:txPr>
              <a:bodyPr/>
              <a:lstStyle/>
              <a:p>
                <a:pPr>
                  <a:defRPr sz="800" b="1">
                    <a:solidFill>
                      <a:schemeClr val="tx2">
                        <a:lumMod val="60000"/>
                        <a:lumOff val="40000"/>
                      </a:schemeClr>
                    </a:solidFill>
                  </a:defRPr>
                </a:pPr>
                <a:endParaRPr lang="fr-FR"/>
              </a:p>
            </c:txPr>
            <c:showVal val="1"/>
          </c:dLbls>
          <c:cat>
            <c:strRef>
              <c:f>Feuil1!$B$10:$B$22</c:f>
              <c:strCache>
                <c:ptCount val="13"/>
                <c:pt idx="0">
                  <c:v>Sec. collégial</c:v>
                </c:pt>
                <c:pt idx="1">
                  <c:v>Sec. qualifiant</c:v>
                </c:pt>
                <c:pt idx="2">
                  <c:v>BTS/CPGE</c:v>
                </c:pt>
                <c:pt idx="3">
                  <c:v>DEUG</c:v>
                </c:pt>
                <c:pt idx="4">
                  <c:v>Licence</c:v>
                </c:pt>
                <c:pt idx="5">
                  <c:v>DEA/DES/Master</c:v>
                </c:pt>
                <c:pt idx="6">
                  <c:v>Ingénieur</c:v>
                </c:pt>
                <c:pt idx="7">
                  <c:v>Doctorat</c:v>
                </c:pt>
                <c:pt idx="9">
                  <c:v>Spécialisation prof.</c:v>
                </c:pt>
                <c:pt idx="10">
                  <c:v>Qualification prof.</c:v>
                </c:pt>
                <c:pt idx="11">
                  <c:v>Tech/Cadre moyen</c:v>
                </c:pt>
                <c:pt idx="12">
                  <c:v>Tech spécialisé</c:v>
                </c:pt>
              </c:strCache>
            </c:strRef>
          </c:cat>
          <c:val>
            <c:numRef>
              <c:f>Feuil1!$C$10:$C$22</c:f>
              <c:numCache>
                <c:formatCode>####.0</c:formatCode>
                <c:ptCount val="13"/>
                <c:pt idx="0">
                  <c:v>70.813477888819918</c:v>
                </c:pt>
                <c:pt idx="1">
                  <c:v>64.060043556908951</c:v>
                </c:pt>
                <c:pt idx="2">
                  <c:v>61.008807045636338</c:v>
                </c:pt>
                <c:pt idx="3">
                  <c:v>50.519624980136534</c:v>
                </c:pt>
                <c:pt idx="4">
                  <c:v>64.069627129846197</c:v>
                </c:pt>
                <c:pt idx="5">
                  <c:v>77.30731632516148</c:v>
                </c:pt>
                <c:pt idx="6">
                  <c:v>89.918166194329686</c:v>
                </c:pt>
                <c:pt idx="7">
                  <c:v>94.122583403264656</c:v>
                </c:pt>
                <c:pt idx="9">
                  <c:v>79.609748084526913</c:v>
                </c:pt>
                <c:pt idx="10">
                  <c:v>74.333387656858847</c:v>
                </c:pt>
                <c:pt idx="11">
                  <c:v>49.940512672603376</c:v>
                </c:pt>
                <c:pt idx="12">
                  <c:v>44.210166887191086</c:v>
                </c:pt>
              </c:numCache>
            </c:numRef>
          </c:val>
        </c:ser>
        <c:ser>
          <c:idx val="1"/>
          <c:order val="1"/>
          <c:tx>
            <c:strRef>
              <c:f>Feuil1!$D$5</c:f>
              <c:strCache>
                <c:ptCount val="1"/>
                <c:pt idx="0">
                  <c:v>Déclassement</c:v>
                </c:pt>
              </c:strCache>
            </c:strRef>
          </c:tx>
          <c:dLbls>
            <c:dLbl>
              <c:idx val="3"/>
              <c:layout>
                <c:manualLayout>
                  <c:x val="-1.7948717948717947E-2"/>
                  <c:y val="6.666666666666668E-2"/>
                </c:manualLayout>
              </c:layout>
              <c:showVal val="1"/>
            </c:dLbl>
            <c:dLbl>
              <c:idx val="4"/>
              <c:layout>
                <c:manualLayout>
                  <c:x val="-1.6666666666666701E-2"/>
                  <c:y val="6.2745098039215713E-2"/>
                </c:manualLayout>
              </c:layout>
              <c:showVal val="1"/>
            </c:dLbl>
            <c:dLbl>
              <c:idx val="6"/>
              <c:layout>
                <c:manualLayout>
                  <c:x val="0"/>
                  <c:y val="-2.6666666666666672E-2"/>
                </c:manualLayout>
              </c:layout>
              <c:showVal val="1"/>
            </c:dLbl>
            <c:dLbl>
              <c:idx val="7"/>
              <c:layout>
                <c:manualLayout>
                  <c:x val="0"/>
                  <c:y val="-3.137254901960785E-2"/>
                </c:manualLayout>
              </c:layout>
              <c:showVal val="1"/>
            </c:dLbl>
            <c:dLbl>
              <c:idx val="9"/>
              <c:layout>
                <c:manualLayout>
                  <c:x val="-3.5897435897435895E-2"/>
                  <c:y val="-3.9999999999999918E-2"/>
                </c:manualLayout>
              </c:layout>
              <c:showVal val="1"/>
            </c:dLbl>
            <c:dLbl>
              <c:idx val="10"/>
              <c:layout>
                <c:manualLayout>
                  <c:x val="-2.564102564102486E-3"/>
                  <c:y val="1.0456692913385828E-3"/>
                </c:manualLayout>
              </c:layout>
              <c:showVal val="1"/>
            </c:dLbl>
            <c:dLbl>
              <c:idx val="11"/>
              <c:layout>
                <c:manualLayout>
                  <c:x val="-8.461538461538462E-2"/>
                  <c:y val="1.3333333333333341E-2"/>
                </c:manualLayout>
              </c:layout>
              <c:showVal val="1"/>
            </c:dLbl>
            <c:dLbl>
              <c:idx val="12"/>
              <c:layout>
                <c:manualLayout>
                  <c:x val="-3.2692307692307812E-2"/>
                  <c:y val="-4.6274365704286738E-2"/>
                </c:manualLayout>
              </c:layout>
              <c:showVal val="1"/>
            </c:dLbl>
            <c:txPr>
              <a:bodyPr/>
              <a:lstStyle/>
              <a:p>
                <a:pPr>
                  <a:defRPr sz="800" b="1">
                    <a:solidFill>
                      <a:schemeClr val="accent2">
                        <a:lumMod val="75000"/>
                      </a:schemeClr>
                    </a:solidFill>
                  </a:defRPr>
                </a:pPr>
                <a:endParaRPr lang="fr-FR"/>
              </a:p>
            </c:txPr>
            <c:showVal val="1"/>
          </c:dLbls>
          <c:cat>
            <c:strRef>
              <c:f>Feuil1!$B$10:$B$22</c:f>
              <c:strCache>
                <c:ptCount val="13"/>
                <c:pt idx="0">
                  <c:v>Sec. collégial</c:v>
                </c:pt>
                <c:pt idx="1">
                  <c:v>Sec. qualifiant</c:v>
                </c:pt>
                <c:pt idx="2">
                  <c:v>BTS/CPGE</c:v>
                </c:pt>
                <c:pt idx="3">
                  <c:v>DEUG</c:v>
                </c:pt>
                <c:pt idx="4">
                  <c:v>Licence</c:v>
                </c:pt>
                <c:pt idx="5">
                  <c:v>DEA/DES/Master</c:v>
                </c:pt>
                <c:pt idx="6">
                  <c:v>Ingénieur</c:v>
                </c:pt>
                <c:pt idx="7">
                  <c:v>Doctorat</c:v>
                </c:pt>
                <c:pt idx="9">
                  <c:v>Spécialisation prof.</c:v>
                </c:pt>
                <c:pt idx="10">
                  <c:v>Qualification prof.</c:v>
                </c:pt>
                <c:pt idx="11">
                  <c:v>Tech/Cadre moyen</c:v>
                </c:pt>
                <c:pt idx="12">
                  <c:v>Tech spécialisé</c:v>
                </c:pt>
              </c:strCache>
            </c:strRef>
          </c:cat>
          <c:val>
            <c:numRef>
              <c:f>Feuil1!$D$10:$D$22</c:f>
              <c:numCache>
                <c:formatCode>####.0</c:formatCode>
                <c:ptCount val="13"/>
                <c:pt idx="0">
                  <c:v>21.01301365740559</c:v>
                </c:pt>
                <c:pt idx="1">
                  <c:v>10.760924331572149</c:v>
                </c:pt>
                <c:pt idx="2">
                  <c:v>38.991192954363491</c:v>
                </c:pt>
                <c:pt idx="3">
                  <c:v>49.480375019863324</c:v>
                </c:pt>
                <c:pt idx="4">
                  <c:v>35.930372870154009</c:v>
                </c:pt>
                <c:pt idx="5">
                  <c:v>22.692683674838513</c:v>
                </c:pt>
                <c:pt idx="6">
                  <c:v>10.081833805670319</c:v>
                </c:pt>
                <c:pt idx="7">
                  <c:v>5.8774165967351051</c:v>
                </c:pt>
                <c:pt idx="9">
                  <c:v>17.677496567989017</c:v>
                </c:pt>
                <c:pt idx="10">
                  <c:v>15.215497248304507</c:v>
                </c:pt>
                <c:pt idx="11">
                  <c:v>50.059487327396361</c:v>
                </c:pt>
                <c:pt idx="12">
                  <c:v>55.789833112809013</c:v>
                </c:pt>
              </c:numCache>
            </c:numRef>
          </c:val>
        </c:ser>
        <c:marker val="1"/>
        <c:axId val="98475008"/>
        <c:axId val="98484992"/>
      </c:lineChart>
      <c:catAx>
        <c:axId val="98475008"/>
        <c:scaling>
          <c:orientation val="minMax"/>
        </c:scaling>
        <c:axPos val="b"/>
        <c:numFmt formatCode="General" sourceLinked="0"/>
        <c:tickLblPos val="nextTo"/>
        <c:txPr>
          <a:bodyPr/>
          <a:lstStyle/>
          <a:p>
            <a:pPr>
              <a:defRPr sz="500" b="1"/>
            </a:pPr>
            <a:endParaRPr lang="fr-FR"/>
          </a:p>
        </c:txPr>
        <c:crossAx val="98484992"/>
        <c:crosses val="autoZero"/>
        <c:auto val="1"/>
        <c:lblAlgn val="ctr"/>
        <c:lblOffset val="100"/>
      </c:catAx>
      <c:valAx>
        <c:axId val="98484992"/>
        <c:scaling>
          <c:orientation val="minMax"/>
        </c:scaling>
        <c:axPos val="l"/>
        <c:majorGridlines/>
        <c:numFmt formatCode="#,##0" sourceLinked="0"/>
        <c:tickLblPos val="nextTo"/>
        <c:txPr>
          <a:bodyPr/>
          <a:lstStyle/>
          <a:p>
            <a:pPr>
              <a:defRPr sz="800"/>
            </a:pPr>
            <a:endParaRPr lang="fr-FR"/>
          </a:p>
        </c:txPr>
        <c:crossAx val="98475008"/>
        <c:crosses val="autoZero"/>
        <c:crossBetween val="between"/>
      </c:valAx>
    </c:plotArea>
    <c:legend>
      <c:legendPos val="b"/>
      <c:txPr>
        <a:bodyPr/>
        <a:lstStyle/>
        <a:p>
          <a:pPr>
            <a:defRPr sz="800" b="1"/>
          </a:pPr>
          <a:endParaRPr lang="fr-FR"/>
        </a:p>
      </c:txPr>
    </c:legend>
    <c:plotVisOnly val="1"/>
    <c:dispBlanksAs val="gap"/>
  </c:chart>
  <c:spPr>
    <a:ln>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Feuil1!$B$3</c:f>
              <c:strCache>
                <c:ptCount val="1"/>
                <c:pt idx="0">
                  <c:v>Déclassement</c:v>
                </c:pt>
              </c:strCache>
            </c:strRef>
          </c:tx>
          <c:dLbls>
            <c:txPr>
              <a:bodyPr/>
              <a:lstStyle/>
              <a:p>
                <a:pPr>
                  <a:defRPr sz="800" b="1">
                    <a:solidFill>
                      <a:schemeClr val="tx2">
                        <a:lumMod val="60000"/>
                        <a:lumOff val="40000"/>
                      </a:schemeClr>
                    </a:solidFill>
                  </a:defRPr>
                </a:pPr>
                <a:endParaRPr lang="fr-FR"/>
              </a:p>
            </c:txPr>
            <c:showVal val="1"/>
          </c:dLbls>
          <c:cat>
            <c:strRef>
              <c:f>Feuil1!$A$4:$A$13</c:f>
              <c:strCache>
                <c:ptCount val="10"/>
                <c:pt idx="0">
                  <c:v>0 - Membres des corps législatifs, élus locaux, responsables hiérarchiques de la fonction publique et directeurs et cadr</c:v>
                </c:pt>
                <c:pt idx="1">
                  <c:v>1 - Cadres supérieurs et membres des professions libérales</c:v>
                </c:pt>
                <c:pt idx="2">
                  <c:v>2 - Techniciens et professions intermédiaires</c:v>
                </c:pt>
                <c:pt idx="3">
                  <c:v>3 - Employés</c:v>
                </c:pt>
                <c:pt idx="4">
                  <c:v>4 - Commerçants et intermédiaires commerciaux et financiers</c:v>
                </c:pt>
                <c:pt idx="5">
                  <c:v>5 - Exploitants agricoles, pêcheurs de poissons et d'autres espèces aquatiques, forestiers, chasseurs et travailleurs as</c:v>
                </c:pt>
                <c:pt idx="6">
                  <c:v>6 - Artisans et ouvriers qualifiés des métiers artisanaux (non compris les ouvriers de l'agriculture)</c:v>
                </c:pt>
                <c:pt idx="7">
                  <c:v>7 - Ouvriers et manœuvres agricoles et de la pêche (y compris les ouvriers qualifiés)</c:v>
                </c:pt>
                <c:pt idx="8">
                  <c:v>8 - Conducteurs d'installations et de machines et ouvriers de l'assemblage</c:v>
                </c:pt>
                <c:pt idx="9">
                  <c:v>9 - Manœuvres non agricoles, manutentionnaires et travailleurs des petits métiers</c:v>
                </c:pt>
              </c:strCache>
            </c:strRef>
          </c:cat>
          <c:val>
            <c:numRef>
              <c:f>Feuil1!$B$4:$B$13</c:f>
              <c:numCache>
                <c:formatCode>###0.0</c:formatCode>
                <c:ptCount val="10"/>
                <c:pt idx="0" formatCode="0.0">
                  <c:v>0</c:v>
                </c:pt>
                <c:pt idx="1">
                  <c:v>0</c:v>
                </c:pt>
                <c:pt idx="2" formatCode="0.0">
                  <c:v>0</c:v>
                </c:pt>
                <c:pt idx="3" formatCode="0.0">
                  <c:v>20.859079607754605</c:v>
                </c:pt>
                <c:pt idx="4" formatCode="0.0">
                  <c:v>4.4105484114874072</c:v>
                </c:pt>
                <c:pt idx="5" formatCode="0.0">
                  <c:v>0.6090569935375556</c:v>
                </c:pt>
                <c:pt idx="6" formatCode="0.0">
                  <c:v>3.3107600046984067</c:v>
                </c:pt>
                <c:pt idx="7" formatCode="0.0">
                  <c:v>5.9791045652301538</c:v>
                </c:pt>
                <c:pt idx="8" formatCode="0.0">
                  <c:v>3.8113706705022667</c:v>
                </c:pt>
                <c:pt idx="9" formatCode="0.0">
                  <c:v>15.114176953456932</c:v>
                </c:pt>
              </c:numCache>
            </c:numRef>
          </c:val>
        </c:ser>
        <c:ser>
          <c:idx val="1"/>
          <c:order val="1"/>
          <c:tx>
            <c:strRef>
              <c:f>Feuil1!$C$3</c:f>
              <c:strCache>
                <c:ptCount val="1"/>
                <c:pt idx="0">
                  <c:v>Surclassement</c:v>
                </c:pt>
              </c:strCache>
            </c:strRef>
          </c:tx>
          <c:dLbls>
            <c:txPr>
              <a:bodyPr/>
              <a:lstStyle/>
              <a:p>
                <a:pPr>
                  <a:defRPr sz="800" b="1">
                    <a:solidFill>
                      <a:srgbClr val="C00000"/>
                    </a:solidFill>
                  </a:defRPr>
                </a:pPr>
                <a:endParaRPr lang="fr-FR"/>
              </a:p>
            </c:txPr>
            <c:showVal val="1"/>
          </c:dLbls>
          <c:cat>
            <c:strRef>
              <c:f>Feuil1!$A$4:$A$13</c:f>
              <c:strCache>
                <c:ptCount val="10"/>
                <c:pt idx="0">
                  <c:v>0 - Membres des corps législatifs, élus locaux, responsables hiérarchiques de la fonction publique et directeurs et cadr</c:v>
                </c:pt>
                <c:pt idx="1">
                  <c:v>1 - Cadres supérieurs et membres des professions libérales</c:v>
                </c:pt>
                <c:pt idx="2">
                  <c:v>2 - Techniciens et professions intermédiaires</c:v>
                </c:pt>
                <c:pt idx="3">
                  <c:v>3 - Employés</c:v>
                </c:pt>
                <c:pt idx="4">
                  <c:v>4 - Commerçants et intermédiaires commerciaux et financiers</c:v>
                </c:pt>
                <c:pt idx="5">
                  <c:v>5 - Exploitants agricoles, pêcheurs de poissons et d'autres espèces aquatiques, forestiers, chasseurs et travailleurs as</c:v>
                </c:pt>
                <c:pt idx="6">
                  <c:v>6 - Artisans et ouvriers qualifiés des métiers artisanaux (non compris les ouvriers de l'agriculture)</c:v>
                </c:pt>
                <c:pt idx="7">
                  <c:v>7 - Ouvriers et manœuvres agricoles et de la pêche (y compris les ouvriers qualifiés)</c:v>
                </c:pt>
                <c:pt idx="8">
                  <c:v>8 - Conducteurs d'installations et de machines et ouvriers de l'assemblage</c:v>
                </c:pt>
                <c:pt idx="9">
                  <c:v>9 - Manœuvres non agricoles, manutentionnaires et travailleurs des petits métiers</c:v>
                </c:pt>
              </c:strCache>
            </c:strRef>
          </c:cat>
          <c:val>
            <c:numRef>
              <c:f>Feuil1!$C$4:$C$13</c:f>
              <c:numCache>
                <c:formatCode>###0.0</c:formatCode>
                <c:ptCount val="10"/>
                <c:pt idx="0" formatCode="0.0">
                  <c:v>42.738050921069096</c:v>
                </c:pt>
                <c:pt idx="1">
                  <c:v>10.860932235571724</c:v>
                </c:pt>
                <c:pt idx="2" formatCode="0.0">
                  <c:v>40.666812688678</c:v>
                </c:pt>
                <c:pt idx="3" formatCode="0.0">
                  <c:v>46.095785858773162</c:v>
                </c:pt>
                <c:pt idx="4" formatCode="0.0">
                  <c:v>78.184599930667204</c:v>
                </c:pt>
                <c:pt idx="5" formatCode="0.0">
                  <c:v>95.453856629838313</c:v>
                </c:pt>
                <c:pt idx="6" formatCode="0.0">
                  <c:v>78.829920358262953</c:v>
                </c:pt>
                <c:pt idx="7" formatCode="0.0">
                  <c:v>9.3845190495137565E-2</c:v>
                </c:pt>
                <c:pt idx="8" formatCode="0.0">
                  <c:v>74.880244519501119</c:v>
                </c:pt>
                <c:pt idx="9" formatCode="0.0">
                  <c:v>0</c:v>
                </c:pt>
              </c:numCache>
            </c:numRef>
          </c:val>
        </c:ser>
        <c:ser>
          <c:idx val="2"/>
          <c:order val="2"/>
          <c:tx>
            <c:strRef>
              <c:f>Feuil1!$D$3</c:f>
              <c:strCache>
                <c:ptCount val="1"/>
                <c:pt idx="0">
                  <c:v>Adéquation</c:v>
                </c:pt>
              </c:strCache>
            </c:strRef>
          </c:tx>
          <c:dLbls>
            <c:txPr>
              <a:bodyPr/>
              <a:lstStyle/>
              <a:p>
                <a:pPr>
                  <a:defRPr sz="800" b="1">
                    <a:solidFill>
                      <a:schemeClr val="accent3">
                        <a:lumMod val="75000"/>
                      </a:schemeClr>
                    </a:solidFill>
                  </a:defRPr>
                </a:pPr>
                <a:endParaRPr lang="fr-FR"/>
              </a:p>
            </c:txPr>
            <c:showVal val="1"/>
          </c:dLbls>
          <c:cat>
            <c:strRef>
              <c:f>Feuil1!$A$4:$A$13</c:f>
              <c:strCache>
                <c:ptCount val="10"/>
                <c:pt idx="0">
                  <c:v>0 - Membres des corps législatifs, élus locaux, responsables hiérarchiques de la fonction publique et directeurs et cadr</c:v>
                </c:pt>
                <c:pt idx="1">
                  <c:v>1 - Cadres supérieurs et membres des professions libérales</c:v>
                </c:pt>
                <c:pt idx="2">
                  <c:v>2 - Techniciens et professions intermédiaires</c:v>
                </c:pt>
                <c:pt idx="3">
                  <c:v>3 - Employés</c:v>
                </c:pt>
                <c:pt idx="4">
                  <c:v>4 - Commerçants et intermédiaires commerciaux et financiers</c:v>
                </c:pt>
                <c:pt idx="5">
                  <c:v>5 - Exploitants agricoles, pêcheurs de poissons et d'autres espèces aquatiques, forestiers, chasseurs et travailleurs as</c:v>
                </c:pt>
                <c:pt idx="6">
                  <c:v>6 - Artisans et ouvriers qualifiés des métiers artisanaux (non compris les ouvriers de l'agriculture)</c:v>
                </c:pt>
                <c:pt idx="7">
                  <c:v>7 - Ouvriers et manœuvres agricoles et de la pêche (y compris les ouvriers qualifiés)</c:v>
                </c:pt>
                <c:pt idx="8">
                  <c:v>8 - Conducteurs d'installations et de machines et ouvriers de l'assemblage</c:v>
                </c:pt>
                <c:pt idx="9">
                  <c:v>9 - Manœuvres non agricoles, manutentionnaires et travailleurs des petits métiers</c:v>
                </c:pt>
              </c:strCache>
            </c:strRef>
          </c:cat>
          <c:val>
            <c:numRef>
              <c:f>Feuil1!$D$4:$D$13</c:f>
              <c:numCache>
                <c:formatCode>###0.0</c:formatCode>
                <c:ptCount val="10"/>
                <c:pt idx="0" formatCode="0.0">
                  <c:v>57.261949078931039</c:v>
                </c:pt>
                <c:pt idx="1">
                  <c:v>89.139067764428319</c:v>
                </c:pt>
                <c:pt idx="2" formatCode="0.0">
                  <c:v>59.333187311322</c:v>
                </c:pt>
                <c:pt idx="3" formatCode="0.0">
                  <c:v>33.045134533472279</c:v>
                </c:pt>
                <c:pt idx="4" formatCode="0.0">
                  <c:v>17.404851657845391</c:v>
                </c:pt>
                <c:pt idx="5" formatCode="0.0">
                  <c:v>3.9370863766243351</c:v>
                </c:pt>
                <c:pt idx="6" formatCode="0.0">
                  <c:v>17.859319637038627</c:v>
                </c:pt>
                <c:pt idx="7" formatCode="0.0">
                  <c:v>93.927050244274724</c:v>
                </c:pt>
                <c:pt idx="8" formatCode="0.0">
                  <c:v>21.308384809996532</c:v>
                </c:pt>
                <c:pt idx="9" formatCode="0.0">
                  <c:v>84.885823046543081</c:v>
                </c:pt>
              </c:numCache>
            </c:numRef>
          </c:val>
        </c:ser>
        <c:axId val="98527872"/>
        <c:axId val="98554240"/>
      </c:barChart>
      <c:catAx>
        <c:axId val="98527872"/>
        <c:scaling>
          <c:orientation val="minMax"/>
        </c:scaling>
        <c:axPos val="b"/>
        <c:tickLblPos val="nextTo"/>
        <c:txPr>
          <a:bodyPr/>
          <a:lstStyle/>
          <a:p>
            <a:pPr>
              <a:defRPr sz="300" b="1"/>
            </a:pPr>
            <a:endParaRPr lang="fr-FR"/>
          </a:p>
        </c:txPr>
        <c:crossAx val="98554240"/>
        <c:crosses val="autoZero"/>
        <c:auto val="1"/>
        <c:lblAlgn val="ctr"/>
        <c:lblOffset val="100"/>
      </c:catAx>
      <c:valAx>
        <c:axId val="98554240"/>
        <c:scaling>
          <c:orientation val="minMax"/>
          <c:max val="100"/>
        </c:scaling>
        <c:axPos val="l"/>
        <c:majorGridlines/>
        <c:numFmt formatCode="0.0" sourceLinked="1"/>
        <c:tickLblPos val="nextTo"/>
        <c:txPr>
          <a:bodyPr/>
          <a:lstStyle/>
          <a:p>
            <a:pPr>
              <a:defRPr sz="800" b="1"/>
            </a:pPr>
            <a:endParaRPr lang="fr-FR"/>
          </a:p>
        </c:txPr>
        <c:crossAx val="98527872"/>
        <c:crosses val="autoZero"/>
        <c:crossBetween val="between"/>
      </c:valAx>
    </c:plotArea>
    <c:legend>
      <c:legendPos val="b"/>
      <c:txPr>
        <a:bodyPr/>
        <a:lstStyle/>
        <a:p>
          <a:pPr>
            <a:defRPr sz="800" b="1"/>
          </a:pPr>
          <a:endParaRPr lang="fr-FR"/>
        </a:p>
      </c:txPr>
    </c:legend>
    <c:plotVisOnly val="1"/>
  </c:chart>
  <c:spPr>
    <a:ln>
      <a:noFill/>
    </a:ln>
  </c:spPr>
  <c:externalData r:id="rId1"/>
</c:chartSpace>
</file>

<file path=word/drawings/drawing1.xml><?xml version="1.0" encoding="utf-8"?>
<c:userShapes xmlns:c="http://schemas.openxmlformats.org/drawingml/2006/chart">
  <cdr:relSizeAnchor xmlns:cdr="http://schemas.openxmlformats.org/drawingml/2006/chartDrawing">
    <cdr:from>
      <cdr:x>0.48542</cdr:x>
      <cdr:y>0.88667</cdr:y>
    </cdr:from>
    <cdr:to>
      <cdr:x>0.75</cdr:x>
      <cdr:y>0.96333</cdr:y>
    </cdr:to>
    <cdr:sp macro="" textlink="">
      <cdr:nvSpPr>
        <cdr:cNvPr id="2" name="ZoneTexte 1"/>
        <cdr:cNvSpPr txBox="1"/>
      </cdr:nvSpPr>
      <cdr:spPr>
        <a:xfrm xmlns:a="http://schemas.openxmlformats.org/drawingml/2006/main">
          <a:off x="2219324" y="2533649"/>
          <a:ext cx="1209675" cy="2190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1000" b="1"/>
            <a:t>Taux de chômage</a:t>
          </a:r>
        </a:p>
      </cdr:txBody>
    </cdr:sp>
  </cdr:relSizeAnchor>
</c:userShapes>
</file>

<file path=word/drawings/drawing2.xml><?xml version="1.0" encoding="utf-8"?>
<c:userShapes xmlns:c="http://schemas.openxmlformats.org/drawingml/2006/chart">
  <cdr:relSizeAnchor xmlns:cdr="http://schemas.openxmlformats.org/drawingml/2006/chartDrawing">
    <cdr:from>
      <cdr:x>0.48542</cdr:x>
      <cdr:y>0.89</cdr:y>
    </cdr:from>
    <cdr:to>
      <cdr:x>0.75</cdr:x>
      <cdr:y>0.96667</cdr:y>
    </cdr:to>
    <cdr:sp macro="" textlink="">
      <cdr:nvSpPr>
        <cdr:cNvPr id="2" name="ZoneTexte 1"/>
        <cdr:cNvSpPr txBox="1"/>
      </cdr:nvSpPr>
      <cdr:spPr>
        <a:xfrm xmlns:a="http://schemas.openxmlformats.org/drawingml/2006/main">
          <a:off x="2219325" y="2543175"/>
          <a:ext cx="1209675" cy="2190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fr-FR" sz="1100" b="1"/>
            <a:t>Taux de chômage</a:t>
          </a: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1F6F5F-8242-44F4-8035-A9E51E337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13</Pages>
  <Words>4098</Words>
  <Characters>22540</Characters>
  <Application>Microsoft Office Word</Application>
  <DocSecurity>0</DocSecurity>
  <Lines>187</Lines>
  <Paragraphs>53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26585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ROUIHA</dc:creator>
  <cp:lastModifiedBy>hcp</cp:lastModifiedBy>
  <cp:revision>2</cp:revision>
  <cp:lastPrinted>2018-05-02T13:32:00Z</cp:lastPrinted>
  <dcterms:created xsi:type="dcterms:W3CDTF">2018-05-16T11:05:00Z</dcterms:created>
  <dcterms:modified xsi:type="dcterms:W3CDTF">2018-05-16T11:05:00Z</dcterms:modified>
</cp:coreProperties>
</file>