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FC" w:rsidRDefault="00A51C4F" w:rsidP="00EB640C">
      <w:r w:rsidRPr="00A51C4F">
        <w:rPr>
          <w:noProof/>
          <w:lang w:eastAsia="fr-FR"/>
        </w:rPr>
        <w:drawing>
          <wp:anchor distT="0" distB="0" distL="114300" distR="114300" simplePos="0" relativeHeight="251659264" behindDoc="1" locked="0" layoutInCell="1" allowOverlap="1">
            <wp:simplePos x="0" y="0"/>
            <wp:positionH relativeFrom="page">
              <wp:posOffset>1797</wp:posOffset>
            </wp:positionH>
            <wp:positionV relativeFrom="page">
              <wp:posOffset>0</wp:posOffset>
            </wp:positionV>
            <wp:extent cx="7563569" cy="9583947"/>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p w:rsidR="00EB640C" w:rsidRDefault="00EB640C" w:rsidP="00EB640C"/>
    <w:p w:rsidR="00EB640C" w:rsidRDefault="00EB640C" w:rsidP="00EB640C"/>
    <w:p w:rsidR="00EB640C" w:rsidRDefault="00EB640C" w:rsidP="00EB640C"/>
    <w:p w:rsidR="00EB640C" w:rsidRDefault="00EB640C" w:rsidP="00EB640C">
      <w:pPr>
        <w:jc w:val="center"/>
        <w:rPr>
          <w:b/>
          <w:bCs/>
          <w:sz w:val="28"/>
          <w:szCs w:val="28"/>
        </w:rPr>
      </w:pPr>
    </w:p>
    <w:p w:rsidR="00EB640C" w:rsidRDefault="00EB640C" w:rsidP="00EB640C">
      <w:pPr>
        <w:jc w:val="center"/>
        <w:rPr>
          <w:b/>
          <w:bCs/>
          <w:sz w:val="28"/>
          <w:szCs w:val="28"/>
        </w:rPr>
      </w:pPr>
    </w:p>
    <w:p w:rsidR="00C65E78" w:rsidRDefault="00C65E78" w:rsidP="00C65E78">
      <w:pPr>
        <w:jc w:val="center"/>
        <w:rPr>
          <w:b/>
          <w:bCs/>
          <w:sz w:val="32"/>
          <w:szCs w:val="32"/>
        </w:rPr>
      </w:pPr>
      <w:r>
        <w:rPr>
          <w:b/>
          <w:bCs/>
          <w:sz w:val="32"/>
          <w:szCs w:val="32"/>
        </w:rPr>
        <w:t>Quelques éléments de l’i</w:t>
      </w:r>
      <w:r w:rsidR="00EB640C" w:rsidRPr="00EB640C">
        <w:rPr>
          <w:b/>
          <w:bCs/>
          <w:sz w:val="32"/>
          <w:szCs w:val="32"/>
        </w:rPr>
        <w:t xml:space="preserve">ntervention de Monsieur </w:t>
      </w:r>
    </w:p>
    <w:p w:rsidR="00EB640C" w:rsidRPr="00EB640C" w:rsidRDefault="00EB640C" w:rsidP="00C65E78">
      <w:pPr>
        <w:jc w:val="center"/>
        <w:rPr>
          <w:b/>
          <w:bCs/>
          <w:sz w:val="32"/>
          <w:szCs w:val="32"/>
        </w:rPr>
      </w:pPr>
      <w:r w:rsidRPr="00EB640C">
        <w:rPr>
          <w:b/>
          <w:bCs/>
          <w:sz w:val="32"/>
          <w:szCs w:val="32"/>
        </w:rPr>
        <w:t>le Haut-Commissaire au Plan</w:t>
      </w:r>
    </w:p>
    <w:p w:rsidR="007D0188" w:rsidRDefault="002F1288" w:rsidP="002F1288">
      <w:pPr>
        <w:spacing w:line="360" w:lineRule="auto"/>
        <w:ind w:left="360"/>
        <w:jc w:val="center"/>
        <w:rPr>
          <w:b/>
          <w:bCs/>
          <w:sz w:val="32"/>
          <w:szCs w:val="32"/>
        </w:rPr>
      </w:pPr>
      <w:r>
        <w:rPr>
          <w:b/>
          <w:bCs/>
          <w:sz w:val="32"/>
          <w:szCs w:val="32"/>
        </w:rPr>
        <w:t>sur l</w:t>
      </w:r>
      <w:r w:rsidR="00EB640C" w:rsidRPr="00EB640C">
        <w:rPr>
          <w:b/>
          <w:bCs/>
          <w:sz w:val="32"/>
          <w:szCs w:val="32"/>
        </w:rPr>
        <w:t xml:space="preserve">a situation de l’économie nationale en 2018 </w:t>
      </w:r>
    </w:p>
    <w:p w:rsidR="00EB640C" w:rsidRPr="00EB640C" w:rsidRDefault="00EB640C" w:rsidP="00EB640C">
      <w:pPr>
        <w:spacing w:line="360" w:lineRule="auto"/>
        <w:ind w:left="360"/>
        <w:jc w:val="center"/>
        <w:rPr>
          <w:b/>
          <w:bCs/>
          <w:sz w:val="32"/>
          <w:szCs w:val="32"/>
        </w:rPr>
      </w:pPr>
      <w:r w:rsidRPr="00EB640C">
        <w:rPr>
          <w:b/>
          <w:bCs/>
          <w:sz w:val="32"/>
          <w:szCs w:val="32"/>
        </w:rPr>
        <w:t>et ses perspectives en 2019</w:t>
      </w:r>
    </w:p>
    <w:p w:rsidR="00EB640C" w:rsidRPr="00C90A73" w:rsidRDefault="00EB640C" w:rsidP="00EB640C">
      <w:pPr>
        <w:jc w:val="center"/>
        <w:rPr>
          <w:b/>
          <w:bCs/>
          <w:sz w:val="28"/>
          <w:szCs w:val="28"/>
        </w:rPr>
      </w:pPr>
      <w:r w:rsidRPr="00C90A73">
        <w:rPr>
          <w:b/>
          <w:bCs/>
          <w:sz w:val="28"/>
          <w:szCs w:val="28"/>
        </w:rPr>
        <w:t xml:space="preserve">Budget économique exploratoire </w:t>
      </w:r>
      <w:r w:rsidR="007D0188" w:rsidRPr="00C90A73">
        <w:rPr>
          <w:b/>
          <w:bCs/>
          <w:sz w:val="28"/>
          <w:szCs w:val="28"/>
        </w:rPr>
        <w:t>2019</w:t>
      </w:r>
    </w:p>
    <w:p w:rsidR="00EB640C" w:rsidRDefault="00EB640C" w:rsidP="00EB640C">
      <w:pPr>
        <w:jc w:val="right"/>
        <w:rPr>
          <w:sz w:val="24"/>
          <w:szCs w:val="24"/>
        </w:rPr>
      </w:pPr>
    </w:p>
    <w:p w:rsidR="00EB640C" w:rsidRDefault="00F12F67" w:rsidP="00F12F67">
      <w:pPr>
        <w:jc w:val="center"/>
        <w:rPr>
          <w:sz w:val="24"/>
          <w:szCs w:val="24"/>
        </w:rPr>
      </w:pPr>
      <w:r>
        <w:rPr>
          <w:sz w:val="24"/>
          <w:szCs w:val="24"/>
        </w:rPr>
        <w:t xml:space="preserve">      </w:t>
      </w:r>
    </w:p>
    <w:p w:rsidR="00EB640C" w:rsidRDefault="00EB640C" w:rsidP="00EB640C">
      <w:pPr>
        <w:jc w:val="right"/>
        <w:rPr>
          <w:sz w:val="24"/>
          <w:szCs w:val="24"/>
        </w:rPr>
      </w:pPr>
    </w:p>
    <w:p w:rsidR="00EB640C" w:rsidRDefault="00EB640C" w:rsidP="00EB640C">
      <w:pPr>
        <w:jc w:val="right"/>
        <w:rPr>
          <w:sz w:val="24"/>
          <w:szCs w:val="24"/>
        </w:rPr>
      </w:pPr>
    </w:p>
    <w:p w:rsidR="00EB640C" w:rsidRDefault="00EB640C" w:rsidP="00EB640C">
      <w:pPr>
        <w:jc w:val="right"/>
        <w:rPr>
          <w:sz w:val="24"/>
          <w:szCs w:val="24"/>
        </w:rPr>
      </w:pPr>
    </w:p>
    <w:p w:rsidR="00FE2BDE" w:rsidRDefault="00FE2BDE" w:rsidP="00EB640C">
      <w:pPr>
        <w:jc w:val="right"/>
        <w:rPr>
          <w:sz w:val="24"/>
          <w:szCs w:val="24"/>
        </w:rPr>
      </w:pPr>
    </w:p>
    <w:p w:rsidR="00FE2BDE" w:rsidRDefault="00FE2BDE" w:rsidP="00EB640C">
      <w:pPr>
        <w:jc w:val="right"/>
        <w:rPr>
          <w:sz w:val="24"/>
          <w:szCs w:val="24"/>
        </w:rPr>
      </w:pPr>
    </w:p>
    <w:p w:rsidR="00FE2BDE" w:rsidRDefault="00FE2BDE" w:rsidP="00EB640C">
      <w:pPr>
        <w:jc w:val="right"/>
        <w:rPr>
          <w:sz w:val="24"/>
          <w:szCs w:val="24"/>
        </w:rPr>
      </w:pPr>
    </w:p>
    <w:p w:rsidR="00FE2BDE" w:rsidRDefault="00FE2BDE" w:rsidP="00EB640C">
      <w:pPr>
        <w:jc w:val="right"/>
        <w:rPr>
          <w:sz w:val="24"/>
          <w:szCs w:val="24"/>
        </w:rPr>
      </w:pPr>
    </w:p>
    <w:p w:rsidR="00FE2BDE" w:rsidRDefault="00FE2BDE" w:rsidP="00EB640C">
      <w:pPr>
        <w:jc w:val="right"/>
        <w:rPr>
          <w:sz w:val="24"/>
          <w:szCs w:val="24"/>
        </w:rPr>
      </w:pPr>
    </w:p>
    <w:p w:rsidR="00EB640C" w:rsidRPr="003268D2" w:rsidRDefault="00EB640C" w:rsidP="00EB640C">
      <w:pPr>
        <w:jc w:val="right"/>
        <w:rPr>
          <w:sz w:val="24"/>
          <w:szCs w:val="24"/>
        </w:rPr>
      </w:pPr>
      <w:r w:rsidRPr="003268D2">
        <w:rPr>
          <w:sz w:val="24"/>
          <w:szCs w:val="24"/>
        </w:rPr>
        <w:t>Casablanca, le 10 Juillet 2018</w:t>
      </w:r>
    </w:p>
    <w:p w:rsidR="00EB640C" w:rsidRDefault="00EB640C" w:rsidP="00EB640C">
      <w:pPr>
        <w:jc w:val="center"/>
        <w:rPr>
          <w:b/>
          <w:bCs/>
        </w:rPr>
      </w:pPr>
    </w:p>
    <w:p w:rsidR="00EB640C" w:rsidRDefault="00EB640C" w:rsidP="00EB640C">
      <w:pPr>
        <w:jc w:val="both"/>
        <w:rPr>
          <w:b/>
          <w:bCs/>
          <w:color w:val="E36C0A" w:themeColor="accent6" w:themeShade="BF"/>
          <w:sz w:val="28"/>
          <w:szCs w:val="28"/>
        </w:rPr>
      </w:pPr>
    </w:p>
    <w:p w:rsidR="00EB640C" w:rsidRPr="00C511E6" w:rsidRDefault="00EB640C" w:rsidP="00EB640C">
      <w:pPr>
        <w:jc w:val="both"/>
        <w:rPr>
          <w:b/>
          <w:bCs/>
          <w:color w:val="E36C0A" w:themeColor="accent6" w:themeShade="BF"/>
          <w:sz w:val="28"/>
          <w:szCs w:val="28"/>
        </w:rPr>
      </w:pPr>
      <w:r w:rsidRPr="00C511E6">
        <w:rPr>
          <w:b/>
          <w:bCs/>
          <w:color w:val="E36C0A" w:themeColor="accent6" w:themeShade="BF"/>
          <w:sz w:val="28"/>
          <w:szCs w:val="28"/>
        </w:rPr>
        <w:lastRenderedPageBreak/>
        <w:t>Situation économique internationale en 2018 et 2019</w:t>
      </w:r>
    </w:p>
    <w:p w:rsidR="00EB640C" w:rsidRPr="0081696B" w:rsidRDefault="00C968D8" w:rsidP="008E4B60">
      <w:pPr>
        <w:jc w:val="both"/>
        <w:rPr>
          <w:sz w:val="24"/>
          <w:szCs w:val="24"/>
        </w:rPr>
      </w:pPr>
      <w:r>
        <w:rPr>
          <w:sz w:val="24"/>
          <w:szCs w:val="24"/>
        </w:rPr>
        <w:tab/>
      </w:r>
      <w:r w:rsidR="00EB640C" w:rsidRPr="0081696B">
        <w:rPr>
          <w:sz w:val="24"/>
          <w:szCs w:val="24"/>
        </w:rPr>
        <w:t>L</w:t>
      </w:r>
      <w:r w:rsidR="00EB640C">
        <w:rPr>
          <w:sz w:val="24"/>
          <w:szCs w:val="24"/>
        </w:rPr>
        <w:t>’heureuse</w:t>
      </w:r>
      <w:r w:rsidR="00EB640C" w:rsidRPr="0081696B">
        <w:rPr>
          <w:sz w:val="24"/>
          <w:szCs w:val="24"/>
        </w:rPr>
        <w:t xml:space="preserve"> concordance</w:t>
      </w:r>
      <w:r w:rsidR="00CB6DD1">
        <w:rPr>
          <w:sz w:val="24"/>
          <w:szCs w:val="24"/>
        </w:rPr>
        <w:t>,</w:t>
      </w:r>
      <w:r w:rsidR="00EB640C" w:rsidRPr="0081696B">
        <w:rPr>
          <w:sz w:val="24"/>
          <w:szCs w:val="24"/>
        </w:rPr>
        <w:t xml:space="preserve"> </w:t>
      </w:r>
      <w:r w:rsidR="008E4B60">
        <w:rPr>
          <w:sz w:val="24"/>
          <w:szCs w:val="24"/>
        </w:rPr>
        <w:t>relevée dans la note de présentation</w:t>
      </w:r>
      <w:r w:rsidR="00CB6DD1">
        <w:rPr>
          <w:sz w:val="24"/>
          <w:szCs w:val="24"/>
        </w:rPr>
        <w:t xml:space="preserve"> </w:t>
      </w:r>
      <w:r w:rsidR="008E4B60">
        <w:rPr>
          <w:sz w:val="24"/>
          <w:szCs w:val="24"/>
        </w:rPr>
        <w:t>du b</w:t>
      </w:r>
      <w:r w:rsidR="00EB640C">
        <w:rPr>
          <w:sz w:val="24"/>
          <w:szCs w:val="24"/>
        </w:rPr>
        <w:t xml:space="preserve">udget économique </w:t>
      </w:r>
      <w:r w:rsidR="008E4B60">
        <w:rPr>
          <w:sz w:val="24"/>
          <w:szCs w:val="24"/>
        </w:rPr>
        <w:t xml:space="preserve">exploratoire </w:t>
      </w:r>
      <w:r w:rsidR="00CB6DD1">
        <w:rPr>
          <w:sz w:val="24"/>
          <w:szCs w:val="24"/>
        </w:rPr>
        <w:t>de 2016,</w:t>
      </w:r>
      <w:r w:rsidR="00EB640C">
        <w:rPr>
          <w:sz w:val="24"/>
          <w:szCs w:val="24"/>
        </w:rPr>
        <w:t xml:space="preserve"> </w:t>
      </w:r>
      <w:r w:rsidR="00C65E78">
        <w:rPr>
          <w:sz w:val="24"/>
          <w:szCs w:val="24"/>
        </w:rPr>
        <w:t>des cycles de croissance de</w:t>
      </w:r>
      <w:r w:rsidR="00EB640C" w:rsidRPr="0081696B">
        <w:rPr>
          <w:sz w:val="24"/>
          <w:szCs w:val="24"/>
        </w:rPr>
        <w:t xml:space="preserve"> tous les grands ensembles économiques mondiaux</w:t>
      </w:r>
      <w:r w:rsidR="00CB6DD1">
        <w:rPr>
          <w:sz w:val="24"/>
          <w:szCs w:val="24"/>
        </w:rPr>
        <w:t>,</w:t>
      </w:r>
      <w:r w:rsidR="00EB640C" w:rsidRPr="0081696B">
        <w:rPr>
          <w:sz w:val="24"/>
          <w:szCs w:val="24"/>
        </w:rPr>
        <w:t xml:space="preserve"> devrait </w:t>
      </w:r>
      <w:r w:rsidR="00EB640C">
        <w:rPr>
          <w:sz w:val="24"/>
          <w:szCs w:val="24"/>
        </w:rPr>
        <w:t>se confirmer</w:t>
      </w:r>
      <w:r w:rsidR="00EB640C" w:rsidRPr="0081696B">
        <w:rPr>
          <w:sz w:val="24"/>
          <w:szCs w:val="24"/>
        </w:rPr>
        <w:t xml:space="preserve"> en 2018 et 2019 </w:t>
      </w:r>
      <w:r w:rsidR="00CB6DD1">
        <w:rPr>
          <w:sz w:val="24"/>
          <w:szCs w:val="24"/>
        </w:rPr>
        <w:t>et imprimer</w:t>
      </w:r>
      <w:r w:rsidR="00EB640C" w:rsidRPr="0081696B">
        <w:rPr>
          <w:sz w:val="24"/>
          <w:szCs w:val="24"/>
        </w:rPr>
        <w:t xml:space="preserve"> à la </w:t>
      </w:r>
      <w:r w:rsidR="008E4B60">
        <w:rPr>
          <w:b/>
          <w:bCs/>
          <w:sz w:val="24"/>
          <w:szCs w:val="24"/>
        </w:rPr>
        <w:t>l’économie</w:t>
      </w:r>
      <w:r w:rsidR="00EB640C" w:rsidRPr="00C511E6">
        <w:rPr>
          <w:b/>
          <w:bCs/>
          <w:sz w:val="24"/>
          <w:szCs w:val="24"/>
        </w:rPr>
        <w:t xml:space="preserve"> mondiale</w:t>
      </w:r>
      <w:r w:rsidR="00C65E78">
        <w:rPr>
          <w:sz w:val="24"/>
          <w:szCs w:val="24"/>
        </w:rPr>
        <w:t xml:space="preserve"> </w:t>
      </w:r>
      <w:r w:rsidR="009E4790">
        <w:rPr>
          <w:sz w:val="24"/>
          <w:szCs w:val="24"/>
        </w:rPr>
        <w:t xml:space="preserve">une </w:t>
      </w:r>
      <w:r w:rsidR="008E4B60">
        <w:rPr>
          <w:sz w:val="24"/>
          <w:szCs w:val="24"/>
        </w:rPr>
        <w:t>croissance</w:t>
      </w:r>
      <w:r w:rsidR="00EB640C" w:rsidRPr="0081696B">
        <w:rPr>
          <w:sz w:val="24"/>
          <w:szCs w:val="24"/>
        </w:rPr>
        <w:t xml:space="preserve"> prévue </w:t>
      </w:r>
      <w:r w:rsidR="009E4790">
        <w:rPr>
          <w:sz w:val="24"/>
          <w:szCs w:val="24"/>
        </w:rPr>
        <w:t>à</w:t>
      </w:r>
      <w:r w:rsidR="00EB640C" w:rsidRPr="0081696B">
        <w:rPr>
          <w:sz w:val="24"/>
          <w:szCs w:val="24"/>
        </w:rPr>
        <w:t xml:space="preserve"> 3,8%, après 3,2% en 2016</w:t>
      </w:r>
      <w:r w:rsidR="00EB640C">
        <w:rPr>
          <w:sz w:val="24"/>
          <w:szCs w:val="24"/>
        </w:rPr>
        <w:t xml:space="preserve"> et </w:t>
      </w:r>
      <w:r w:rsidR="009E4790">
        <w:rPr>
          <w:sz w:val="24"/>
          <w:szCs w:val="24"/>
        </w:rPr>
        <w:t>3,4</w:t>
      </w:r>
      <w:r w:rsidR="00EB640C" w:rsidRPr="009E4790">
        <w:rPr>
          <w:sz w:val="24"/>
          <w:szCs w:val="24"/>
        </w:rPr>
        <w:t>% en 2015.</w:t>
      </w:r>
      <w:r w:rsidR="00EB640C" w:rsidRPr="0081696B">
        <w:rPr>
          <w:sz w:val="24"/>
          <w:szCs w:val="24"/>
        </w:rPr>
        <w:t xml:space="preserve"> </w:t>
      </w:r>
    </w:p>
    <w:p w:rsidR="00EB640C" w:rsidRDefault="00C968D8" w:rsidP="00C65E78">
      <w:pPr>
        <w:jc w:val="both"/>
        <w:rPr>
          <w:sz w:val="24"/>
          <w:szCs w:val="24"/>
        </w:rPr>
      </w:pPr>
      <w:r>
        <w:rPr>
          <w:sz w:val="24"/>
          <w:szCs w:val="24"/>
        </w:rPr>
        <w:tab/>
      </w:r>
      <w:r w:rsidR="00EB640C" w:rsidRPr="0081696B">
        <w:rPr>
          <w:sz w:val="24"/>
          <w:szCs w:val="24"/>
        </w:rPr>
        <w:t xml:space="preserve">Les politiques agressives </w:t>
      </w:r>
      <w:r w:rsidR="00EB640C">
        <w:rPr>
          <w:sz w:val="24"/>
          <w:szCs w:val="24"/>
        </w:rPr>
        <w:t xml:space="preserve">fiscales et monétaires, bientôt assorties d’un protectionnisme sélectif, menées sous l’emblème de l’ « America First » </w:t>
      </w:r>
      <w:r w:rsidR="00EB640C" w:rsidRPr="0081696B">
        <w:rPr>
          <w:sz w:val="24"/>
          <w:szCs w:val="24"/>
        </w:rPr>
        <w:t xml:space="preserve">ont redonné au cycle </w:t>
      </w:r>
      <w:r w:rsidR="00EB640C">
        <w:rPr>
          <w:sz w:val="24"/>
          <w:szCs w:val="24"/>
        </w:rPr>
        <w:t xml:space="preserve">économique américain, après avoir connu </w:t>
      </w:r>
      <w:r w:rsidR="00C65E78">
        <w:rPr>
          <w:sz w:val="24"/>
          <w:szCs w:val="24"/>
        </w:rPr>
        <w:t>l’</w:t>
      </w:r>
      <w:r w:rsidR="00EB640C">
        <w:rPr>
          <w:sz w:val="24"/>
          <w:szCs w:val="24"/>
        </w:rPr>
        <w:t xml:space="preserve">âge de maturité, </w:t>
      </w:r>
      <w:r w:rsidR="00EB640C" w:rsidRPr="0081696B">
        <w:rPr>
          <w:sz w:val="24"/>
          <w:szCs w:val="24"/>
        </w:rPr>
        <w:t xml:space="preserve">une vigueur que ne lui destinait pas son espérance de vie théorique. </w:t>
      </w:r>
    </w:p>
    <w:p w:rsidR="00EB640C" w:rsidRDefault="00C968D8" w:rsidP="008E4B60">
      <w:pPr>
        <w:jc w:val="both"/>
        <w:rPr>
          <w:sz w:val="24"/>
          <w:szCs w:val="24"/>
        </w:rPr>
      </w:pPr>
      <w:r>
        <w:rPr>
          <w:sz w:val="24"/>
          <w:szCs w:val="24"/>
        </w:rPr>
        <w:tab/>
      </w:r>
      <w:r w:rsidR="00EB640C" w:rsidRPr="0081696B">
        <w:rPr>
          <w:sz w:val="24"/>
          <w:szCs w:val="24"/>
        </w:rPr>
        <w:t xml:space="preserve">La </w:t>
      </w:r>
      <w:r w:rsidR="00EB640C" w:rsidRPr="00C511E6">
        <w:rPr>
          <w:b/>
          <w:bCs/>
          <w:sz w:val="24"/>
          <w:szCs w:val="24"/>
        </w:rPr>
        <w:t>zone euro</w:t>
      </w:r>
      <w:r w:rsidR="00EB640C" w:rsidRPr="0081696B">
        <w:rPr>
          <w:sz w:val="24"/>
          <w:szCs w:val="24"/>
        </w:rPr>
        <w:t xml:space="preserve"> de son côté, à la faveur d’une demande intérieure revigorée par des politiques de soutien à la consommation des ménages </w:t>
      </w:r>
      <w:r w:rsidR="00EB640C">
        <w:rPr>
          <w:sz w:val="24"/>
          <w:szCs w:val="24"/>
        </w:rPr>
        <w:t xml:space="preserve">et </w:t>
      </w:r>
      <w:r w:rsidR="00EB640C" w:rsidRPr="0081696B">
        <w:rPr>
          <w:sz w:val="24"/>
          <w:szCs w:val="24"/>
        </w:rPr>
        <w:t xml:space="preserve">à l’investissement privé et par des réformes </w:t>
      </w:r>
      <w:r w:rsidR="00EB640C">
        <w:rPr>
          <w:sz w:val="24"/>
          <w:szCs w:val="24"/>
        </w:rPr>
        <w:t>structurelles</w:t>
      </w:r>
      <w:r w:rsidR="00EB640C" w:rsidRPr="0081696B">
        <w:rPr>
          <w:sz w:val="24"/>
          <w:szCs w:val="24"/>
        </w:rPr>
        <w:t xml:space="preserve"> économiques et sociales </w:t>
      </w:r>
      <w:r w:rsidR="008E4B60">
        <w:rPr>
          <w:sz w:val="24"/>
          <w:szCs w:val="24"/>
        </w:rPr>
        <w:t>avec le</w:t>
      </w:r>
      <w:r w:rsidR="00EB640C">
        <w:rPr>
          <w:sz w:val="24"/>
          <w:szCs w:val="24"/>
        </w:rPr>
        <w:t xml:space="preserve"> maintien de la</w:t>
      </w:r>
      <w:r w:rsidR="00EB640C" w:rsidRPr="0081696B">
        <w:rPr>
          <w:sz w:val="24"/>
          <w:szCs w:val="24"/>
        </w:rPr>
        <w:t xml:space="preserve"> politique monétaire accommodante</w:t>
      </w:r>
      <w:r w:rsidR="00835229">
        <w:rPr>
          <w:sz w:val="24"/>
          <w:szCs w:val="24"/>
        </w:rPr>
        <w:t xml:space="preserve"> de la BCE,</w:t>
      </w:r>
      <w:r w:rsidR="00EB640C" w:rsidRPr="0081696B">
        <w:rPr>
          <w:sz w:val="24"/>
          <w:szCs w:val="24"/>
        </w:rPr>
        <w:t xml:space="preserve"> devrai</w:t>
      </w:r>
      <w:r w:rsidR="00EB640C">
        <w:rPr>
          <w:sz w:val="24"/>
          <w:szCs w:val="24"/>
        </w:rPr>
        <w:t>ent</w:t>
      </w:r>
      <w:r w:rsidR="00EB640C" w:rsidRPr="0081696B">
        <w:rPr>
          <w:sz w:val="24"/>
          <w:szCs w:val="24"/>
        </w:rPr>
        <w:t xml:space="preserve"> laisser présager un retour aux taux de croissance d</w:t>
      </w:r>
      <w:r w:rsidR="008E4B60">
        <w:rPr>
          <w:sz w:val="24"/>
          <w:szCs w:val="24"/>
        </w:rPr>
        <w:t>e l</w:t>
      </w:r>
      <w:r w:rsidR="00EB640C" w:rsidRPr="0081696B">
        <w:rPr>
          <w:sz w:val="24"/>
          <w:szCs w:val="24"/>
        </w:rPr>
        <w:t>’avant crise</w:t>
      </w:r>
      <w:r w:rsidR="00EB640C">
        <w:rPr>
          <w:sz w:val="24"/>
          <w:szCs w:val="24"/>
        </w:rPr>
        <w:t xml:space="preserve"> à 2,1% en 2018, pour ralentir cependant à 1,7% en 2019, sous les effets internationaux du protectionnisme commercial et du resserrement progressif de la politique monétaire des Etats-Unis</w:t>
      </w:r>
      <w:r w:rsidR="00EB640C" w:rsidRPr="0081696B">
        <w:rPr>
          <w:sz w:val="24"/>
          <w:szCs w:val="24"/>
        </w:rPr>
        <w:t>.</w:t>
      </w:r>
    </w:p>
    <w:p w:rsidR="003E10A8" w:rsidRDefault="00C968D8" w:rsidP="003E10A8">
      <w:pPr>
        <w:jc w:val="both"/>
        <w:rPr>
          <w:sz w:val="24"/>
          <w:szCs w:val="24"/>
        </w:rPr>
      </w:pPr>
      <w:r>
        <w:rPr>
          <w:b/>
          <w:bCs/>
          <w:sz w:val="24"/>
          <w:szCs w:val="24"/>
        </w:rPr>
        <w:tab/>
      </w:r>
      <w:r w:rsidR="003E10A8">
        <w:rPr>
          <w:sz w:val="24"/>
          <w:szCs w:val="24"/>
        </w:rPr>
        <w:t xml:space="preserve">Dans les </w:t>
      </w:r>
      <w:r w:rsidR="003E10A8" w:rsidRPr="00C511E6">
        <w:rPr>
          <w:b/>
          <w:bCs/>
          <w:sz w:val="24"/>
          <w:szCs w:val="24"/>
        </w:rPr>
        <w:t>pays émergents et en développement</w:t>
      </w:r>
      <w:r w:rsidR="003E10A8">
        <w:rPr>
          <w:sz w:val="24"/>
          <w:szCs w:val="24"/>
        </w:rPr>
        <w:t>, la croissance agrégée devrait bénéficier de la reprise des exportations des produits de base et passer de 4,3% en 2017 à 4,5% en 2018 et 4,7% en 2019.</w:t>
      </w:r>
    </w:p>
    <w:p w:rsidR="00A925E1" w:rsidRPr="003E10A8" w:rsidRDefault="003E10A8" w:rsidP="003E10A8">
      <w:pPr>
        <w:ind w:firstLine="708"/>
        <w:jc w:val="both"/>
        <w:rPr>
          <w:sz w:val="24"/>
          <w:szCs w:val="24"/>
        </w:rPr>
      </w:pPr>
      <w:r>
        <w:rPr>
          <w:sz w:val="24"/>
          <w:szCs w:val="24"/>
        </w:rPr>
        <w:t>Dans ce cadre, l</w:t>
      </w:r>
      <w:r w:rsidR="00835229" w:rsidRPr="00835229">
        <w:rPr>
          <w:b/>
          <w:bCs/>
          <w:sz w:val="24"/>
          <w:szCs w:val="24"/>
        </w:rPr>
        <w:t>’économie chinoise</w:t>
      </w:r>
      <w:r w:rsidR="00D92A09">
        <w:rPr>
          <w:b/>
          <w:bCs/>
          <w:sz w:val="24"/>
          <w:szCs w:val="24"/>
        </w:rPr>
        <w:t>,</w:t>
      </w:r>
      <w:r w:rsidR="008E4B60">
        <w:rPr>
          <w:sz w:val="24"/>
          <w:szCs w:val="24"/>
        </w:rPr>
        <w:t xml:space="preserve"> de dimension continentale, </w:t>
      </w:r>
      <w:r w:rsidR="002F1288">
        <w:rPr>
          <w:sz w:val="24"/>
          <w:szCs w:val="24"/>
        </w:rPr>
        <w:t xml:space="preserve">continue </w:t>
      </w:r>
      <w:r w:rsidR="008E4B60">
        <w:rPr>
          <w:sz w:val="24"/>
          <w:szCs w:val="24"/>
        </w:rPr>
        <w:t>d’assurer</w:t>
      </w:r>
      <w:r w:rsidR="008D2914">
        <w:rPr>
          <w:sz w:val="24"/>
          <w:szCs w:val="24"/>
        </w:rPr>
        <w:t xml:space="preserve">, dans le cadre d’une ouverture maitrisée, </w:t>
      </w:r>
      <w:r w:rsidR="008E4B60">
        <w:rPr>
          <w:sz w:val="24"/>
          <w:szCs w:val="24"/>
        </w:rPr>
        <w:t xml:space="preserve">à </w:t>
      </w:r>
      <w:r w:rsidR="00C90A73">
        <w:rPr>
          <w:sz w:val="24"/>
          <w:szCs w:val="24"/>
        </w:rPr>
        <w:t xml:space="preserve">son modèle de </w:t>
      </w:r>
      <w:r w:rsidR="008E4B60">
        <w:rPr>
          <w:sz w:val="24"/>
          <w:szCs w:val="24"/>
        </w:rPr>
        <w:t>développement</w:t>
      </w:r>
      <w:r w:rsidR="00C90A73">
        <w:rPr>
          <w:sz w:val="24"/>
          <w:szCs w:val="24"/>
        </w:rPr>
        <w:t xml:space="preserve"> l’accès à la compétitivité </w:t>
      </w:r>
      <w:r w:rsidR="00146B3D">
        <w:rPr>
          <w:sz w:val="24"/>
          <w:szCs w:val="24"/>
        </w:rPr>
        <w:t>internationale</w:t>
      </w:r>
      <w:r w:rsidR="008E4B60">
        <w:rPr>
          <w:sz w:val="24"/>
          <w:szCs w:val="24"/>
        </w:rPr>
        <w:t>,</w:t>
      </w:r>
      <w:r w:rsidR="00C90A73">
        <w:rPr>
          <w:sz w:val="24"/>
          <w:szCs w:val="24"/>
        </w:rPr>
        <w:t xml:space="preserve"> à </w:t>
      </w:r>
      <w:r w:rsidR="00677B5D">
        <w:rPr>
          <w:sz w:val="24"/>
          <w:szCs w:val="24"/>
        </w:rPr>
        <w:t>s</w:t>
      </w:r>
      <w:r w:rsidR="00C90A73">
        <w:rPr>
          <w:sz w:val="24"/>
          <w:szCs w:val="24"/>
        </w:rPr>
        <w:t xml:space="preserve">a population </w:t>
      </w:r>
      <w:r w:rsidR="00677B5D">
        <w:rPr>
          <w:sz w:val="24"/>
          <w:szCs w:val="24"/>
        </w:rPr>
        <w:t>une</w:t>
      </w:r>
      <w:r w:rsidR="00C90A73">
        <w:rPr>
          <w:sz w:val="24"/>
          <w:szCs w:val="24"/>
        </w:rPr>
        <w:t xml:space="preserve"> consommation</w:t>
      </w:r>
      <w:r w:rsidR="00677B5D" w:rsidRPr="00677B5D">
        <w:rPr>
          <w:sz w:val="24"/>
          <w:szCs w:val="24"/>
        </w:rPr>
        <w:t xml:space="preserve"> </w:t>
      </w:r>
      <w:r w:rsidR="008E4B60">
        <w:rPr>
          <w:sz w:val="24"/>
          <w:szCs w:val="24"/>
        </w:rPr>
        <w:t>progressive</w:t>
      </w:r>
      <w:r w:rsidR="00677B5D">
        <w:rPr>
          <w:sz w:val="24"/>
          <w:szCs w:val="24"/>
        </w:rPr>
        <w:t xml:space="preserve"> de masse</w:t>
      </w:r>
      <w:r w:rsidR="008E4B60">
        <w:rPr>
          <w:sz w:val="24"/>
          <w:szCs w:val="24"/>
        </w:rPr>
        <w:t xml:space="preserve"> et à sa croissance des fondements de la durabilité</w:t>
      </w:r>
      <w:r w:rsidR="00C90A73">
        <w:rPr>
          <w:sz w:val="24"/>
          <w:szCs w:val="24"/>
        </w:rPr>
        <w:t>.</w:t>
      </w:r>
      <w:r w:rsidR="00C968D8">
        <w:rPr>
          <w:sz w:val="24"/>
          <w:szCs w:val="24"/>
        </w:rPr>
        <w:t xml:space="preserve"> </w:t>
      </w:r>
      <w:r w:rsidRPr="003E10A8">
        <w:rPr>
          <w:sz w:val="24"/>
          <w:szCs w:val="24"/>
        </w:rPr>
        <w:t xml:space="preserve">Celle-ci </w:t>
      </w:r>
      <w:r w:rsidR="00BC61B8" w:rsidRPr="003E10A8">
        <w:rPr>
          <w:sz w:val="24"/>
          <w:szCs w:val="24"/>
        </w:rPr>
        <w:t xml:space="preserve">devrait, </w:t>
      </w:r>
      <w:r w:rsidRPr="003E10A8">
        <w:rPr>
          <w:sz w:val="24"/>
          <w:szCs w:val="24"/>
        </w:rPr>
        <w:t xml:space="preserve">cependant, connaitre une légère baisse passant de 6,9 % en </w:t>
      </w:r>
      <w:r w:rsidR="000157EC">
        <w:rPr>
          <w:sz w:val="24"/>
          <w:szCs w:val="24"/>
        </w:rPr>
        <w:t>2017</w:t>
      </w:r>
      <w:r w:rsidRPr="003E10A8">
        <w:rPr>
          <w:sz w:val="24"/>
          <w:szCs w:val="24"/>
        </w:rPr>
        <w:t xml:space="preserve"> à</w:t>
      </w:r>
      <w:r w:rsidR="00C968D8" w:rsidRPr="003E10A8">
        <w:rPr>
          <w:sz w:val="24"/>
          <w:szCs w:val="24"/>
        </w:rPr>
        <w:t xml:space="preserve"> 6,5 % en 2018 et 6,3 % en 2019, sous l'effet d'une </w:t>
      </w:r>
      <w:r w:rsidRPr="003E10A8">
        <w:rPr>
          <w:sz w:val="24"/>
          <w:szCs w:val="24"/>
        </w:rPr>
        <w:t>lente modération de sa po</w:t>
      </w:r>
      <w:r w:rsidR="000157EC">
        <w:rPr>
          <w:sz w:val="24"/>
          <w:szCs w:val="24"/>
        </w:rPr>
        <w:t>litique budgétaire et monétaire</w:t>
      </w:r>
      <w:r w:rsidR="00C968D8" w:rsidRPr="003E10A8">
        <w:rPr>
          <w:sz w:val="24"/>
          <w:szCs w:val="24"/>
        </w:rPr>
        <w:t>.</w:t>
      </w:r>
    </w:p>
    <w:p w:rsidR="00C968D8" w:rsidRDefault="00C968D8" w:rsidP="003E10A8">
      <w:pPr>
        <w:jc w:val="both"/>
        <w:rPr>
          <w:sz w:val="24"/>
          <w:szCs w:val="24"/>
        </w:rPr>
      </w:pPr>
      <w:r>
        <w:rPr>
          <w:sz w:val="24"/>
          <w:szCs w:val="24"/>
        </w:rPr>
        <w:tab/>
      </w:r>
      <w:r>
        <w:rPr>
          <w:b/>
          <w:bCs/>
          <w:sz w:val="24"/>
          <w:szCs w:val="24"/>
        </w:rPr>
        <w:t>L’économie i</w:t>
      </w:r>
      <w:r w:rsidRPr="005E6F78">
        <w:rPr>
          <w:b/>
          <w:bCs/>
          <w:sz w:val="24"/>
          <w:szCs w:val="24"/>
        </w:rPr>
        <w:t>ndienne</w:t>
      </w:r>
      <w:r w:rsidRPr="005E6F78">
        <w:rPr>
          <w:sz w:val="24"/>
          <w:szCs w:val="24"/>
        </w:rPr>
        <w:t xml:space="preserve"> réaliserait une croissance de 7,3% en 2018 et 7,5% en 2019</w:t>
      </w:r>
      <w:r>
        <w:rPr>
          <w:sz w:val="24"/>
          <w:szCs w:val="24"/>
        </w:rPr>
        <w:t>,</w:t>
      </w:r>
      <w:r w:rsidRPr="005E6F78">
        <w:rPr>
          <w:sz w:val="24"/>
          <w:szCs w:val="24"/>
        </w:rPr>
        <w:t xml:space="preserve"> du fait de la poursuite de l’exécution de réformes structurelles qui accroitraient la </w:t>
      </w:r>
      <w:r w:rsidR="003E10A8" w:rsidRPr="005E6F78">
        <w:rPr>
          <w:sz w:val="24"/>
          <w:szCs w:val="24"/>
        </w:rPr>
        <w:t>productivité et</w:t>
      </w:r>
      <w:r w:rsidRPr="005E6F78">
        <w:rPr>
          <w:sz w:val="24"/>
          <w:szCs w:val="24"/>
        </w:rPr>
        <w:t xml:space="preserve"> encouragerait l’investissement privé. </w:t>
      </w:r>
    </w:p>
    <w:p w:rsidR="00C968D8" w:rsidRDefault="003E10A8" w:rsidP="00676531">
      <w:pPr>
        <w:ind w:right="-1" w:firstLine="709"/>
        <w:jc w:val="both"/>
        <w:rPr>
          <w:sz w:val="24"/>
          <w:szCs w:val="24"/>
        </w:rPr>
      </w:pPr>
      <w:r>
        <w:rPr>
          <w:sz w:val="24"/>
          <w:szCs w:val="24"/>
        </w:rPr>
        <w:t xml:space="preserve">La </w:t>
      </w:r>
      <w:r w:rsidRPr="003E10A8">
        <w:rPr>
          <w:b/>
          <w:bCs/>
          <w:sz w:val="24"/>
          <w:szCs w:val="24"/>
        </w:rPr>
        <w:t>République Russe</w:t>
      </w:r>
      <w:r>
        <w:rPr>
          <w:sz w:val="24"/>
          <w:szCs w:val="24"/>
        </w:rPr>
        <w:t xml:space="preserve">, de son côté, devrait connaitre </w:t>
      </w:r>
      <w:r w:rsidR="00C968D8" w:rsidRPr="005E6F78">
        <w:rPr>
          <w:sz w:val="24"/>
          <w:szCs w:val="24"/>
        </w:rPr>
        <w:t xml:space="preserve">un retour à la croissance, </w:t>
      </w:r>
      <w:r w:rsidRPr="005E6F78">
        <w:rPr>
          <w:sz w:val="24"/>
          <w:szCs w:val="24"/>
        </w:rPr>
        <w:t>avec 1,5% en 2018 et 1,8% en 2019</w:t>
      </w:r>
      <w:r>
        <w:rPr>
          <w:sz w:val="24"/>
          <w:szCs w:val="24"/>
        </w:rPr>
        <w:t xml:space="preserve">, </w:t>
      </w:r>
      <w:r w:rsidRPr="005E6F78">
        <w:rPr>
          <w:sz w:val="24"/>
          <w:szCs w:val="24"/>
        </w:rPr>
        <w:t xml:space="preserve">sous l’effet </w:t>
      </w:r>
      <w:r>
        <w:rPr>
          <w:sz w:val="24"/>
          <w:szCs w:val="24"/>
        </w:rPr>
        <w:t xml:space="preserve">de la reprise </w:t>
      </w:r>
      <w:r w:rsidRPr="005E6F78">
        <w:rPr>
          <w:sz w:val="24"/>
          <w:szCs w:val="24"/>
        </w:rPr>
        <w:t>des exportations de pétrole, de l’assouplissement</w:t>
      </w:r>
      <w:r>
        <w:rPr>
          <w:sz w:val="24"/>
          <w:szCs w:val="24"/>
        </w:rPr>
        <w:t xml:space="preserve"> de la politique monétaire et du</w:t>
      </w:r>
      <w:r w:rsidRPr="005E6F78">
        <w:rPr>
          <w:sz w:val="24"/>
          <w:szCs w:val="24"/>
        </w:rPr>
        <w:t xml:space="preserve"> regain de confiance </w:t>
      </w:r>
      <w:r>
        <w:rPr>
          <w:sz w:val="24"/>
          <w:szCs w:val="24"/>
        </w:rPr>
        <w:t xml:space="preserve">de la part des investisseurs. </w:t>
      </w:r>
    </w:p>
    <w:p w:rsidR="003E10A8" w:rsidRDefault="003E10A8" w:rsidP="007D2B46">
      <w:pPr>
        <w:ind w:right="-1" w:firstLine="709"/>
        <w:jc w:val="both"/>
        <w:rPr>
          <w:sz w:val="24"/>
          <w:szCs w:val="24"/>
        </w:rPr>
      </w:pPr>
      <w:r>
        <w:rPr>
          <w:sz w:val="24"/>
          <w:szCs w:val="24"/>
        </w:rPr>
        <w:t>D’une façon générale, la période 2018-2019 devrait globalement connaitre une croissance mondiale soutenue</w:t>
      </w:r>
      <w:r w:rsidR="00676531">
        <w:rPr>
          <w:sz w:val="24"/>
          <w:szCs w:val="24"/>
        </w:rPr>
        <w:t>, dont la</w:t>
      </w:r>
      <w:r>
        <w:rPr>
          <w:sz w:val="24"/>
          <w:szCs w:val="24"/>
        </w:rPr>
        <w:t xml:space="preserve"> </w:t>
      </w:r>
      <w:r w:rsidR="00676531" w:rsidRPr="009A4AD6">
        <w:rPr>
          <w:b/>
          <w:bCs/>
          <w:sz w:val="24"/>
          <w:szCs w:val="24"/>
        </w:rPr>
        <w:t xml:space="preserve">demande </w:t>
      </w:r>
      <w:r w:rsidR="00676531">
        <w:rPr>
          <w:b/>
          <w:bCs/>
          <w:sz w:val="24"/>
          <w:szCs w:val="24"/>
        </w:rPr>
        <w:t xml:space="preserve">adressée </w:t>
      </w:r>
      <w:r w:rsidR="00676531">
        <w:rPr>
          <w:sz w:val="24"/>
          <w:szCs w:val="24"/>
        </w:rPr>
        <w:t xml:space="preserve">en particulier à notre pays qui devrait </w:t>
      </w:r>
      <w:r w:rsidR="00676531" w:rsidRPr="007D2B46">
        <w:rPr>
          <w:sz w:val="24"/>
          <w:szCs w:val="24"/>
        </w:rPr>
        <w:t xml:space="preserve">passer de </w:t>
      </w:r>
      <w:r w:rsidR="007D2B46" w:rsidRPr="007D2B46">
        <w:rPr>
          <w:sz w:val="24"/>
          <w:szCs w:val="24"/>
        </w:rPr>
        <w:t>4,6</w:t>
      </w:r>
      <w:r w:rsidR="00676531" w:rsidRPr="007D2B46">
        <w:rPr>
          <w:sz w:val="24"/>
          <w:szCs w:val="24"/>
        </w:rPr>
        <w:t>%</w:t>
      </w:r>
      <w:r w:rsidR="00676531">
        <w:rPr>
          <w:sz w:val="24"/>
          <w:szCs w:val="24"/>
        </w:rPr>
        <w:t xml:space="preserve"> en 2017 à</w:t>
      </w:r>
      <w:r w:rsidRPr="00C968D8">
        <w:rPr>
          <w:sz w:val="24"/>
          <w:szCs w:val="24"/>
        </w:rPr>
        <w:t xml:space="preserve"> 4,</w:t>
      </w:r>
      <w:r w:rsidR="007D2B46">
        <w:rPr>
          <w:sz w:val="24"/>
          <w:szCs w:val="24"/>
        </w:rPr>
        <w:t>8</w:t>
      </w:r>
      <w:r w:rsidRPr="00C968D8">
        <w:rPr>
          <w:sz w:val="24"/>
          <w:szCs w:val="24"/>
        </w:rPr>
        <w:t>% en 2018 et 4% en 2019.</w:t>
      </w:r>
      <w:r>
        <w:rPr>
          <w:sz w:val="24"/>
          <w:szCs w:val="24"/>
        </w:rPr>
        <w:t xml:space="preserve"> </w:t>
      </w:r>
      <w:r w:rsidR="00676531">
        <w:rPr>
          <w:sz w:val="24"/>
          <w:szCs w:val="24"/>
        </w:rPr>
        <w:t>L’économie mondiale devrait</w:t>
      </w:r>
      <w:r>
        <w:rPr>
          <w:sz w:val="24"/>
          <w:szCs w:val="24"/>
        </w:rPr>
        <w:t xml:space="preserve">, cependant, </w:t>
      </w:r>
      <w:r w:rsidR="005443AC">
        <w:rPr>
          <w:sz w:val="24"/>
          <w:szCs w:val="24"/>
        </w:rPr>
        <w:t>rester</w:t>
      </w:r>
      <w:r w:rsidR="00676531">
        <w:rPr>
          <w:sz w:val="24"/>
          <w:szCs w:val="24"/>
        </w:rPr>
        <w:t xml:space="preserve"> </w:t>
      </w:r>
      <w:r>
        <w:rPr>
          <w:sz w:val="24"/>
          <w:szCs w:val="24"/>
        </w:rPr>
        <w:t xml:space="preserve">soumise aux incertitudes liées à l’augmentation prévisible du </w:t>
      </w:r>
      <w:r w:rsidRPr="0081696B">
        <w:rPr>
          <w:sz w:val="24"/>
          <w:szCs w:val="24"/>
        </w:rPr>
        <w:t xml:space="preserve">prix du </w:t>
      </w:r>
      <w:r w:rsidRPr="0081696B">
        <w:rPr>
          <w:sz w:val="24"/>
          <w:szCs w:val="24"/>
        </w:rPr>
        <w:lastRenderedPageBreak/>
        <w:t>pétrole</w:t>
      </w:r>
      <w:r>
        <w:rPr>
          <w:sz w:val="24"/>
          <w:szCs w:val="24"/>
        </w:rPr>
        <w:t xml:space="preserve"> et</w:t>
      </w:r>
      <w:r w:rsidRPr="0081696B">
        <w:rPr>
          <w:sz w:val="24"/>
          <w:szCs w:val="24"/>
        </w:rPr>
        <w:t xml:space="preserve"> des taux d’intérêt, dans un contexte d’exacerbation des conflits géostratégiques déclarés ou latents, notamment au Moyen-Orient</w:t>
      </w:r>
      <w:r>
        <w:rPr>
          <w:sz w:val="24"/>
          <w:szCs w:val="24"/>
        </w:rPr>
        <w:t xml:space="preserve"> et en Asie</w:t>
      </w:r>
      <w:r w:rsidRPr="0081696B">
        <w:rPr>
          <w:sz w:val="24"/>
          <w:szCs w:val="24"/>
        </w:rPr>
        <w:t xml:space="preserve"> et de la prolifération </w:t>
      </w:r>
      <w:r w:rsidR="00A86469">
        <w:rPr>
          <w:sz w:val="24"/>
          <w:szCs w:val="24"/>
        </w:rPr>
        <w:t xml:space="preserve">à travers le Monde de foyers </w:t>
      </w:r>
      <w:r>
        <w:rPr>
          <w:sz w:val="24"/>
          <w:szCs w:val="24"/>
        </w:rPr>
        <w:t>du terrorisme, notamment en Afrique.</w:t>
      </w:r>
    </w:p>
    <w:p w:rsidR="00EB640C" w:rsidRPr="007D2B46" w:rsidRDefault="00C968D8" w:rsidP="00EB640C">
      <w:pPr>
        <w:jc w:val="both"/>
        <w:rPr>
          <w:sz w:val="24"/>
          <w:szCs w:val="24"/>
        </w:rPr>
      </w:pPr>
      <w:r w:rsidRPr="007D2B46">
        <w:rPr>
          <w:sz w:val="24"/>
          <w:szCs w:val="24"/>
        </w:rPr>
        <w:tab/>
      </w:r>
      <w:r w:rsidR="00EB640C" w:rsidRPr="007D2B46">
        <w:rPr>
          <w:sz w:val="24"/>
          <w:szCs w:val="24"/>
        </w:rPr>
        <w:t xml:space="preserve">Dans ces conditions, le volume du </w:t>
      </w:r>
      <w:r w:rsidR="00EB640C" w:rsidRPr="007D2B46">
        <w:rPr>
          <w:b/>
          <w:bCs/>
          <w:sz w:val="24"/>
          <w:szCs w:val="24"/>
        </w:rPr>
        <w:t>commerce mondial</w:t>
      </w:r>
      <w:r w:rsidR="00EB640C" w:rsidRPr="007D2B46">
        <w:rPr>
          <w:sz w:val="24"/>
          <w:szCs w:val="24"/>
        </w:rPr>
        <w:t>, subissant déjà une atténuation structurelle de son rythme de croissance, devrait passer de 4,8% en 2017 à 4,3% en 2018 et 4,2% en 2019.</w:t>
      </w:r>
    </w:p>
    <w:p w:rsidR="00EB640C" w:rsidRPr="00C511E6" w:rsidRDefault="00EB640C" w:rsidP="00A86469">
      <w:pPr>
        <w:jc w:val="both"/>
        <w:rPr>
          <w:b/>
          <w:bCs/>
          <w:color w:val="E36C0A" w:themeColor="accent6" w:themeShade="BF"/>
          <w:sz w:val="28"/>
          <w:szCs w:val="28"/>
        </w:rPr>
      </w:pPr>
      <w:r w:rsidRPr="00C511E6">
        <w:rPr>
          <w:b/>
          <w:bCs/>
          <w:color w:val="E36C0A" w:themeColor="accent6" w:themeShade="BF"/>
          <w:sz w:val="28"/>
          <w:szCs w:val="28"/>
        </w:rPr>
        <w:t>Situation économique nationale en 2018 et 2019</w:t>
      </w:r>
    </w:p>
    <w:p w:rsidR="00EB640C" w:rsidRDefault="009A4AD6" w:rsidP="00A86469">
      <w:pPr>
        <w:jc w:val="both"/>
        <w:rPr>
          <w:sz w:val="24"/>
          <w:szCs w:val="24"/>
        </w:rPr>
      </w:pPr>
      <w:r>
        <w:rPr>
          <w:sz w:val="24"/>
          <w:szCs w:val="24"/>
        </w:rPr>
        <w:tab/>
      </w:r>
      <w:r w:rsidR="00A86469">
        <w:rPr>
          <w:sz w:val="24"/>
          <w:szCs w:val="24"/>
        </w:rPr>
        <w:t>A</w:t>
      </w:r>
      <w:r w:rsidR="00EB640C" w:rsidRPr="0081696B">
        <w:rPr>
          <w:sz w:val="24"/>
          <w:szCs w:val="24"/>
        </w:rPr>
        <w:t xml:space="preserve"> la faveur </w:t>
      </w:r>
      <w:r w:rsidR="00EB640C">
        <w:rPr>
          <w:sz w:val="24"/>
          <w:szCs w:val="24"/>
        </w:rPr>
        <w:t>d’une répartition pluviométrique</w:t>
      </w:r>
      <w:r w:rsidR="00EB640C" w:rsidRPr="0081696B">
        <w:rPr>
          <w:sz w:val="24"/>
          <w:szCs w:val="24"/>
        </w:rPr>
        <w:t xml:space="preserve"> atypique </w:t>
      </w:r>
      <w:r w:rsidR="00EB640C">
        <w:rPr>
          <w:sz w:val="24"/>
          <w:szCs w:val="24"/>
        </w:rPr>
        <w:t xml:space="preserve">dans le temps et équilibrée dans l’espace, </w:t>
      </w:r>
      <w:r w:rsidR="00EB640C" w:rsidRPr="0081696B">
        <w:rPr>
          <w:sz w:val="24"/>
          <w:szCs w:val="24"/>
        </w:rPr>
        <w:t xml:space="preserve">le Maroc a </w:t>
      </w:r>
      <w:r w:rsidR="00EB640C">
        <w:rPr>
          <w:sz w:val="24"/>
          <w:szCs w:val="24"/>
        </w:rPr>
        <w:t xml:space="preserve">bénéficié de </w:t>
      </w:r>
      <w:r w:rsidR="00EB640C" w:rsidRPr="0081696B">
        <w:rPr>
          <w:sz w:val="24"/>
          <w:szCs w:val="24"/>
        </w:rPr>
        <w:t xml:space="preserve">l’une de ses meilleures </w:t>
      </w:r>
      <w:r w:rsidR="00EB640C" w:rsidRPr="00C511E6">
        <w:rPr>
          <w:b/>
          <w:bCs/>
          <w:sz w:val="24"/>
          <w:szCs w:val="24"/>
        </w:rPr>
        <w:t>campagnes agricoles</w:t>
      </w:r>
      <w:r w:rsidR="00EB640C">
        <w:rPr>
          <w:sz w:val="24"/>
          <w:szCs w:val="24"/>
        </w:rPr>
        <w:t xml:space="preserve">, portée par le rendement élevé de la céréaliculture et une bonne orientation de ses cultures </w:t>
      </w:r>
      <w:r w:rsidR="00A86469">
        <w:rPr>
          <w:sz w:val="24"/>
          <w:szCs w:val="24"/>
        </w:rPr>
        <w:t>classiques</w:t>
      </w:r>
      <w:r w:rsidR="00EB640C">
        <w:rPr>
          <w:sz w:val="24"/>
          <w:szCs w:val="24"/>
        </w:rPr>
        <w:t xml:space="preserve"> notamment maraichères et arboricoles, avec cependant une relative baisse du rythme de croissance des activités de l’élevage. </w:t>
      </w:r>
    </w:p>
    <w:p w:rsidR="00EB640C" w:rsidRPr="00A86469" w:rsidRDefault="00EB640C" w:rsidP="00A86469">
      <w:pPr>
        <w:ind w:firstLine="360"/>
        <w:jc w:val="both"/>
        <w:rPr>
          <w:sz w:val="24"/>
          <w:szCs w:val="24"/>
        </w:rPr>
      </w:pPr>
      <w:r w:rsidRPr="00A86469">
        <w:rPr>
          <w:sz w:val="24"/>
          <w:szCs w:val="24"/>
        </w:rPr>
        <w:t xml:space="preserve">Avec une activité plus soutenue de la pêche maritime, la </w:t>
      </w:r>
      <w:r w:rsidRPr="00A86469">
        <w:rPr>
          <w:b/>
          <w:bCs/>
          <w:sz w:val="24"/>
          <w:szCs w:val="24"/>
        </w:rPr>
        <w:t>valeur ajoutée du secteur primaire</w:t>
      </w:r>
      <w:r w:rsidRPr="00A86469">
        <w:rPr>
          <w:sz w:val="24"/>
          <w:szCs w:val="24"/>
        </w:rPr>
        <w:t>, après s’être accrue de 13,2% en 2017, devrait connaitre une progression modérée de 3,1% en 2018 et un recul de 0,</w:t>
      </w:r>
      <w:r w:rsidR="009A4AD6" w:rsidRPr="00A86469">
        <w:rPr>
          <w:sz w:val="24"/>
          <w:szCs w:val="24"/>
        </w:rPr>
        <w:t>3</w:t>
      </w:r>
      <w:r w:rsidRPr="00A86469">
        <w:rPr>
          <w:sz w:val="24"/>
          <w:szCs w:val="24"/>
        </w:rPr>
        <w:t>% en 2019</w:t>
      </w:r>
      <w:r w:rsidR="009A4AD6" w:rsidRPr="00A86469">
        <w:rPr>
          <w:sz w:val="24"/>
          <w:szCs w:val="24"/>
        </w:rPr>
        <w:t xml:space="preserve">. Sa contribution au </w:t>
      </w:r>
      <w:r w:rsidR="00A86469" w:rsidRPr="00A86469">
        <w:rPr>
          <w:sz w:val="24"/>
          <w:szCs w:val="24"/>
        </w:rPr>
        <w:t>PIB serait</w:t>
      </w:r>
      <w:r w:rsidR="009A4AD6" w:rsidRPr="00A86469">
        <w:rPr>
          <w:sz w:val="24"/>
          <w:szCs w:val="24"/>
        </w:rPr>
        <w:t xml:space="preserve"> nulle en 2019, au lieu de 0,4 point en 2018, après avoir été de 1,6 point en 2017.</w:t>
      </w:r>
    </w:p>
    <w:p w:rsidR="00EB640C" w:rsidRPr="00A86469" w:rsidRDefault="00EB640C" w:rsidP="00A86469">
      <w:pPr>
        <w:ind w:firstLine="360"/>
        <w:jc w:val="both"/>
        <w:rPr>
          <w:sz w:val="24"/>
          <w:szCs w:val="24"/>
        </w:rPr>
      </w:pPr>
      <w:r w:rsidRPr="00A86469">
        <w:rPr>
          <w:sz w:val="24"/>
          <w:szCs w:val="24"/>
        </w:rPr>
        <w:t xml:space="preserve">Les </w:t>
      </w:r>
      <w:r w:rsidRPr="00A86469">
        <w:rPr>
          <w:b/>
          <w:bCs/>
          <w:sz w:val="24"/>
          <w:szCs w:val="24"/>
        </w:rPr>
        <w:t>activités non-agricoles</w:t>
      </w:r>
      <w:r w:rsidRPr="00A86469">
        <w:rPr>
          <w:sz w:val="24"/>
          <w:szCs w:val="24"/>
        </w:rPr>
        <w:t xml:space="preserve"> devraient poursuivre leur tendance haussière à 3,</w:t>
      </w:r>
      <w:r w:rsidR="009A4AD6" w:rsidRPr="00A86469">
        <w:rPr>
          <w:sz w:val="24"/>
          <w:szCs w:val="24"/>
        </w:rPr>
        <w:t>1</w:t>
      </w:r>
      <w:r w:rsidRPr="00A86469">
        <w:rPr>
          <w:sz w:val="24"/>
          <w:szCs w:val="24"/>
        </w:rPr>
        <w:t xml:space="preserve">% en 2018 et </w:t>
      </w:r>
      <w:r w:rsidR="009A4AD6" w:rsidRPr="00A86469">
        <w:rPr>
          <w:sz w:val="24"/>
          <w:szCs w:val="24"/>
        </w:rPr>
        <w:t xml:space="preserve">3,2% en </w:t>
      </w:r>
      <w:r w:rsidRPr="00A86469">
        <w:rPr>
          <w:sz w:val="24"/>
          <w:szCs w:val="24"/>
        </w:rPr>
        <w:t xml:space="preserve">2019, après 2,8% en 2017, bénéficiant des activités traditionnelles du </w:t>
      </w:r>
      <w:r w:rsidRPr="00A86469">
        <w:rPr>
          <w:b/>
          <w:bCs/>
          <w:sz w:val="24"/>
          <w:szCs w:val="24"/>
        </w:rPr>
        <w:t>secteur secondaire</w:t>
      </w:r>
      <w:r w:rsidRPr="00A86469">
        <w:rPr>
          <w:sz w:val="24"/>
          <w:szCs w:val="24"/>
        </w:rPr>
        <w:t xml:space="preserve">, notamment industrielles et minières, et d’un </w:t>
      </w:r>
      <w:r w:rsidRPr="00A86469">
        <w:rPr>
          <w:b/>
          <w:bCs/>
          <w:sz w:val="24"/>
          <w:szCs w:val="24"/>
        </w:rPr>
        <w:t>secteur tertiaire</w:t>
      </w:r>
      <w:r w:rsidRPr="00A86469">
        <w:rPr>
          <w:sz w:val="24"/>
          <w:szCs w:val="24"/>
        </w:rPr>
        <w:t>, dont la croissance devrait passer de 2,</w:t>
      </w:r>
      <w:r w:rsidR="009A4AD6" w:rsidRPr="00A86469">
        <w:rPr>
          <w:sz w:val="24"/>
          <w:szCs w:val="24"/>
        </w:rPr>
        <w:t>7</w:t>
      </w:r>
      <w:r w:rsidRPr="00A86469">
        <w:rPr>
          <w:sz w:val="24"/>
          <w:szCs w:val="24"/>
        </w:rPr>
        <w:t xml:space="preserve">% en 2017 à </w:t>
      </w:r>
      <w:r w:rsidR="009A4AD6" w:rsidRPr="00A86469">
        <w:rPr>
          <w:sz w:val="24"/>
          <w:szCs w:val="24"/>
        </w:rPr>
        <w:t>3,1</w:t>
      </w:r>
      <w:r w:rsidRPr="00A86469">
        <w:rPr>
          <w:sz w:val="24"/>
          <w:szCs w:val="24"/>
        </w:rPr>
        <w:t>% en 2018 et 2019, profitant en particulier d’un renouveau du dynamisme du secteur touristique.</w:t>
      </w:r>
    </w:p>
    <w:p w:rsidR="00EB640C" w:rsidRDefault="00EB640C" w:rsidP="00A86469">
      <w:pPr>
        <w:ind w:firstLine="360"/>
        <w:jc w:val="both"/>
        <w:rPr>
          <w:sz w:val="24"/>
          <w:szCs w:val="24"/>
        </w:rPr>
      </w:pPr>
      <w:r w:rsidRPr="00C511E6">
        <w:rPr>
          <w:b/>
          <w:bCs/>
          <w:sz w:val="24"/>
          <w:szCs w:val="24"/>
        </w:rPr>
        <w:t xml:space="preserve">Globalement, le PIB devrait s’accroitre en volume </w:t>
      </w:r>
      <w:r w:rsidRPr="009A4AD6">
        <w:rPr>
          <w:b/>
          <w:bCs/>
          <w:sz w:val="24"/>
          <w:szCs w:val="24"/>
        </w:rPr>
        <w:t>de 3,1% en 2018 et 2,9% en 2019,</w:t>
      </w:r>
      <w:r w:rsidRPr="00C511E6">
        <w:rPr>
          <w:b/>
          <w:bCs/>
          <w:sz w:val="24"/>
          <w:szCs w:val="24"/>
        </w:rPr>
        <w:t xml:space="preserve"> après 4,1% réalisé en 2017,</w:t>
      </w:r>
      <w:r>
        <w:rPr>
          <w:sz w:val="24"/>
          <w:szCs w:val="24"/>
        </w:rPr>
        <w:t xml:space="preserve"> dans un contexte où le taux de chômage ne devrait guère connaitre d’amélioration et où </w:t>
      </w:r>
      <w:r w:rsidRPr="00892D7C">
        <w:rPr>
          <w:b/>
          <w:bCs/>
          <w:sz w:val="24"/>
          <w:szCs w:val="24"/>
        </w:rPr>
        <w:t>l’inflation intérieure</w:t>
      </w:r>
      <w:r>
        <w:rPr>
          <w:sz w:val="24"/>
          <w:szCs w:val="24"/>
        </w:rPr>
        <w:t xml:space="preserve"> serait, avec 1,7% en 2018 et 1,3% en 2019, le double de ce qu’elle était en 2017. </w:t>
      </w:r>
    </w:p>
    <w:p w:rsidR="00EB640C" w:rsidRPr="00A86469" w:rsidRDefault="00EB640C" w:rsidP="00A86469">
      <w:pPr>
        <w:ind w:firstLine="360"/>
        <w:jc w:val="both"/>
        <w:rPr>
          <w:b/>
          <w:bCs/>
          <w:sz w:val="24"/>
          <w:szCs w:val="24"/>
        </w:rPr>
      </w:pPr>
      <w:r w:rsidRPr="00A86469">
        <w:rPr>
          <w:b/>
          <w:bCs/>
          <w:sz w:val="24"/>
          <w:szCs w:val="24"/>
        </w:rPr>
        <w:t>Au total, la demande intérieure continuerait à tirer la croissance économique, au moment où la demande extérieure nette devrait à nouveau contribuer négativement à la croissance, malgré l’amélioration prévue de la demande mondiale adressée au Maroc.</w:t>
      </w:r>
    </w:p>
    <w:p w:rsidR="00EB640C" w:rsidRPr="00A86469" w:rsidRDefault="00EB640C" w:rsidP="00A86469">
      <w:pPr>
        <w:ind w:firstLine="360"/>
        <w:jc w:val="both"/>
        <w:rPr>
          <w:sz w:val="24"/>
          <w:szCs w:val="24"/>
        </w:rPr>
      </w:pPr>
      <w:r w:rsidRPr="00A86469">
        <w:rPr>
          <w:b/>
          <w:bCs/>
          <w:sz w:val="24"/>
          <w:szCs w:val="24"/>
        </w:rPr>
        <w:t xml:space="preserve">La demande intérieure </w:t>
      </w:r>
      <w:r w:rsidRPr="00A86469">
        <w:rPr>
          <w:sz w:val="24"/>
          <w:szCs w:val="24"/>
        </w:rPr>
        <w:t xml:space="preserve">devrait enregistrer un accroissement de 3,5% en 2018 et </w:t>
      </w:r>
      <w:r w:rsidR="009A4AD6" w:rsidRPr="00A86469">
        <w:rPr>
          <w:sz w:val="24"/>
          <w:szCs w:val="24"/>
        </w:rPr>
        <w:t>2,9</w:t>
      </w:r>
      <w:r w:rsidRPr="00A86469">
        <w:rPr>
          <w:sz w:val="24"/>
          <w:szCs w:val="24"/>
        </w:rPr>
        <w:t xml:space="preserve">% en 2019, avec une contribution à la croissance </w:t>
      </w:r>
      <w:r w:rsidR="00A86469">
        <w:rPr>
          <w:sz w:val="24"/>
          <w:szCs w:val="24"/>
        </w:rPr>
        <w:t xml:space="preserve">respectivement </w:t>
      </w:r>
      <w:r w:rsidRPr="00A86469">
        <w:rPr>
          <w:sz w:val="24"/>
          <w:szCs w:val="24"/>
        </w:rPr>
        <w:t xml:space="preserve">de 3,8 points en 2018 et </w:t>
      </w:r>
      <w:r w:rsidR="009A4AD6" w:rsidRPr="00A86469">
        <w:rPr>
          <w:sz w:val="24"/>
          <w:szCs w:val="24"/>
        </w:rPr>
        <w:t xml:space="preserve">3,2 </w:t>
      </w:r>
      <w:r w:rsidRPr="00A86469">
        <w:rPr>
          <w:sz w:val="24"/>
          <w:szCs w:val="24"/>
        </w:rPr>
        <w:t>points en 2019.</w:t>
      </w:r>
    </w:p>
    <w:p w:rsidR="00EB640C" w:rsidRDefault="00EB640C" w:rsidP="00EB640C">
      <w:pPr>
        <w:pStyle w:val="Paragraphedeliste"/>
        <w:numPr>
          <w:ilvl w:val="0"/>
          <w:numId w:val="3"/>
        </w:numPr>
        <w:jc w:val="both"/>
        <w:rPr>
          <w:b/>
          <w:bCs/>
          <w:sz w:val="24"/>
          <w:szCs w:val="24"/>
        </w:rPr>
      </w:pPr>
      <w:r w:rsidRPr="00C511E6">
        <w:rPr>
          <w:sz w:val="24"/>
          <w:szCs w:val="24"/>
        </w:rPr>
        <w:t xml:space="preserve">La </w:t>
      </w:r>
      <w:r w:rsidRPr="00C511E6">
        <w:rPr>
          <w:b/>
          <w:bCs/>
          <w:sz w:val="24"/>
          <w:szCs w:val="24"/>
        </w:rPr>
        <w:t>consommation finale des ménages</w:t>
      </w:r>
      <w:r w:rsidRPr="00C511E6">
        <w:rPr>
          <w:sz w:val="24"/>
          <w:szCs w:val="24"/>
        </w:rPr>
        <w:t>, avec une croissance respectivement de 3,3% et 3,4%, continuerait à s’améliorer en 2018 et 2019, bénéficiant de l’amélioration des revenus agricoles et la consolidation de la croissance des activités non-agricoles.</w:t>
      </w:r>
    </w:p>
    <w:p w:rsidR="00A86469" w:rsidRPr="00A86469" w:rsidRDefault="00EB640C" w:rsidP="00EB640C">
      <w:pPr>
        <w:pStyle w:val="Paragraphedeliste"/>
        <w:numPr>
          <w:ilvl w:val="0"/>
          <w:numId w:val="4"/>
        </w:numPr>
        <w:jc w:val="both"/>
        <w:rPr>
          <w:b/>
          <w:bCs/>
          <w:sz w:val="24"/>
          <w:szCs w:val="24"/>
        </w:rPr>
      </w:pPr>
      <w:r w:rsidRPr="00A86469">
        <w:rPr>
          <w:sz w:val="24"/>
          <w:szCs w:val="24"/>
        </w:rPr>
        <w:lastRenderedPageBreak/>
        <w:t xml:space="preserve">La </w:t>
      </w:r>
      <w:r w:rsidRPr="00A86469">
        <w:rPr>
          <w:b/>
          <w:bCs/>
          <w:sz w:val="24"/>
          <w:szCs w:val="24"/>
        </w:rPr>
        <w:t>consommation des administrations publiques</w:t>
      </w:r>
      <w:r w:rsidRPr="00A86469">
        <w:rPr>
          <w:sz w:val="24"/>
          <w:szCs w:val="24"/>
        </w:rPr>
        <w:t xml:space="preserve"> devrait s’accroitre entre les deux années de 1,</w:t>
      </w:r>
      <w:r w:rsidR="009A4AD6" w:rsidRPr="00A86469">
        <w:rPr>
          <w:sz w:val="24"/>
          <w:szCs w:val="24"/>
        </w:rPr>
        <w:t>8%, après 1,5% e</w:t>
      </w:r>
      <w:r w:rsidRPr="00A86469">
        <w:rPr>
          <w:sz w:val="24"/>
          <w:szCs w:val="24"/>
        </w:rPr>
        <w:t>n 2017.</w:t>
      </w:r>
    </w:p>
    <w:p w:rsidR="00A86469" w:rsidRPr="00A86469" w:rsidRDefault="00A86469" w:rsidP="00A86469">
      <w:pPr>
        <w:pStyle w:val="Paragraphedeliste"/>
        <w:jc w:val="both"/>
        <w:rPr>
          <w:b/>
          <w:bCs/>
          <w:sz w:val="24"/>
          <w:szCs w:val="24"/>
        </w:rPr>
      </w:pPr>
    </w:p>
    <w:p w:rsidR="00EB640C" w:rsidRPr="00A86469" w:rsidRDefault="00EB640C" w:rsidP="0061453D">
      <w:pPr>
        <w:pStyle w:val="Paragraphedeliste"/>
        <w:numPr>
          <w:ilvl w:val="0"/>
          <w:numId w:val="4"/>
        </w:numPr>
        <w:jc w:val="both"/>
        <w:rPr>
          <w:b/>
          <w:bCs/>
          <w:sz w:val="24"/>
          <w:szCs w:val="24"/>
        </w:rPr>
      </w:pPr>
      <w:r w:rsidRPr="00A86469">
        <w:rPr>
          <w:b/>
          <w:bCs/>
          <w:sz w:val="24"/>
          <w:szCs w:val="24"/>
        </w:rPr>
        <w:t>La formation brute de capital fixe</w:t>
      </w:r>
      <w:r w:rsidRPr="00A86469">
        <w:rPr>
          <w:sz w:val="24"/>
          <w:szCs w:val="24"/>
        </w:rPr>
        <w:t>, de son côté, continuerait d’être soutenue par la poursuite de</w:t>
      </w:r>
      <w:r w:rsidR="00D60CB0">
        <w:rPr>
          <w:sz w:val="24"/>
          <w:szCs w:val="24"/>
        </w:rPr>
        <w:t>s programmes</w:t>
      </w:r>
      <w:r w:rsidRPr="00A86469">
        <w:rPr>
          <w:sz w:val="24"/>
          <w:szCs w:val="24"/>
        </w:rPr>
        <w:t xml:space="preserve"> d’infrastructure et la reprise relative des activités industrielles. Elle devrait connaitre une hausse </w:t>
      </w:r>
      <w:r w:rsidR="00D60CB0">
        <w:rPr>
          <w:sz w:val="24"/>
          <w:szCs w:val="24"/>
        </w:rPr>
        <w:t xml:space="preserve">en volume </w:t>
      </w:r>
      <w:r w:rsidRPr="00A86469">
        <w:rPr>
          <w:sz w:val="24"/>
          <w:szCs w:val="24"/>
        </w:rPr>
        <w:t xml:space="preserve">de 5,6% en 2018 et </w:t>
      </w:r>
      <w:r w:rsidR="00D60CB0">
        <w:rPr>
          <w:sz w:val="24"/>
          <w:szCs w:val="24"/>
        </w:rPr>
        <w:t xml:space="preserve">de </w:t>
      </w:r>
      <w:r w:rsidR="009A4AD6" w:rsidRPr="00A86469">
        <w:rPr>
          <w:sz w:val="24"/>
          <w:szCs w:val="24"/>
        </w:rPr>
        <w:t>3,6</w:t>
      </w:r>
      <w:r w:rsidRPr="00A86469">
        <w:rPr>
          <w:sz w:val="24"/>
          <w:szCs w:val="24"/>
        </w:rPr>
        <w:t xml:space="preserve">% en 2019, après une baisse de 0,8% en 2017. Sa contribution à la croissance économique, après avoir été négative en 2017, devrait </w:t>
      </w:r>
      <w:r w:rsidR="0061453D">
        <w:rPr>
          <w:sz w:val="24"/>
          <w:szCs w:val="24"/>
        </w:rPr>
        <w:t>s’améliorer</w:t>
      </w:r>
      <w:r w:rsidRPr="00A86469">
        <w:rPr>
          <w:sz w:val="24"/>
          <w:szCs w:val="24"/>
        </w:rPr>
        <w:t xml:space="preserve"> à 1,6 point </w:t>
      </w:r>
      <w:r w:rsidR="0061453D" w:rsidRPr="00A86469">
        <w:rPr>
          <w:sz w:val="24"/>
          <w:szCs w:val="24"/>
        </w:rPr>
        <w:t xml:space="preserve">et à un point </w:t>
      </w:r>
      <w:r w:rsidR="0061453D">
        <w:rPr>
          <w:sz w:val="24"/>
          <w:szCs w:val="24"/>
        </w:rPr>
        <w:t>respectivement au cours des deux années</w:t>
      </w:r>
      <w:r w:rsidRPr="00A86469">
        <w:rPr>
          <w:sz w:val="24"/>
          <w:szCs w:val="24"/>
        </w:rPr>
        <w:t>.</w:t>
      </w:r>
    </w:p>
    <w:p w:rsidR="00CD0320" w:rsidRPr="00E21F78" w:rsidRDefault="00CD0320" w:rsidP="0009068E">
      <w:pPr>
        <w:ind w:firstLine="360"/>
        <w:jc w:val="both"/>
        <w:rPr>
          <w:sz w:val="2"/>
          <w:szCs w:val="2"/>
        </w:rPr>
      </w:pPr>
    </w:p>
    <w:p w:rsidR="00EB640C" w:rsidRPr="0061453D" w:rsidRDefault="00EB640C" w:rsidP="0009068E">
      <w:pPr>
        <w:ind w:firstLine="360"/>
        <w:jc w:val="both"/>
        <w:rPr>
          <w:sz w:val="24"/>
          <w:szCs w:val="24"/>
        </w:rPr>
      </w:pPr>
      <w:r w:rsidRPr="0061453D">
        <w:rPr>
          <w:sz w:val="24"/>
          <w:szCs w:val="24"/>
        </w:rPr>
        <w:t xml:space="preserve">La </w:t>
      </w:r>
      <w:r w:rsidRPr="0061453D">
        <w:rPr>
          <w:b/>
          <w:bCs/>
          <w:sz w:val="24"/>
          <w:szCs w:val="24"/>
        </w:rPr>
        <w:t>demande extérieure</w:t>
      </w:r>
      <w:r w:rsidRPr="0061453D">
        <w:rPr>
          <w:sz w:val="24"/>
          <w:szCs w:val="24"/>
        </w:rPr>
        <w:t xml:space="preserve"> </w:t>
      </w:r>
      <w:r w:rsidR="0009068E">
        <w:rPr>
          <w:sz w:val="24"/>
          <w:szCs w:val="24"/>
        </w:rPr>
        <w:t xml:space="preserve">devrait, en revanche, contribuer négativement </w:t>
      </w:r>
      <w:r w:rsidRPr="0061453D">
        <w:rPr>
          <w:sz w:val="24"/>
          <w:szCs w:val="24"/>
        </w:rPr>
        <w:t xml:space="preserve">à la croissance du PIB de 0,7 point en 2018 et </w:t>
      </w:r>
      <w:r w:rsidR="00E21F78">
        <w:rPr>
          <w:sz w:val="24"/>
          <w:szCs w:val="24"/>
        </w:rPr>
        <w:t xml:space="preserve">de </w:t>
      </w:r>
      <w:r w:rsidR="00172004" w:rsidRPr="0061453D">
        <w:rPr>
          <w:sz w:val="24"/>
          <w:szCs w:val="24"/>
        </w:rPr>
        <w:t xml:space="preserve">0,3 </w:t>
      </w:r>
      <w:r w:rsidRPr="0061453D">
        <w:rPr>
          <w:sz w:val="24"/>
          <w:szCs w:val="24"/>
        </w:rPr>
        <w:t>point en 2019, après une contribution positive de 0,5 point en 2017.</w:t>
      </w:r>
    </w:p>
    <w:p w:rsidR="00172004" w:rsidRDefault="00172004" w:rsidP="000D01A5">
      <w:pPr>
        <w:pStyle w:val="Paragraphedeliste"/>
        <w:numPr>
          <w:ilvl w:val="0"/>
          <w:numId w:val="6"/>
        </w:numPr>
        <w:ind w:left="1843" w:hanging="425"/>
        <w:jc w:val="both"/>
        <w:rPr>
          <w:sz w:val="24"/>
          <w:szCs w:val="24"/>
        </w:rPr>
      </w:pPr>
      <w:r>
        <w:rPr>
          <w:sz w:val="24"/>
          <w:szCs w:val="24"/>
        </w:rPr>
        <w:t>Les exportations de biens et services devraient s’accroitre en volume de 6,9% en 2018 et 2019, en ralentissement par rapport à 10,9% affiché en 2017.</w:t>
      </w:r>
    </w:p>
    <w:p w:rsidR="00F169FE" w:rsidRDefault="00F169FE" w:rsidP="000D01A5">
      <w:pPr>
        <w:pStyle w:val="Paragraphedeliste"/>
        <w:numPr>
          <w:ilvl w:val="0"/>
          <w:numId w:val="6"/>
        </w:numPr>
        <w:ind w:left="1843" w:hanging="425"/>
        <w:jc w:val="both"/>
        <w:rPr>
          <w:sz w:val="24"/>
          <w:szCs w:val="24"/>
        </w:rPr>
      </w:pPr>
      <w:r>
        <w:rPr>
          <w:sz w:val="24"/>
          <w:szCs w:val="24"/>
        </w:rPr>
        <w:t>Les importations dev</w:t>
      </w:r>
      <w:r w:rsidR="009A4AD6">
        <w:rPr>
          <w:sz w:val="24"/>
          <w:szCs w:val="24"/>
        </w:rPr>
        <w:t>raient enregistrer une baisse du</w:t>
      </w:r>
      <w:r>
        <w:rPr>
          <w:sz w:val="24"/>
          <w:szCs w:val="24"/>
        </w:rPr>
        <w:t xml:space="preserve"> rythme de croissance en volume, passant de 7,4% en 2017 à 7,1% en 2018 et 6,2% en 2019.</w:t>
      </w:r>
    </w:p>
    <w:p w:rsidR="00CD0320" w:rsidRPr="00E21F78" w:rsidRDefault="00CD0320" w:rsidP="00CD0320">
      <w:pPr>
        <w:pStyle w:val="Paragraphedeliste"/>
        <w:ind w:left="2136"/>
        <w:jc w:val="both"/>
        <w:rPr>
          <w:sz w:val="6"/>
          <w:szCs w:val="6"/>
        </w:rPr>
      </w:pPr>
    </w:p>
    <w:p w:rsidR="00855056" w:rsidRDefault="00855056" w:rsidP="00855056">
      <w:pPr>
        <w:ind w:firstLine="426"/>
        <w:jc w:val="both"/>
        <w:rPr>
          <w:sz w:val="24"/>
          <w:szCs w:val="24"/>
        </w:rPr>
      </w:pPr>
      <w:r w:rsidRPr="00855056">
        <w:rPr>
          <w:sz w:val="24"/>
          <w:szCs w:val="24"/>
        </w:rPr>
        <w:t xml:space="preserve">Au </w:t>
      </w:r>
      <w:r w:rsidRPr="00855056">
        <w:rPr>
          <w:b/>
          <w:bCs/>
          <w:sz w:val="24"/>
          <w:szCs w:val="24"/>
        </w:rPr>
        <w:t>plan du</w:t>
      </w:r>
      <w:r w:rsidRPr="00855056">
        <w:rPr>
          <w:sz w:val="24"/>
          <w:szCs w:val="24"/>
        </w:rPr>
        <w:t xml:space="preserve"> </w:t>
      </w:r>
      <w:r w:rsidRPr="00855056">
        <w:rPr>
          <w:b/>
          <w:bCs/>
          <w:sz w:val="24"/>
          <w:szCs w:val="24"/>
        </w:rPr>
        <w:t>financement</w:t>
      </w:r>
      <w:r>
        <w:rPr>
          <w:b/>
          <w:bCs/>
          <w:sz w:val="24"/>
          <w:szCs w:val="24"/>
        </w:rPr>
        <w:t xml:space="preserve">, </w:t>
      </w:r>
      <w:r w:rsidRPr="00855056">
        <w:rPr>
          <w:sz w:val="24"/>
          <w:szCs w:val="24"/>
        </w:rPr>
        <w:t>l’économie nationale</w:t>
      </w:r>
      <w:r>
        <w:rPr>
          <w:sz w:val="24"/>
          <w:szCs w:val="24"/>
        </w:rPr>
        <w:t xml:space="preserve"> continuerait à connaitre une accentuation </w:t>
      </w:r>
      <w:r w:rsidR="00723D1C">
        <w:rPr>
          <w:sz w:val="24"/>
          <w:szCs w:val="24"/>
        </w:rPr>
        <w:t>des besoins en financement.</w:t>
      </w:r>
      <w:r>
        <w:rPr>
          <w:sz w:val="24"/>
          <w:szCs w:val="24"/>
        </w:rPr>
        <w:t xml:space="preserve"> </w:t>
      </w:r>
    </w:p>
    <w:p w:rsidR="00723D1C" w:rsidRPr="00723D1C" w:rsidRDefault="00723D1C" w:rsidP="00723D1C">
      <w:pPr>
        <w:pStyle w:val="Paragraphedeliste"/>
        <w:numPr>
          <w:ilvl w:val="0"/>
          <w:numId w:val="9"/>
        </w:numPr>
        <w:jc w:val="both"/>
        <w:rPr>
          <w:sz w:val="24"/>
          <w:szCs w:val="24"/>
        </w:rPr>
      </w:pPr>
      <w:r w:rsidRPr="00723D1C">
        <w:rPr>
          <w:b/>
          <w:bCs/>
          <w:sz w:val="24"/>
          <w:szCs w:val="24"/>
        </w:rPr>
        <w:t xml:space="preserve">L’épargne intérieure, </w:t>
      </w:r>
      <w:r w:rsidRPr="00723D1C">
        <w:rPr>
          <w:sz w:val="24"/>
          <w:szCs w:val="24"/>
        </w:rPr>
        <w:t>compte tenu d’un accroissement du PIB à prix courants de 4,8% et d’un accroissement de la consommation finale de 5,3% serait de l’ordre de 22,8% du PIB en 2018 et 22,6% en 2019, après 23,1% en 2017</w:t>
      </w:r>
      <w:r w:rsidRPr="00723D1C">
        <w:rPr>
          <w:b/>
          <w:bCs/>
          <w:sz w:val="24"/>
          <w:szCs w:val="24"/>
        </w:rPr>
        <w:t>.</w:t>
      </w:r>
    </w:p>
    <w:p w:rsidR="00723D1C" w:rsidRPr="00723D1C" w:rsidRDefault="00723D1C" w:rsidP="00723D1C">
      <w:pPr>
        <w:pStyle w:val="Paragraphedeliste"/>
        <w:ind w:left="777"/>
        <w:jc w:val="both"/>
        <w:rPr>
          <w:sz w:val="24"/>
          <w:szCs w:val="24"/>
        </w:rPr>
      </w:pPr>
    </w:p>
    <w:p w:rsidR="00723D1C" w:rsidRDefault="00723D1C" w:rsidP="00723D1C">
      <w:pPr>
        <w:pStyle w:val="Paragraphedeliste"/>
        <w:numPr>
          <w:ilvl w:val="0"/>
          <w:numId w:val="9"/>
        </w:numPr>
        <w:jc w:val="both"/>
        <w:rPr>
          <w:sz w:val="24"/>
          <w:szCs w:val="24"/>
        </w:rPr>
      </w:pPr>
      <w:r w:rsidRPr="00723D1C">
        <w:rPr>
          <w:b/>
          <w:bCs/>
          <w:sz w:val="24"/>
          <w:szCs w:val="24"/>
        </w:rPr>
        <w:t xml:space="preserve">L’épargne nationale, </w:t>
      </w:r>
      <w:r>
        <w:rPr>
          <w:sz w:val="24"/>
          <w:szCs w:val="24"/>
        </w:rPr>
        <w:t>avec</w:t>
      </w:r>
      <w:r w:rsidRPr="00723D1C">
        <w:rPr>
          <w:sz w:val="24"/>
          <w:szCs w:val="24"/>
        </w:rPr>
        <w:t xml:space="preserve"> des re</w:t>
      </w:r>
      <w:r w:rsidR="00C0642B">
        <w:rPr>
          <w:sz w:val="24"/>
          <w:szCs w:val="24"/>
        </w:rPr>
        <w:t>venus nets en provenance du Reste du Monde</w:t>
      </w:r>
      <w:r>
        <w:rPr>
          <w:sz w:val="24"/>
          <w:szCs w:val="24"/>
        </w:rPr>
        <w:t xml:space="preserve">, </w:t>
      </w:r>
      <w:r w:rsidRPr="00723D1C">
        <w:rPr>
          <w:sz w:val="24"/>
          <w:szCs w:val="24"/>
        </w:rPr>
        <w:t>estimée en 2018 à 5,9% du PIB, serait de 28,7% du PIB en 2018 et en 2019, après 28,9% en 2017.</w:t>
      </w:r>
    </w:p>
    <w:p w:rsidR="00723D1C" w:rsidRPr="00723D1C" w:rsidRDefault="00723D1C" w:rsidP="00723D1C">
      <w:pPr>
        <w:pStyle w:val="Paragraphedeliste"/>
        <w:rPr>
          <w:sz w:val="24"/>
          <w:szCs w:val="24"/>
        </w:rPr>
      </w:pPr>
    </w:p>
    <w:p w:rsidR="00723D1C" w:rsidRPr="00723D1C" w:rsidRDefault="00723D1C" w:rsidP="00723D1C">
      <w:pPr>
        <w:pStyle w:val="Paragraphedeliste"/>
        <w:numPr>
          <w:ilvl w:val="0"/>
          <w:numId w:val="9"/>
        </w:numPr>
        <w:jc w:val="both"/>
        <w:rPr>
          <w:sz w:val="24"/>
          <w:szCs w:val="24"/>
        </w:rPr>
      </w:pPr>
      <w:r>
        <w:rPr>
          <w:b/>
          <w:bCs/>
          <w:sz w:val="24"/>
          <w:szCs w:val="24"/>
        </w:rPr>
        <w:t>L’effort d’investissement représentant 32,8% du PIB en 2018 et 32,5% en 2019, au lieu 32,6% en 2017.</w:t>
      </w:r>
    </w:p>
    <w:p w:rsidR="00723D1C" w:rsidRPr="00723D1C" w:rsidRDefault="00723D1C" w:rsidP="00723D1C">
      <w:pPr>
        <w:pStyle w:val="Paragraphedeliste"/>
        <w:ind w:left="777"/>
        <w:jc w:val="both"/>
        <w:rPr>
          <w:sz w:val="24"/>
          <w:szCs w:val="24"/>
        </w:rPr>
      </w:pPr>
    </w:p>
    <w:p w:rsidR="00723D1C" w:rsidRPr="00723D1C" w:rsidRDefault="00723D1C" w:rsidP="00723D1C">
      <w:pPr>
        <w:pStyle w:val="Paragraphedeliste"/>
        <w:numPr>
          <w:ilvl w:val="0"/>
          <w:numId w:val="9"/>
        </w:numPr>
        <w:jc w:val="both"/>
        <w:rPr>
          <w:sz w:val="24"/>
          <w:szCs w:val="24"/>
        </w:rPr>
      </w:pPr>
      <w:r>
        <w:rPr>
          <w:b/>
          <w:bCs/>
          <w:sz w:val="24"/>
          <w:szCs w:val="24"/>
        </w:rPr>
        <w:t>En conséquence, le besoin de financement sera de 3,9% en 2018 et 3,6% en 2019, que notre pays doit couvrir par le recours à l’endettement.</w:t>
      </w:r>
    </w:p>
    <w:p w:rsidR="00723D1C" w:rsidRPr="00723D1C" w:rsidRDefault="00723D1C" w:rsidP="00723D1C">
      <w:pPr>
        <w:pStyle w:val="Paragraphedeliste"/>
        <w:rPr>
          <w:sz w:val="24"/>
          <w:szCs w:val="24"/>
        </w:rPr>
      </w:pPr>
    </w:p>
    <w:p w:rsidR="00723D1C" w:rsidRPr="00723D1C" w:rsidRDefault="00723D1C" w:rsidP="00723D1C">
      <w:pPr>
        <w:pStyle w:val="Paragraphedeliste"/>
        <w:ind w:left="777"/>
        <w:jc w:val="both"/>
        <w:rPr>
          <w:sz w:val="2"/>
          <w:szCs w:val="2"/>
        </w:rPr>
      </w:pPr>
    </w:p>
    <w:p w:rsidR="00723D1C" w:rsidRDefault="00723D1C" w:rsidP="00723D1C">
      <w:pPr>
        <w:pStyle w:val="Paragraphedeliste"/>
        <w:numPr>
          <w:ilvl w:val="0"/>
          <w:numId w:val="9"/>
        </w:numPr>
        <w:jc w:val="both"/>
        <w:rPr>
          <w:sz w:val="24"/>
          <w:szCs w:val="24"/>
        </w:rPr>
      </w:pPr>
      <w:r>
        <w:rPr>
          <w:b/>
          <w:bCs/>
          <w:sz w:val="24"/>
          <w:szCs w:val="24"/>
        </w:rPr>
        <w:t>Dans ces conditions, l’endettement public global de l’économie serait de 82,6% du PIB en 2018 et 82,9% en 2019, au lieu de 82% en 2017.</w:t>
      </w:r>
    </w:p>
    <w:p w:rsidR="00723D1C" w:rsidRPr="00723D1C" w:rsidRDefault="00723D1C" w:rsidP="00723D1C">
      <w:pPr>
        <w:pStyle w:val="Paragraphedeliste"/>
        <w:ind w:left="777"/>
        <w:jc w:val="both"/>
        <w:rPr>
          <w:sz w:val="24"/>
          <w:szCs w:val="24"/>
        </w:rPr>
      </w:pPr>
    </w:p>
    <w:p w:rsidR="00DC52BB" w:rsidRDefault="00DC52BB" w:rsidP="00EB640C">
      <w:pPr>
        <w:widowControl w:val="0"/>
        <w:autoSpaceDE w:val="0"/>
        <w:autoSpaceDN w:val="0"/>
        <w:adjustRightInd w:val="0"/>
        <w:ind w:right="-1" w:firstLine="425"/>
        <w:jc w:val="both"/>
        <w:rPr>
          <w:b/>
          <w:bCs/>
          <w:color w:val="E36C0A" w:themeColor="accent6" w:themeShade="BF"/>
          <w:sz w:val="24"/>
          <w:szCs w:val="24"/>
        </w:rPr>
      </w:pPr>
    </w:p>
    <w:p w:rsidR="00EB640C" w:rsidRDefault="00EB640C" w:rsidP="00EB640C">
      <w:pPr>
        <w:widowControl w:val="0"/>
        <w:autoSpaceDE w:val="0"/>
        <w:autoSpaceDN w:val="0"/>
        <w:adjustRightInd w:val="0"/>
        <w:ind w:right="-1" w:firstLine="425"/>
        <w:jc w:val="both"/>
        <w:rPr>
          <w:sz w:val="24"/>
          <w:szCs w:val="24"/>
        </w:rPr>
      </w:pPr>
      <w:r w:rsidRPr="007247A0">
        <w:rPr>
          <w:b/>
          <w:bCs/>
          <w:color w:val="E36C0A" w:themeColor="accent6" w:themeShade="BF"/>
          <w:sz w:val="24"/>
          <w:szCs w:val="24"/>
        </w:rPr>
        <w:t>En conclusion</w:t>
      </w:r>
      <w:r w:rsidRPr="007247A0">
        <w:rPr>
          <w:color w:val="E36C0A" w:themeColor="accent6" w:themeShade="BF"/>
          <w:sz w:val="24"/>
          <w:szCs w:val="24"/>
        </w:rPr>
        <w:t>,</w:t>
      </w:r>
      <w:r>
        <w:rPr>
          <w:sz w:val="24"/>
          <w:szCs w:val="24"/>
        </w:rPr>
        <w:t xml:space="preserve"> au cours des deux prochaines années, le Maroc</w:t>
      </w:r>
      <w:r w:rsidRPr="00EB640C">
        <w:rPr>
          <w:sz w:val="24"/>
          <w:szCs w:val="24"/>
        </w:rPr>
        <w:t xml:space="preserve"> </w:t>
      </w:r>
      <w:r>
        <w:rPr>
          <w:sz w:val="24"/>
          <w:szCs w:val="24"/>
        </w:rPr>
        <w:t xml:space="preserve">aura, sauf imprévus majeurs, un </w:t>
      </w:r>
      <w:r w:rsidRPr="008D10F1">
        <w:rPr>
          <w:b/>
          <w:bCs/>
          <w:sz w:val="24"/>
          <w:szCs w:val="24"/>
        </w:rPr>
        <w:t>environnement international favorable</w:t>
      </w:r>
      <w:r>
        <w:rPr>
          <w:sz w:val="24"/>
          <w:szCs w:val="24"/>
        </w:rPr>
        <w:t xml:space="preserve"> et devra en profiter pour mieux valoriser ses atouts et lever ses contraintes de gestion</w:t>
      </w:r>
      <w:r w:rsidR="008D10F1">
        <w:rPr>
          <w:sz w:val="24"/>
          <w:szCs w:val="24"/>
        </w:rPr>
        <w:t xml:space="preserve"> et ses déficits structurels avérés et latents.</w:t>
      </w:r>
    </w:p>
    <w:p w:rsidR="00180E56" w:rsidRDefault="008D10F1" w:rsidP="00893D21">
      <w:pPr>
        <w:widowControl w:val="0"/>
        <w:autoSpaceDE w:val="0"/>
        <w:autoSpaceDN w:val="0"/>
        <w:adjustRightInd w:val="0"/>
        <w:ind w:right="-1" w:firstLine="425"/>
        <w:jc w:val="both"/>
        <w:rPr>
          <w:sz w:val="24"/>
          <w:szCs w:val="24"/>
        </w:rPr>
      </w:pPr>
      <w:r w:rsidRPr="000F53F9">
        <w:rPr>
          <w:b/>
          <w:bCs/>
          <w:sz w:val="24"/>
          <w:szCs w:val="24"/>
        </w:rPr>
        <w:t>Au plan des équilibres macroéconomiques</w:t>
      </w:r>
      <w:r w:rsidRPr="000F53F9">
        <w:rPr>
          <w:sz w:val="24"/>
          <w:szCs w:val="24"/>
        </w:rPr>
        <w:t xml:space="preserve">, </w:t>
      </w:r>
      <w:r w:rsidR="000F53F9">
        <w:rPr>
          <w:sz w:val="24"/>
          <w:szCs w:val="24"/>
        </w:rPr>
        <w:t xml:space="preserve">le Maroc a accompli d’incontestables </w:t>
      </w:r>
      <w:r w:rsidR="000F53F9" w:rsidRPr="000F53F9">
        <w:rPr>
          <w:sz w:val="24"/>
          <w:szCs w:val="24"/>
        </w:rPr>
        <w:t>efforts au cours des dernières années</w:t>
      </w:r>
      <w:r w:rsidRPr="000F53F9">
        <w:rPr>
          <w:sz w:val="24"/>
          <w:szCs w:val="24"/>
        </w:rPr>
        <w:t>, même s</w:t>
      </w:r>
      <w:r w:rsidR="000F53F9">
        <w:rPr>
          <w:sz w:val="24"/>
          <w:szCs w:val="24"/>
        </w:rPr>
        <w:t xml:space="preserve">i la vigilance devrait rester de </w:t>
      </w:r>
      <w:r w:rsidR="00B96FBA">
        <w:rPr>
          <w:sz w:val="24"/>
          <w:szCs w:val="24"/>
        </w:rPr>
        <w:t>rigueur</w:t>
      </w:r>
      <w:r w:rsidR="000F53F9">
        <w:rPr>
          <w:sz w:val="24"/>
          <w:szCs w:val="24"/>
        </w:rPr>
        <w:t>.</w:t>
      </w:r>
      <w:r w:rsidRPr="000F53F9">
        <w:rPr>
          <w:sz w:val="24"/>
          <w:szCs w:val="24"/>
        </w:rPr>
        <w:t xml:space="preserve"> </w:t>
      </w:r>
      <w:r w:rsidRPr="00180E56">
        <w:rPr>
          <w:b/>
          <w:bCs/>
          <w:sz w:val="24"/>
          <w:szCs w:val="24"/>
        </w:rPr>
        <w:t>L’investissement</w:t>
      </w:r>
      <w:r w:rsidRPr="007247A0">
        <w:rPr>
          <w:sz w:val="24"/>
          <w:szCs w:val="24"/>
        </w:rPr>
        <w:t xml:space="preserve"> a renoué avec la vigueur</w:t>
      </w:r>
      <w:r w:rsidR="007247A0" w:rsidRPr="007247A0">
        <w:rPr>
          <w:sz w:val="24"/>
          <w:szCs w:val="24"/>
        </w:rPr>
        <w:t xml:space="preserve"> qu’il a connue depuis les années 2000. </w:t>
      </w:r>
      <w:r w:rsidR="007247A0" w:rsidRPr="00180E56">
        <w:rPr>
          <w:b/>
          <w:bCs/>
          <w:sz w:val="24"/>
          <w:szCs w:val="24"/>
        </w:rPr>
        <w:t>La consommation des ménages</w:t>
      </w:r>
      <w:r w:rsidR="007247A0" w:rsidRPr="007247A0">
        <w:rPr>
          <w:sz w:val="24"/>
          <w:szCs w:val="24"/>
        </w:rPr>
        <w:t xml:space="preserve"> a </w:t>
      </w:r>
      <w:r w:rsidR="00180E56">
        <w:rPr>
          <w:sz w:val="24"/>
          <w:szCs w:val="24"/>
        </w:rPr>
        <w:t xml:space="preserve">maintenu une </w:t>
      </w:r>
      <w:r w:rsidR="000F53F9">
        <w:rPr>
          <w:sz w:val="24"/>
          <w:szCs w:val="24"/>
        </w:rPr>
        <w:t xml:space="preserve">relative </w:t>
      </w:r>
      <w:r w:rsidR="00180E56">
        <w:rPr>
          <w:sz w:val="24"/>
          <w:szCs w:val="24"/>
        </w:rPr>
        <w:t>stabilité de son taux de croissance de l’après crise de 2008.</w:t>
      </w:r>
      <w:r w:rsidR="00B96FBA">
        <w:rPr>
          <w:sz w:val="24"/>
          <w:szCs w:val="24"/>
        </w:rPr>
        <w:t xml:space="preserve"> </w:t>
      </w:r>
      <w:r w:rsidR="00180E56">
        <w:rPr>
          <w:b/>
          <w:bCs/>
          <w:sz w:val="24"/>
          <w:szCs w:val="24"/>
        </w:rPr>
        <w:t xml:space="preserve">Le taux d’inflation </w:t>
      </w:r>
      <w:r w:rsidR="00180E56">
        <w:rPr>
          <w:sz w:val="24"/>
          <w:szCs w:val="24"/>
        </w:rPr>
        <w:t xml:space="preserve">est resté plutôt faible, </w:t>
      </w:r>
      <w:r w:rsidR="000F53F9">
        <w:rPr>
          <w:sz w:val="24"/>
          <w:szCs w:val="24"/>
        </w:rPr>
        <w:t xml:space="preserve">après une période où s’exprimaient </w:t>
      </w:r>
      <w:r w:rsidR="00180E56">
        <w:rPr>
          <w:sz w:val="24"/>
          <w:szCs w:val="24"/>
        </w:rPr>
        <w:t>de</w:t>
      </w:r>
      <w:r w:rsidR="000F53F9">
        <w:rPr>
          <w:sz w:val="24"/>
          <w:szCs w:val="24"/>
        </w:rPr>
        <w:t>s</w:t>
      </w:r>
      <w:r w:rsidR="00180E56">
        <w:rPr>
          <w:sz w:val="24"/>
          <w:szCs w:val="24"/>
        </w:rPr>
        <w:t xml:space="preserve"> crainte</w:t>
      </w:r>
      <w:r w:rsidR="000F53F9">
        <w:rPr>
          <w:sz w:val="24"/>
          <w:szCs w:val="24"/>
        </w:rPr>
        <w:t>s</w:t>
      </w:r>
      <w:r w:rsidR="00180E56">
        <w:rPr>
          <w:sz w:val="24"/>
          <w:szCs w:val="24"/>
        </w:rPr>
        <w:t xml:space="preserve"> </w:t>
      </w:r>
      <w:r w:rsidR="000F53F9">
        <w:rPr>
          <w:sz w:val="24"/>
          <w:szCs w:val="24"/>
        </w:rPr>
        <w:t xml:space="preserve">d’une menace </w:t>
      </w:r>
      <w:r w:rsidR="00180E56">
        <w:rPr>
          <w:sz w:val="24"/>
          <w:szCs w:val="24"/>
        </w:rPr>
        <w:t>déflationniste.</w:t>
      </w:r>
      <w:r w:rsidR="00893D21">
        <w:rPr>
          <w:sz w:val="24"/>
          <w:szCs w:val="24"/>
        </w:rPr>
        <w:t xml:space="preserve"> </w:t>
      </w:r>
      <w:r w:rsidR="006D56E9">
        <w:rPr>
          <w:sz w:val="24"/>
          <w:szCs w:val="24"/>
        </w:rPr>
        <w:t xml:space="preserve">Le </w:t>
      </w:r>
      <w:r w:rsidR="006D56E9" w:rsidRPr="006D56E9">
        <w:rPr>
          <w:b/>
          <w:bCs/>
          <w:sz w:val="24"/>
          <w:szCs w:val="24"/>
        </w:rPr>
        <w:t>déficit budgétaire</w:t>
      </w:r>
      <w:r w:rsidR="006D56E9">
        <w:rPr>
          <w:sz w:val="24"/>
          <w:szCs w:val="24"/>
        </w:rPr>
        <w:t xml:space="preserve"> a baissé de 6,8% du PIB en 2012 à </w:t>
      </w:r>
      <w:r w:rsidR="006D56E9" w:rsidRPr="00EA17FC">
        <w:rPr>
          <w:sz w:val="24"/>
          <w:szCs w:val="24"/>
        </w:rPr>
        <w:t xml:space="preserve">près de </w:t>
      </w:r>
      <w:r w:rsidR="00EA17FC" w:rsidRPr="00EA17FC">
        <w:rPr>
          <w:sz w:val="24"/>
          <w:szCs w:val="24"/>
        </w:rPr>
        <w:t>3,4</w:t>
      </w:r>
      <w:r w:rsidR="006D56E9" w:rsidRPr="00EA17FC">
        <w:rPr>
          <w:sz w:val="24"/>
          <w:szCs w:val="24"/>
        </w:rPr>
        <w:t>% en 2017,</w:t>
      </w:r>
      <w:r w:rsidR="006D56E9">
        <w:rPr>
          <w:sz w:val="24"/>
          <w:szCs w:val="24"/>
        </w:rPr>
        <w:t xml:space="preserve"> même s’il devrait connaitre une légère hausse en 2018 et 2019. </w:t>
      </w:r>
      <w:r w:rsidR="00180E56">
        <w:rPr>
          <w:b/>
          <w:bCs/>
          <w:sz w:val="24"/>
          <w:szCs w:val="24"/>
        </w:rPr>
        <w:t xml:space="preserve">Le déficit </w:t>
      </w:r>
      <w:r w:rsidR="006D56E9">
        <w:rPr>
          <w:b/>
          <w:bCs/>
          <w:sz w:val="24"/>
          <w:szCs w:val="24"/>
        </w:rPr>
        <w:t xml:space="preserve">du compte courant </w:t>
      </w:r>
      <w:r w:rsidR="00180E56">
        <w:rPr>
          <w:b/>
          <w:bCs/>
          <w:sz w:val="24"/>
          <w:szCs w:val="24"/>
        </w:rPr>
        <w:t xml:space="preserve">de la balance des </w:t>
      </w:r>
      <w:r w:rsidR="006D56E9">
        <w:rPr>
          <w:b/>
          <w:bCs/>
          <w:sz w:val="24"/>
          <w:szCs w:val="24"/>
        </w:rPr>
        <w:t xml:space="preserve">paiements </w:t>
      </w:r>
      <w:r w:rsidR="006D56E9" w:rsidRPr="006D56E9">
        <w:rPr>
          <w:sz w:val="24"/>
          <w:szCs w:val="24"/>
        </w:rPr>
        <w:t xml:space="preserve">a, de son côté, baissé de 9,5% du PIB en 2012 à 3,6% en 2017 </w:t>
      </w:r>
      <w:r w:rsidR="006D56E9" w:rsidRPr="007D2B46">
        <w:rPr>
          <w:sz w:val="24"/>
          <w:szCs w:val="24"/>
        </w:rPr>
        <w:t xml:space="preserve">et </w:t>
      </w:r>
      <w:r w:rsidR="007D2B46" w:rsidRPr="007D2B46">
        <w:rPr>
          <w:sz w:val="24"/>
          <w:szCs w:val="24"/>
        </w:rPr>
        <w:t>4,1</w:t>
      </w:r>
      <w:r w:rsidR="006D56E9" w:rsidRPr="007D2B46">
        <w:rPr>
          <w:sz w:val="24"/>
          <w:szCs w:val="24"/>
        </w:rPr>
        <w:t>% en 2018.</w:t>
      </w:r>
      <w:r w:rsidR="006D56E9" w:rsidRPr="007D2B46">
        <w:rPr>
          <w:b/>
          <w:bCs/>
          <w:sz w:val="24"/>
          <w:szCs w:val="24"/>
        </w:rPr>
        <w:t xml:space="preserve"> </w:t>
      </w:r>
      <w:r w:rsidR="006D56E9">
        <w:rPr>
          <w:b/>
          <w:bCs/>
          <w:sz w:val="24"/>
          <w:szCs w:val="24"/>
        </w:rPr>
        <w:t xml:space="preserve">L’endettement public, </w:t>
      </w:r>
      <w:r w:rsidR="006D56E9" w:rsidRPr="006D56E9">
        <w:rPr>
          <w:sz w:val="24"/>
          <w:szCs w:val="24"/>
        </w:rPr>
        <w:t>après une augmentation alarmante entre 2010 et 2014, s’est relativement stabilisé</w:t>
      </w:r>
      <w:r w:rsidR="00180E56" w:rsidRPr="006D56E9">
        <w:rPr>
          <w:sz w:val="24"/>
          <w:szCs w:val="24"/>
        </w:rPr>
        <w:t xml:space="preserve"> </w:t>
      </w:r>
      <w:r w:rsidR="006D56E9" w:rsidRPr="006D56E9">
        <w:rPr>
          <w:sz w:val="24"/>
          <w:szCs w:val="24"/>
        </w:rPr>
        <w:t>au cours de la période 2015-2018.</w:t>
      </w:r>
      <w:r w:rsidR="00FE2BDE" w:rsidRPr="006D56E9">
        <w:rPr>
          <w:sz w:val="24"/>
          <w:szCs w:val="24"/>
        </w:rPr>
        <w:t xml:space="preserve"> </w:t>
      </w:r>
    </w:p>
    <w:p w:rsidR="00180E56" w:rsidRPr="00FB2D51" w:rsidRDefault="00171DC6" w:rsidP="006D56E9">
      <w:pPr>
        <w:widowControl w:val="0"/>
        <w:autoSpaceDE w:val="0"/>
        <w:autoSpaceDN w:val="0"/>
        <w:adjustRightInd w:val="0"/>
        <w:ind w:right="-1" w:firstLine="425"/>
        <w:jc w:val="both"/>
        <w:rPr>
          <w:b/>
          <w:bCs/>
          <w:sz w:val="24"/>
          <w:szCs w:val="24"/>
        </w:rPr>
      </w:pPr>
      <w:r w:rsidRPr="00FB2D51">
        <w:rPr>
          <w:b/>
          <w:bCs/>
          <w:sz w:val="24"/>
          <w:szCs w:val="24"/>
        </w:rPr>
        <w:t>Pour réelles et positives qu’elles soient, ces performances macro-économiques s’</w:t>
      </w:r>
      <w:r w:rsidR="000F53F9" w:rsidRPr="00FB2D51">
        <w:rPr>
          <w:b/>
          <w:bCs/>
          <w:sz w:val="24"/>
          <w:szCs w:val="24"/>
        </w:rPr>
        <w:t xml:space="preserve">inscrivent, cependant, </w:t>
      </w:r>
      <w:r w:rsidRPr="00FB2D51">
        <w:rPr>
          <w:b/>
          <w:bCs/>
          <w:sz w:val="24"/>
          <w:szCs w:val="24"/>
        </w:rPr>
        <w:t>dans le cadre d’une croissance</w:t>
      </w:r>
      <w:r w:rsidR="006D56E9" w:rsidRPr="00FB2D51">
        <w:rPr>
          <w:b/>
          <w:bCs/>
          <w:sz w:val="24"/>
          <w:szCs w:val="24"/>
        </w:rPr>
        <w:t xml:space="preserve"> économique</w:t>
      </w:r>
      <w:r w:rsidRPr="00FB2D51">
        <w:rPr>
          <w:b/>
          <w:bCs/>
          <w:sz w:val="24"/>
          <w:szCs w:val="24"/>
        </w:rPr>
        <w:t xml:space="preserve"> plutôt faible soumise encore, même avec un degré </w:t>
      </w:r>
      <w:r w:rsidR="000F53F9" w:rsidRPr="00FB2D51">
        <w:rPr>
          <w:b/>
          <w:bCs/>
          <w:sz w:val="24"/>
          <w:szCs w:val="24"/>
        </w:rPr>
        <w:t>moindre</w:t>
      </w:r>
      <w:r w:rsidR="006D56E9" w:rsidRPr="00FB2D51">
        <w:rPr>
          <w:b/>
          <w:bCs/>
          <w:sz w:val="24"/>
          <w:szCs w:val="24"/>
        </w:rPr>
        <w:t>,</w:t>
      </w:r>
      <w:r w:rsidR="000F53F9" w:rsidRPr="00FB2D51">
        <w:rPr>
          <w:b/>
          <w:bCs/>
          <w:sz w:val="24"/>
          <w:szCs w:val="24"/>
        </w:rPr>
        <w:t xml:space="preserve"> </w:t>
      </w:r>
      <w:r w:rsidRPr="00FB2D51">
        <w:rPr>
          <w:b/>
          <w:bCs/>
          <w:sz w:val="24"/>
          <w:szCs w:val="24"/>
        </w:rPr>
        <w:t xml:space="preserve">aux aléas pluviométriques </w:t>
      </w:r>
      <w:r w:rsidR="001331EF" w:rsidRPr="00FB2D51">
        <w:rPr>
          <w:b/>
          <w:bCs/>
          <w:sz w:val="24"/>
          <w:szCs w:val="24"/>
        </w:rPr>
        <w:t xml:space="preserve">avec </w:t>
      </w:r>
      <w:r w:rsidRPr="00FB2D51">
        <w:rPr>
          <w:b/>
          <w:bCs/>
          <w:sz w:val="24"/>
          <w:szCs w:val="24"/>
        </w:rPr>
        <w:t xml:space="preserve">une offre </w:t>
      </w:r>
      <w:r w:rsidR="005A3CC3" w:rsidRPr="00FB2D51">
        <w:rPr>
          <w:b/>
          <w:bCs/>
          <w:sz w:val="24"/>
          <w:szCs w:val="24"/>
        </w:rPr>
        <w:t>à faible</w:t>
      </w:r>
      <w:r w:rsidRPr="00FB2D51">
        <w:rPr>
          <w:b/>
          <w:bCs/>
          <w:sz w:val="24"/>
          <w:szCs w:val="24"/>
        </w:rPr>
        <w:t xml:space="preserve"> contenu </w:t>
      </w:r>
      <w:r w:rsidR="005A3CC3" w:rsidRPr="00FB2D51">
        <w:rPr>
          <w:b/>
          <w:bCs/>
          <w:sz w:val="24"/>
          <w:szCs w:val="24"/>
        </w:rPr>
        <w:t>en technologie et en</w:t>
      </w:r>
      <w:r w:rsidRPr="00FB2D51">
        <w:rPr>
          <w:b/>
          <w:bCs/>
          <w:sz w:val="24"/>
          <w:szCs w:val="24"/>
        </w:rPr>
        <w:t xml:space="preserve"> capacité d’exportation</w:t>
      </w:r>
      <w:r w:rsidR="006D56E9" w:rsidRPr="00FB2D51">
        <w:rPr>
          <w:b/>
          <w:bCs/>
          <w:sz w:val="24"/>
          <w:szCs w:val="24"/>
        </w:rPr>
        <w:t>,</w:t>
      </w:r>
      <w:r w:rsidRPr="00FB2D51">
        <w:rPr>
          <w:b/>
          <w:bCs/>
          <w:sz w:val="24"/>
          <w:szCs w:val="24"/>
        </w:rPr>
        <w:t xml:space="preserve"> </w:t>
      </w:r>
      <w:r w:rsidR="00D50E20" w:rsidRPr="00FB2D51">
        <w:rPr>
          <w:b/>
          <w:bCs/>
          <w:sz w:val="24"/>
          <w:szCs w:val="24"/>
        </w:rPr>
        <w:t xml:space="preserve">peu créatrice d’emplois </w:t>
      </w:r>
      <w:r w:rsidR="00AC686A" w:rsidRPr="00FB2D51">
        <w:rPr>
          <w:b/>
          <w:bCs/>
          <w:sz w:val="24"/>
          <w:szCs w:val="24"/>
        </w:rPr>
        <w:t>qualifiés et peu contributive</w:t>
      </w:r>
      <w:r w:rsidR="00D50E20" w:rsidRPr="00FB2D51">
        <w:rPr>
          <w:b/>
          <w:bCs/>
          <w:sz w:val="24"/>
          <w:szCs w:val="24"/>
        </w:rPr>
        <w:t xml:space="preserve"> </w:t>
      </w:r>
      <w:r w:rsidR="00AC686A" w:rsidRPr="00FB2D51">
        <w:rPr>
          <w:b/>
          <w:bCs/>
          <w:sz w:val="24"/>
          <w:szCs w:val="24"/>
        </w:rPr>
        <w:t>à la réduction des inégalités sociales et territoriales.</w:t>
      </w:r>
    </w:p>
    <w:p w:rsidR="006B616F" w:rsidRDefault="00EA17FC" w:rsidP="00065972">
      <w:pPr>
        <w:ind w:firstLine="425"/>
        <w:jc w:val="both"/>
        <w:rPr>
          <w:sz w:val="24"/>
          <w:szCs w:val="24"/>
        </w:rPr>
      </w:pPr>
      <w:r w:rsidRPr="00EA17FC">
        <w:rPr>
          <w:sz w:val="24"/>
          <w:szCs w:val="24"/>
        </w:rPr>
        <w:t>Le Maroc n’a certes pas ménagé ses efforts</w:t>
      </w:r>
      <w:r w:rsidR="00FB2D51">
        <w:rPr>
          <w:sz w:val="24"/>
          <w:szCs w:val="24"/>
        </w:rPr>
        <w:t xml:space="preserve"> pour faire face</w:t>
      </w:r>
      <w:r w:rsidR="00893F85">
        <w:rPr>
          <w:sz w:val="24"/>
          <w:szCs w:val="24"/>
        </w:rPr>
        <w:t xml:space="preserve"> aux exigences d’une croissance plus durable et d’une plus grande employabilité de ses ressources humaines</w:t>
      </w:r>
      <w:r w:rsidR="00065972">
        <w:rPr>
          <w:sz w:val="24"/>
          <w:szCs w:val="24"/>
        </w:rPr>
        <w:t>.</w:t>
      </w:r>
      <w:r>
        <w:rPr>
          <w:sz w:val="24"/>
          <w:szCs w:val="24"/>
        </w:rPr>
        <w:t xml:space="preserve"> Il a, depuis les années 2000, su</w:t>
      </w:r>
      <w:r w:rsidR="005A075F">
        <w:rPr>
          <w:sz w:val="24"/>
          <w:szCs w:val="24"/>
        </w:rPr>
        <w:t>, à cet effet,</w:t>
      </w:r>
      <w:r>
        <w:rPr>
          <w:sz w:val="24"/>
          <w:szCs w:val="24"/>
        </w:rPr>
        <w:t xml:space="preserve"> mobiliser ses ressources propres et celles d’origine extérieure dues à son potentiel économique et à ses atouts géographiques, historiques et institutionnels</w:t>
      </w:r>
      <w:r w:rsidR="005A075F">
        <w:rPr>
          <w:sz w:val="24"/>
          <w:szCs w:val="24"/>
        </w:rPr>
        <w:t xml:space="preserve">, </w:t>
      </w:r>
      <w:r w:rsidR="009600D1">
        <w:rPr>
          <w:sz w:val="24"/>
          <w:szCs w:val="24"/>
        </w:rPr>
        <w:t xml:space="preserve">et </w:t>
      </w:r>
      <w:r w:rsidR="005A075F">
        <w:rPr>
          <w:sz w:val="24"/>
          <w:szCs w:val="24"/>
        </w:rPr>
        <w:t>consacrer</w:t>
      </w:r>
      <w:r>
        <w:rPr>
          <w:sz w:val="24"/>
          <w:szCs w:val="24"/>
        </w:rPr>
        <w:t xml:space="preserve"> une part croissante de son PIB à l’investissement, en particulier dans les infrastructures économiques et sociales et l’amélioration des conditions de vie de sa population</w:t>
      </w:r>
      <w:r w:rsidR="005A075F">
        <w:rPr>
          <w:sz w:val="24"/>
          <w:szCs w:val="24"/>
        </w:rPr>
        <w:t xml:space="preserve">. La contribution de celle-ci à ces efforts </w:t>
      </w:r>
      <w:r w:rsidR="00872E0F">
        <w:rPr>
          <w:sz w:val="24"/>
          <w:szCs w:val="24"/>
        </w:rPr>
        <w:t>a été</w:t>
      </w:r>
      <w:r w:rsidR="009600D1">
        <w:rPr>
          <w:sz w:val="24"/>
          <w:szCs w:val="24"/>
        </w:rPr>
        <w:t>,</w:t>
      </w:r>
      <w:r w:rsidR="00872E0F">
        <w:rPr>
          <w:sz w:val="24"/>
          <w:szCs w:val="24"/>
        </w:rPr>
        <w:t xml:space="preserve"> du reste</w:t>
      </w:r>
      <w:r w:rsidR="009600D1">
        <w:rPr>
          <w:sz w:val="24"/>
          <w:szCs w:val="24"/>
        </w:rPr>
        <w:t>,</w:t>
      </w:r>
      <w:r w:rsidR="00872E0F">
        <w:rPr>
          <w:sz w:val="24"/>
          <w:szCs w:val="24"/>
        </w:rPr>
        <w:t xml:space="preserve"> largement sollicitée, si l’on se réfère en particulier au niveau de la pression fiscale</w:t>
      </w:r>
      <w:r w:rsidR="00471A5F">
        <w:rPr>
          <w:sz w:val="24"/>
          <w:szCs w:val="24"/>
        </w:rPr>
        <w:t xml:space="preserve"> </w:t>
      </w:r>
      <w:r w:rsidR="006B616F">
        <w:rPr>
          <w:sz w:val="24"/>
          <w:szCs w:val="24"/>
        </w:rPr>
        <w:t>qui reste parmi les plus élevées des pays émergents et en développement et avoisine celle que connaissent les pays développés.</w:t>
      </w:r>
      <w:r w:rsidR="00352FCE">
        <w:rPr>
          <w:sz w:val="24"/>
          <w:szCs w:val="24"/>
        </w:rPr>
        <w:t xml:space="preserve"> La part des cotisations dans le revenu reste, selon les données de la Banque Mondiale, nettement plus élevée en comparaison avec celle des pays à revenu intermédiaire et de l’ensemble des pays de l’Afrique du Nord et du Moyen-Orient.</w:t>
      </w:r>
    </w:p>
    <w:p w:rsidR="00E576D4" w:rsidRDefault="00E576D4" w:rsidP="00767024">
      <w:pPr>
        <w:ind w:firstLine="425"/>
        <w:jc w:val="both"/>
        <w:rPr>
          <w:sz w:val="24"/>
          <w:szCs w:val="24"/>
        </w:rPr>
      </w:pPr>
      <w:r>
        <w:rPr>
          <w:sz w:val="24"/>
          <w:szCs w:val="24"/>
        </w:rPr>
        <w:t xml:space="preserve">Il semble, ainsi, qu’au regard du niveau de la richesse nationale et du potentiel de mobilisation des ressources qu’elle permet des efforts fournis par le pays et sa population pourraient donner lieu à un meilleur rendement, comme nous l’avons pu démontrer en ce qui concerne l’affectation sectorielle et la gestion des programmes d’investissement, ou encore de l’usage des </w:t>
      </w:r>
      <w:r w:rsidR="00294F63">
        <w:rPr>
          <w:sz w:val="24"/>
          <w:szCs w:val="24"/>
        </w:rPr>
        <w:t>fonds, en particulier publics,</w:t>
      </w:r>
      <w:r>
        <w:rPr>
          <w:sz w:val="24"/>
          <w:szCs w:val="24"/>
        </w:rPr>
        <w:t xml:space="preserve"> affectés au secteur de l’enseignement et </w:t>
      </w:r>
      <w:r>
        <w:rPr>
          <w:sz w:val="24"/>
          <w:szCs w:val="24"/>
        </w:rPr>
        <w:lastRenderedPageBreak/>
        <w:t xml:space="preserve">de la formation. Cela ne devrait pas dispenser le pays de prendre la mesure de ses déficits structurels et de l’ardente obligation nationale de réaliser les réformes fondamentales </w:t>
      </w:r>
      <w:r w:rsidR="00767024">
        <w:rPr>
          <w:sz w:val="24"/>
          <w:szCs w:val="24"/>
        </w:rPr>
        <w:t>pour en entamer la résorption</w:t>
      </w:r>
      <w:r>
        <w:rPr>
          <w:sz w:val="24"/>
          <w:szCs w:val="24"/>
        </w:rPr>
        <w:t>.</w:t>
      </w:r>
    </w:p>
    <w:p w:rsidR="006B616F" w:rsidRDefault="00EC4EBF" w:rsidP="00967084">
      <w:pPr>
        <w:ind w:firstLine="425"/>
        <w:jc w:val="both"/>
        <w:rPr>
          <w:sz w:val="24"/>
          <w:szCs w:val="24"/>
        </w:rPr>
      </w:pPr>
      <w:r>
        <w:rPr>
          <w:sz w:val="24"/>
          <w:szCs w:val="24"/>
        </w:rPr>
        <w:t>Il nous a été donné lors de la présentation des budgets économiques exploratoires et prévisionnels de donner les tendances de baisses structurelles que connaissent, notamment, les volumes de la Formation Brute de Capital Fixe ou encore du rythme de progression des recettes fiscales. Il nous a été, également, donné d’insister sur l’aggravation, en particulier, du déficit structurel de la balance commerciale des biens et services.</w:t>
      </w:r>
    </w:p>
    <w:p w:rsidR="00651F45" w:rsidRPr="00065972" w:rsidRDefault="00967084" w:rsidP="00C474EF">
      <w:pPr>
        <w:ind w:firstLine="425"/>
        <w:jc w:val="both"/>
        <w:rPr>
          <w:b/>
          <w:bCs/>
          <w:sz w:val="24"/>
          <w:szCs w:val="24"/>
        </w:rPr>
      </w:pPr>
      <w:r w:rsidRPr="00065972">
        <w:rPr>
          <w:b/>
          <w:bCs/>
          <w:sz w:val="24"/>
          <w:szCs w:val="24"/>
        </w:rPr>
        <w:t>Les réformes de structure</w:t>
      </w:r>
      <w:r w:rsidR="00065972" w:rsidRPr="00065972">
        <w:rPr>
          <w:b/>
          <w:bCs/>
          <w:sz w:val="24"/>
          <w:szCs w:val="24"/>
        </w:rPr>
        <w:t>s</w:t>
      </w:r>
      <w:r w:rsidRPr="00065972">
        <w:rPr>
          <w:b/>
          <w:bCs/>
          <w:sz w:val="24"/>
          <w:szCs w:val="24"/>
        </w:rPr>
        <w:t xml:space="preserve"> ne peuvent être évaluées ou encore </w:t>
      </w:r>
      <w:r w:rsidR="001664F9" w:rsidRPr="00065972">
        <w:rPr>
          <w:b/>
          <w:bCs/>
          <w:sz w:val="24"/>
          <w:szCs w:val="24"/>
        </w:rPr>
        <w:t>moins</w:t>
      </w:r>
      <w:r w:rsidRPr="00065972">
        <w:rPr>
          <w:b/>
          <w:bCs/>
          <w:sz w:val="24"/>
          <w:szCs w:val="24"/>
        </w:rPr>
        <w:t xml:space="preserve"> justifiées</w:t>
      </w:r>
      <w:r w:rsidR="001664F9" w:rsidRPr="00065972">
        <w:rPr>
          <w:b/>
          <w:bCs/>
          <w:sz w:val="24"/>
          <w:szCs w:val="24"/>
        </w:rPr>
        <w:t>, par référence aux</w:t>
      </w:r>
      <w:r w:rsidRPr="00065972">
        <w:rPr>
          <w:b/>
          <w:bCs/>
          <w:sz w:val="24"/>
          <w:szCs w:val="24"/>
        </w:rPr>
        <w:t xml:space="preserve"> </w:t>
      </w:r>
      <w:r w:rsidR="00065972" w:rsidRPr="00065972">
        <w:rPr>
          <w:b/>
          <w:bCs/>
          <w:sz w:val="24"/>
          <w:szCs w:val="24"/>
        </w:rPr>
        <w:t xml:space="preserve">seules </w:t>
      </w:r>
      <w:r w:rsidR="001664F9" w:rsidRPr="00065972">
        <w:rPr>
          <w:b/>
          <w:bCs/>
          <w:sz w:val="24"/>
          <w:szCs w:val="24"/>
        </w:rPr>
        <w:t>performances</w:t>
      </w:r>
      <w:r w:rsidRPr="00065972">
        <w:rPr>
          <w:b/>
          <w:bCs/>
          <w:sz w:val="24"/>
          <w:szCs w:val="24"/>
        </w:rPr>
        <w:t xml:space="preserve"> </w:t>
      </w:r>
      <w:r w:rsidR="001664F9" w:rsidRPr="00065972">
        <w:rPr>
          <w:b/>
          <w:bCs/>
          <w:sz w:val="24"/>
          <w:szCs w:val="24"/>
        </w:rPr>
        <w:t>macro-économiques de conjoncture</w:t>
      </w:r>
      <w:r w:rsidR="00075EE4" w:rsidRPr="00065972">
        <w:rPr>
          <w:b/>
          <w:bCs/>
          <w:sz w:val="24"/>
          <w:szCs w:val="24"/>
        </w:rPr>
        <w:t xml:space="preserve">. </w:t>
      </w:r>
      <w:r w:rsidR="00C474EF" w:rsidRPr="00065972">
        <w:rPr>
          <w:b/>
          <w:bCs/>
          <w:sz w:val="24"/>
          <w:szCs w:val="24"/>
        </w:rPr>
        <w:t xml:space="preserve">Seule une </w:t>
      </w:r>
      <w:r w:rsidR="00075EE4" w:rsidRPr="00065972">
        <w:rPr>
          <w:b/>
          <w:bCs/>
          <w:sz w:val="24"/>
          <w:szCs w:val="24"/>
        </w:rPr>
        <w:t>analyse</w:t>
      </w:r>
      <w:r w:rsidR="00651F45" w:rsidRPr="00065972">
        <w:rPr>
          <w:b/>
          <w:bCs/>
          <w:sz w:val="24"/>
          <w:szCs w:val="24"/>
        </w:rPr>
        <w:t>, dans une démarche prospective, des données</w:t>
      </w:r>
      <w:r w:rsidR="00075EE4" w:rsidRPr="00065972">
        <w:rPr>
          <w:b/>
          <w:bCs/>
          <w:sz w:val="24"/>
          <w:szCs w:val="24"/>
        </w:rPr>
        <w:t xml:space="preserve"> </w:t>
      </w:r>
      <w:r w:rsidR="00651F45" w:rsidRPr="00065972">
        <w:rPr>
          <w:b/>
          <w:bCs/>
          <w:sz w:val="24"/>
          <w:szCs w:val="24"/>
        </w:rPr>
        <w:t xml:space="preserve">structurelles de la réalité </w:t>
      </w:r>
      <w:r w:rsidR="00C474EF" w:rsidRPr="00065972">
        <w:rPr>
          <w:b/>
          <w:bCs/>
          <w:sz w:val="24"/>
          <w:szCs w:val="24"/>
        </w:rPr>
        <w:t xml:space="preserve">économique et sociale </w:t>
      </w:r>
      <w:r w:rsidR="00651F45" w:rsidRPr="00065972">
        <w:rPr>
          <w:b/>
          <w:bCs/>
          <w:sz w:val="24"/>
          <w:szCs w:val="24"/>
        </w:rPr>
        <w:t xml:space="preserve">nationale d’une part et </w:t>
      </w:r>
      <w:r w:rsidR="00C474EF" w:rsidRPr="00065972">
        <w:rPr>
          <w:b/>
          <w:bCs/>
          <w:sz w:val="24"/>
          <w:szCs w:val="24"/>
        </w:rPr>
        <w:t xml:space="preserve">celles géoéconomiques et géopolitiques </w:t>
      </w:r>
      <w:r w:rsidR="00651F45" w:rsidRPr="00065972">
        <w:rPr>
          <w:b/>
          <w:bCs/>
          <w:sz w:val="24"/>
          <w:szCs w:val="24"/>
        </w:rPr>
        <w:t>internationales</w:t>
      </w:r>
      <w:r w:rsidR="007F206E" w:rsidRPr="00065972">
        <w:rPr>
          <w:b/>
          <w:bCs/>
          <w:sz w:val="24"/>
          <w:szCs w:val="24"/>
        </w:rPr>
        <w:t xml:space="preserve"> d’autre part</w:t>
      </w:r>
      <w:r w:rsidR="00651F45" w:rsidRPr="00065972">
        <w:rPr>
          <w:b/>
          <w:bCs/>
          <w:sz w:val="24"/>
          <w:szCs w:val="24"/>
        </w:rPr>
        <w:t xml:space="preserve"> </w:t>
      </w:r>
      <w:r w:rsidR="00C474EF" w:rsidRPr="00065972">
        <w:rPr>
          <w:b/>
          <w:bCs/>
          <w:sz w:val="24"/>
          <w:szCs w:val="24"/>
        </w:rPr>
        <w:t>devrait fonder la pertinence et la sécurisation des effets de toute décision de réforme à caractère structurel. Cette évidence s’impose d’autant plus que le contexte international connait une dynamique d’ébrèchement de tout le savoir conventionnel apporté par une mondialisation triomphante des années 80 et des orthodoxies de gestion économique, financière et sociale</w:t>
      </w:r>
      <w:r w:rsidR="007F206E" w:rsidRPr="00065972">
        <w:rPr>
          <w:b/>
          <w:bCs/>
          <w:sz w:val="24"/>
          <w:szCs w:val="24"/>
        </w:rPr>
        <w:t xml:space="preserve"> qui sont devenues la bible des conseils, voire des injonctions auxquelles sont soumis depuis 50 ans les pays en développement.</w:t>
      </w:r>
    </w:p>
    <w:p w:rsidR="00130795" w:rsidRDefault="007F206E" w:rsidP="002600EB">
      <w:pPr>
        <w:ind w:firstLine="425"/>
        <w:jc w:val="both"/>
        <w:rPr>
          <w:sz w:val="24"/>
          <w:szCs w:val="24"/>
        </w:rPr>
      </w:pPr>
      <w:r w:rsidRPr="00065972">
        <w:rPr>
          <w:b/>
          <w:bCs/>
          <w:sz w:val="24"/>
          <w:szCs w:val="24"/>
        </w:rPr>
        <w:t>Depuis 50 ans le Monde a changé.</w:t>
      </w:r>
      <w:r>
        <w:rPr>
          <w:sz w:val="24"/>
          <w:szCs w:val="24"/>
        </w:rPr>
        <w:t xml:space="preserve"> La révolution permanente des technologies de l’intelligence artificielle, de l’Internet des objets, de l’impression 3D, le </w:t>
      </w:r>
      <w:r w:rsidR="002600EB">
        <w:rPr>
          <w:sz w:val="24"/>
          <w:szCs w:val="24"/>
        </w:rPr>
        <w:t>développement</w:t>
      </w:r>
      <w:r>
        <w:rPr>
          <w:sz w:val="24"/>
          <w:szCs w:val="24"/>
        </w:rPr>
        <w:t xml:space="preserve"> de l’économie des plateformes</w:t>
      </w:r>
      <w:r w:rsidR="002600EB">
        <w:rPr>
          <w:sz w:val="24"/>
          <w:szCs w:val="24"/>
        </w:rPr>
        <w:t>, l’expansion sans limite de la complexité des logarithmes et de la capacité des outils de calcul, imprimant à l’économie des pays développés d’aujourd’hui et de demain une connectivité, dont la dimension et les conséquences modifient profondément les données de la mondialisation. Les besoins exponentiels de financement que de telles révolutions ne cessent de créer donnent aujourd’hui une dimension nouvelle aux rapports internationaux, dans la course des différentes puissances à s’accaparer le plus d’atouts dans ce domaine. Dans cette compétition effrénée, c’est une nouvelle ère de la mondialisation qui s’annonce. Après avoir remis en échec la circulation libre des personnes, les ensembles européens, les alliances américaines éclatent dans une dynamique de remise en cause de la liberté de circulation des biens et services longtemps soumises à des restrictions douanières qui ne disent pas leur nom</w:t>
      </w:r>
      <w:r w:rsidR="00130795">
        <w:rPr>
          <w:sz w:val="24"/>
          <w:szCs w:val="24"/>
        </w:rPr>
        <w:t xml:space="preserve">. </w:t>
      </w:r>
    </w:p>
    <w:p w:rsidR="004615FD" w:rsidRDefault="00130795" w:rsidP="00590082">
      <w:pPr>
        <w:ind w:firstLine="425"/>
        <w:jc w:val="both"/>
        <w:rPr>
          <w:sz w:val="24"/>
          <w:szCs w:val="24"/>
        </w:rPr>
      </w:pPr>
      <w:r>
        <w:rPr>
          <w:sz w:val="24"/>
          <w:szCs w:val="24"/>
        </w:rPr>
        <w:t>C’est dans ce cadre qu’il faut analyser les mesures de dévaluations fiscales et de protectionnisme commercial des Etats-Unis</w:t>
      </w:r>
      <w:r w:rsidR="00CA5CBC">
        <w:rPr>
          <w:sz w:val="24"/>
          <w:szCs w:val="24"/>
        </w:rPr>
        <w:t xml:space="preserve"> ou encore des dissensions qui affectent le plus grand ensemble économique qu’est l’Union Européenne</w:t>
      </w:r>
      <w:r w:rsidR="00A960A8">
        <w:rPr>
          <w:sz w:val="24"/>
          <w:szCs w:val="24"/>
        </w:rPr>
        <w:t>. C’est dans ce cadre également</w:t>
      </w:r>
      <w:r w:rsidR="004615FD">
        <w:rPr>
          <w:sz w:val="24"/>
          <w:szCs w:val="24"/>
        </w:rPr>
        <w:t>,</w:t>
      </w:r>
      <w:r w:rsidR="00A960A8">
        <w:rPr>
          <w:sz w:val="24"/>
          <w:szCs w:val="24"/>
        </w:rPr>
        <w:t xml:space="preserve"> qu’il faut méditer les atouts du modèle de développement de la Chine dans des contextes aussi complexes. De dimension continentale certes, mais déterminée à accumuler, dans le cadre d’une ouverture maitrisée, des avantages compétitifs dans les domaines de la recherche scientifique </w:t>
      </w:r>
      <w:r w:rsidR="004615FD">
        <w:rPr>
          <w:sz w:val="24"/>
          <w:szCs w:val="24"/>
        </w:rPr>
        <w:t xml:space="preserve">les plus sophistiqués de l’économie numérique et de l’intelligence </w:t>
      </w:r>
      <w:r w:rsidR="004615FD">
        <w:rPr>
          <w:sz w:val="24"/>
          <w:szCs w:val="24"/>
        </w:rPr>
        <w:lastRenderedPageBreak/>
        <w:t>artificielle, tout en s’assurant l’accès aux matières premières stratégiques et aux marchés les plus prometteurs à travers le Monde et en particulier dans les pays en développement. Il faut, en particulier, méditer la fine et réaliste évaluation qu’elle a su faire des avantages et des risques de la mondialisation, pour continuer à maitriser les instruments indispensables pour réaliser les transformations structurelles de son économie et l’accès aux nouvelles sources de compétitivité et de profit de demain. Dans le cadre de la guerre commerciale internationale que commence à connaitre le Monde, elle a su utiliser la sauvegarde de sa liberté d’user de son système de</w:t>
      </w:r>
      <w:r w:rsidR="00DE7A65">
        <w:rPr>
          <w:sz w:val="24"/>
          <w:szCs w:val="24"/>
        </w:rPr>
        <w:t xml:space="preserve"> </w:t>
      </w:r>
      <w:r w:rsidR="004615FD">
        <w:rPr>
          <w:sz w:val="24"/>
          <w:szCs w:val="24"/>
        </w:rPr>
        <w:t>change pour se protéger contre les mesures agressives des Etats-Unis à l’encontre de ses exportations. La principale leçon qu’il convient de retenir de cela est que le régime des changes n’est pas une simple variable financière, mais un outil de politique économique</w:t>
      </w:r>
      <w:r w:rsidR="00DE7A65">
        <w:rPr>
          <w:sz w:val="24"/>
          <w:szCs w:val="24"/>
        </w:rPr>
        <w:t>. C’est le point</w:t>
      </w:r>
      <w:r w:rsidR="00723D1C">
        <w:rPr>
          <w:sz w:val="24"/>
          <w:szCs w:val="24"/>
        </w:rPr>
        <w:t xml:space="preserve"> de vue que j’ai dû exprimer le 17 </w:t>
      </w:r>
      <w:r w:rsidR="00DE7A65">
        <w:rPr>
          <w:sz w:val="24"/>
          <w:szCs w:val="24"/>
        </w:rPr>
        <w:t xml:space="preserve">janvier 2018 à l’Agence internationale Reuters en réponse à une question sur la flexibilisation projetée par le gouvernement du régime de change du dirham. Si je m’étais abstenu de commenter </w:t>
      </w:r>
      <w:r w:rsidR="00590082">
        <w:rPr>
          <w:sz w:val="24"/>
          <w:szCs w:val="24"/>
        </w:rPr>
        <w:t>cette</w:t>
      </w:r>
      <w:r w:rsidR="00DE7A65">
        <w:rPr>
          <w:sz w:val="24"/>
          <w:szCs w:val="24"/>
        </w:rPr>
        <w:t xml:space="preserve"> décision gouvernementale, j’ai en revanche, voulu saisir l’occasion pour interpeller le FMI sur ses récurrentes recommandations aux p</w:t>
      </w:r>
      <w:r w:rsidR="00590082">
        <w:rPr>
          <w:sz w:val="24"/>
          <w:szCs w:val="24"/>
        </w:rPr>
        <w:t xml:space="preserve">ays en </w:t>
      </w:r>
      <w:r w:rsidR="00DE7A65">
        <w:rPr>
          <w:sz w:val="24"/>
          <w:szCs w:val="24"/>
        </w:rPr>
        <w:t>v</w:t>
      </w:r>
      <w:r w:rsidR="00590082">
        <w:rPr>
          <w:sz w:val="24"/>
          <w:szCs w:val="24"/>
        </w:rPr>
        <w:t xml:space="preserve">oie </w:t>
      </w:r>
      <w:r w:rsidR="00DE7A65">
        <w:rPr>
          <w:sz w:val="24"/>
          <w:szCs w:val="24"/>
        </w:rPr>
        <w:t>d</w:t>
      </w:r>
      <w:r w:rsidR="00590082">
        <w:rPr>
          <w:sz w:val="24"/>
          <w:szCs w:val="24"/>
        </w:rPr>
        <w:t>e développement</w:t>
      </w:r>
      <w:r w:rsidR="00DE7A65">
        <w:rPr>
          <w:sz w:val="24"/>
          <w:szCs w:val="24"/>
        </w:rPr>
        <w:t xml:space="preserve"> dans ce domaine et sur les résultats des évaluations sur lesquelles elles se basent dans le cas de chaque pays.</w:t>
      </w:r>
    </w:p>
    <w:p w:rsidR="00DE7A65" w:rsidRDefault="00DE7A65" w:rsidP="00590082">
      <w:pPr>
        <w:ind w:firstLine="425"/>
        <w:jc w:val="both"/>
        <w:rPr>
          <w:sz w:val="24"/>
          <w:szCs w:val="24"/>
        </w:rPr>
      </w:pPr>
      <w:r w:rsidRPr="00DE7A65">
        <w:rPr>
          <w:b/>
          <w:bCs/>
          <w:sz w:val="24"/>
          <w:szCs w:val="24"/>
        </w:rPr>
        <w:t>En conclusion générale</w:t>
      </w:r>
      <w:r>
        <w:rPr>
          <w:sz w:val="24"/>
          <w:szCs w:val="24"/>
        </w:rPr>
        <w:t xml:space="preserve"> de cette invitation au débat autour de cet ensemble de sujets</w:t>
      </w:r>
      <w:r w:rsidR="00590082">
        <w:rPr>
          <w:sz w:val="24"/>
          <w:szCs w:val="24"/>
        </w:rPr>
        <w:t>, je voudrais exprimer ma conviction que, dans le cadre de notre contexte actuel national et international, nous autres marocains nous sommes appelés à un retour à nous-mêmes et sur nous-mêmes dans le cadre de notre ouverture traditionnelle sur le Monde et sur les acquis universels de progrès et de paix et dans le respect de nos</w:t>
      </w:r>
      <w:r w:rsidR="00590082" w:rsidRPr="00590082">
        <w:rPr>
          <w:sz w:val="24"/>
          <w:szCs w:val="24"/>
        </w:rPr>
        <w:t xml:space="preserve"> </w:t>
      </w:r>
      <w:r w:rsidR="00590082">
        <w:rPr>
          <w:sz w:val="24"/>
          <w:szCs w:val="24"/>
        </w:rPr>
        <w:t>valeurs qui fondent la cohésion nationale de notre pays.</w:t>
      </w:r>
    </w:p>
    <w:p w:rsidR="00C474EF" w:rsidRDefault="00C474EF" w:rsidP="00C474EF">
      <w:pPr>
        <w:ind w:firstLine="425"/>
        <w:jc w:val="both"/>
        <w:rPr>
          <w:sz w:val="24"/>
          <w:szCs w:val="24"/>
        </w:rPr>
      </w:pPr>
    </w:p>
    <w:p w:rsidR="00967084" w:rsidRDefault="00967084" w:rsidP="00967084">
      <w:pPr>
        <w:ind w:firstLine="425"/>
        <w:jc w:val="both"/>
      </w:pPr>
    </w:p>
    <w:sectPr w:rsidR="00967084" w:rsidSect="00AC0A0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DE8" w:rsidRDefault="00195DE8" w:rsidP="009E4790">
      <w:pPr>
        <w:spacing w:after="0" w:line="240" w:lineRule="auto"/>
      </w:pPr>
      <w:r>
        <w:separator/>
      </w:r>
    </w:p>
  </w:endnote>
  <w:endnote w:type="continuationSeparator" w:id="1">
    <w:p w:rsidR="00195DE8" w:rsidRDefault="00195DE8" w:rsidP="009E4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256941"/>
      <w:docPartObj>
        <w:docPartGallery w:val="Page Numbers (Bottom of Page)"/>
        <w:docPartUnique/>
      </w:docPartObj>
    </w:sdtPr>
    <w:sdtContent>
      <w:p w:rsidR="00855056" w:rsidRDefault="00AC3E5A">
        <w:pPr>
          <w:pStyle w:val="Pieddepage"/>
          <w:jc w:val="right"/>
        </w:pPr>
        <w:fldSimple w:instr=" PAGE   \* MERGEFORMAT ">
          <w:r w:rsidR="009C659E">
            <w:rPr>
              <w:noProof/>
            </w:rPr>
            <w:t>2</w:t>
          </w:r>
        </w:fldSimple>
      </w:p>
    </w:sdtContent>
  </w:sdt>
  <w:p w:rsidR="00855056" w:rsidRDefault="0085505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DE8" w:rsidRDefault="00195DE8" w:rsidP="009E4790">
      <w:pPr>
        <w:spacing w:after="0" w:line="240" w:lineRule="auto"/>
      </w:pPr>
      <w:r>
        <w:separator/>
      </w:r>
    </w:p>
  </w:footnote>
  <w:footnote w:type="continuationSeparator" w:id="1">
    <w:p w:rsidR="00195DE8" w:rsidRDefault="00195DE8" w:rsidP="009E47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3951"/>
    <w:multiLevelType w:val="hybridMultilevel"/>
    <w:tmpl w:val="83BE9A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DF2778"/>
    <w:multiLevelType w:val="hybridMultilevel"/>
    <w:tmpl w:val="E522DF2C"/>
    <w:lvl w:ilvl="0" w:tplc="040C000B">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
    <w:nsid w:val="12FC79F3"/>
    <w:multiLevelType w:val="hybridMultilevel"/>
    <w:tmpl w:val="4208C2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49F2B71"/>
    <w:multiLevelType w:val="hybridMultilevel"/>
    <w:tmpl w:val="A1CA6B30"/>
    <w:lvl w:ilvl="0" w:tplc="040C000B">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nsid w:val="2B8600B8"/>
    <w:multiLevelType w:val="hybridMultilevel"/>
    <w:tmpl w:val="6D6ADA3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3EAA51B9"/>
    <w:multiLevelType w:val="hybridMultilevel"/>
    <w:tmpl w:val="B8B223C4"/>
    <w:lvl w:ilvl="0" w:tplc="040C000B">
      <w:start w:val="1"/>
      <w:numFmt w:val="bullet"/>
      <w:lvlText w:val=""/>
      <w:lvlJc w:val="left"/>
      <w:pPr>
        <w:ind w:left="1440" w:hanging="360"/>
      </w:pPr>
      <w:rPr>
        <w:rFonts w:ascii="Wingdings" w:hAnsi="Wingdings"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64A43D8D"/>
    <w:multiLevelType w:val="hybridMultilevel"/>
    <w:tmpl w:val="796A68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404430"/>
    <w:multiLevelType w:val="hybridMultilevel"/>
    <w:tmpl w:val="4EE6563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6B9B552F"/>
    <w:multiLevelType w:val="hybridMultilevel"/>
    <w:tmpl w:val="60FC36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6"/>
  </w:num>
  <w:num w:numId="5">
    <w:abstractNumId w:val="1"/>
  </w:num>
  <w:num w:numId="6">
    <w:abstractNumId w:val="4"/>
  </w:num>
  <w:num w:numId="7">
    <w:abstractNumId w:val="2"/>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hyphenationZone w:val="425"/>
  <w:characterSpacingControl w:val="doNotCompress"/>
  <w:footnotePr>
    <w:footnote w:id="0"/>
    <w:footnote w:id="1"/>
  </w:footnotePr>
  <w:endnotePr>
    <w:endnote w:id="0"/>
    <w:endnote w:id="1"/>
  </w:endnotePr>
  <w:compat/>
  <w:rsids>
    <w:rsidRoot w:val="00A51C4F"/>
    <w:rsid w:val="00005552"/>
    <w:rsid w:val="000157EC"/>
    <w:rsid w:val="00065972"/>
    <w:rsid w:val="00075EE4"/>
    <w:rsid w:val="0009068E"/>
    <w:rsid w:val="000B56A6"/>
    <w:rsid w:val="000D01A5"/>
    <w:rsid w:val="000F53F9"/>
    <w:rsid w:val="00130795"/>
    <w:rsid w:val="001331EF"/>
    <w:rsid w:val="00146B3D"/>
    <w:rsid w:val="001664F9"/>
    <w:rsid w:val="00171DC6"/>
    <w:rsid w:val="00172004"/>
    <w:rsid w:val="00180A8D"/>
    <w:rsid w:val="00180E56"/>
    <w:rsid w:val="00195DE8"/>
    <w:rsid w:val="001D4B25"/>
    <w:rsid w:val="002600EB"/>
    <w:rsid w:val="00294F63"/>
    <w:rsid w:val="00297633"/>
    <w:rsid w:val="002F1288"/>
    <w:rsid w:val="00352FCE"/>
    <w:rsid w:val="00377D1C"/>
    <w:rsid w:val="00393E14"/>
    <w:rsid w:val="003E10A8"/>
    <w:rsid w:val="003F3D2C"/>
    <w:rsid w:val="00412347"/>
    <w:rsid w:val="00435C91"/>
    <w:rsid w:val="004615FD"/>
    <w:rsid w:val="00466CBD"/>
    <w:rsid w:val="00471A5F"/>
    <w:rsid w:val="00477293"/>
    <w:rsid w:val="00502CD8"/>
    <w:rsid w:val="00514452"/>
    <w:rsid w:val="005443AC"/>
    <w:rsid w:val="00590082"/>
    <w:rsid w:val="005A075F"/>
    <w:rsid w:val="005A3CC3"/>
    <w:rsid w:val="0061453D"/>
    <w:rsid w:val="00617F8E"/>
    <w:rsid w:val="0064520B"/>
    <w:rsid w:val="00651F45"/>
    <w:rsid w:val="00676531"/>
    <w:rsid w:val="00677B5D"/>
    <w:rsid w:val="00690494"/>
    <w:rsid w:val="006B31BB"/>
    <w:rsid w:val="006B616F"/>
    <w:rsid w:val="006D4079"/>
    <w:rsid w:val="006D56E9"/>
    <w:rsid w:val="007110E0"/>
    <w:rsid w:val="00723D1C"/>
    <w:rsid w:val="007247A0"/>
    <w:rsid w:val="007264AA"/>
    <w:rsid w:val="0073147B"/>
    <w:rsid w:val="00767024"/>
    <w:rsid w:val="00792747"/>
    <w:rsid w:val="007D0188"/>
    <w:rsid w:val="007D2B46"/>
    <w:rsid w:val="007F206E"/>
    <w:rsid w:val="00835229"/>
    <w:rsid w:val="00855056"/>
    <w:rsid w:val="00872E0F"/>
    <w:rsid w:val="00885237"/>
    <w:rsid w:val="00893D21"/>
    <w:rsid w:val="00893F85"/>
    <w:rsid w:val="008B1753"/>
    <w:rsid w:val="008D10F1"/>
    <w:rsid w:val="008D2914"/>
    <w:rsid w:val="008E4B60"/>
    <w:rsid w:val="009600D1"/>
    <w:rsid w:val="00967084"/>
    <w:rsid w:val="009A4AD6"/>
    <w:rsid w:val="009C63E3"/>
    <w:rsid w:val="009C659E"/>
    <w:rsid w:val="009E4790"/>
    <w:rsid w:val="00A33D77"/>
    <w:rsid w:val="00A51C4F"/>
    <w:rsid w:val="00A53FE1"/>
    <w:rsid w:val="00A86469"/>
    <w:rsid w:val="00A925E1"/>
    <w:rsid w:val="00A960A8"/>
    <w:rsid w:val="00AC0A01"/>
    <w:rsid w:val="00AC3E5A"/>
    <w:rsid w:val="00AC686A"/>
    <w:rsid w:val="00B45488"/>
    <w:rsid w:val="00B51CBC"/>
    <w:rsid w:val="00B96FBA"/>
    <w:rsid w:val="00BC61B8"/>
    <w:rsid w:val="00C0642B"/>
    <w:rsid w:val="00C474EF"/>
    <w:rsid w:val="00C65E78"/>
    <w:rsid w:val="00C90A73"/>
    <w:rsid w:val="00C968D8"/>
    <w:rsid w:val="00CA5CBC"/>
    <w:rsid w:val="00CB6DD1"/>
    <w:rsid w:val="00CD0320"/>
    <w:rsid w:val="00D10C27"/>
    <w:rsid w:val="00D50E20"/>
    <w:rsid w:val="00D60CB0"/>
    <w:rsid w:val="00D92A09"/>
    <w:rsid w:val="00DC52BB"/>
    <w:rsid w:val="00DE546A"/>
    <w:rsid w:val="00DE7A65"/>
    <w:rsid w:val="00E21F78"/>
    <w:rsid w:val="00E43418"/>
    <w:rsid w:val="00E576D4"/>
    <w:rsid w:val="00E77A57"/>
    <w:rsid w:val="00EA17FC"/>
    <w:rsid w:val="00EB5AEA"/>
    <w:rsid w:val="00EB640C"/>
    <w:rsid w:val="00EC4EBF"/>
    <w:rsid w:val="00F12F67"/>
    <w:rsid w:val="00F169FE"/>
    <w:rsid w:val="00F832BA"/>
    <w:rsid w:val="00F92549"/>
    <w:rsid w:val="00FB2D51"/>
    <w:rsid w:val="00FE2B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40C"/>
    <w:pPr>
      <w:ind w:left="720"/>
      <w:contextualSpacing/>
    </w:pPr>
  </w:style>
  <w:style w:type="paragraph" w:styleId="En-tte">
    <w:name w:val="header"/>
    <w:basedOn w:val="Normal"/>
    <w:link w:val="En-tteCar"/>
    <w:uiPriority w:val="99"/>
    <w:semiHidden/>
    <w:unhideWhenUsed/>
    <w:rsid w:val="009E479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4790"/>
  </w:style>
  <w:style w:type="paragraph" w:styleId="Pieddepage">
    <w:name w:val="footer"/>
    <w:basedOn w:val="Normal"/>
    <w:link w:val="PieddepageCar"/>
    <w:uiPriority w:val="99"/>
    <w:unhideWhenUsed/>
    <w:rsid w:val="009E47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790"/>
  </w:style>
  <w:style w:type="paragraph" w:styleId="Textedebulles">
    <w:name w:val="Balloon Text"/>
    <w:basedOn w:val="Normal"/>
    <w:link w:val="TextedebullesCar"/>
    <w:uiPriority w:val="99"/>
    <w:semiHidden/>
    <w:unhideWhenUsed/>
    <w:rsid w:val="00B51C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C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2429</Words>
  <Characters>13365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2018-07-10T11:34:00Z</cp:lastPrinted>
  <dcterms:created xsi:type="dcterms:W3CDTF">2018-07-11T10:09:00Z</dcterms:created>
  <dcterms:modified xsi:type="dcterms:W3CDTF">2018-07-11T10:09:00Z</dcterms:modified>
</cp:coreProperties>
</file>