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E80" w:rsidRPr="00B57F6E" w:rsidRDefault="00511E80" w:rsidP="003F6AC3">
      <w:pPr>
        <w:pStyle w:val="Titre"/>
        <w:spacing w:before="100" w:beforeAutospacing="1" w:after="100" w:afterAutospacing="1"/>
        <w:ind w:firstLine="284"/>
        <w:contextualSpacing/>
        <w:jc w:val="right"/>
        <w:rPr>
          <w:rFonts w:asciiTheme="majorHAnsi" w:hAnsiTheme="majorHAnsi"/>
          <w:i/>
          <w:iCs/>
          <w:strike/>
          <w:color w:val="000000" w:themeColor="text1"/>
          <w:sz w:val="30"/>
          <w:szCs w:val="30"/>
          <w:vertAlign w:val="subscript"/>
          <w:rtl/>
        </w:rPr>
      </w:pPr>
    </w:p>
    <w:p w:rsidR="00511E80" w:rsidRPr="00B57F6E" w:rsidRDefault="00511E80" w:rsidP="00CD5BCE">
      <w:pPr>
        <w:pStyle w:val="Titre"/>
        <w:spacing w:before="100" w:beforeAutospacing="1" w:after="100" w:afterAutospacing="1"/>
        <w:ind w:firstLine="284"/>
        <w:contextualSpacing/>
        <w:jc w:val="right"/>
        <w:rPr>
          <w:rFonts w:asciiTheme="majorHAnsi" w:hAnsiTheme="majorHAnsi"/>
          <w:color w:val="000000" w:themeColor="text1"/>
          <w:sz w:val="30"/>
          <w:szCs w:val="30"/>
          <w:rtl/>
        </w:rPr>
      </w:pPr>
    </w:p>
    <w:p w:rsidR="00003D85" w:rsidRPr="00B57F6E" w:rsidRDefault="00003D85" w:rsidP="00CD5BCE">
      <w:pPr>
        <w:pStyle w:val="Titre"/>
        <w:spacing w:before="100" w:beforeAutospacing="1" w:after="100" w:afterAutospacing="1"/>
        <w:ind w:firstLine="284"/>
        <w:contextualSpacing/>
        <w:jc w:val="right"/>
        <w:rPr>
          <w:rFonts w:asciiTheme="majorHAnsi" w:hAnsiTheme="majorHAnsi"/>
          <w:color w:val="000000" w:themeColor="text1"/>
          <w:sz w:val="30"/>
          <w:szCs w:val="30"/>
        </w:rPr>
      </w:pPr>
    </w:p>
    <w:p w:rsidR="009C76B7" w:rsidRPr="00B57F6E" w:rsidRDefault="009C76B7" w:rsidP="00CD5BCE">
      <w:pPr>
        <w:pStyle w:val="Titre"/>
        <w:spacing w:before="100" w:beforeAutospacing="1" w:after="100" w:afterAutospacing="1"/>
        <w:ind w:firstLine="284"/>
        <w:contextualSpacing/>
        <w:jc w:val="right"/>
        <w:rPr>
          <w:rFonts w:asciiTheme="majorHAnsi" w:hAnsiTheme="majorHAnsi"/>
          <w:i/>
          <w:iCs/>
          <w:strike/>
          <w:color w:val="000000" w:themeColor="text1"/>
          <w:sz w:val="30"/>
          <w:szCs w:val="30"/>
          <w:vertAlign w:val="subscript"/>
          <w:rtl/>
        </w:rPr>
      </w:pPr>
    </w:p>
    <w:p w:rsidR="009C76B7" w:rsidRPr="00B57F6E" w:rsidRDefault="009C76B7" w:rsidP="00CD5BCE">
      <w:pPr>
        <w:pStyle w:val="Titre"/>
        <w:spacing w:before="100" w:beforeAutospacing="1" w:after="100" w:afterAutospacing="1"/>
        <w:ind w:firstLine="284"/>
        <w:contextualSpacing/>
        <w:jc w:val="right"/>
        <w:rPr>
          <w:rFonts w:asciiTheme="majorHAnsi" w:hAnsiTheme="majorHAnsi"/>
          <w:color w:val="000000" w:themeColor="text1"/>
          <w:sz w:val="30"/>
          <w:szCs w:val="30"/>
          <w:rtl/>
        </w:rPr>
      </w:pPr>
    </w:p>
    <w:p w:rsidR="009C76B7" w:rsidRPr="00B57F6E" w:rsidRDefault="009C76B7" w:rsidP="00CD5BCE">
      <w:pPr>
        <w:pStyle w:val="Titre"/>
        <w:spacing w:before="100" w:beforeAutospacing="1" w:after="100" w:afterAutospacing="1"/>
        <w:ind w:firstLine="284"/>
        <w:contextualSpacing/>
        <w:jc w:val="right"/>
        <w:rPr>
          <w:rFonts w:asciiTheme="majorHAnsi" w:hAnsiTheme="majorHAnsi"/>
          <w:color w:val="000000" w:themeColor="text1"/>
          <w:sz w:val="30"/>
          <w:szCs w:val="30"/>
        </w:rPr>
      </w:pPr>
    </w:p>
    <w:p w:rsidR="009C76B7" w:rsidRPr="00B57F6E" w:rsidRDefault="009C76B7" w:rsidP="00CD5BCE">
      <w:pPr>
        <w:pStyle w:val="Titre"/>
        <w:spacing w:before="100" w:beforeAutospacing="1" w:after="100" w:afterAutospacing="1"/>
        <w:ind w:firstLine="284"/>
        <w:contextualSpacing/>
        <w:jc w:val="right"/>
        <w:rPr>
          <w:rFonts w:asciiTheme="majorHAnsi" w:hAnsiTheme="majorHAnsi"/>
          <w:b w:val="0"/>
          <w:bCs w:val="0"/>
          <w:color w:val="000000" w:themeColor="text1"/>
          <w:sz w:val="30"/>
          <w:szCs w:val="30"/>
        </w:rPr>
      </w:pPr>
    </w:p>
    <w:p w:rsidR="000F1834" w:rsidRPr="00B57F6E" w:rsidRDefault="000F1834" w:rsidP="00CD5BCE">
      <w:pPr>
        <w:pStyle w:val="Titre"/>
        <w:spacing w:before="100" w:beforeAutospacing="1" w:after="100" w:afterAutospacing="1"/>
        <w:ind w:firstLine="284"/>
        <w:contextualSpacing/>
        <w:rPr>
          <w:rFonts w:asciiTheme="majorHAnsi" w:hAnsiTheme="majorHAnsi"/>
          <w:color w:val="000000" w:themeColor="text1"/>
          <w:sz w:val="30"/>
          <w:szCs w:val="30"/>
          <w:u w:val="single"/>
        </w:rPr>
      </w:pPr>
    </w:p>
    <w:p w:rsidR="000F1834" w:rsidRPr="00B57F6E" w:rsidRDefault="00D41F37" w:rsidP="00CD5BCE">
      <w:pPr>
        <w:pStyle w:val="Titre"/>
        <w:spacing w:before="100" w:beforeAutospacing="1" w:after="100" w:afterAutospacing="1"/>
        <w:ind w:firstLine="284"/>
        <w:contextualSpacing/>
        <w:rPr>
          <w:rFonts w:asciiTheme="majorHAnsi" w:hAnsiTheme="majorHAnsi"/>
          <w:color w:val="000000" w:themeColor="text1"/>
          <w:sz w:val="30"/>
          <w:szCs w:val="30"/>
          <w:u w:val="single"/>
        </w:rPr>
      </w:pPr>
      <w:r>
        <w:rPr>
          <w:rFonts w:asciiTheme="majorHAnsi" w:hAnsiTheme="majorHAnsi"/>
          <w:color w:val="000000" w:themeColor="text1"/>
          <w:sz w:val="30"/>
          <w:szCs w:val="30"/>
          <w:u w:val="single"/>
        </w:rPr>
        <w:t xml:space="preserve">     </w:t>
      </w:r>
    </w:p>
    <w:p w:rsidR="000F1834" w:rsidRPr="00B57F6E" w:rsidRDefault="000F1834" w:rsidP="00CD5BCE">
      <w:pPr>
        <w:pStyle w:val="Titre"/>
        <w:spacing w:before="100" w:beforeAutospacing="1" w:after="100" w:afterAutospacing="1"/>
        <w:ind w:firstLine="284"/>
        <w:contextualSpacing/>
        <w:rPr>
          <w:rFonts w:asciiTheme="majorHAnsi" w:hAnsiTheme="majorHAnsi"/>
          <w:color w:val="000000" w:themeColor="text1"/>
          <w:sz w:val="30"/>
          <w:szCs w:val="30"/>
          <w:u w:val="single"/>
        </w:rPr>
      </w:pPr>
    </w:p>
    <w:p w:rsidR="000F1834" w:rsidRPr="00B57F6E" w:rsidRDefault="000F1834" w:rsidP="00CD5BCE">
      <w:pPr>
        <w:pStyle w:val="Titre"/>
        <w:spacing w:before="100" w:beforeAutospacing="1" w:after="100" w:afterAutospacing="1"/>
        <w:ind w:firstLine="284"/>
        <w:contextualSpacing/>
        <w:rPr>
          <w:rFonts w:asciiTheme="majorHAnsi" w:hAnsiTheme="majorHAnsi"/>
          <w:color w:val="000000" w:themeColor="text1"/>
          <w:sz w:val="30"/>
          <w:szCs w:val="30"/>
          <w:u w:val="single"/>
        </w:rPr>
      </w:pPr>
    </w:p>
    <w:p w:rsidR="009C76B7" w:rsidRPr="00B57F6E" w:rsidRDefault="009C76B7" w:rsidP="00CD5BCE">
      <w:pPr>
        <w:pStyle w:val="Titre"/>
        <w:spacing w:before="100" w:beforeAutospacing="1" w:after="100" w:afterAutospacing="1"/>
        <w:ind w:firstLine="284"/>
        <w:contextualSpacing/>
        <w:rPr>
          <w:rFonts w:asciiTheme="majorHAnsi" w:hAnsiTheme="majorHAnsi"/>
          <w:color w:val="000000" w:themeColor="text1"/>
          <w:sz w:val="30"/>
          <w:szCs w:val="30"/>
          <w:u w:val="single"/>
        </w:rPr>
      </w:pPr>
      <w:r w:rsidRPr="00B57F6E">
        <w:rPr>
          <w:rFonts w:asciiTheme="majorHAnsi" w:hAnsiTheme="majorHAnsi"/>
          <w:color w:val="000000" w:themeColor="text1"/>
          <w:sz w:val="30"/>
          <w:szCs w:val="30"/>
          <w:u w:val="single"/>
        </w:rPr>
        <w:t xml:space="preserve">       </w:t>
      </w:r>
    </w:p>
    <w:p w:rsidR="009C76B7" w:rsidRPr="00B57F6E" w:rsidRDefault="009C76B7" w:rsidP="00CD5BCE">
      <w:pPr>
        <w:pStyle w:val="Titre"/>
        <w:tabs>
          <w:tab w:val="left" w:pos="993"/>
        </w:tabs>
        <w:spacing w:before="100" w:beforeAutospacing="1" w:after="100" w:afterAutospacing="1"/>
        <w:ind w:firstLine="284"/>
        <w:contextualSpacing/>
        <w:jc w:val="both"/>
        <w:rPr>
          <w:rFonts w:asciiTheme="majorHAnsi" w:hAnsiTheme="majorHAnsi"/>
          <w:color w:val="000000" w:themeColor="text1"/>
          <w:sz w:val="30"/>
          <w:szCs w:val="30"/>
        </w:rPr>
      </w:pPr>
    </w:p>
    <w:p w:rsidR="009C76B7" w:rsidRPr="00B57F6E" w:rsidRDefault="009C76B7" w:rsidP="00CD5BCE">
      <w:pPr>
        <w:pStyle w:val="Titre"/>
        <w:tabs>
          <w:tab w:val="left" w:pos="993"/>
        </w:tabs>
        <w:spacing w:before="100" w:beforeAutospacing="1" w:after="100" w:afterAutospacing="1"/>
        <w:ind w:firstLine="284"/>
        <w:contextualSpacing/>
        <w:jc w:val="both"/>
        <w:rPr>
          <w:rFonts w:asciiTheme="majorHAnsi" w:hAnsiTheme="majorHAnsi"/>
          <w:color w:val="000000" w:themeColor="text1"/>
          <w:sz w:val="30"/>
          <w:szCs w:val="30"/>
        </w:rPr>
      </w:pPr>
    </w:p>
    <w:p w:rsidR="009C76B7" w:rsidRPr="00044382" w:rsidRDefault="009C76B7" w:rsidP="00044382">
      <w:pPr>
        <w:pStyle w:val="Citationintense"/>
        <w:ind w:left="709"/>
        <w:jc w:val="center"/>
        <w:rPr>
          <w:rStyle w:val="Rfrenceintense"/>
          <w:rFonts w:asciiTheme="majorHAnsi" w:hAnsiTheme="majorHAnsi"/>
          <w:color w:val="0070C0"/>
          <w:sz w:val="44"/>
          <w:szCs w:val="44"/>
        </w:rPr>
      </w:pPr>
      <w:r w:rsidRPr="00044382">
        <w:rPr>
          <w:rStyle w:val="Rfrenceintense"/>
          <w:rFonts w:asciiTheme="majorHAnsi" w:hAnsiTheme="majorHAnsi"/>
          <w:color w:val="0070C0"/>
          <w:sz w:val="44"/>
          <w:szCs w:val="44"/>
        </w:rPr>
        <w:t>Budget Economique Prévisionnel 2019</w:t>
      </w:r>
    </w:p>
    <w:p w:rsidR="009C76B7" w:rsidRPr="00B57F6E" w:rsidRDefault="009C76B7" w:rsidP="00CD5BCE">
      <w:pPr>
        <w:pStyle w:val="Titre"/>
        <w:tabs>
          <w:tab w:val="left" w:pos="993"/>
        </w:tabs>
        <w:spacing w:before="100" w:beforeAutospacing="1" w:after="100" w:afterAutospacing="1"/>
        <w:ind w:firstLine="284"/>
        <w:contextualSpacing/>
        <w:jc w:val="both"/>
        <w:rPr>
          <w:rFonts w:asciiTheme="majorHAnsi" w:hAnsiTheme="majorHAnsi"/>
          <w:color w:val="000000" w:themeColor="text1"/>
          <w:sz w:val="30"/>
          <w:szCs w:val="30"/>
        </w:rPr>
      </w:pPr>
    </w:p>
    <w:p w:rsidR="009C76B7" w:rsidRPr="00B57F6E" w:rsidRDefault="009C76B7" w:rsidP="00CD5BCE">
      <w:pPr>
        <w:pStyle w:val="Titre"/>
        <w:tabs>
          <w:tab w:val="left" w:pos="993"/>
        </w:tabs>
        <w:spacing w:before="100" w:beforeAutospacing="1" w:after="100" w:afterAutospacing="1"/>
        <w:ind w:firstLine="284"/>
        <w:contextualSpacing/>
        <w:jc w:val="both"/>
        <w:rPr>
          <w:rFonts w:asciiTheme="majorHAnsi" w:hAnsiTheme="majorHAnsi"/>
          <w:color w:val="000000" w:themeColor="text1"/>
          <w:sz w:val="30"/>
          <w:szCs w:val="30"/>
        </w:rPr>
      </w:pPr>
    </w:p>
    <w:p w:rsidR="009C76B7" w:rsidRPr="00B57F6E" w:rsidRDefault="009C76B7" w:rsidP="00CD5BCE">
      <w:pPr>
        <w:pStyle w:val="Titre"/>
        <w:tabs>
          <w:tab w:val="left" w:pos="993"/>
        </w:tabs>
        <w:spacing w:before="100" w:beforeAutospacing="1" w:after="100" w:afterAutospacing="1"/>
        <w:ind w:firstLine="284"/>
        <w:contextualSpacing/>
        <w:jc w:val="both"/>
        <w:rPr>
          <w:rFonts w:asciiTheme="majorHAnsi" w:hAnsiTheme="majorHAnsi"/>
          <w:color w:val="000000" w:themeColor="text1"/>
          <w:sz w:val="30"/>
          <w:szCs w:val="30"/>
        </w:rPr>
      </w:pPr>
    </w:p>
    <w:p w:rsidR="009C76B7" w:rsidRPr="00B57F6E" w:rsidRDefault="009C76B7" w:rsidP="00CD5BCE">
      <w:pPr>
        <w:pStyle w:val="Titre"/>
        <w:tabs>
          <w:tab w:val="left" w:pos="993"/>
        </w:tabs>
        <w:spacing w:before="100" w:beforeAutospacing="1" w:after="100" w:afterAutospacing="1"/>
        <w:ind w:firstLine="284"/>
        <w:contextualSpacing/>
        <w:jc w:val="both"/>
        <w:rPr>
          <w:rFonts w:asciiTheme="majorHAnsi" w:hAnsiTheme="majorHAnsi"/>
          <w:color w:val="000000" w:themeColor="text1"/>
          <w:sz w:val="30"/>
          <w:szCs w:val="30"/>
        </w:rPr>
      </w:pPr>
    </w:p>
    <w:p w:rsidR="009C76B7" w:rsidRPr="00B57F6E" w:rsidRDefault="009C76B7" w:rsidP="00CD5BCE">
      <w:pPr>
        <w:pStyle w:val="Titre"/>
        <w:tabs>
          <w:tab w:val="left" w:pos="993"/>
        </w:tabs>
        <w:spacing w:before="100" w:beforeAutospacing="1" w:after="100" w:afterAutospacing="1"/>
        <w:ind w:firstLine="284"/>
        <w:contextualSpacing/>
        <w:jc w:val="both"/>
        <w:rPr>
          <w:rFonts w:asciiTheme="majorHAnsi" w:hAnsiTheme="majorHAnsi"/>
          <w:color w:val="000000" w:themeColor="text1"/>
          <w:sz w:val="30"/>
          <w:szCs w:val="30"/>
        </w:rPr>
      </w:pPr>
    </w:p>
    <w:p w:rsidR="009C76B7" w:rsidRPr="00B57F6E" w:rsidRDefault="009C76B7" w:rsidP="00CD5BCE">
      <w:pPr>
        <w:pStyle w:val="Titre"/>
        <w:tabs>
          <w:tab w:val="left" w:pos="993"/>
        </w:tabs>
        <w:spacing w:before="100" w:beforeAutospacing="1" w:after="100" w:afterAutospacing="1"/>
        <w:ind w:firstLine="284"/>
        <w:contextualSpacing/>
        <w:jc w:val="both"/>
        <w:rPr>
          <w:rFonts w:asciiTheme="majorHAnsi" w:hAnsiTheme="majorHAnsi"/>
          <w:color w:val="000000" w:themeColor="text1"/>
          <w:sz w:val="30"/>
          <w:szCs w:val="30"/>
        </w:rPr>
      </w:pPr>
    </w:p>
    <w:p w:rsidR="009C76B7" w:rsidRPr="00B57F6E" w:rsidRDefault="009C76B7" w:rsidP="00CD5BCE">
      <w:pPr>
        <w:pStyle w:val="Titre"/>
        <w:tabs>
          <w:tab w:val="left" w:pos="993"/>
        </w:tabs>
        <w:spacing w:before="100" w:beforeAutospacing="1" w:after="100" w:afterAutospacing="1"/>
        <w:ind w:firstLine="284"/>
        <w:contextualSpacing/>
        <w:rPr>
          <w:rFonts w:asciiTheme="majorHAnsi" w:hAnsiTheme="majorHAnsi"/>
          <w:color w:val="000000" w:themeColor="text1"/>
          <w:sz w:val="30"/>
          <w:szCs w:val="30"/>
          <w:u w:val="single"/>
        </w:rPr>
      </w:pPr>
    </w:p>
    <w:p w:rsidR="009C76B7" w:rsidRPr="00411EFA" w:rsidRDefault="009C76B7" w:rsidP="00044382">
      <w:pPr>
        <w:pStyle w:val="Citationintense"/>
        <w:jc w:val="center"/>
        <w:rPr>
          <w:rFonts w:asciiTheme="majorHAnsi" w:hAnsiTheme="majorHAnsi"/>
          <w:b/>
          <w:bCs/>
          <w:i w:val="0"/>
          <w:iCs w:val="0"/>
          <w:color w:val="0070C0"/>
          <w:sz w:val="32"/>
          <w:szCs w:val="32"/>
        </w:rPr>
      </w:pPr>
      <w:r w:rsidRPr="00411EFA">
        <w:rPr>
          <w:rFonts w:asciiTheme="majorHAnsi" w:hAnsiTheme="majorHAnsi"/>
          <w:b/>
          <w:bCs/>
          <w:i w:val="0"/>
          <w:iCs w:val="0"/>
          <w:color w:val="0070C0"/>
          <w:sz w:val="32"/>
          <w:szCs w:val="32"/>
        </w:rPr>
        <w:t>Conférence de presse sur:</w:t>
      </w:r>
    </w:p>
    <w:p w:rsidR="000F1834" w:rsidRPr="00411EFA" w:rsidRDefault="001E0903" w:rsidP="00044382">
      <w:pPr>
        <w:pStyle w:val="Citationintense"/>
        <w:jc w:val="center"/>
        <w:rPr>
          <w:rFonts w:asciiTheme="majorHAnsi" w:hAnsiTheme="majorHAnsi"/>
          <w:b/>
          <w:bCs/>
          <w:i w:val="0"/>
          <w:iCs w:val="0"/>
          <w:color w:val="0070C0"/>
          <w:sz w:val="32"/>
          <w:szCs w:val="32"/>
        </w:rPr>
      </w:pPr>
      <w:r w:rsidRPr="00411EFA">
        <w:rPr>
          <w:rFonts w:asciiTheme="majorHAnsi" w:hAnsiTheme="majorHAnsi"/>
          <w:b/>
          <w:bCs/>
          <w:i w:val="0"/>
          <w:iCs w:val="0"/>
          <w:color w:val="0070C0"/>
          <w:sz w:val="32"/>
          <w:szCs w:val="32"/>
        </w:rPr>
        <w:t>La s</w:t>
      </w:r>
      <w:r w:rsidR="000F1834" w:rsidRPr="00411EFA">
        <w:rPr>
          <w:rFonts w:asciiTheme="majorHAnsi" w:hAnsiTheme="majorHAnsi"/>
          <w:b/>
          <w:bCs/>
          <w:i w:val="0"/>
          <w:iCs w:val="0"/>
          <w:color w:val="0070C0"/>
          <w:sz w:val="32"/>
          <w:szCs w:val="32"/>
        </w:rPr>
        <w:t xml:space="preserve">ituation </w:t>
      </w:r>
      <w:r w:rsidR="009C76B7" w:rsidRPr="00411EFA">
        <w:rPr>
          <w:rFonts w:asciiTheme="majorHAnsi" w:hAnsiTheme="majorHAnsi"/>
          <w:b/>
          <w:bCs/>
          <w:i w:val="0"/>
          <w:iCs w:val="0"/>
          <w:color w:val="0070C0"/>
          <w:sz w:val="32"/>
          <w:szCs w:val="32"/>
        </w:rPr>
        <w:t>économi</w:t>
      </w:r>
      <w:r w:rsidR="000F1834" w:rsidRPr="00411EFA">
        <w:rPr>
          <w:rFonts w:asciiTheme="majorHAnsi" w:hAnsiTheme="majorHAnsi"/>
          <w:b/>
          <w:bCs/>
          <w:i w:val="0"/>
          <w:iCs w:val="0"/>
          <w:color w:val="0070C0"/>
          <w:sz w:val="32"/>
          <w:szCs w:val="32"/>
        </w:rPr>
        <w:t>qu</w:t>
      </w:r>
      <w:r w:rsidR="009C76B7" w:rsidRPr="00411EFA">
        <w:rPr>
          <w:rFonts w:asciiTheme="majorHAnsi" w:hAnsiTheme="majorHAnsi"/>
          <w:b/>
          <w:bCs/>
          <w:i w:val="0"/>
          <w:iCs w:val="0"/>
          <w:color w:val="0070C0"/>
          <w:sz w:val="32"/>
          <w:szCs w:val="32"/>
        </w:rPr>
        <w:t>e nationale en 2018</w:t>
      </w:r>
    </w:p>
    <w:p w:rsidR="009C76B7" w:rsidRPr="00411EFA" w:rsidRDefault="009C76B7" w:rsidP="00D43101">
      <w:pPr>
        <w:pStyle w:val="Citationintense"/>
        <w:jc w:val="center"/>
        <w:rPr>
          <w:rFonts w:asciiTheme="majorHAnsi" w:hAnsiTheme="majorHAnsi"/>
          <w:b/>
          <w:bCs/>
          <w:i w:val="0"/>
          <w:iCs w:val="0"/>
          <w:color w:val="0070C0"/>
          <w:sz w:val="32"/>
          <w:szCs w:val="32"/>
        </w:rPr>
      </w:pPr>
      <w:r w:rsidRPr="00411EFA">
        <w:rPr>
          <w:rFonts w:asciiTheme="majorHAnsi" w:hAnsiTheme="majorHAnsi"/>
          <w:b/>
          <w:bCs/>
          <w:i w:val="0"/>
          <w:iCs w:val="0"/>
          <w:color w:val="0070C0"/>
          <w:sz w:val="32"/>
          <w:szCs w:val="32"/>
        </w:rPr>
        <w:t xml:space="preserve">et ses </w:t>
      </w:r>
      <w:r w:rsidR="00D43101">
        <w:rPr>
          <w:rFonts w:asciiTheme="majorHAnsi" w:hAnsiTheme="majorHAnsi"/>
          <w:b/>
          <w:bCs/>
          <w:i w:val="0"/>
          <w:iCs w:val="0"/>
          <w:color w:val="0070C0"/>
          <w:sz w:val="32"/>
          <w:szCs w:val="32"/>
        </w:rPr>
        <w:t>p</w:t>
      </w:r>
      <w:r w:rsidRPr="00411EFA">
        <w:rPr>
          <w:rFonts w:asciiTheme="majorHAnsi" w:hAnsiTheme="majorHAnsi"/>
          <w:b/>
          <w:bCs/>
          <w:i w:val="0"/>
          <w:iCs w:val="0"/>
          <w:color w:val="0070C0"/>
          <w:sz w:val="32"/>
          <w:szCs w:val="32"/>
        </w:rPr>
        <w:t>erspectives</w:t>
      </w:r>
      <w:r w:rsidR="007A1E6E">
        <w:rPr>
          <w:rFonts w:asciiTheme="majorHAnsi" w:hAnsiTheme="majorHAnsi"/>
          <w:b/>
          <w:bCs/>
          <w:i w:val="0"/>
          <w:iCs w:val="0"/>
          <w:color w:val="0070C0"/>
          <w:sz w:val="32"/>
          <w:szCs w:val="32"/>
        </w:rPr>
        <w:t xml:space="preserve"> en</w:t>
      </w:r>
      <w:r w:rsidRPr="00411EFA">
        <w:rPr>
          <w:rFonts w:asciiTheme="majorHAnsi" w:hAnsiTheme="majorHAnsi"/>
          <w:b/>
          <w:bCs/>
          <w:i w:val="0"/>
          <w:iCs w:val="0"/>
          <w:color w:val="0070C0"/>
          <w:sz w:val="32"/>
          <w:szCs w:val="32"/>
        </w:rPr>
        <w:t xml:space="preserve"> 2019</w:t>
      </w:r>
    </w:p>
    <w:p w:rsidR="009C76B7" w:rsidRDefault="009C76B7" w:rsidP="00CD5BCE">
      <w:pPr>
        <w:pStyle w:val="Titre"/>
        <w:tabs>
          <w:tab w:val="left" w:pos="993"/>
        </w:tabs>
        <w:spacing w:before="100" w:beforeAutospacing="1" w:after="100" w:afterAutospacing="1"/>
        <w:ind w:firstLine="284"/>
        <w:contextualSpacing/>
        <w:rPr>
          <w:rFonts w:asciiTheme="majorHAnsi" w:hAnsiTheme="majorHAnsi"/>
          <w:color w:val="000000" w:themeColor="text1"/>
          <w:sz w:val="30"/>
          <w:szCs w:val="30"/>
          <w:u w:val="single"/>
        </w:rPr>
      </w:pPr>
    </w:p>
    <w:p w:rsidR="000F1834" w:rsidRPr="00B57F6E" w:rsidRDefault="000F1834" w:rsidP="00CD5BCE">
      <w:pPr>
        <w:pStyle w:val="Titre"/>
        <w:tabs>
          <w:tab w:val="left" w:pos="993"/>
        </w:tabs>
        <w:spacing w:before="100" w:beforeAutospacing="1" w:after="100" w:afterAutospacing="1"/>
        <w:ind w:firstLine="284"/>
        <w:contextualSpacing/>
        <w:rPr>
          <w:rFonts w:asciiTheme="majorHAnsi" w:hAnsiTheme="majorHAnsi"/>
          <w:color w:val="000000" w:themeColor="text1"/>
          <w:sz w:val="30"/>
          <w:szCs w:val="30"/>
          <w:u w:val="single"/>
        </w:rPr>
      </w:pPr>
    </w:p>
    <w:p w:rsidR="009C76B7" w:rsidRPr="00B57F6E" w:rsidRDefault="009C76B7" w:rsidP="00CD5BCE">
      <w:pPr>
        <w:pStyle w:val="Titre"/>
        <w:tabs>
          <w:tab w:val="left" w:pos="993"/>
        </w:tabs>
        <w:spacing w:before="100" w:beforeAutospacing="1" w:after="100" w:afterAutospacing="1"/>
        <w:ind w:firstLine="284"/>
        <w:contextualSpacing/>
        <w:rPr>
          <w:rFonts w:asciiTheme="majorHAnsi" w:hAnsiTheme="majorHAnsi"/>
          <w:color w:val="000000" w:themeColor="text1"/>
          <w:sz w:val="30"/>
          <w:szCs w:val="30"/>
          <w:u w:val="single"/>
        </w:rPr>
      </w:pPr>
    </w:p>
    <w:p w:rsidR="009C76B7" w:rsidRPr="00B57F6E" w:rsidRDefault="009C76B7" w:rsidP="00CD5BCE">
      <w:pPr>
        <w:pStyle w:val="Titre"/>
        <w:tabs>
          <w:tab w:val="left" w:pos="993"/>
        </w:tabs>
        <w:spacing w:before="100" w:beforeAutospacing="1" w:after="100" w:afterAutospacing="1"/>
        <w:ind w:firstLine="284"/>
        <w:contextualSpacing/>
        <w:rPr>
          <w:rFonts w:asciiTheme="majorHAnsi" w:hAnsiTheme="majorHAnsi"/>
          <w:color w:val="000000" w:themeColor="text1"/>
          <w:sz w:val="30"/>
          <w:szCs w:val="30"/>
          <w:u w:val="single"/>
        </w:rPr>
      </w:pPr>
    </w:p>
    <w:p w:rsidR="009C76B7" w:rsidRDefault="009C76B7" w:rsidP="00CD5BCE">
      <w:pPr>
        <w:pStyle w:val="Titre"/>
        <w:tabs>
          <w:tab w:val="left" w:pos="993"/>
        </w:tabs>
        <w:spacing w:before="100" w:beforeAutospacing="1" w:after="100" w:afterAutospacing="1"/>
        <w:ind w:firstLine="284"/>
        <w:contextualSpacing/>
        <w:rPr>
          <w:rFonts w:asciiTheme="majorHAnsi" w:hAnsiTheme="majorHAnsi"/>
          <w:color w:val="000000" w:themeColor="text1"/>
          <w:sz w:val="30"/>
          <w:szCs w:val="30"/>
          <w:u w:val="single"/>
        </w:rPr>
      </w:pPr>
    </w:p>
    <w:p w:rsidR="007A1E6E" w:rsidRDefault="007A1E6E" w:rsidP="00CD5BCE">
      <w:pPr>
        <w:pStyle w:val="Titre"/>
        <w:tabs>
          <w:tab w:val="left" w:pos="993"/>
        </w:tabs>
        <w:spacing w:before="100" w:beforeAutospacing="1" w:after="100" w:afterAutospacing="1"/>
        <w:ind w:firstLine="284"/>
        <w:contextualSpacing/>
        <w:rPr>
          <w:rFonts w:asciiTheme="majorHAnsi" w:hAnsiTheme="majorHAnsi"/>
          <w:color w:val="000000" w:themeColor="text1"/>
          <w:sz w:val="30"/>
          <w:szCs w:val="30"/>
          <w:u w:val="single"/>
        </w:rPr>
      </w:pPr>
    </w:p>
    <w:p w:rsidR="007A1E6E" w:rsidRDefault="007A1E6E" w:rsidP="00CD5BCE">
      <w:pPr>
        <w:pStyle w:val="Titre"/>
        <w:tabs>
          <w:tab w:val="left" w:pos="993"/>
        </w:tabs>
        <w:spacing w:before="100" w:beforeAutospacing="1" w:after="100" w:afterAutospacing="1"/>
        <w:ind w:firstLine="284"/>
        <w:contextualSpacing/>
        <w:rPr>
          <w:rFonts w:asciiTheme="majorHAnsi" w:hAnsiTheme="majorHAnsi"/>
          <w:color w:val="000000" w:themeColor="text1"/>
          <w:sz w:val="30"/>
          <w:szCs w:val="30"/>
          <w:u w:val="single"/>
        </w:rPr>
      </w:pPr>
    </w:p>
    <w:p w:rsidR="00411EFA" w:rsidRPr="00B57F6E" w:rsidRDefault="00411EFA" w:rsidP="00CD5BCE">
      <w:pPr>
        <w:pStyle w:val="Titre"/>
        <w:tabs>
          <w:tab w:val="left" w:pos="993"/>
        </w:tabs>
        <w:spacing w:before="100" w:beforeAutospacing="1" w:after="100" w:afterAutospacing="1"/>
        <w:ind w:firstLine="284"/>
        <w:contextualSpacing/>
        <w:rPr>
          <w:rFonts w:asciiTheme="majorHAnsi" w:hAnsiTheme="majorHAnsi"/>
          <w:color w:val="000000" w:themeColor="text1"/>
          <w:sz w:val="30"/>
          <w:szCs w:val="30"/>
          <w:u w:val="single"/>
        </w:rPr>
      </w:pPr>
    </w:p>
    <w:p w:rsidR="009C76B7" w:rsidRPr="003A4DA3" w:rsidRDefault="009C76B7" w:rsidP="00044382">
      <w:pPr>
        <w:pStyle w:val="Paragraphedeliste"/>
        <w:jc w:val="right"/>
        <w:rPr>
          <w:rStyle w:val="Titredulivre"/>
          <w:color w:val="0070C0"/>
          <w:sz w:val="24"/>
          <w:szCs w:val="24"/>
        </w:rPr>
      </w:pPr>
      <w:r w:rsidRPr="003A4DA3">
        <w:rPr>
          <w:rStyle w:val="Titredulivre"/>
          <w:color w:val="0070C0"/>
          <w:sz w:val="24"/>
          <w:szCs w:val="24"/>
        </w:rPr>
        <w:t xml:space="preserve">Casablanca, le </w:t>
      </w:r>
      <w:r w:rsidR="006E2E06" w:rsidRPr="0076094E">
        <w:rPr>
          <w:rStyle w:val="Titredulivre"/>
          <w:color w:val="0070C0"/>
        </w:rPr>
        <w:t>16</w:t>
      </w:r>
      <w:r w:rsidRPr="003A4DA3">
        <w:rPr>
          <w:rStyle w:val="Titredulivre"/>
          <w:color w:val="0070C0"/>
          <w:sz w:val="24"/>
          <w:szCs w:val="24"/>
        </w:rPr>
        <w:t xml:space="preserve"> janvier 2019</w:t>
      </w:r>
    </w:p>
    <w:p w:rsidR="001F6107" w:rsidRPr="00B57F6E" w:rsidRDefault="001F6107" w:rsidP="00CD5BCE">
      <w:pPr>
        <w:pStyle w:val="Titre"/>
        <w:tabs>
          <w:tab w:val="left" w:pos="993"/>
        </w:tabs>
        <w:spacing w:before="100" w:beforeAutospacing="1" w:after="100" w:afterAutospacing="1"/>
        <w:ind w:firstLine="284"/>
        <w:contextualSpacing/>
        <w:jc w:val="both"/>
        <w:rPr>
          <w:rFonts w:asciiTheme="majorHAnsi" w:hAnsiTheme="majorHAnsi"/>
          <w:caps/>
          <w:shadow/>
          <w:color w:val="000000" w:themeColor="text1"/>
          <w:kern w:val="16"/>
          <w:sz w:val="30"/>
          <w:szCs w:val="30"/>
          <w:u w:val="single"/>
        </w:rPr>
      </w:pPr>
    </w:p>
    <w:p w:rsidR="009C76B7" w:rsidRPr="00411EFA" w:rsidRDefault="009C76B7" w:rsidP="00CD5BCE">
      <w:pPr>
        <w:pStyle w:val="Titre"/>
        <w:tabs>
          <w:tab w:val="left" w:pos="993"/>
        </w:tabs>
        <w:spacing w:before="100" w:beforeAutospacing="1" w:after="100" w:afterAutospacing="1"/>
        <w:ind w:firstLine="284"/>
        <w:contextualSpacing/>
        <w:jc w:val="both"/>
        <w:rPr>
          <w:rFonts w:asciiTheme="majorHAnsi" w:hAnsiTheme="majorHAnsi"/>
          <w:caps/>
          <w:shadow/>
          <w:color w:val="0070C0"/>
          <w:kern w:val="16"/>
          <w:sz w:val="30"/>
          <w:szCs w:val="30"/>
          <w:u w:val="single"/>
        </w:rPr>
      </w:pPr>
      <w:r w:rsidRPr="00411EFA">
        <w:rPr>
          <w:rFonts w:asciiTheme="majorHAnsi" w:hAnsiTheme="majorHAnsi"/>
          <w:caps/>
          <w:shadow/>
          <w:color w:val="0070C0"/>
          <w:kern w:val="16"/>
          <w:sz w:val="30"/>
          <w:szCs w:val="30"/>
          <w:u w:val="single"/>
        </w:rPr>
        <w:t>Préambule</w:t>
      </w:r>
    </w:p>
    <w:p w:rsidR="009C76B7" w:rsidRPr="00B57F6E" w:rsidRDefault="009C76B7" w:rsidP="00CD5BCE">
      <w:pPr>
        <w:tabs>
          <w:tab w:val="left" w:pos="993"/>
        </w:tabs>
        <w:spacing w:before="100" w:beforeAutospacing="1" w:after="100" w:afterAutospacing="1"/>
        <w:ind w:firstLine="284"/>
        <w:contextualSpacing/>
        <w:jc w:val="both"/>
        <w:rPr>
          <w:rFonts w:asciiTheme="majorHAnsi" w:hAnsiTheme="majorHAnsi" w:cstheme="majorBidi"/>
          <w:b w:val="0"/>
          <w:bCs w:val="0"/>
          <w:color w:val="000000" w:themeColor="text1"/>
          <w:sz w:val="30"/>
          <w:szCs w:val="30"/>
        </w:rPr>
      </w:pPr>
    </w:p>
    <w:p w:rsidR="009C76B7" w:rsidRPr="00B57F6E" w:rsidRDefault="00A941A5" w:rsidP="00120193">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r>
        <w:rPr>
          <w:rFonts w:asciiTheme="majorHAnsi" w:hAnsiTheme="majorHAnsi" w:cstheme="majorBidi"/>
          <w:b w:val="0"/>
          <w:bCs w:val="0"/>
          <w:color w:val="000000" w:themeColor="text1"/>
          <w:sz w:val="30"/>
          <w:szCs w:val="30"/>
        </w:rPr>
        <w:tab/>
      </w:r>
      <w:r w:rsidR="00CD5BCE" w:rsidRPr="00B57F6E">
        <w:rPr>
          <w:rFonts w:asciiTheme="majorHAnsi" w:hAnsiTheme="majorHAnsi" w:cstheme="majorBidi"/>
          <w:b w:val="0"/>
          <w:bCs w:val="0"/>
          <w:color w:val="000000" w:themeColor="text1"/>
          <w:sz w:val="30"/>
          <w:szCs w:val="30"/>
        </w:rPr>
        <w:t>L</w:t>
      </w:r>
      <w:r w:rsidR="009C76B7" w:rsidRPr="00B57F6E">
        <w:rPr>
          <w:rFonts w:asciiTheme="majorHAnsi" w:hAnsiTheme="majorHAnsi" w:cstheme="majorBidi"/>
          <w:b w:val="0"/>
          <w:bCs w:val="0"/>
          <w:color w:val="000000" w:themeColor="text1"/>
          <w:sz w:val="30"/>
          <w:szCs w:val="30"/>
        </w:rPr>
        <w:t xml:space="preserve">e Budget Economique Prévisionnel 2019 présente </w:t>
      </w:r>
      <w:r w:rsidR="009C76B7" w:rsidRPr="00B57F6E">
        <w:rPr>
          <w:rFonts w:asciiTheme="majorHAnsi" w:hAnsiTheme="majorHAnsi" w:cs="Calibri"/>
          <w:b w:val="0"/>
          <w:bCs w:val="0"/>
          <w:color w:val="000000" w:themeColor="text1"/>
          <w:sz w:val="30"/>
          <w:szCs w:val="30"/>
        </w:rPr>
        <w:t>une révision du budget économique exploratoire publié au mois de juillet 2018. Il s’agit d’une nouvelle estimation de la croissance de l’économie nationale en 2018 et d</w:t>
      </w:r>
      <w:r w:rsidR="00120193">
        <w:rPr>
          <w:rFonts w:asciiTheme="majorHAnsi" w:hAnsiTheme="majorHAnsi" w:cs="Calibri"/>
          <w:b w:val="0"/>
          <w:bCs w:val="0"/>
          <w:color w:val="000000" w:themeColor="text1"/>
          <w:sz w:val="30"/>
          <w:szCs w:val="30"/>
        </w:rPr>
        <w:t xml:space="preserve">’une </w:t>
      </w:r>
      <w:r w:rsidR="009C76B7" w:rsidRPr="00B57F6E">
        <w:rPr>
          <w:rFonts w:asciiTheme="majorHAnsi" w:hAnsiTheme="majorHAnsi" w:cs="Calibri"/>
          <w:b w:val="0"/>
          <w:bCs w:val="0"/>
          <w:color w:val="000000" w:themeColor="text1"/>
          <w:sz w:val="30"/>
          <w:szCs w:val="30"/>
        </w:rPr>
        <w:t xml:space="preserve">révision des perspectives économiques de </w:t>
      </w:r>
      <w:r w:rsidR="00E56931">
        <w:rPr>
          <w:rFonts w:asciiTheme="majorHAnsi" w:hAnsiTheme="majorHAnsi" w:cs="Calibri"/>
          <w:b w:val="0"/>
          <w:bCs w:val="0"/>
          <w:color w:val="000000" w:themeColor="text1"/>
          <w:sz w:val="30"/>
          <w:szCs w:val="30"/>
        </w:rPr>
        <w:t xml:space="preserve">l’année </w:t>
      </w:r>
      <w:r w:rsidR="009C76B7" w:rsidRPr="00B57F6E">
        <w:rPr>
          <w:rFonts w:asciiTheme="majorHAnsi" w:hAnsiTheme="majorHAnsi" w:cs="Calibri"/>
          <w:b w:val="0"/>
          <w:bCs w:val="0"/>
          <w:color w:val="000000" w:themeColor="text1"/>
          <w:sz w:val="30"/>
          <w:szCs w:val="30"/>
        </w:rPr>
        <w:t xml:space="preserve">2019 et leurs effets sur les équilibres macroéconomiques internes et externes et sur le financement de </w:t>
      </w:r>
      <w:r w:rsidR="009C76B7" w:rsidRPr="00B57F6E">
        <w:rPr>
          <w:rFonts w:asciiTheme="majorHAnsi" w:hAnsiTheme="majorHAnsi" w:cstheme="majorBidi"/>
          <w:b w:val="0"/>
          <w:bCs w:val="0"/>
          <w:color w:val="000000" w:themeColor="text1"/>
          <w:sz w:val="30"/>
          <w:szCs w:val="30"/>
        </w:rPr>
        <w:t>l’économie.</w:t>
      </w:r>
    </w:p>
    <w:p w:rsidR="00CD5BCE" w:rsidRPr="00B57F6E" w:rsidRDefault="00CD5BCE" w:rsidP="00A941A5">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p>
    <w:p w:rsidR="009C76B7" w:rsidRPr="006E2E06" w:rsidRDefault="00A941A5" w:rsidP="00F41014">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r>
        <w:rPr>
          <w:rFonts w:asciiTheme="majorHAnsi" w:hAnsiTheme="majorHAnsi" w:cstheme="majorBidi"/>
          <w:b w:val="0"/>
          <w:bCs w:val="0"/>
          <w:color w:val="000000" w:themeColor="text1"/>
          <w:sz w:val="30"/>
          <w:szCs w:val="30"/>
        </w:rPr>
        <w:tab/>
      </w:r>
      <w:r w:rsidR="00D516EE" w:rsidRPr="00B57F6E">
        <w:rPr>
          <w:rFonts w:asciiTheme="majorHAnsi" w:hAnsiTheme="majorHAnsi" w:cstheme="majorBidi"/>
          <w:b w:val="0"/>
          <w:bCs w:val="0"/>
          <w:color w:val="000000" w:themeColor="text1"/>
          <w:sz w:val="30"/>
          <w:szCs w:val="30"/>
        </w:rPr>
        <w:t xml:space="preserve">Ces nouvelles perspectives </w:t>
      </w:r>
      <w:r w:rsidR="00D516EE" w:rsidRPr="006E2E06">
        <w:rPr>
          <w:rFonts w:asciiTheme="majorHAnsi" w:hAnsiTheme="majorHAnsi" w:cstheme="majorBidi"/>
          <w:b w:val="0"/>
          <w:bCs w:val="0"/>
          <w:color w:val="000000" w:themeColor="text1"/>
          <w:sz w:val="30"/>
          <w:szCs w:val="30"/>
        </w:rPr>
        <w:t xml:space="preserve">prennent en compte les </w:t>
      </w:r>
      <w:r w:rsidR="001E0903" w:rsidRPr="006E2E06">
        <w:rPr>
          <w:rFonts w:asciiTheme="majorHAnsi" w:hAnsiTheme="majorHAnsi" w:cstheme="majorBidi"/>
          <w:b w:val="0"/>
          <w:bCs w:val="0"/>
          <w:color w:val="000000" w:themeColor="text1"/>
          <w:sz w:val="30"/>
          <w:szCs w:val="30"/>
        </w:rPr>
        <w:t xml:space="preserve">résultats des comptes nationaux, </w:t>
      </w:r>
      <w:r w:rsidR="00D516EE" w:rsidRPr="006E2E06">
        <w:rPr>
          <w:rFonts w:asciiTheme="majorHAnsi" w:hAnsiTheme="majorHAnsi" w:cstheme="majorBidi"/>
          <w:b w:val="0"/>
          <w:bCs w:val="0"/>
          <w:color w:val="000000" w:themeColor="text1"/>
          <w:sz w:val="30"/>
          <w:szCs w:val="30"/>
        </w:rPr>
        <w:t>des enquêtes trimestrielles et des travaux de suivi et d’analyse de conjoncture menés par le Haut</w:t>
      </w:r>
      <w:r w:rsidR="00F41014">
        <w:rPr>
          <w:rFonts w:asciiTheme="majorHAnsi" w:hAnsiTheme="majorHAnsi" w:cstheme="majorBidi"/>
          <w:b w:val="0"/>
          <w:bCs w:val="0"/>
          <w:color w:val="000000" w:themeColor="text1"/>
          <w:sz w:val="30"/>
          <w:szCs w:val="30"/>
        </w:rPr>
        <w:t xml:space="preserve"> C</w:t>
      </w:r>
      <w:r w:rsidR="00D516EE" w:rsidRPr="006E2E06">
        <w:rPr>
          <w:rFonts w:asciiTheme="majorHAnsi" w:hAnsiTheme="majorHAnsi" w:cstheme="majorBidi"/>
          <w:b w:val="0"/>
          <w:bCs w:val="0"/>
          <w:color w:val="000000" w:themeColor="text1"/>
          <w:sz w:val="30"/>
          <w:szCs w:val="30"/>
        </w:rPr>
        <w:t xml:space="preserve">ommissariat au Plan. L’élaboration </w:t>
      </w:r>
      <w:r w:rsidR="009C76B7" w:rsidRPr="006E2E06">
        <w:rPr>
          <w:rFonts w:asciiTheme="majorHAnsi" w:hAnsiTheme="majorHAnsi" w:cstheme="majorBidi"/>
          <w:b w:val="0"/>
          <w:bCs w:val="0"/>
          <w:color w:val="000000" w:themeColor="text1"/>
          <w:sz w:val="30"/>
          <w:szCs w:val="30"/>
        </w:rPr>
        <w:t xml:space="preserve">du présent document </w:t>
      </w:r>
      <w:r w:rsidR="00D516EE" w:rsidRPr="006E2E06">
        <w:rPr>
          <w:rFonts w:asciiTheme="majorHAnsi" w:hAnsiTheme="majorHAnsi" w:cstheme="majorBidi"/>
          <w:b w:val="0"/>
          <w:bCs w:val="0"/>
          <w:color w:val="000000" w:themeColor="text1"/>
          <w:sz w:val="30"/>
          <w:szCs w:val="30"/>
        </w:rPr>
        <w:t xml:space="preserve">se base aussi sur </w:t>
      </w:r>
      <w:r w:rsidR="00583135" w:rsidRPr="006E2E06">
        <w:rPr>
          <w:rFonts w:asciiTheme="majorHAnsi" w:hAnsiTheme="majorHAnsi" w:cstheme="majorBidi"/>
          <w:b w:val="0"/>
          <w:bCs w:val="0"/>
          <w:color w:val="000000" w:themeColor="text1"/>
          <w:sz w:val="30"/>
          <w:szCs w:val="30"/>
        </w:rPr>
        <w:t xml:space="preserve">l’évolution </w:t>
      </w:r>
      <w:r w:rsidR="009C76B7" w:rsidRPr="006E2E06">
        <w:rPr>
          <w:rFonts w:asciiTheme="majorHAnsi" w:hAnsiTheme="majorHAnsi" w:cstheme="majorBidi"/>
          <w:b w:val="0"/>
          <w:bCs w:val="0"/>
          <w:color w:val="000000" w:themeColor="text1"/>
          <w:sz w:val="30"/>
          <w:szCs w:val="30"/>
        </w:rPr>
        <w:t>de la situation de l’environnement international et sur  les données monétaires et financières fournies par les autres départements ministériels et</w:t>
      </w:r>
      <w:r w:rsidR="00F41014">
        <w:rPr>
          <w:rFonts w:asciiTheme="majorHAnsi" w:hAnsiTheme="majorHAnsi" w:cstheme="majorBidi" w:hint="cs"/>
          <w:b w:val="0"/>
          <w:bCs w:val="0"/>
          <w:color w:val="000000" w:themeColor="text1"/>
          <w:sz w:val="30"/>
          <w:szCs w:val="30"/>
          <w:rtl/>
        </w:rPr>
        <w:t xml:space="preserve"> </w:t>
      </w:r>
      <w:r w:rsidR="009C76B7" w:rsidRPr="006E2E06">
        <w:rPr>
          <w:rFonts w:asciiTheme="majorHAnsi" w:hAnsiTheme="majorHAnsi" w:cstheme="majorBidi"/>
          <w:b w:val="0"/>
          <w:bCs w:val="0"/>
          <w:color w:val="000000" w:themeColor="text1"/>
          <w:sz w:val="30"/>
          <w:szCs w:val="30"/>
        </w:rPr>
        <w:t>organismes financiers durant le deuxième semestre de</w:t>
      </w:r>
      <w:r w:rsidR="001E0903" w:rsidRPr="006E2E06">
        <w:rPr>
          <w:rFonts w:asciiTheme="majorHAnsi" w:hAnsiTheme="majorHAnsi" w:cstheme="majorBidi"/>
          <w:b w:val="0"/>
          <w:bCs w:val="0"/>
          <w:color w:val="000000" w:themeColor="text1"/>
          <w:sz w:val="30"/>
          <w:szCs w:val="30"/>
        </w:rPr>
        <w:t xml:space="preserve"> l’année</w:t>
      </w:r>
      <w:r w:rsidR="009C76B7" w:rsidRPr="006E2E06">
        <w:rPr>
          <w:rFonts w:asciiTheme="majorHAnsi" w:hAnsiTheme="majorHAnsi" w:cstheme="majorBidi"/>
          <w:b w:val="0"/>
          <w:bCs w:val="0"/>
          <w:color w:val="000000" w:themeColor="text1"/>
          <w:sz w:val="30"/>
          <w:szCs w:val="30"/>
        </w:rPr>
        <w:t xml:space="preserve"> 2018.</w:t>
      </w:r>
    </w:p>
    <w:p w:rsidR="00D516EE" w:rsidRPr="006E2E06" w:rsidRDefault="00D516EE" w:rsidP="00A941A5">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p>
    <w:p w:rsidR="009C76B7" w:rsidRPr="00B57F6E" w:rsidRDefault="00A941A5" w:rsidP="00CD41FA">
      <w:pPr>
        <w:tabs>
          <w:tab w:val="left" w:pos="284"/>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r w:rsidRPr="006E2E06">
        <w:rPr>
          <w:rFonts w:asciiTheme="majorHAnsi" w:hAnsiTheme="majorHAnsi" w:cstheme="majorBidi"/>
          <w:b w:val="0"/>
          <w:bCs w:val="0"/>
          <w:color w:val="000000" w:themeColor="text1"/>
          <w:sz w:val="30"/>
          <w:szCs w:val="30"/>
        </w:rPr>
        <w:tab/>
      </w:r>
      <w:r w:rsidR="009C76B7" w:rsidRPr="006E2E06">
        <w:rPr>
          <w:rFonts w:asciiTheme="majorHAnsi" w:hAnsiTheme="majorHAnsi" w:cstheme="majorBidi"/>
          <w:b w:val="0"/>
          <w:bCs w:val="0"/>
          <w:color w:val="000000" w:themeColor="text1"/>
          <w:sz w:val="30"/>
          <w:szCs w:val="30"/>
        </w:rPr>
        <w:t xml:space="preserve">Les perspectives économiques nationales de l’année 2019 établies dans ce budget </w:t>
      </w:r>
      <w:r w:rsidR="00583135" w:rsidRPr="006E2E06">
        <w:rPr>
          <w:rFonts w:asciiTheme="majorHAnsi" w:hAnsiTheme="majorHAnsi" w:cstheme="majorBidi"/>
          <w:b w:val="0"/>
          <w:bCs w:val="0"/>
          <w:color w:val="000000" w:themeColor="text1"/>
          <w:sz w:val="30"/>
          <w:szCs w:val="30"/>
        </w:rPr>
        <w:t>tiennent compte</w:t>
      </w:r>
      <w:r w:rsidR="00D43101">
        <w:rPr>
          <w:rFonts w:asciiTheme="majorHAnsi" w:hAnsiTheme="majorHAnsi" w:cstheme="majorBidi"/>
          <w:b w:val="0"/>
          <w:bCs w:val="0"/>
          <w:color w:val="000000" w:themeColor="text1"/>
          <w:sz w:val="30"/>
          <w:szCs w:val="30"/>
        </w:rPr>
        <w:t xml:space="preserve"> des hypothèses portant</w:t>
      </w:r>
      <w:r w:rsidR="009C76B7" w:rsidRPr="006E2E06">
        <w:rPr>
          <w:rFonts w:asciiTheme="majorHAnsi" w:hAnsiTheme="majorHAnsi" w:cstheme="majorBidi"/>
          <w:b w:val="0"/>
          <w:bCs w:val="0"/>
          <w:color w:val="000000" w:themeColor="text1"/>
          <w:sz w:val="30"/>
          <w:szCs w:val="30"/>
        </w:rPr>
        <w:t xml:space="preserve"> essentiellement sur l’évolution de la campagne agricole 2018-2019</w:t>
      </w:r>
      <w:r w:rsidR="00532163" w:rsidRPr="00B57F6E">
        <w:rPr>
          <w:rFonts w:asciiTheme="majorHAnsi" w:hAnsiTheme="majorHAnsi" w:cstheme="majorBidi"/>
          <w:b w:val="0"/>
          <w:bCs w:val="0"/>
          <w:color w:val="000000" w:themeColor="text1"/>
          <w:sz w:val="30"/>
          <w:szCs w:val="30"/>
        </w:rPr>
        <w:t xml:space="preserve"> et les nouvelles dispositions et mesures </w:t>
      </w:r>
      <w:r w:rsidR="009C76B7" w:rsidRPr="00B57F6E">
        <w:rPr>
          <w:rFonts w:asciiTheme="majorHAnsi" w:hAnsiTheme="majorHAnsi" w:cstheme="majorBidi"/>
          <w:b w:val="0"/>
          <w:bCs w:val="0"/>
          <w:color w:val="000000" w:themeColor="text1"/>
          <w:sz w:val="30"/>
          <w:szCs w:val="30"/>
        </w:rPr>
        <w:t>annoncées dans l</w:t>
      </w:r>
      <w:r w:rsidR="00CD41FA">
        <w:rPr>
          <w:rFonts w:asciiTheme="majorHAnsi" w:hAnsiTheme="majorHAnsi" w:cstheme="majorBidi"/>
          <w:b w:val="0"/>
          <w:bCs w:val="0"/>
          <w:color w:val="000000" w:themeColor="text1"/>
          <w:sz w:val="30"/>
          <w:szCs w:val="30"/>
        </w:rPr>
        <w:t>a</w:t>
      </w:r>
      <w:r w:rsidR="009C76B7" w:rsidRPr="00B57F6E">
        <w:rPr>
          <w:rFonts w:asciiTheme="majorHAnsi" w:hAnsiTheme="majorHAnsi" w:cstheme="majorBidi"/>
          <w:b w:val="0"/>
          <w:bCs w:val="0"/>
          <w:color w:val="000000" w:themeColor="text1"/>
          <w:sz w:val="30"/>
          <w:szCs w:val="30"/>
        </w:rPr>
        <w:t xml:space="preserve"> L</w:t>
      </w:r>
      <w:r w:rsidR="00D43101">
        <w:rPr>
          <w:rFonts w:asciiTheme="majorHAnsi" w:hAnsiTheme="majorHAnsi" w:cstheme="majorBidi"/>
          <w:b w:val="0"/>
          <w:bCs w:val="0"/>
          <w:color w:val="000000" w:themeColor="text1"/>
          <w:sz w:val="30"/>
          <w:szCs w:val="30"/>
        </w:rPr>
        <w:t>oi de</w:t>
      </w:r>
      <w:r w:rsidR="00532163" w:rsidRPr="00B57F6E">
        <w:rPr>
          <w:rFonts w:asciiTheme="majorHAnsi" w:hAnsiTheme="majorHAnsi" w:cstheme="majorBidi"/>
          <w:b w:val="0"/>
          <w:bCs w:val="0"/>
          <w:color w:val="000000" w:themeColor="text1"/>
          <w:sz w:val="30"/>
          <w:szCs w:val="30"/>
        </w:rPr>
        <w:t xml:space="preserve"> finances </w:t>
      </w:r>
      <w:r w:rsidR="009C76B7" w:rsidRPr="00B57F6E">
        <w:rPr>
          <w:rFonts w:asciiTheme="majorHAnsi" w:hAnsiTheme="majorHAnsi" w:cstheme="majorBidi"/>
          <w:b w:val="0"/>
          <w:bCs w:val="0"/>
          <w:color w:val="000000" w:themeColor="text1"/>
          <w:sz w:val="30"/>
          <w:szCs w:val="30"/>
        </w:rPr>
        <w:t>2019.</w:t>
      </w:r>
    </w:p>
    <w:p w:rsidR="009C76B7" w:rsidRPr="00B57F6E" w:rsidRDefault="009C76B7" w:rsidP="00A941A5">
      <w:pPr>
        <w:tabs>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p>
    <w:p w:rsidR="009C76B7" w:rsidRPr="00B57F6E" w:rsidRDefault="009C76B7" w:rsidP="00CD5BCE">
      <w:pPr>
        <w:tabs>
          <w:tab w:val="left" w:pos="993"/>
        </w:tabs>
        <w:spacing w:before="100" w:beforeAutospacing="1" w:after="100" w:afterAutospacing="1"/>
        <w:ind w:firstLine="284"/>
        <w:contextualSpacing/>
        <w:jc w:val="both"/>
        <w:rPr>
          <w:rFonts w:asciiTheme="majorHAnsi" w:hAnsiTheme="majorHAnsi" w:cstheme="majorBidi"/>
          <w:b w:val="0"/>
          <w:bCs w:val="0"/>
          <w:color w:val="000000" w:themeColor="text1"/>
          <w:sz w:val="30"/>
          <w:szCs w:val="30"/>
        </w:rPr>
      </w:pPr>
    </w:p>
    <w:p w:rsidR="009C76B7" w:rsidRPr="00B57F6E" w:rsidRDefault="009C76B7" w:rsidP="00CD5BCE">
      <w:pPr>
        <w:tabs>
          <w:tab w:val="left" w:pos="993"/>
        </w:tabs>
        <w:spacing w:before="100" w:beforeAutospacing="1" w:after="100" w:afterAutospacing="1"/>
        <w:ind w:firstLine="284"/>
        <w:contextualSpacing/>
        <w:jc w:val="both"/>
        <w:rPr>
          <w:rFonts w:asciiTheme="majorHAnsi" w:hAnsiTheme="majorHAnsi" w:cstheme="majorBidi"/>
          <w:b w:val="0"/>
          <w:bCs w:val="0"/>
          <w:color w:val="000000" w:themeColor="text1"/>
          <w:sz w:val="30"/>
          <w:szCs w:val="30"/>
        </w:rPr>
      </w:pPr>
    </w:p>
    <w:p w:rsidR="009C76B7" w:rsidRPr="00B57F6E" w:rsidRDefault="009C76B7" w:rsidP="00CD5BCE">
      <w:pPr>
        <w:tabs>
          <w:tab w:val="left" w:pos="993"/>
        </w:tabs>
        <w:spacing w:before="100" w:beforeAutospacing="1" w:after="100" w:afterAutospacing="1"/>
        <w:ind w:firstLine="284"/>
        <w:contextualSpacing/>
        <w:jc w:val="both"/>
        <w:rPr>
          <w:rFonts w:asciiTheme="majorHAnsi" w:hAnsiTheme="majorHAnsi" w:cstheme="majorBidi"/>
          <w:b w:val="0"/>
          <w:bCs w:val="0"/>
          <w:color w:val="000000" w:themeColor="text1"/>
          <w:sz w:val="30"/>
          <w:szCs w:val="30"/>
        </w:rPr>
      </w:pPr>
    </w:p>
    <w:p w:rsidR="009C76B7" w:rsidRPr="00B57F6E" w:rsidRDefault="009C76B7" w:rsidP="00CD5BCE">
      <w:pPr>
        <w:tabs>
          <w:tab w:val="left" w:pos="993"/>
        </w:tabs>
        <w:spacing w:before="100" w:beforeAutospacing="1" w:after="100" w:afterAutospacing="1"/>
        <w:ind w:firstLine="284"/>
        <w:contextualSpacing/>
        <w:jc w:val="both"/>
        <w:rPr>
          <w:rFonts w:asciiTheme="majorHAnsi" w:hAnsiTheme="majorHAnsi" w:cstheme="majorBidi"/>
          <w:b w:val="0"/>
          <w:bCs w:val="0"/>
          <w:color w:val="000000" w:themeColor="text1"/>
          <w:sz w:val="30"/>
          <w:szCs w:val="30"/>
        </w:rPr>
      </w:pPr>
    </w:p>
    <w:p w:rsidR="009C76B7" w:rsidRPr="00B57F6E" w:rsidRDefault="009C76B7" w:rsidP="00CD5BCE">
      <w:pPr>
        <w:tabs>
          <w:tab w:val="left" w:pos="993"/>
        </w:tabs>
        <w:spacing w:before="100" w:beforeAutospacing="1" w:after="100" w:afterAutospacing="1"/>
        <w:ind w:firstLine="284"/>
        <w:contextualSpacing/>
        <w:jc w:val="both"/>
        <w:rPr>
          <w:rFonts w:asciiTheme="majorHAnsi" w:hAnsiTheme="majorHAnsi" w:cstheme="majorBidi"/>
          <w:b w:val="0"/>
          <w:bCs w:val="0"/>
          <w:color w:val="000000" w:themeColor="text1"/>
          <w:sz w:val="30"/>
          <w:szCs w:val="30"/>
        </w:rPr>
      </w:pPr>
    </w:p>
    <w:p w:rsidR="009C76B7" w:rsidRPr="00B57F6E" w:rsidRDefault="009C76B7" w:rsidP="00CD5BCE">
      <w:pPr>
        <w:pStyle w:val="Titre"/>
        <w:tabs>
          <w:tab w:val="left" w:pos="993"/>
        </w:tabs>
        <w:spacing w:before="100" w:beforeAutospacing="1" w:after="100" w:afterAutospacing="1"/>
        <w:ind w:firstLine="284"/>
        <w:contextualSpacing/>
        <w:jc w:val="both"/>
        <w:rPr>
          <w:rFonts w:asciiTheme="majorHAnsi" w:hAnsiTheme="majorHAnsi"/>
          <w:caps/>
          <w:shadow/>
          <w:color w:val="000000" w:themeColor="text1"/>
          <w:kern w:val="16"/>
          <w:sz w:val="30"/>
          <w:szCs w:val="30"/>
          <w:u w:val="single"/>
        </w:rPr>
      </w:pPr>
    </w:p>
    <w:p w:rsidR="009C76B7" w:rsidRPr="00B57F6E" w:rsidRDefault="009C76B7" w:rsidP="00CD5BCE">
      <w:pPr>
        <w:widowControl w:val="0"/>
        <w:adjustRightInd w:val="0"/>
        <w:spacing w:before="100" w:beforeAutospacing="1" w:after="100" w:afterAutospacing="1"/>
        <w:ind w:firstLine="284"/>
        <w:contextualSpacing/>
        <w:jc w:val="both"/>
        <w:rPr>
          <w:rFonts w:asciiTheme="majorHAnsi" w:hAnsiTheme="majorHAnsi" w:cstheme="majorBidi"/>
          <w:b w:val="0"/>
          <w:bCs w:val="0"/>
          <w:color w:val="000000" w:themeColor="text1"/>
          <w:sz w:val="30"/>
          <w:szCs w:val="30"/>
        </w:rPr>
      </w:pPr>
    </w:p>
    <w:p w:rsidR="00CD5BCE" w:rsidRPr="00B57F6E" w:rsidRDefault="00CD5BCE" w:rsidP="00CD5BCE">
      <w:pPr>
        <w:widowControl w:val="0"/>
        <w:adjustRightInd w:val="0"/>
        <w:spacing w:before="100" w:beforeAutospacing="1" w:after="100" w:afterAutospacing="1"/>
        <w:ind w:firstLine="284"/>
        <w:contextualSpacing/>
        <w:jc w:val="both"/>
        <w:rPr>
          <w:rFonts w:asciiTheme="majorHAnsi" w:hAnsiTheme="majorHAnsi" w:cstheme="majorBidi"/>
          <w:b w:val="0"/>
          <w:bCs w:val="0"/>
          <w:color w:val="000000" w:themeColor="text1"/>
          <w:sz w:val="30"/>
          <w:szCs w:val="30"/>
        </w:rPr>
      </w:pPr>
    </w:p>
    <w:p w:rsidR="00CD5BCE" w:rsidRPr="00B57F6E" w:rsidRDefault="00CD5BCE" w:rsidP="00CD5BCE">
      <w:pPr>
        <w:widowControl w:val="0"/>
        <w:adjustRightInd w:val="0"/>
        <w:spacing w:before="100" w:beforeAutospacing="1" w:after="100" w:afterAutospacing="1"/>
        <w:ind w:firstLine="284"/>
        <w:contextualSpacing/>
        <w:jc w:val="both"/>
        <w:rPr>
          <w:rFonts w:asciiTheme="majorHAnsi" w:hAnsiTheme="majorHAnsi" w:cstheme="majorBidi"/>
          <w:b w:val="0"/>
          <w:bCs w:val="0"/>
          <w:color w:val="000000" w:themeColor="text1"/>
          <w:sz w:val="30"/>
          <w:szCs w:val="30"/>
        </w:rPr>
      </w:pPr>
    </w:p>
    <w:p w:rsidR="00CD5BCE" w:rsidRPr="00B57F6E" w:rsidRDefault="00CD5BCE" w:rsidP="00CD5BCE">
      <w:pPr>
        <w:widowControl w:val="0"/>
        <w:adjustRightInd w:val="0"/>
        <w:spacing w:before="100" w:beforeAutospacing="1" w:after="100" w:afterAutospacing="1"/>
        <w:ind w:firstLine="284"/>
        <w:contextualSpacing/>
        <w:jc w:val="both"/>
        <w:rPr>
          <w:rFonts w:asciiTheme="majorHAnsi" w:hAnsiTheme="majorHAnsi" w:cstheme="majorBidi"/>
          <w:b w:val="0"/>
          <w:bCs w:val="0"/>
          <w:color w:val="000000" w:themeColor="text1"/>
          <w:sz w:val="30"/>
          <w:szCs w:val="30"/>
        </w:rPr>
      </w:pPr>
    </w:p>
    <w:p w:rsidR="002037FA" w:rsidRPr="00B57F6E" w:rsidRDefault="002037FA" w:rsidP="00CD5BCE">
      <w:pPr>
        <w:pStyle w:val="Titre"/>
        <w:tabs>
          <w:tab w:val="left" w:pos="142"/>
          <w:tab w:val="left" w:pos="284"/>
        </w:tabs>
        <w:spacing w:before="100" w:beforeAutospacing="1" w:after="100" w:afterAutospacing="1"/>
        <w:ind w:firstLine="284"/>
        <w:contextualSpacing/>
        <w:jc w:val="both"/>
        <w:rPr>
          <w:rFonts w:asciiTheme="majorHAnsi" w:hAnsiTheme="majorHAnsi"/>
          <w:b w:val="0"/>
          <w:bCs w:val="0"/>
          <w:color w:val="000000" w:themeColor="text1"/>
          <w:sz w:val="30"/>
          <w:szCs w:val="30"/>
        </w:rPr>
      </w:pPr>
    </w:p>
    <w:p w:rsidR="00BE72BB" w:rsidRDefault="00BE72BB" w:rsidP="00CD5BCE">
      <w:pPr>
        <w:pStyle w:val="Titre"/>
        <w:tabs>
          <w:tab w:val="left" w:pos="142"/>
          <w:tab w:val="left" w:pos="284"/>
        </w:tabs>
        <w:spacing w:before="100" w:beforeAutospacing="1" w:after="100" w:afterAutospacing="1"/>
        <w:ind w:firstLine="284"/>
        <w:contextualSpacing/>
        <w:rPr>
          <w:rFonts w:asciiTheme="majorHAnsi" w:hAnsiTheme="majorHAnsi"/>
          <w:color w:val="000000" w:themeColor="text1"/>
          <w:sz w:val="30"/>
          <w:szCs w:val="30"/>
          <w:u w:val="single"/>
        </w:rPr>
      </w:pPr>
    </w:p>
    <w:p w:rsidR="001F6107" w:rsidRPr="00B57F6E" w:rsidRDefault="001F6107" w:rsidP="00CD5BCE">
      <w:pPr>
        <w:pStyle w:val="Titre"/>
        <w:tabs>
          <w:tab w:val="left" w:pos="142"/>
          <w:tab w:val="left" w:pos="284"/>
        </w:tabs>
        <w:spacing w:before="100" w:beforeAutospacing="1" w:after="100" w:afterAutospacing="1"/>
        <w:ind w:firstLine="284"/>
        <w:contextualSpacing/>
        <w:rPr>
          <w:rFonts w:asciiTheme="majorHAnsi" w:hAnsiTheme="majorHAnsi"/>
          <w:color w:val="000000" w:themeColor="text1"/>
          <w:sz w:val="30"/>
          <w:szCs w:val="30"/>
          <w:u w:val="single"/>
        </w:rPr>
      </w:pPr>
    </w:p>
    <w:p w:rsidR="00532163" w:rsidRPr="00B57F6E" w:rsidRDefault="00532163" w:rsidP="00CD5BCE">
      <w:pPr>
        <w:pStyle w:val="Titre"/>
        <w:tabs>
          <w:tab w:val="left" w:pos="993"/>
        </w:tabs>
        <w:spacing w:before="100" w:beforeAutospacing="1" w:after="100" w:afterAutospacing="1"/>
        <w:ind w:left="-142"/>
        <w:contextualSpacing/>
        <w:rPr>
          <w:rFonts w:asciiTheme="majorHAnsi" w:hAnsiTheme="majorHAnsi"/>
          <w:caps/>
          <w:shadow/>
          <w:color w:val="000000" w:themeColor="text1"/>
          <w:kern w:val="16"/>
          <w:sz w:val="30"/>
          <w:szCs w:val="30"/>
          <w:u w:val="single"/>
        </w:rPr>
      </w:pPr>
    </w:p>
    <w:p w:rsidR="00532163" w:rsidRDefault="00532163" w:rsidP="00CD5BCE">
      <w:pPr>
        <w:pStyle w:val="Titre"/>
        <w:tabs>
          <w:tab w:val="left" w:pos="993"/>
        </w:tabs>
        <w:spacing w:before="100" w:beforeAutospacing="1" w:after="100" w:afterAutospacing="1"/>
        <w:ind w:left="-142"/>
        <w:contextualSpacing/>
        <w:rPr>
          <w:rFonts w:asciiTheme="majorHAnsi" w:hAnsiTheme="majorHAnsi"/>
          <w:caps/>
          <w:shadow/>
          <w:color w:val="000000" w:themeColor="text1"/>
          <w:kern w:val="16"/>
          <w:sz w:val="30"/>
          <w:szCs w:val="30"/>
          <w:u w:val="single"/>
        </w:rPr>
      </w:pPr>
    </w:p>
    <w:p w:rsidR="006804BD" w:rsidRDefault="006804BD" w:rsidP="00CD5BCE">
      <w:pPr>
        <w:pStyle w:val="Titre"/>
        <w:tabs>
          <w:tab w:val="left" w:pos="993"/>
        </w:tabs>
        <w:spacing w:before="100" w:beforeAutospacing="1" w:after="100" w:afterAutospacing="1"/>
        <w:ind w:left="-142"/>
        <w:contextualSpacing/>
        <w:rPr>
          <w:rFonts w:asciiTheme="majorHAnsi" w:hAnsiTheme="majorHAnsi"/>
          <w:caps/>
          <w:shadow/>
          <w:color w:val="000000" w:themeColor="text1"/>
          <w:kern w:val="16"/>
          <w:sz w:val="30"/>
          <w:szCs w:val="30"/>
          <w:u w:val="single"/>
        </w:rPr>
      </w:pPr>
    </w:p>
    <w:p w:rsidR="008B1DED" w:rsidRDefault="008B1DED" w:rsidP="00CD5BCE">
      <w:pPr>
        <w:pStyle w:val="Titre"/>
        <w:tabs>
          <w:tab w:val="left" w:pos="993"/>
        </w:tabs>
        <w:spacing w:before="100" w:beforeAutospacing="1" w:after="100" w:afterAutospacing="1"/>
        <w:ind w:left="-142"/>
        <w:contextualSpacing/>
        <w:rPr>
          <w:rFonts w:asciiTheme="majorHAnsi" w:hAnsiTheme="majorHAnsi"/>
          <w:caps/>
          <w:shadow/>
          <w:color w:val="000000" w:themeColor="text1"/>
          <w:kern w:val="16"/>
          <w:sz w:val="30"/>
          <w:szCs w:val="30"/>
          <w:u w:val="single"/>
        </w:rPr>
      </w:pPr>
    </w:p>
    <w:p w:rsidR="008B1DED" w:rsidRPr="00B57F6E" w:rsidRDefault="008B1DED" w:rsidP="00CD5BCE">
      <w:pPr>
        <w:pStyle w:val="Titre"/>
        <w:tabs>
          <w:tab w:val="left" w:pos="993"/>
        </w:tabs>
        <w:spacing w:before="100" w:beforeAutospacing="1" w:after="100" w:afterAutospacing="1"/>
        <w:ind w:left="-142"/>
        <w:contextualSpacing/>
        <w:rPr>
          <w:rFonts w:asciiTheme="majorHAnsi" w:hAnsiTheme="majorHAnsi"/>
          <w:caps/>
          <w:shadow/>
          <w:color w:val="000000" w:themeColor="text1"/>
          <w:kern w:val="16"/>
          <w:sz w:val="30"/>
          <w:szCs w:val="30"/>
          <w:u w:val="single"/>
        </w:rPr>
      </w:pPr>
    </w:p>
    <w:p w:rsidR="002037FA" w:rsidRDefault="00594ADD" w:rsidP="00CD5BCE">
      <w:pPr>
        <w:pStyle w:val="Titre"/>
        <w:tabs>
          <w:tab w:val="left" w:pos="993"/>
        </w:tabs>
        <w:spacing w:before="100" w:beforeAutospacing="1" w:after="100" w:afterAutospacing="1"/>
        <w:ind w:left="-142"/>
        <w:contextualSpacing/>
        <w:rPr>
          <w:rFonts w:asciiTheme="majorHAnsi" w:hAnsiTheme="majorHAnsi"/>
          <w:caps/>
          <w:shadow/>
          <w:color w:val="0070C0"/>
          <w:kern w:val="16"/>
          <w:sz w:val="30"/>
          <w:szCs w:val="30"/>
          <w:u w:val="single"/>
        </w:rPr>
      </w:pPr>
      <w:r w:rsidRPr="00BF3219">
        <w:rPr>
          <w:rFonts w:asciiTheme="majorHAnsi" w:hAnsiTheme="majorHAnsi"/>
          <w:caps/>
          <w:shadow/>
          <w:color w:val="0070C0"/>
          <w:kern w:val="16"/>
          <w:sz w:val="30"/>
          <w:szCs w:val="30"/>
          <w:u w:val="single"/>
        </w:rPr>
        <w:t>Principaux indicateurs macroéconomiques en 2018 et 2019</w:t>
      </w:r>
    </w:p>
    <w:p w:rsidR="008B1DED" w:rsidRDefault="008B1DED" w:rsidP="00CD5BCE">
      <w:pPr>
        <w:pStyle w:val="Titre"/>
        <w:tabs>
          <w:tab w:val="left" w:pos="993"/>
        </w:tabs>
        <w:spacing w:before="100" w:beforeAutospacing="1" w:after="100" w:afterAutospacing="1"/>
        <w:ind w:left="-142"/>
        <w:contextualSpacing/>
        <w:rPr>
          <w:rFonts w:asciiTheme="majorHAnsi" w:hAnsiTheme="majorHAnsi"/>
          <w:caps/>
          <w:shadow/>
          <w:color w:val="0070C0"/>
          <w:kern w:val="16"/>
          <w:sz w:val="30"/>
          <w:szCs w:val="30"/>
          <w:u w:val="single"/>
        </w:rPr>
      </w:pPr>
    </w:p>
    <w:p w:rsidR="009A2F20" w:rsidRPr="00BF3219" w:rsidRDefault="009A2F20" w:rsidP="00CD5BCE">
      <w:pPr>
        <w:pStyle w:val="Titre"/>
        <w:tabs>
          <w:tab w:val="left" w:pos="993"/>
        </w:tabs>
        <w:spacing w:before="100" w:beforeAutospacing="1" w:after="100" w:afterAutospacing="1"/>
        <w:ind w:left="-142"/>
        <w:contextualSpacing/>
        <w:rPr>
          <w:rFonts w:asciiTheme="majorHAnsi" w:hAnsiTheme="majorHAnsi"/>
          <w:caps/>
          <w:shadow/>
          <w:color w:val="0070C0"/>
          <w:kern w:val="16"/>
          <w:sz w:val="30"/>
          <w:szCs w:val="30"/>
          <w:u w:val="single"/>
        </w:rPr>
      </w:pPr>
    </w:p>
    <w:p w:rsidR="006A2049" w:rsidRDefault="006A2049" w:rsidP="006A2049">
      <w:pPr>
        <w:pStyle w:val="Titre"/>
        <w:numPr>
          <w:ilvl w:val="0"/>
          <w:numId w:val="1"/>
        </w:numPr>
        <w:tabs>
          <w:tab w:val="left" w:pos="142"/>
          <w:tab w:val="left" w:pos="284"/>
          <w:tab w:val="left" w:pos="426"/>
        </w:tabs>
        <w:spacing w:before="100" w:beforeAutospacing="1" w:after="100" w:afterAutospacing="1" w:line="312" w:lineRule="auto"/>
        <w:ind w:left="0" w:firstLine="0"/>
        <w:contextualSpacing/>
        <w:jc w:val="both"/>
        <w:rPr>
          <w:rFonts w:asciiTheme="majorHAnsi" w:hAnsiTheme="majorHAnsi" w:cs="Calibri"/>
          <w:b w:val="0"/>
          <w:bCs w:val="0"/>
          <w:color w:val="000000" w:themeColor="text1"/>
          <w:sz w:val="29"/>
          <w:szCs w:val="29"/>
        </w:rPr>
      </w:pPr>
      <w:r>
        <w:rPr>
          <w:rFonts w:asciiTheme="majorHAnsi" w:hAnsiTheme="majorHAnsi" w:cs="Calibri"/>
          <w:color w:val="000000" w:themeColor="text1"/>
          <w:sz w:val="29"/>
          <w:szCs w:val="29"/>
        </w:rPr>
        <w:t>C</w:t>
      </w:r>
      <w:r w:rsidRPr="00B57F6E">
        <w:rPr>
          <w:rFonts w:asciiTheme="majorHAnsi" w:hAnsiTheme="majorHAnsi" w:cs="Calibri"/>
          <w:color w:val="000000" w:themeColor="text1"/>
          <w:sz w:val="29"/>
          <w:szCs w:val="29"/>
        </w:rPr>
        <w:t>roissance économique</w:t>
      </w:r>
      <w:r w:rsidRPr="00B57F6E">
        <w:rPr>
          <w:rFonts w:asciiTheme="majorHAnsi" w:hAnsiTheme="majorHAnsi" w:cs="Calibri"/>
          <w:b w:val="0"/>
          <w:bCs w:val="0"/>
          <w:color w:val="000000" w:themeColor="text1"/>
          <w:sz w:val="29"/>
          <w:szCs w:val="29"/>
        </w:rPr>
        <w:t xml:space="preserve"> </w:t>
      </w:r>
      <w:r>
        <w:rPr>
          <w:rFonts w:asciiTheme="majorHAnsi" w:hAnsiTheme="majorHAnsi" w:cs="Calibri"/>
          <w:b w:val="0"/>
          <w:bCs w:val="0"/>
          <w:color w:val="000000" w:themeColor="text1"/>
          <w:sz w:val="29"/>
          <w:szCs w:val="29"/>
        </w:rPr>
        <w:t xml:space="preserve">nationale prévue à </w:t>
      </w:r>
      <w:r w:rsidRPr="001C42D0">
        <w:rPr>
          <w:rFonts w:asciiTheme="majorHAnsi" w:hAnsiTheme="majorHAnsi" w:cs="Calibri"/>
          <w:color w:val="000000" w:themeColor="text1"/>
          <w:sz w:val="29"/>
          <w:szCs w:val="29"/>
        </w:rPr>
        <w:t>2,9%</w:t>
      </w:r>
      <w:r w:rsidRPr="00B57F6E">
        <w:rPr>
          <w:rFonts w:asciiTheme="majorHAnsi" w:hAnsiTheme="majorHAnsi" w:cs="Calibri"/>
          <w:b w:val="0"/>
          <w:bCs w:val="0"/>
          <w:color w:val="000000" w:themeColor="text1"/>
          <w:sz w:val="29"/>
          <w:szCs w:val="29"/>
        </w:rPr>
        <w:t xml:space="preserve"> en 2019 </w:t>
      </w:r>
      <w:r>
        <w:rPr>
          <w:rFonts w:asciiTheme="majorHAnsi" w:hAnsiTheme="majorHAnsi" w:cs="Calibri"/>
          <w:b w:val="0"/>
          <w:bCs w:val="0"/>
          <w:color w:val="000000" w:themeColor="text1"/>
          <w:sz w:val="29"/>
          <w:szCs w:val="29"/>
        </w:rPr>
        <w:t>après</w:t>
      </w:r>
      <w:r w:rsidRPr="00B57F6E">
        <w:rPr>
          <w:rFonts w:asciiTheme="majorHAnsi" w:hAnsiTheme="majorHAnsi" w:cs="Calibri"/>
          <w:b w:val="0"/>
          <w:bCs w:val="0"/>
          <w:color w:val="000000" w:themeColor="text1"/>
          <w:sz w:val="29"/>
          <w:szCs w:val="29"/>
        </w:rPr>
        <w:t xml:space="preserve"> </w:t>
      </w:r>
      <w:r w:rsidRPr="001C42D0">
        <w:rPr>
          <w:rFonts w:asciiTheme="majorHAnsi" w:hAnsiTheme="majorHAnsi" w:cs="Calibri"/>
          <w:color w:val="000000" w:themeColor="text1"/>
          <w:sz w:val="29"/>
          <w:szCs w:val="29"/>
        </w:rPr>
        <w:t>3%</w:t>
      </w:r>
      <w:r w:rsidRPr="00B57F6E">
        <w:rPr>
          <w:rFonts w:asciiTheme="majorHAnsi" w:hAnsiTheme="majorHAnsi" w:cs="Calibri"/>
          <w:b w:val="0"/>
          <w:bCs w:val="0"/>
          <w:color w:val="000000" w:themeColor="text1"/>
          <w:sz w:val="29"/>
          <w:szCs w:val="29"/>
        </w:rPr>
        <w:t xml:space="preserve"> en 2018 et </w:t>
      </w:r>
      <w:r w:rsidRPr="001C42D0">
        <w:rPr>
          <w:rFonts w:asciiTheme="majorHAnsi" w:hAnsiTheme="majorHAnsi" w:cs="Calibri"/>
          <w:color w:val="000000" w:themeColor="text1"/>
          <w:sz w:val="29"/>
          <w:szCs w:val="29"/>
        </w:rPr>
        <w:t>4,1%</w:t>
      </w:r>
      <w:r w:rsidRPr="00B57F6E">
        <w:rPr>
          <w:rFonts w:asciiTheme="majorHAnsi" w:hAnsiTheme="majorHAnsi" w:cs="Calibri"/>
          <w:b w:val="0"/>
          <w:bCs w:val="0"/>
          <w:color w:val="000000" w:themeColor="text1"/>
          <w:sz w:val="29"/>
          <w:szCs w:val="29"/>
        </w:rPr>
        <w:t xml:space="preserve"> en 2017;</w:t>
      </w:r>
    </w:p>
    <w:p w:rsidR="006A2049" w:rsidRPr="00B57F6E" w:rsidRDefault="006A2049" w:rsidP="009D4643">
      <w:pPr>
        <w:pStyle w:val="Titre"/>
        <w:numPr>
          <w:ilvl w:val="0"/>
          <w:numId w:val="1"/>
        </w:numPr>
        <w:tabs>
          <w:tab w:val="left" w:pos="142"/>
          <w:tab w:val="left" w:pos="284"/>
          <w:tab w:val="left" w:pos="426"/>
        </w:tabs>
        <w:spacing w:before="100" w:beforeAutospacing="1" w:after="100" w:afterAutospacing="1" w:line="312" w:lineRule="auto"/>
        <w:ind w:left="0" w:firstLine="0"/>
        <w:contextualSpacing/>
        <w:jc w:val="both"/>
        <w:rPr>
          <w:rFonts w:asciiTheme="majorHAnsi" w:hAnsiTheme="majorHAnsi" w:cs="Calibri"/>
          <w:b w:val="0"/>
          <w:bCs w:val="0"/>
          <w:color w:val="000000" w:themeColor="text1"/>
          <w:sz w:val="29"/>
          <w:szCs w:val="29"/>
        </w:rPr>
      </w:pPr>
      <w:r>
        <w:rPr>
          <w:rFonts w:asciiTheme="majorHAnsi" w:hAnsiTheme="majorHAnsi" w:cs="Calibri"/>
          <w:b w:val="0"/>
          <w:bCs w:val="0"/>
          <w:color w:val="000000" w:themeColor="text1"/>
          <w:sz w:val="29"/>
          <w:szCs w:val="29"/>
        </w:rPr>
        <w:t>R</w:t>
      </w:r>
      <w:r w:rsidRPr="00B57F6E">
        <w:rPr>
          <w:rFonts w:asciiTheme="majorHAnsi" w:hAnsiTheme="majorHAnsi" w:cs="Calibri"/>
          <w:b w:val="0"/>
          <w:bCs w:val="0"/>
          <w:color w:val="000000" w:themeColor="text1"/>
          <w:sz w:val="29"/>
          <w:szCs w:val="29"/>
        </w:rPr>
        <w:t xml:space="preserve">ythme </w:t>
      </w:r>
      <w:r>
        <w:rPr>
          <w:rFonts w:asciiTheme="majorHAnsi" w:hAnsiTheme="majorHAnsi" w:cs="Calibri"/>
          <w:b w:val="0"/>
          <w:bCs w:val="0"/>
          <w:color w:val="000000" w:themeColor="text1"/>
          <w:sz w:val="29"/>
          <w:szCs w:val="29"/>
        </w:rPr>
        <w:t xml:space="preserve">modéré </w:t>
      </w:r>
      <w:r w:rsidRPr="00B57F6E">
        <w:rPr>
          <w:rFonts w:asciiTheme="majorHAnsi" w:hAnsiTheme="majorHAnsi" w:cs="Calibri"/>
          <w:b w:val="0"/>
          <w:bCs w:val="0"/>
          <w:color w:val="000000" w:themeColor="text1"/>
          <w:sz w:val="29"/>
          <w:szCs w:val="29"/>
        </w:rPr>
        <w:t xml:space="preserve">de croissance des </w:t>
      </w:r>
      <w:r w:rsidRPr="00B57F6E">
        <w:rPr>
          <w:rFonts w:asciiTheme="majorHAnsi" w:hAnsiTheme="majorHAnsi" w:cs="Calibri"/>
          <w:color w:val="000000" w:themeColor="text1"/>
          <w:sz w:val="29"/>
          <w:szCs w:val="29"/>
        </w:rPr>
        <w:t>activités non agricoles</w:t>
      </w:r>
      <w:r w:rsidRPr="00B57F6E">
        <w:rPr>
          <w:rFonts w:asciiTheme="majorHAnsi" w:hAnsiTheme="majorHAnsi" w:cs="Calibri"/>
          <w:b w:val="0"/>
          <w:bCs w:val="0"/>
          <w:color w:val="000000" w:themeColor="text1"/>
          <w:sz w:val="29"/>
          <w:szCs w:val="29"/>
        </w:rPr>
        <w:t xml:space="preserve">, passant de </w:t>
      </w:r>
      <w:r w:rsidRPr="001C42D0">
        <w:rPr>
          <w:rFonts w:asciiTheme="majorHAnsi" w:hAnsiTheme="majorHAnsi" w:cs="Calibri"/>
          <w:color w:val="000000" w:themeColor="text1"/>
          <w:sz w:val="29"/>
          <w:szCs w:val="29"/>
        </w:rPr>
        <w:t>2,8%</w:t>
      </w:r>
      <w:r w:rsidRPr="00B57F6E">
        <w:rPr>
          <w:rFonts w:asciiTheme="majorHAnsi" w:hAnsiTheme="majorHAnsi" w:cs="Calibri"/>
          <w:b w:val="0"/>
          <w:bCs w:val="0"/>
          <w:color w:val="000000" w:themeColor="text1"/>
          <w:sz w:val="29"/>
          <w:szCs w:val="29"/>
        </w:rPr>
        <w:t xml:space="preserve"> en 2017 à </w:t>
      </w:r>
      <w:r w:rsidR="009D4643">
        <w:rPr>
          <w:rFonts w:asciiTheme="majorHAnsi" w:hAnsiTheme="majorHAnsi" w:cs="Calibri"/>
          <w:color w:val="000000" w:themeColor="text1"/>
          <w:sz w:val="29"/>
          <w:szCs w:val="29"/>
        </w:rPr>
        <w:t>2,9</w:t>
      </w:r>
      <w:r w:rsidRPr="001C42D0">
        <w:rPr>
          <w:rFonts w:asciiTheme="majorHAnsi" w:hAnsiTheme="majorHAnsi" w:cs="Calibri"/>
          <w:color w:val="000000" w:themeColor="text1"/>
          <w:sz w:val="29"/>
          <w:szCs w:val="29"/>
        </w:rPr>
        <w:t>%</w:t>
      </w:r>
      <w:r w:rsidRPr="00B57F6E">
        <w:rPr>
          <w:rFonts w:asciiTheme="majorHAnsi" w:hAnsiTheme="majorHAnsi" w:cs="Calibri"/>
          <w:b w:val="0"/>
          <w:bCs w:val="0"/>
          <w:color w:val="000000" w:themeColor="text1"/>
          <w:sz w:val="29"/>
          <w:szCs w:val="29"/>
        </w:rPr>
        <w:t xml:space="preserve"> en 2018 et à </w:t>
      </w:r>
      <w:r w:rsidRPr="001C42D0">
        <w:rPr>
          <w:rFonts w:asciiTheme="majorHAnsi" w:hAnsiTheme="majorHAnsi" w:cs="Calibri"/>
          <w:color w:val="000000" w:themeColor="text1"/>
          <w:sz w:val="29"/>
          <w:szCs w:val="29"/>
        </w:rPr>
        <w:t>3,1%</w:t>
      </w:r>
      <w:r w:rsidRPr="00B57F6E">
        <w:rPr>
          <w:rFonts w:asciiTheme="majorHAnsi" w:hAnsiTheme="majorHAnsi" w:cs="Calibri"/>
          <w:b w:val="0"/>
          <w:bCs w:val="0"/>
          <w:color w:val="000000" w:themeColor="text1"/>
          <w:sz w:val="29"/>
          <w:szCs w:val="29"/>
        </w:rPr>
        <w:t xml:space="preserve"> en 2019;</w:t>
      </w:r>
    </w:p>
    <w:p w:rsidR="006A2049" w:rsidRPr="00B57F6E" w:rsidRDefault="006A2049" w:rsidP="006A2049">
      <w:pPr>
        <w:pStyle w:val="Titre"/>
        <w:numPr>
          <w:ilvl w:val="0"/>
          <w:numId w:val="1"/>
        </w:numPr>
        <w:tabs>
          <w:tab w:val="left" w:pos="142"/>
          <w:tab w:val="left" w:pos="284"/>
          <w:tab w:val="left" w:pos="426"/>
        </w:tabs>
        <w:spacing w:before="100" w:beforeAutospacing="1" w:after="100" w:afterAutospacing="1" w:line="312" w:lineRule="auto"/>
        <w:ind w:left="0" w:firstLine="0"/>
        <w:contextualSpacing/>
        <w:jc w:val="both"/>
        <w:rPr>
          <w:rFonts w:asciiTheme="majorHAnsi" w:hAnsiTheme="majorHAnsi" w:cs="Calibri"/>
          <w:b w:val="0"/>
          <w:bCs w:val="0"/>
          <w:color w:val="000000" w:themeColor="text1"/>
          <w:sz w:val="29"/>
          <w:szCs w:val="29"/>
        </w:rPr>
      </w:pPr>
      <w:r>
        <w:rPr>
          <w:rFonts w:asciiTheme="majorHAnsi" w:hAnsiTheme="majorHAnsi" w:cs="Calibri"/>
          <w:b w:val="0"/>
          <w:bCs w:val="0"/>
          <w:color w:val="000000" w:themeColor="text1"/>
          <w:sz w:val="29"/>
          <w:szCs w:val="29"/>
        </w:rPr>
        <w:t xml:space="preserve">Repli </w:t>
      </w:r>
      <w:r w:rsidRPr="00B57F6E">
        <w:rPr>
          <w:rFonts w:asciiTheme="majorHAnsi" w:hAnsiTheme="majorHAnsi" w:cs="Calibri"/>
          <w:b w:val="0"/>
          <w:bCs w:val="0"/>
          <w:color w:val="000000" w:themeColor="text1"/>
          <w:sz w:val="29"/>
          <w:szCs w:val="29"/>
        </w:rPr>
        <w:t xml:space="preserve">du rythme d’accroissement de </w:t>
      </w:r>
      <w:r w:rsidRPr="00B57F6E">
        <w:rPr>
          <w:rFonts w:asciiTheme="majorHAnsi" w:hAnsiTheme="majorHAnsi" w:cs="Calibri"/>
          <w:color w:val="000000" w:themeColor="text1"/>
          <w:sz w:val="29"/>
          <w:szCs w:val="29"/>
        </w:rPr>
        <w:t xml:space="preserve">la valeur ajoutée </w:t>
      </w:r>
      <w:r>
        <w:rPr>
          <w:rFonts w:asciiTheme="majorHAnsi" w:hAnsiTheme="majorHAnsi" w:cs="Calibri"/>
          <w:color w:val="000000" w:themeColor="text1"/>
          <w:sz w:val="29"/>
          <w:szCs w:val="29"/>
        </w:rPr>
        <w:t>primaire</w:t>
      </w:r>
      <w:r w:rsidRPr="00B57F6E">
        <w:rPr>
          <w:rFonts w:asciiTheme="majorHAnsi" w:hAnsiTheme="majorHAnsi" w:cs="Calibri"/>
          <w:b w:val="0"/>
          <w:bCs w:val="0"/>
          <w:color w:val="000000" w:themeColor="text1"/>
          <w:sz w:val="29"/>
          <w:szCs w:val="29"/>
        </w:rPr>
        <w:t xml:space="preserve"> à 0,</w:t>
      </w:r>
      <w:r>
        <w:rPr>
          <w:rFonts w:asciiTheme="majorHAnsi" w:hAnsiTheme="majorHAnsi" w:cs="Calibri"/>
          <w:b w:val="0"/>
          <w:bCs w:val="0"/>
          <w:color w:val="000000" w:themeColor="text1"/>
          <w:sz w:val="29"/>
          <w:szCs w:val="29"/>
        </w:rPr>
        <w:t>1</w:t>
      </w:r>
      <w:r w:rsidRPr="00B57F6E">
        <w:rPr>
          <w:rFonts w:asciiTheme="majorHAnsi" w:hAnsiTheme="majorHAnsi" w:cs="Calibri"/>
          <w:b w:val="0"/>
          <w:bCs w:val="0"/>
          <w:color w:val="000000" w:themeColor="text1"/>
          <w:sz w:val="29"/>
          <w:szCs w:val="29"/>
        </w:rPr>
        <w:t>% en 2019 au lieu de 3,8% en 2018 et 13,2% en 2017;</w:t>
      </w:r>
    </w:p>
    <w:p w:rsidR="006A2049" w:rsidRPr="00B57F6E" w:rsidRDefault="006A2049" w:rsidP="006A2049">
      <w:pPr>
        <w:pStyle w:val="Titre"/>
        <w:numPr>
          <w:ilvl w:val="0"/>
          <w:numId w:val="1"/>
        </w:numPr>
        <w:tabs>
          <w:tab w:val="left" w:pos="142"/>
          <w:tab w:val="left" w:pos="284"/>
          <w:tab w:val="left" w:pos="426"/>
        </w:tabs>
        <w:spacing w:before="100" w:beforeAutospacing="1" w:after="100" w:afterAutospacing="1" w:line="312" w:lineRule="auto"/>
        <w:ind w:left="0" w:firstLine="0"/>
        <w:contextualSpacing/>
        <w:jc w:val="both"/>
        <w:rPr>
          <w:rFonts w:asciiTheme="majorHAnsi" w:hAnsiTheme="majorHAnsi" w:cs="Calibri"/>
          <w:b w:val="0"/>
          <w:bCs w:val="0"/>
          <w:color w:val="000000" w:themeColor="text1"/>
          <w:sz w:val="29"/>
          <w:szCs w:val="29"/>
        </w:rPr>
      </w:pPr>
      <w:r>
        <w:rPr>
          <w:rFonts w:asciiTheme="majorHAnsi" w:hAnsiTheme="majorHAnsi" w:cs="Calibri"/>
          <w:b w:val="0"/>
          <w:bCs w:val="0"/>
          <w:color w:val="000000" w:themeColor="text1"/>
          <w:sz w:val="29"/>
          <w:szCs w:val="29"/>
        </w:rPr>
        <w:t>Légère h</w:t>
      </w:r>
      <w:r w:rsidRPr="00B57F6E">
        <w:rPr>
          <w:rFonts w:asciiTheme="majorHAnsi" w:hAnsiTheme="majorHAnsi" w:cs="Calibri"/>
          <w:b w:val="0"/>
          <w:bCs w:val="0"/>
          <w:color w:val="000000" w:themeColor="text1"/>
          <w:sz w:val="29"/>
          <w:szCs w:val="29"/>
        </w:rPr>
        <w:t xml:space="preserve">ausse de </w:t>
      </w:r>
      <w:r w:rsidRPr="00B57F6E">
        <w:rPr>
          <w:rFonts w:asciiTheme="majorHAnsi" w:hAnsiTheme="majorHAnsi" w:cs="Calibri"/>
          <w:color w:val="000000" w:themeColor="text1"/>
          <w:sz w:val="29"/>
          <w:szCs w:val="29"/>
        </w:rPr>
        <w:t>l’inflation</w:t>
      </w:r>
      <w:r w:rsidRPr="00B57F6E">
        <w:rPr>
          <w:rFonts w:asciiTheme="majorHAnsi" w:hAnsiTheme="majorHAnsi" w:cs="Calibri"/>
          <w:b w:val="0"/>
          <w:bCs w:val="0"/>
          <w:color w:val="000000" w:themeColor="text1"/>
          <w:sz w:val="29"/>
          <w:szCs w:val="29"/>
        </w:rPr>
        <w:t>, exprimé</w:t>
      </w:r>
      <w:r>
        <w:rPr>
          <w:rFonts w:asciiTheme="majorHAnsi" w:hAnsiTheme="majorHAnsi" w:cs="Calibri"/>
          <w:b w:val="0"/>
          <w:bCs w:val="0"/>
          <w:color w:val="000000" w:themeColor="text1"/>
          <w:sz w:val="29"/>
          <w:szCs w:val="29"/>
        </w:rPr>
        <w:t>e</w:t>
      </w:r>
      <w:r w:rsidRPr="00B57F6E">
        <w:rPr>
          <w:rFonts w:asciiTheme="majorHAnsi" w:hAnsiTheme="majorHAnsi" w:cs="Calibri"/>
          <w:b w:val="0"/>
          <w:bCs w:val="0"/>
          <w:color w:val="000000" w:themeColor="text1"/>
          <w:sz w:val="29"/>
          <w:szCs w:val="29"/>
        </w:rPr>
        <w:t xml:space="preserve"> par le niveau général des prix, de 0,8% en 2017</w:t>
      </w:r>
      <w:r>
        <w:rPr>
          <w:rFonts w:asciiTheme="majorHAnsi" w:hAnsiTheme="majorHAnsi" w:cs="Calibri"/>
          <w:b w:val="0"/>
          <w:bCs w:val="0"/>
          <w:color w:val="000000" w:themeColor="text1"/>
          <w:sz w:val="29"/>
          <w:szCs w:val="29"/>
        </w:rPr>
        <w:t xml:space="preserve"> à </w:t>
      </w:r>
      <w:r w:rsidRPr="00B57F6E">
        <w:rPr>
          <w:rFonts w:asciiTheme="majorHAnsi" w:hAnsiTheme="majorHAnsi" w:cs="Calibri"/>
          <w:b w:val="0"/>
          <w:bCs w:val="0"/>
          <w:color w:val="000000" w:themeColor="text1"/>
          <w:sz w:val="29"/>
          <w:szCs w:val="29"/>
        </w:rPr>
        <w:t>1,</w:t>
      </w:r>
      <w:r>
        <w:rPr>
          <w:rFonts w:asciiTheme="majorHAnsi" w:hAnsiTheme="majorHAnsi" w:cs="Calibri"/>
          <w:b w:val="0"/>
          <w:bCs w:val="0"/>
          <w:color w:val="000000" w:themeColor="text1"/>
          <w:sz w:val="29"/>
          <w:szCs w:val="29"/>
        </w:rPr>
        <w:t>6</w:t>
      </w:r>
      <w:r w:rsidRPr="00B57F6E">
        <w:rPr>
          <w:rFonts w:asciiTheme="majorHAnsi" w:hAnsiTheme="majorHAnsi" w:cs="Calibri"/>
          <w:b w:val="0"/>
          <w:bCs w:val="0"/>
          <w:color w:val="000000" w:themeColor="text1"/>
          <w:sz w:val="29"/>
          <w:szCs w:val="29"/>
        </w:rPr>
        <w:t xml:space="preserve">% en 2018 </w:t>
      </w:r>
      <w:r>
        <w:rPr>
          <w:rFonts w:asciiTheme="majorHAnsi" w:hAnsiTheme="majorHAnsi" w:cs="Calibri"/>
          <w:b w:val="0"/>
          <w:bCs w:val="0"/>
          <w:color w:val="000000" w:themeColor="text1"/>
          <w:sz w:val="29"/>
          <w:szCs w:val="29"/>
        </w:rPr>
        <w:t xml:space="preserve"> avant de revenir à </w:t>
      </w:r>
      <w:r w:rsidRPr="00B57F6E">
        <w:rPr>
          <w:rFonts w:asciiTheme="majorHAnsi" w:hAnsiTheme="majorHAnsi" w:cs="Calibri"/>
          <w:b w:val="0"/>
          <w:bCs w:val="0"/>
          <w:color w:val="000000" w:themeColor="text1"/>
          <w:sz w:val="29"/>
          <w:szCs w:val="29"/>
        </w:rPr>
        <w:t>1,2% en 2019;</w:t>
      </w:r>
    </w:p>
    <w:p w:rsidR="006A2049" w:rsidRPr="006E2E06" w:rsidRDefault="006A2049" w:rsidP="006A2049">
      <w:pPr>
        <w:pStyle w:val="Titre"/>
        <w:numPr>
          <w:ilvl w:val="0"/>
          <w:numId w:val="1"/>
        </w:numPr>
        <w:tabs>
          <w:tab w:val="left" w:pos="142"/>
          <w:tab w:val="left" w:pos="284"/>
          <w:tab w:val="left" w:pos="426"/>
        </w:tabs>
        <w:spacing w:before="100" w:beforeAutospacing="1" w:after="100" w:afterAutospacing="1" w:line="312" w:lineRule="auto"/>
        <w:ind w:left="0" w:firstLine="0"/>
        <w:contextualSpacing/>
        <w:jc w:val="both"/>
        <w:rPr>
          <w:rFonts w:asciiTheme="majorHAnsi" w:hAnsiTheme="majorHAnsi" w:cs="Calibri"/>
          <w:b w:val="0"/>
          <w:bCs w:val="0"/>
          <w:color w:val="000000" w:themeColor="text1"/>
          <w:sz w:val="29"/>
          <w:szCs w:val="29"/>
        </w:rPr>
      </w:pPr>
      <w:r w:rsidRPr="00B57F6E">
        <w:rPr>
          <w:rFonts w:asciiTheme="majorHAnsi" w:hAnsiTheme="majorHAnsi" w:cs="Calibri"/>
          <w:b w:val="0"/>
          <w:bCs w:val="0"/>
          <w:color w:val="000000" w:themeColor="text1"/>
          <w:sz w:val="29"/>
          <w:szCs w:val="29"/>
        </w:rPr>
        <w:t xml:space="preserve">Rigidité à la baisse du </w:t>
      </w:r>
      <w:r w:rsidRPr="00B57F6E">
        <w:rPr>
          <w:rFonts w:asciiTheme="majorHAnsi" w:hAnsiTheme="majorHAnsi" w:cs="Calibri"/>
          <w:color w:val="000000" w:themeColor="text1"/>
          <w:sz w:val="29"/>
          <w:szCs w:val="29"/>
        </w:rPr>
        <w:t>déficit commercial</w:t>
      </w:r>
      <w:r w:rsidRPr="00B57F6E">
        <w:rPr>
          <w:rFonts w:asciiTheme="majorHAnsi" w:hAnsiTheme="majorHAnsi" w:cs="Calibri"/>
          <w:b w:val="0"/>
          <w:bCs w:val="0"/>
          <w:color w:val="000000" w:themeColor="text1"/>
          <w:sz w:val="29"/>
          <w:szCs w:val="29"/>
        </w:rPr>
        <w:t xml:space="preserve">, </w:t>
      </w:r>
      <w:r w:rsidRPr="006E2E06">
        <w:rPr>
          <w:rFonts w:asciiTheme="majorHAnsi" w:hAnsiTheme="majorHAnsi" w:cs="Calibri"/>
          <w:b w:val="0"/>
          <w:bCs w:val="0"/>
          <w:color w:val="000000" w:themeColor="text1"/>
          <w:sz w:val="29"/>
          <w:szCs w:val="29"/>
        </w:rPr>
        <w:t>se situant à près de 18,3% du PIB en 2018 et 18</w:t>
      </w:r>
      <w:r w:rsidR="009D4643">
        <w:rPr>
          <w:rFonts w:asciiTheme="majorHAnsi" w:hAnsiTheme="majorHAnsi" w:cs="Calibri"/>
          <w:b w:val="0"/>
          <w:bCs w:val="0"/>
          <w:color w:val="000000" w:themeColor="text1"/>
          <w:sz w:val="29"/>
          <w:szCs w:val="29"/>
        </w:rPr>
        <w:t>,1</w:t>
      </w:r>
      <w:r w:rsidRPr="006E2E06">
        <w:rPr>
          <w:rFonts w:asciiTheme="majorHAnsi" w:hAnsiTheme="majorHAnsi" w:cs="Calibri"/>
          <w:b w:val="0"/>
          <w:bCs w:val="0"/>
          <w:color w:val="000000" w:themeColor="text1"/>
          <w:sz w:val="29"/>
          <w:szCs w:val="29"/>
        </w:rPr>
        <w:t>% en 2019;</w:t>
      </w:r>
    </w:p>
    <w:p w:rsidR="006A2049" w:rsidRPr="006E2E06" w:rsidRDefault="006A2049" w:rsidP="006A2049">
      <w:pPr>
        <w:pStyle w:val="Titre"/>
        <w:numPr>
          <w:ilvl w:val="0"/>
          <w:numId w:val="1"/>
        </w:numPr>
        <w:tabs>
          <w:tab w:val="left" w:pos="142"/>
          <w:tab w:val="left" w:pos="284"/>
          <w:tab w:val="left" w:pos="426"/>
        </w:tabs>
        <w:spacing w:before="100" w:beforeAutospacing="1" w:after="100" w:afterAutospacing="1" w:line="312" w:lineRule="auto"/>
        <w:ind w:left="0" w:firstLine="0"/>
        <w:contextualSpacing/>
        <w:jc w:val="both"/>
        <w:rPr>
          <w:rFonts w:asciiTheme="majorHAnsi" w:hAnsiTheme="majorHAnsi" w:cs="Calibri"/>
          <w:b w:val="0"/>
          <w:bCs w:val="0"/>
          <w:color w:val="000000" w:themeColor="text1"/>
          <w:sz w:val="29"/>
          <w:szCs w:val="29"/>
        </w:rPr>
      </w:pPr>
      <w:r w:rsidRPr="006E2E06">
        <w:rPr>
          <w:rFonts w:asciiTheme="majorHAnsi" w:hAnsiTheme="majorHAnsi" w:cs="Calibri"/>
          <w:b w:val="0"/>
          <w:bCs w:val="0"/>
          <w:color w:val="000000" w:themeColor="text1"/>
          <w:sz w:val="29"/>
          <w:szCs w:val="29"/>
        </w:rPr>
        <w:t xml:space="preserve">Baisse du taux </w:t>
      </w:r>
      <w:r w:rsidRPr="006E2E06">
        <w:rPr>
          <w:rFonts w:asciiTheme="majorHAnsi" w:hAnsiTheme="majorHAnsi" w:cs="Calibri"/>
          <w:color w:val="000000" w:themeColor="text1"/>
          <w:sz w:val="29"/>
          <w:szCs w:val="29"/>
        </w:rPr>
        <w:t>d’épargne national</w:t>
      </w:r>
      <w:r w:rsidRPr="006E2E06">
        <w:rPr>
          <w:rFonts w:asciiTheme="majorHAnsi" w:hAnsiTheme="majorHAnsi" w:cs="Calibri"/>
          <w:b w:val="0"/>
          <w:bCs w:val="0"/>
          <w:color w:val="000000" w:themeColor="text1"/>
          <w:sz w:val="29"/>
          <w:szCs w:val="29"/>
        </w:rPr>
        <w:t>e à 27,</w:t>
      </w:r>
      <w:r>
        <w:rPr>
          <w:rFonts w:asciiTheme="majorHAnsi" w:hAnsiTheme="majorHAnsi" w:cs="Calibri"/>
          <w:b w:val="0"/>
          <w:bCs w:val="0"/>
          <w:color w:val="000000" w:themeColor="text1"/>
          <w:sz w:val="29"/>
          <w:szCs w:val="29"/>
        </w:rPr>
        <w:t>7% du PIB en 2019 au lieu de 28</w:t>
      </w:r>
      <w:r w:rsidRPr="006E2E06">
        <w:rPr>
          <w:rFonts w:asciiTheme="majorHAnsi" w:hAnsiTheme="majorHAnsi" w:cs="Calibri"/>
          <w:b w:val="0"/>
          <w:bCs w:val="0"/>
          <w:color w:val="000000" w:themeColor="text1"/>
          <w:sz w:val="29"/>
          <w:szCs w:val="29"/>
        </w:rPr>
        <w:t>% en 2018 et 28,9% en 2017; </w:t>
      </w:r>
    </w:p>
    <w:p w:rsidR="006A2049" w:rsidRPr="006E2E06" w:rsidRDefault="006A2049" w:rsidP="00D43101">
      <w:pPr>
        <w:pStyle w:val="Titre"/>
        <w:numPr>
          <w:ilvl w:val="0"/>
          <w:numId w:val="1"/>
        </w:numPr>
        <w:tabs>
          <w:tab w:val="left" w:pos="142"/>
          <w:tab w:val="left" w:pos="284"/>
          <w:tab w:val="left" w:pos="426"/>
        </w:tabs>
        <w:spacing w:before="100" w:beforeAutospacing="1" w:after="100" w:afterAutospacing="1" w:line="312" w:lineRule="auto"/>
        <w:ind w:left="0" w:firstLine="0"/>
        <w:contextualSpacing/>
        <w:jc w:val="both"/>
        <w:rPr>
          <w:rFonts w:asciiTheme="majorHAnsi" w:hAnsiTheme="majorHAnsi" w:cs="Calibri"/>
          <w:b w:val="0"/>
          <w:bCs w:val="0"/>
          <w:color w:val="000000" w:themeColor="text1"/>
          <w:sz w:val="29"/>
          <w:szCs w:val="29"/>
        </w:rPr>
      </w:pPr>
      <w:r w:rsidRPr="006E2E06">
        <w:rPr>
          <w:rFonts w:asciiTheme="majorHAnsi" w:hAnsiTheme="majorHAnsi" w:cs="Calibri"/>
          <w:b w:val="0"/>
          <w:bCs w:val="0"/>
          <w:color w:val="000000" w:themeColor="text1"/>
          <w:sz w:val="29"/>
          <w:szCs w:val="29"/>
        </w:rPr>
        <w:t xml:space="preserve">Aggravation du </w:t>
      </w:r>
      <w:r>
        <w:rPr>
          <w:rFonts w:asciiTheme="majorHAnsi" w:hAnsiTheme="majorHAnsi" w:cs="Calibri"/>
          <w:color w:val="000000" w:themeColor="text1"/>
          <w:sz w:val="29"/>
          <w:szCs w:val="29"/>
        </w:rPr>
        <w:t>besoin</w:t>
      </w:r>
      <w:r w:rsidRPr="006E2E06">
        <w:rPr>
          <w:rFonts w:asciiTheme="majorHAnsi" w:hAnsiTheme="majorHAnsi" w:cs="Calibri"/>
          <w:color w:val="000000" w:themeColor="text1"/>
          <w:sz w:val="29"/>
          <w:szCs w:val="29"/>
        </w:rPr>
        <w:t xml:space="preserve"> de financement</w:t>
      </w:r>
      <w:r w:rsidRPr="006E2E06">
        <w:rPr>
          <w:rFonts w:asciiTheme="majorHAnsi" w:hAnsiTheme="majorHAnsi" w:cs="Calibri"/>
          <w:b w:val="0"/>
          <w:bCs w:val="0"/>
          <w:color w:val="000000" w:themeColor="text1"/>
          <w:sz w:val="29"/>
          <w:szCs w:val="29"/>
        </w:rPr>
        <w:t xml:space="preserve"> </w:t>
      </w:r>
      <w:r>
        <w:rPr>
          <w:rFonts w:asciiTheme="majorHAnsi" w:hAnsiTheme="majorHAnsi" w:cs="Calibri"/>
          <w:b w:val="0"/>
          <w:bCs w:val="0"/>
          <w:color w:val="000000" w:themeColor="text1"/>
          <w:sz w:val="29"/>
          <w:szCs w:val="29"/>
        </w:rPr>
        <w:t>de l’économie, passant de 3,7% du PIB en 2017 à</w:t>
      </w:r>
      <w:r w:rsidRPr="006E2E06">
        <w:rPr>
          <w:rFonts w:asciiTheme="majorHAnsi" w:hAnsiTheme="majorHAnsi" w:cs="Calibri"/>
          <w:b w:val="0"/>
          <w:bCs w:val="0"/>
          <w:color w:val="000000" w:themeColor="text1"/>
          <w:sz w:val="29"/>
          <w:szCs w:val="29"/>
        </w:rPr>
        <w:t xml:space="preserve"> 4,5% en 2018 </w:t>
      </w:r>
      <w:r w:rsidR="00D43101">
        <w:rPr>
          <w:rFonts w:asciiTheme="majorHAnsi" w:hAnsiTheme="majorHAnsi" w:cs="Calibri"/>
          <w:b w:val="0"/>
          <w:bCs w:val="0"/>
          <w:color w:val="000000" w:themeColor="text1"/>
          <w:sz w:val="29"/>
          <w:szCs w:val="29"/>
        </w:rPr>
        <w:t>avant de s’alléger</w:t>
      </w:r>
      <w:r>
        <w:rPr>
          <w:rFonts w:asciiTheme="majorHAnsi" w:hAnsiTheme="majorHAnsi" w:cs="Calibri"/>
          <w:b w:val="0"/>
          <w:bCs w:val="0"/>
          <w:color w:val="000000" w:themeColor="text1"/>
          <w:sz w:val="29"/>
          <w:szCs w:val="29"/>
        </w:rPr>
        <w:t xml:space="preserve"> </w:t>
      </w:r>
      <w:r w:rsidRPr="006E2E06">
        <w:rPr>
          <w:rFonts w:asciiTheme="majorHAnsi" w:hAnsiTheme="majorHAnsi" w:cs="Calibri"/>
          <w:b w:val="0"/>
          <w:bCs w:val="0"/>
          <w:color w:val="000000" w:themeColor="text1"/>
          <w:sz w:val="29"/>
          <w:szCs w:val="29"/>
        </w:rPr>
        <w:t>à 4,3% en 2019;</w:t>
      </w:r>
    </w:p>
    <w:p w:rsidR="006A2049" w:rsidRPr="006E2E06" w:rsidRDefault="006A2049" w:rsidP="006A2049">
      <w:pPr>
        <w:pStyle w:val="Titre"/>
        <w:numPr>
          <w:ilvl w:val="0"/>
          <w:numId w:val="1"/>
        </w:numPr>
        <w:tabs>
          <w:tab w:val="left" w:pos="142"/>
          <w:tab w:val="left" w:pos="284"/>
          <w:tab w:val="left" w:pos="426"/>
        </w:tabs>
        <w:spacing w:before="100" w:beforeAutospacing="1" w:after="100" w:afterAutospacing="1" w:line="312" w:lineRule="auto"/>
        <w:ind w:left="0" w:firstLine="0"/>
        <w:contextualSpacing/>
        <w:jc w:val="both"/>
        <w:rPr>
          <w:rFonts w:asciiTheme="majorHAnsi" w:hAnsiTheme="majorHAnsi" w:cs="Calibri"/>
          <w:b w:val="0"/>
          <w:bCs w:val="0"/>
          <w:color w:val="000000" w:themeColor="text1"/>
          <w:sz w:val="29"/>
          <w:szCs w:val="29"/>
        </w:rPr>
      </w:pPr>
      <w:r>
        <w:rPr>
          <w:rFonts w:asciiTheme="majorHAnsi" w:hAnsiTheme="majorHAnsi" w:cs="Calibri"/>
          <w:color w:val="000000" w:themeColor="text1"/>
          <w:sz w:val="29"/>
          <w:szCs w:val="29"/>
        </w:rPr>
        <w:t>D</w:t>
      </w:r>
      <w:r w:rsidRPr="006E2E06">
        <w:rPr>
          <w:rFonts w:asciiTheme="majorHAnsi" w:hAnsiTheme="majorHAnsi" w:cs="Calibri"/>
          <w:color w:val="000000" w:themeColor="text1"/>
          <w:sz w:val="29"/>
          <w:szCs w:val="29"/>
        </w:rPr>
        <w:t>éficit budgétaire</w:t>
      </w:r>
      <w:r w:rsidRPr="006E2E06">
        <w:rPr>
          <w:rFonts w:asciiTheme="majorHAnsi" w:hAnsiTheme="majorHAnsi" w:cs="Calibri"/>
          <w:b w:val="0"/>
          <w:bCs w:val="0"/>
          <w:color w:val="000000" w:themeColor="text1"/>
          <w:sz w:val="29"/>
          <w:szCs w:val="29"/>
        </w:rPr>
        <w:t xml:space="preserve"> </w:t>
      </w:r>
      <w:r>
        <w:rPr>
          <w:rFonts w:asciiTheme="majorHAnsi" w:hAnsiTheme="majorHAnsi" w:cs="Calibri"/>
          <w:b w:val="0"/>
          <w:bCs w:val="0"/>
          <w:color w:val="000000" w:themeColor="text1"/>
          <w:sz w:val="29"/>
          <w:szCs w:val="29"/>
        </w:rPr>
        <w:t xml:space="preserve">contenu à </w:t>
      </w:r>
      <w:r w:rsidRPr="006E2E06">
        <w:rPr>
          <w:rFonts w:asciiTheme="majorHAnsi" w:hAnsiTheme="majorHAnsi" w:cs="Calibri"/>
          <w:b w:val="0"/>
          <w:bCs w:val="0"/>
          <w:color w:val="000000" w:themeColor="text1"/>
          <w:sz w:val="29"/>
          <w:szCs w:val="29"/>
        </w:rPr>
        <w:t>3,9% en 2018</w:t>
      </w:r>
      <w:r>
        <w:rPr>
          <w:rFonts w:asciiTheme="majorHAnsi" w:hAnsiTheme="majorHAnsi" w:cs="Calibri"/>
          <w:b w:val="0"/>
          <w:bCs w:val="0"/>
          <w:color w:val="000000" w:themeColor="text1"/>
          <w:sz w:val="29"/>
          <w:szCs w:val="29"/>
        </w:rPr>
        <w:t xml:space="preserve"> et </w:t>
      </w:r>
      <w:r w:rsidRPr="006E2E06">
        <w:rPr>
          <w:rFonts w:asciiTheme="majorHAnsi" w:hAnsiTheme="majorHAnsi" w:cs="Calibri"/>
          <w:b w:val="0"/>
          <w:bCs w:val="0"/>
          <w:color w:val="000000" w:themeColor="text1"/>
          <w:sz w:val="29"/>
          <w:szCs w:val="29"/>
        </w:rPr>
        <w:t xml:space="preserve">à 3,7% en 2019; </w:t>
      </w:r>
    </w:p>
    <w:p w:rsidR="006A2049" w:rsidRPr="00C92405" w:rsidRDefault="006A2049" w:rsidP="009D4643">
      <w:pPr>
        <w:pStyle w:val="Titre"/>
        <w:numPr>
          <w:ilvl w:val="0"/>
          <w:numId w:val="1"/>
        </w:numPr>
        <w:tabs>
          <w:tab w:val="left" w:pos="142"/>
          <w:tab w:val="left" w:pos="284"/>
          <w:tab w:val="left" w:pos="426"/>
        </w:tabs>
        <w:spacing w:before="100" w:beforeAutospacing="1" w:after="100" w:afterAutospacing="1" w:line="312" w:lineRule="auto"/>
        <w:ind w:left="0" w:firstLine="0"/>
        <w:contextualSpacing/>
        <w:jc w:val="both"/>
        <w:rPr>
          <w:rFonts w:asciiTheme="majorHAnsi" w:hAnsiTheme="majorHAnsi" w:cs="Calibri"/>
          <w:b w:val="0"/>
          <w:bCs w:val="0"/>
          <w:color w:val="000000" w:themeColor="text1"/>
          <w:sz w:val="29"/>
          <w:szCs w:val="29"/>
        </w:rPr>
      </w:pPr>
      <w:r w:rsidRPr="006E2E06">
        <w:rPr>
          <w:rFonts w:asciiTheme="majorHAnsi" w:hAnsiTheme="majorHAnsi" w:cs="Calibri"/>
          <w:b w:val="0"/>
          <w:bCs w:val="0"/>
          <w:color w:val="000000" w:themeColor="text1"/>
          <w:sz w:val="29"/>
          <w:szCs w:val="29"/>
        </w:rPr>
        <w:t xml:space="preserve">Légère accentuation du </w:t>
      </w:r>
      <w:r w:rsidRPr="006E2E06">
        <w:rPr>
          <w:rFonts w:asciiTheme="majorHAnsi" w:hAnsiTheme="majorHAnsi" w:cs="Calibri"/>
          <w:color w:val="000000" w:themeColor="text1"/>
          <w:sz w:val="29"/>
          <w:szCs w:val="29"/>
        </w:rPr>
        <w:t xml:space="preserve">taux </w:t>
      </w:r>
      <w:r>
        <w:rPr>
          <w:rFonts w:asciiTheme="majorHAnsi" w:hAnsiTheme="majorHAnsi" w:cs="Calibri"/>
          <w:color w:val="000000" w:themeColor="text1"/>
          <w:sz w:val="29"/>
          <w:szCs w:val="29"/>
        </w:rPr>
        <w:t>d’</w:t>
      </w:r>
      <w:r w:rsidRPr="006E2E06">
        <w:rPr>
          <w:rFonts w:asciiTheme="majorHAnsi" w:hAnsiTheme="majorHAnsi" w:cs="Calibri"/>
          <w:color w:val="000000" w:themeColor="text1"/>
          <w:sz w:val="29"/>
          <w:szCs w:val="29"/>
        </w:rPr>
        <w:t>endettement global</w:t>
      </w:r>
      <w:r w:rsidRPr="006E2E06">
        <w:rPr>
          <w:rFonts w:asciiTheme="majorHAnsi" w:hAnsiTheme="majorHAnsi" w:cs="Calibri"/>
          <w:b w:val="0"/>
          <w:bCs w:val="0"/>
          <w:color w:val="000000" w:themeColor="text1"/>
          <w:sz w:val="29"/>
          <w:szCs w:val="29"/>
        </w:rPr>
        <w:t>, passant de 82% du PIB en 201</w:t>
      </w:r>
      <w:r>
        <w:rPr>
          <w:rFonts w:asciiTheme="majorHAnsi" w:hAnsiTheme="majorHAnsi" w:cs="Calibri"/>
          <w:b w:val="0"/>
          <w:bCs w:val="0"/>
          <w:color w:val="000000" w:themeColor="text1"/>
          <w:sz w:val="29"/>
          <w:szCs w:val="29"/>
        </w:rPr>
        <w:t>7</w:t>
      </w:r>
      <w:r w:rsidRPr="006E2E06">
        <w:rPr>
          <w:rFonts w:asciiTheme="majorHAnsi" w:hAnsiTheme="majorHAnsi" w:cs="Calibri"/>
          <w:b w:val="0"/>
          <w:bCs w:val="0"/>
          <w:color w:val="000000" w:themeColor="text1"/>
          <w:sz w:val="29"/>
          <w:szCs w:val="29"/>
        </w:rPr>
        <w:t xml:space="preserve"> à </w:t>
      </w:r>
      <w:r w:rsidRPr="00C92405">
        <w:rPr>
          <w:rFonts w:asciiTheme="majorHAnsi" w:hAnsiTheme="majorHAnsi" w:cs="Calibri"/>
          <w:b w:val="0"/>
          <w:bCs w:val="0"/>
          <w:color w:val="000000" w:themeColor="text1"/>
          <w:sz w:val="29"/>
          <w:szCs w:val="29"/>
        </w:rPr>
        <w:t>82,</w:t>
      </w:r>
      <w:r w:rsidR="009D4643">
        <w:rPr>
          <w:rFonts w:asciiTheme="majorHAnsi" w:hAnsiTheme="majorHAnsi" w:cs="Calibri"/>
          <w:b w:val="0"/>
          <w:bCs w:val="0"/>
          <w:color w:val="000000" w:themeColor="text1"/>
          <w:sz w:val="29"/>
          <w:szCs w:val="29"/>
        </w:rPr>
        <w:t>2</w:t>
      </w:r>
      <w:r w:rsidRPr="00C92405">
        <w:rPr>
          <w:rFonts w:asciiTheme="majorHAnsi" w:hAnsiTheme="majorHAnsi" w:cs="Calibri"/>
          <w:b w:val="0"/>
          <w:bCs w:val="0"/>
          <w:color w:val="000000" w:themeColor="text1"/>
          <w:sz w:val="29"/>
          <w:szCs w:val="29"/>
        </w:rPr>
        <w:t xml:space="preserve">% en 2018 et à 82,5% en 2019. Celui du </w:t>
      </w:r>
      <w:r w:rsidRPr="00C92405">
        <w:rPr>
          <w:rFonts w:asciiTheme="majorHAnsi" w:hAnsiTheme="majorHAnsi" w:cs="Calibri"/>
          <w:color w:val="000000" w:themeColor="text1"/>
          <w:sz w:val="29"/>
          <w:szCs w:val="29"/>
        </w:rPr>
        <w:t>Trésor</w:t>
      </w:r>
      <w:r w:rsidRPr="00C92405">
        <w:rPr>
          <w:rFonts w:asciiTheme="majorHAnsi" w:hAnsiTheme="majorHAnsi" w:cs="Calibri"/>
          <w:b w:val="0"/>
          <w:bCs w:val="0"/>
          <w:color w:val="000000" w:themeColor="text1"/>
          <w:sz w:val="29"/>
          <w:szCs w:val="29"/>
        </w:rPr>
        <w:t xml:space="preserve"> augmenterait de 65,1% du PIB en 2017 à 6</w:t>
      </w:r>
      <w:r w:rsidR="003E64C2">
        <w:rPr>
          <w:rFonts w:asciiTheme="majorHAnsi" w:hAnsiTheme="majorHAnsi" w:cs="Calibri"/>
          <w:b w:val="0"/>
          <w:bCs w:val="0"/>
          <w:color w:val="000000" w:themeColor="text1"/>
          <w:sz w:val="29"/>
          <w:szCs w:val="29"/>
        </w:rPr>
        <w:t>5</w:t>
      </w:r>
      <w:r w:rsidRPr="00C92405">
        <w:rPr>
          <w:rFonts w:asciiTheme="majorHAnsi" w:hAnsiTheme="majorHAnsi" w:cs="Calibri"/>
          <w:b w:val="0"/>
          <w:bCs w:val="0"/>
          <w:color w:val="000000" w:themeColor="text1"/>
          <w:sz w:val="29"/>
          <w:szCs w:val="29"/>
        </w:rPr>
        <w:t>,</w:t>
      </w:r>
      <w:r w:rsidR="003E64C2">
        <w:rPr>
          <w:rFonts w:asciiTheme="majorHAnsi" w:hAnsiTheme="majorHAnsi" w:cs="Calibri"/>
          <w:b w:val="0"/>
          <w:bCs w:val="0"/>
          <w:color w:val="000000" w:themeColor="text1"/>
          <w:sz w:val="29"/>
          <w:szCs w:val="29"/>
        </w:rPr>
        <w:t>8</w:t>
      </w:r>
      <w:r w:rsidRPr="00C92405">
        <w:rPr>
          <w:rFonts w:asciiTheme="majorHAnsi" w:hAnsiTheme="majorHAnsi" w:cs="Calibri"/>
          <w:b w:val="0"/>
          <w:bCs w:val="0"/>
          <w:color w:val="000000" w:themeColor="text1"/>
          <w:sz w:val="29"/>
          <w:szCs w:val="29"/>
        </w:rPr>
        <w:t>% en 2018 et à 66,</w:t>
      </w:r>
      <w:r w:rsidR="003E64C2">
        <w:rPr>
          <w:rFonts w:asciiTheme="majorHAnsi" w:hAnsiTheme="majorHAnsi" w:cs="Calibri"/>
          <w:b w:val="0"/>
          <w:bCs w:val="0"/>
          <w:color w:val="000000" w:themeColor="text1"/>
          <w:sz w:val="29"/>
          <w:szCs w:val="29"/>
        </w:rPr>
        <w:t>1</w:t>
      </w:r>
      <w:r w:rsidRPr="00C92405">
        <w:rPr>
          <w:rFonts w:asciiTheme="majorHAnsi" w:hAnsiTheme="majorHAnsi" w:cs="Calibri"/>
          <w:b w:val="0"/>
          <w:bCs w:val="0"/>
          <w:color w:val="000000" w:themeColor="text1"/>
          <w:sz w:val="29"/>
          <w:szCs w:val="29"/>
        </w:rPr>
        <w:t>%  en 2019.</w:t>
      </w:r>
    </w:p>
    <w:p w:rsidR="00A941A5" w:rsidRPr="00B57F6E" w:rsidRDefault="00A941A5" w:rsidP="00532163">
      <w:pPr>
        <w:pStyle w:val="Titre"/>
        <w:tabs>
          <w:tab w:val="left" w:pos="142"/>
          <w:tab w:val="left" w:pos="284"/>
          <w:tab w:val="left" w:pos="426"/>
        </w:tabs>
        <w:spacing w:before="100" w:beforeAutospacing="1" w:after="100" w:afterAutospacing="1" w:line="312" w:lineRule="auto"/>
        <w:contextualSpacing/>
        <w:jc w:val="both"/>
        <w:rPr>
          <w:rFonts w:asciiTheme="majorHAnsi" w:hAnsiTheme="majorHAnsi"/>
          <w:bCs w:val="0"/>
          <w:color w:val="000000" w:themeColor="text1"/>
          <w:sz w:val="30"/>
          <w:szCs w:val="30"/>
          <w:u w:val="single"/>
        </w:rPr>
      </w:pPr>
    </w:p>
    <w:p w:rsidR="00532163" w:rsidRPr="00B57F6E" w:rsidRDefault="00532163" w:rsidP="00532163">
      <w:pPr>
        <w:pStyle w:val="Titre"/>
        <w:tabs>
          <w:tab w:val="left" w:pos="142"/>
          <w:tab w:val="left" w:pos="284"/>
          <w:tab w:val="left" w:pos="426"/>
        </w:tabs>
        <w:spacing w:before="100" w:beforeAutospacing="1" w:after="100" w:afterAutospacing="1" w:line="360" w:lineRule="auto"/>
        <w:contextualSpacing/>
        <w:jc w:val="both"/>
        <w:rPr>
          <w:rFonts w:asciiTheme="majorHAnsi" w:hAnsiTheme="majorHAnsi"/>
          <w:bCs w:val="0"/>
          <w:color w:val="000000" w:themeColor="text1"/>
          <w:sz w:val="30"/>
          <w:szCs w:val="30"/>
          <w:u w:val="single"/>
        </w:rPr>
      </w:pPr>
    </w:p>
    <w:p w:rsidR="00F26E5F" w:rsidRDefault="00F26E5F" w:rsidP="00532163">
      <w:pPr>
        <w:pStyle w:val="Titre"/>
        <w:tabs>
          <w:tab w:val="left" w:pos="142"/>
          <w:tab w:val="left" w:pos="284"/>
          <w:tab w:val="left" w:pos="426"/>
        </w:tabs>
        <w:spacing w:before="100" w:beforeAutospacing="1" w:after="100" w:afterAutospacing="1" w:line="360" w:lineRule="auto"/>
        <w:contextualSpacing/>
        <w:jc w:val="both"/>
        <w:rPr>
          <w:rFonts w:asciiTheme="majorHAnsi" w:hAnsiTheme="majorHAnsi"/>
          <w:bCs w:val="0"/>
          <w:color w:val="000000" w:themeColor="text1"/>
          <w:sz w:val="30"/>
          <w:szCs w:val="30"/>
          <w:u w:val="single"/>
        </w:rPr>
      </w:pPr>
    </w:p>
    <w:p w:rsidR="00356411" w:rsidRDefault="00356411" w:rsidP="00532163">
      <w:pPr>
        <w:pStyle w:val="Titre"/>
        <w:tabs>
          <w:tab w:val="left" w:pos="142"/>
          <w:tab w:val="left" w:pos="284"/>
          <w:tab w:val="left" w:pos="426"/>
        </w:tabs>
        <w:spacing w:before="100" w:beforeAutospacing="1" w:after="100" w:afterAutospacing="1" w:line="360" w:lineRule="auto"/>
        <w:contextualSpacing/>
        <w:jc w:val="both"/>
        <w:rPr>
          <w:rFonts w:asciiTheme="majorHAnsi" w:hAnsiTheme="majorHAnsi"/>
          <w:bCs w:val="0"/>
          <w:color w:val="000000" w:themeColor="text1"/>
          <w:sz w:val="30"/>
          <w:szCs w:val="30"/>
          <w:u w:val="single"/>
        </w:rPr>
      </w:pPr>
    </w:p>
    <w:p w:rsidR="00356411" w:rsidRDefault="00356411" w:rsidP="00532163">
      <w:pPr>
        <w:pStyle w:val="Titre"/>
        <w:tabs>
          <w:tab w:val="left" w:pos="142"/>
          <w:tab w:val="left" w:pos="284"/>
          <w:tab w:val="left" w:pos="426"/>
        </w:tabs>
        <w:spacing w:before="100" w:beforeAutospacing="1" w:after="100" w:afterAutospacing="1" w:line="360" w:lineRule="auto"/>
        <w:contextualSpacing/>
        <w:jc w:val="both"/>
        <w:rPr>
          <w:rFonts w:asciiTheme="majorHAnsi" w:hAnsiTheme="majorHAnsi"/>
          <w:bCs w:val="0"/>
          <w:color w:val="000000" w:themeColor="text1"/>
          <w:sz w:val="30"/>
          <w:szCs w:val="30"/>
          <w:u w:val="single"/>
        </w:rPr>
      </w:pPr>
    </w:p>
    <w:p w:rsidR="006A2049" w:rsidRDefault="006A2049" w:rsidP="00532163">
      <w:pPr>
        <w:pStyle w:val="Titre"/>
        <w:tabs>
          <w:tab w:val="left" w:pos="142"/>
          <w:tab w:val="left" w:pos="284"/>
          <w:tab w:val="left" w:pos="426"/>
        </w:tabs>
        <w:spacing w:before="100" w:beforeAutospacing="1" w:after="100" w:afterAutospacing="1" w:line="360" w:lineRule="auto"/>
        <w:contextualSpacing/>
        <w:jc w:val="both"/>
        <w:rPr>
          <w:rFonts w:asciiTheme="majorHAnsi" w:hAnsiTheme="majorHAnsi"/>
          <w:bCs w:val="0"/>
          <w:color w:val="000000" w:themeColor="text1"/>
          <w:sz w:val="30"/>
          <w:szCs w:val="30"/>
          <w:u w:val="single"/>
        </w:rPr>
      </w:pPr>
    </w:p>
    <w:p w:rsidR="006A2049" w:rsidRDefault="006A2049" w:rsidP="00532163">
      <w:pPr>
        <w:pStyle w:val="Titre"/>
        <w:tabs>
          <w:tab w:val="left" w:pos="142"/>
          <w:tab w:val="left" w:pos="284"/>
          <w:tab w:val="left" w:pos="426"/>
        </w:tabs>
        <w:spacing w:before="100" w:beforeAutospacing="1" w:after="100" w:afterAutospacing="1" w:line="360" w:lineRule="auto"/>
        <w:contextualSpacing/>
        <w:jc w:val="both"/>
        <w:rPr>
          <w:rFonts w:asciiTheme="majorHAnsi" w:hAnsiTheme="majorHAnsi"/>
          <w:bCs w:val="0"/>
          <w:color w:val="000000" w:themeColor="text1"/>
          <w:sz w:val="30"/>
          <w:szCs w:val="30"/>
          <w:u w:val="single"/>
        </w:rPr>
      </w:pPr>
    </w:p>
    <w:p w:rsidR="003E64C2" w:rsidRDefault="003E64C2" w:rsidP="00532163">
      <w:pPr>
        <w:pStyle w:val="Titre"/>
        <w:tabs>
          <w:tab w:val="left" w:pos="142"/>
          <w:tab w:val="left" w:pos="284"/>
          <w:tab w:val="left" w:pos="426"/>
        </w:tabs>
        <w:spacing w:before="100" w:beforeAutospacing="1" w:after="100" w:afterAutospacing="1" w:line="360" w:lineRule="auto"/>
        <w:contextualSpacing/>
        <w:jc w:val="both"/>
        <w:rPr>
          <w:rFonts w:asciiTheme="majorHAnsi" w:hAnsiTheme="majorHAnsi"/>
          <w:bCs w:val="0"/>
          <w:color w:val="000000" w:themeColor="text1"/>
          <w:sz w:val="30"/>
          <w:szCs w:val="30"/>
          <w:u w:val="single"/>
        </w:rPr>
      </w:pPr>
    </w:p>
    <w:p w:rsidR="003E64C2" w:rsidRDefault="003E64C2" w:rsidP="00532163">
      <w:pPr>
        <w:pStyle w:val="Titre"/>
        <w:tabs>
          <w:tab w:val="left" w:pos="142"/>
          <w:tab w:val="left" w:pos="284"/>
          <w:tab w:val="left" w:pos="426"/>
        </w:tabs>
        <w:spacing w:before="100" w:beforeAutospacing="1" w:after="100" w:afterAutospacing="1" w:line="360" w:lineRule="auto"/>
        <w:contextualSpacing/>
        <w:jc w:val="both"/>
        <w:rPr>
          <w:rFonts w:asciiTheme="majorHAnsi" w:hAnsiTheme="majorHAnsi"/>
          <w:bCs w:val="0"/>
          <w:color w:val="000000" w:themeColor="text1"/>
          <w:sz w:val="30"/>
          <w:szCs w:val="30"/>
          <w:u w:val="single"/>
        </w:rPr>
      </w:pPr>
    </w:p>
    <w:p w:rsidR="00741CB6" w:rsidRPr="00A941A5" w:rsidRDefault="00741CB6" w:rsidP="00EA2344">
      <w:pPr>
        <w:pStyle w:val="Titre"/>
        <w:numPr>
          <w:ilvl w:val="0"/>
          <w:numId w:val="2"/>
        </w:numPr>
        <w:tabs>
          <w:tab w:val="left" w:pos="993"/>
        </w:tabs>
        <w:spacing w:before="100" w:beforeAutospacing="1" w:after="100" w:afterAutospacing="1"/>
        <w:ind w:left="0" w:firstLine="284"/>
        <w:contextualSpacing/>
        <w:jc w:val="left"/>
        <w:rPr>
          <w:rFonts w:asciiTheme="majorHAnsi" w:hAnsiTheme="majorHAnsi"/>
          <w:caps/>
          <w:shadow/>
          <w:color w:val="0070C0"/>
          <w:kern w:val="16"/>
          <w:sz w:val="30"/>
          <w:szCs w:val="30"/>
          <w:u w:val="single"/>
        </w:rPr>
      </w:pPr>
      <w:r w:rsidRPr="00A941A5">
        <w:rPr>
          <w:rFonts w:asciiTheme="majorHAnsi" w:hAnsiTheme="majorHAnsi"/>
          <w:caps/>
          <w:shadow/>
          <w:color w:val="0070C0"/>
          <w:kern w:val="16"/>
          <w:sz w:val="30"/>
          <w:szCs w:val="30"/>
          <w:u w:val="single"/>
        </w:rPr>
        <w:t xml:space="preserve">L’environnement international </w:t>
      </w:r>
    </w:p>
    <w:p w:rsidR="00200F80" w:rsidRPr="009722C2" w:rsidRDefault="00A941A5" w:rsidP="002B0B16">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r>
        <w:rPr>
          <w:rFonts w:asciiTheme="majorHAnsi" w:hAnsiTheme="majorHAnsi" w:cstheme="majorBidi"/>
          <w:b w:val="0"/>
          <w:bCs w:val="0"/>
          <w:color w:val="000000" w:themeColor="text1"/>
          <w:sz w:val="30"/>
          <w:szCs w:val="30"/>
        </w:rPr>
        <w:tab/>
      </w:r>
      <w:r w:rsidR="00200F80" w:rsidRPr="00A941A5">
        <w:rPr>
          <w:rFonts w:asciiTheme="majorHAnsi" w:hAnsiTheme="majorHAnsi" w:cstheme="majorBidi"/>
          <w:color w:val="000000" w:themeColor="text1"/>
          <w:sz w:val="30"/>
          <w:szCs w:val="30"/>
        </w:rPr>
        <w:t>Le contexte international</w:t>
      </w:r>
      <w:r w:rsidR="00200F80" w:rsidRPr="00A941A5">
        <w:rPr>
          <w:rFonts w:asciiTheme="majorHAnsi" w:hAnsiTheme="majorHAnsi" w:cstheme="majorBidi"/>
          <w:b w:val="0"/>
          <w:bCs w:val="0"/>
          <w:color w:val="000000" w:themeColor="text1"/>
          <w:sz w:val="30"/>
          <w:szCs w:val="30"/>
        </w:rPr>
        <w:t xml:space="preserve"> est marqué par de fortes incertitudes  allant dans le sens d’une perte de dynamisme de la croissance économi</w:t>
      </w:r>
      <w:r w:rsidR="00200F80">
        <w:rPr>
          <w:rFonts w:asciiTheme="majorHAnsi" w:hAnsiTheme="majorHAnsi" w:cstheme="majorBidi"/>
          <w:b w:val="0"/>
          <w:bCs w:val="0"/>
          <w:color w:val="000000" w:themeColor="text1"/>
          <w:sz w:val="30"/>
          <w:szCs w:val="30"/>
        </w:rPr>
        <w:t>qu</w:t>
      </w:r>
      <w:r w:rsidR="00200F80" w:rsidRPr="00A941A5">
        <w:rPr>
          <w:rFonts w:asciiTheme="majorHAnsi" w:hAnsiTheme="majorHAnsi" w:cstheme="majorBidi"/>
          <w:b w:val="0"/>
          <w:bCs w:val="0"/>
          <w:color w:val="000000" w:themeColor="text1"/>
          <w:sz w:val="30"/>
          <w:szCs w:val="30"/>
        </w:rPr>
        <w:t xml:space="preserve">e mondiale. </w:t>
      </w:r>
      <w:r w:rsidR="00A963E5">
        <w:rPr>
          <w:rFonts w:asciiTheme="majorHAnsi" w:hAnsiTheme="majorHAnsi" w:cstheme="majorBidi"/>
          <w:b w:val="0"/>
          <w:bCs w:val="0"/>
          <w:color w:val="000000" w:themeColor="text1"/>
          <w:sz w:val="30"/>
          <w:szCs w:val="30"/>
        </w:rPr>
        <w:t xml:space="preserve">Les flux de capitaux, qui ont contribué ces dernières années à l’expansion des économies de marchés émergents, s’inversent progressivement, sous l’effet </w:t>
      </w:r>
      <w:r w:rsidR="00BE77C8">
        <w:rPr>
          <w:rFonts w:asciiTheme="majorHAnsi" w:hAnsiTheme="majorHAnsi" w:cstheme="majorBidi"/>
          <w:b w:val="0"/>
          <w:bCs w:val="0"/>
          <w:color w:val="000000" w:themeColor="text1"/>
          <w:sz w:val="30"/>
          <w:szCs w:val="30"/>
        </w:rPr>
        <w:t xml:space="preserve">notamment </w:t>
      </w:r>
      <w:r w:rsidR="00A963E5">
        <w:rPr>
          <w:rFonts w:asciiTheme="majorHAnsi" w:hAnsiTheme="majorHAnsi" w:cstheme="majorBidi"/>
          <w:b w:val="0"/>
          <w:bCs w:val="0"/>
          <w:color w:val="000000" w:themeColor="text1"/>
          <w:sz w:val="30"/>
          <w:szCs w:val="30"/>
        </w:rPr>
        <w:t xml:space="preserve">du </w:t>
      </w:r>
      <w:r w:rsidR="00A905E2">
        <w:rPr>
          <w:rFonts w:asciiTheme="majorHAnsi" w:hAnsiTheme="majorHAnsi" w:cstheme="majorBidi"/>
          <w:b w:val="0"/>
          <w:bCs w:val="0"/>
          <w:color w:val="000000" w:themeColor="text1"/>
          <w:sz w:val="30"/>
          <w:szCs w:val="30"/>
        </w:rPr>
        <w:t>resserrement</w:t>
      </w:r>
      <w:r w:rsidR="00A963E5">
        <w:rPr>
          <w:rFonts w:asciiTheme="majorHAnsi" w:hAnsiTheme="majorHAnsi" w:cstheme="majorBidi"/>
          <w:b w:val="0"/>
          <w:bCs w:val="0"/>
          <w:color w:val="000000" w:themeColor="text1"/>
          <w:sz w:val="30"/>
          <w:szCs w:val="30"/>
        </w:rPr>
        <w:t xml:space="preserve"> des conditions </w:t>
      </w:r>
      <w:r w:rsidR="002F2050">
        <w:rPr>
          <w:rFonts w:asciiTheme="majorHAnsi" w:hAnsiTheme="majorHAnsi" w:cstheme="majorBidi"/>
          <w:b w:val="0"/>
          <w:bCs w:val="0"/>
          <w:color w:val="000000" w:themeColor="text1"/>
          <w:sz w:val="30"/>
          <w:szCs w:val="30"/>
        </w:rPr>
        <w:t>de financement</w:t>
      </w:r>
      <w:r w:rsidR="00A963E5">
        <w:rPr>
          <w:rFonts w:asciiTheme="majorHAnsi" w:hAnsiTheme="majorHAnsi" w:cstheme="majorBidi"/>
          <w:b w:val="0"/>
          <w:bCs w:val="0"/>
          <w:color w:val="000000" w:themeColor="text1"/>
          <w:sz w:val="30"/>
          <w:szCs w:val="30"/>
        </w:rPr>
        <w:t xml:space="preserve">. </w:t>
      </w:r>
      <w:r w:rsidR="0017628A">
        <w:rPr>
          <w:rFonts w:asciiTheme="majorHAnsi" w:hAnsiTheme="majorHAnsi" w:cstheme="majorBidi"/>
          <w:b w:val="0"/>
          <w:bCs w:val="0"/>
          <w:color w:val="000000" w:themeColor="text1"/>
          <w:sz w:val="30"/>
          <w:szCs w:val="30"/>
        </w:rPr>
        <w:t>L</w:t>
      </w:r>
      <w:r w:rsidR="00200F80">
        <w:rPr>
          <w:rFonts w:asciiTheme="majorHAnsi" w:hAnsiTheme="majorHAnsi" w:cstheme="majorBidi"/>
          <w:b w:val="0"/>
          <w:bCs w:val="0"/>
          <w:color w:val="000000" w:themeColor="text1"/>
          <w:sz w:val="30"/>
          <w:szCs w:val="30"/>
        </w:rPr>
        <w:t>es</w:t>
      </w:r>
      <w:r w:rsidR="00200F80" w:rsidRPr="00A941A5">
        <w:rPr>
          <w:rFonts w:asciiTheme="majorHAnsi" w:hAnsiTheme="majorHAnsi" w:cstheme="majorBidi"/>
          <w:b w:val="0"/>
          <w:bCs w:val="0"/>
          <w:color w:val="000000" w:themeColor="text1"/>
          <w:sz w:val="30"/>
          <w:szCs w:val="30"/>
        </w:rPr>
        <w:t xml:space="preserve"> tensions commerciales </w:t>
      </w:r>
      <w:r w:rsidR="00200F80">
        <w:rPr>
          <w:rFonts w:asciiTheme="majorHAnsi" w:hAnsiTheme="majorHAnsi" w:cstheme="majorBidi"/>
          <w:b w:val="0"/>
          <w:bCs w:val="0"/>
          <w:color w:val="000000" w:themeColor="text1"/>
          <w:sz w:val="30"/>
          <w:szCs w:val="30"/>
        </w:rPr>
        <w:t>et</w:t>
      </w:r>
      <w:r w:rsidR="00A905E2">
        <w:rPr>
          <w:rFonts w:asciiTheme="majorHAnsi" w:hAnsiTheme="majorHAnsi" w:cstheme="majorBidi"/>
          <w:b w:val="0"/>
          <w:bCs w:val="0"/>
          <w:color w:val="000000" w:themeColor="text1"/>
          <w:sz w:val="30"/>
          <w:szCs w:val="30"/>
        </w:rPr>
        <w:t xml:space="preserve"> les difficultés géopolitiques, </w:t>
      </w:r>
      <w:r w:rsidR="00200F80" w:rsidRPr="00A941A5">
        <w:rPr>
          <w:rFonts w:asciiTheme="majorHAnsi" w:hAnsiTheme="majorHAnsi" w:cstheme="majorBidi"/>
          <w:b w:val="0"/>
          <w:bCs w:val="0"/>
          <w:color w:val="000000" w:themeColor="text1"/>
          <w:sz w:val="30"/>
          <w:szCs w:val="30"/>
        </w:rPr>
        <w:t>continuer</w:t>
      </w:r>
      <w:r w:rsidR="0017628A">
        <w:rPr>
          <w:rFonts w:asciiTheme="majorHAnsi" w:hAnsiTheme="majorHAnsi" w:cstheme="majorBidi"/>
          <w:b w:val="0"/>
          <w:bCs w:val="0"/>
          <w:color w:val="000000" w:themeColor="text1"/>
          <w:sz w:val="30"/>
          <w:szCs w:val="30"/>
        </w:rPr>
        <w:t>aient</w:t>
      </w:r>
      <w:r w:rsidR="00200F80" w:rsidRPr="00A941A5">
        <w:rPr>
          <w:rFonts w:asciiTheme="majorHAnsi" w:hAnsiTheme="majorHAnsi" w:cstheme="majorBidi"/>
          <w:b w:val="0"/>
          <w:bCs w:val="0"/>
          <w:color w:val="000000" w:themeColor="text1"/>
          <w:sz w:val="30"/>
          <w:szCs w:val="30"/>
        </w:rPr>
        <w:t xml:space="preserve"> de </w:t>
      </w:r>
      <w:r w:rsidR="00200F80" w:rsidRPr="009722C2">
        <w:rPr>
          <w:rFonts w:asciiTheme="majorHAnsi" w:hAnsiTheme="majorHAnsi" w:cstheme="majorBidi"/>
          <w:b w:val="0"/>
          <w:bCs w:val="0"/>
          <w:color w:val="000000" w:themeColor="text1"/>
          <w:sz w:val="30"/>
          <w:szCs w:val="30"/>
        </w:rPr>
        <w:t>perturber les échanges</w:t>
      </w:r>
      <w:r w:rsidR="00CF5688" w:rsidRPr="009722C2">
        <w:rPr>
          <w:rFonts w:asciiTheme="majorHAnsi" w:hAnsiTheme="majorHAnsi" w:cstheme="majorBidi"/>
          <w:b w:val="0"/>
          <w:bCs w:val="0"/>
          <w:color w:val="000000" w:themeColor="text1"/>
          <w:sz w:val="30"/>
          <w:szCs w:val="30"/>
        </w:rPr>
        <w:t>,</w:t>
      </w:r>
      <w:r w:rsidR="00200F80" w:rsidRPr="009722C2">
        <w:rPr>
          <w:rFonts w:asciiTheme="majorHAnsi" w:hAnsiTheme="majorHAnsi"/>
          <w:b w:val="0"/>
          <w:bCs w:val="0"/>
          <w:color w:val="000000" w:themeColor="text1"/>
          <w:sz w:val="30"/>
          <w:szCs w:val="30"/>
        </w:rPr>
        <w:t xml:space="preserve"> ce qui impacter</w:t>
      </w:r>
      <w:r w:rsidR="002B0B16">
        <w:rPr>
          <w:rFonts w:asciiTheme="majorHAnsi" w:hAnsiTheme="majorHAnsi"/>
          <w:b w:val="0"/>
          <w:bCs w:val="0"/>
          <w:color w:val="000000" w:themeColor="text1"/>
          <w:sz w:val="30"/>
          <w:szCs w:val="30"/>
        </w:rPr>
        <w:t>ait</w:t>
      </w:r>
      <w:r w:rsidR="00200F80" w:rsidRPr="009722C2">
        <w:rPr>
          <w:rFonts w:asciiTheme="majorHAnsi" w:hAnsiTheme="majorHAnsi"/>
          <w:b w:val="0"/>
          <w:bCs w:val="0"/>
          <w:color w:val="000000" w:themeColor="text1"/>
          <w:sz w:val="30"/>
          <w:szCs w:val="30"/>
        </w:rPr>
        <w:t xml:space="preserve"> le niveau de l’investissement </w:t>
      </w:r>
      <w:r w:rsidR="00737B45" w:rsidRPr="009722C2">
        <w:rPr>
          <w:rFonts w:asciiTheme="majorHAnsi" w:hAnsiTheme="majorHAnsi"/>
          <w:b w:val="0"/>
          <w:bCs w:val="0"/>
          <w:color w:val="000000" w:themeColor="text1"/>
          <w:sz w:val="30"/>
          <w:szCs w:val="30"/>
        </w:rPr>
        <w:t xml:space="preserve">et de la demande </w:t>
      </w:r>
      <w:r w:rsidR="00200F80" w:rsidRPr="009722C2">
        <w:rPr>
          <w:rFonts w:asciiTheme="majorHAnsi" w:hAnsiTheme="majorHAnsi"/>
          <w:b w:val="0"/>
          <w:bCs w:val="0"/>
          <w:color w:val="000000" w:themeColor="text1"/>
          <w:sz w:val="30"/>
          <w:szCs w:val="30"/>
        </w:rPr>
        <w:t>à l’échelle internationale.</w:t>
      </w:r>
      <w:r w:rsidR="00200F80" w:rsidRPr="009722C2">
        <w:rPr>
          <w:rFonts w:asciiTheme="majorHAnsi" w:hAnsiTheme="majorHAnsi" w:cstheme="majorBidi"/>
          <w:b w:val="0"/>
          <w:bCs w:val="0"/>
          <w:color w:val="000000" w:themeColor="text1"/>
          <w:sz w:val="30"/>
          <w:szCs w:val="30"/>
        </w:rPr>
        <w:t xml:space="preserve"> Dans ces conditions, la croissance mondiale</w:t>
      </w:r>
      <w:r w:rsidR="00200F80" w:rsidRPr="009722C2">
        <w:rPr>
          <w:rStyle w:val="Appelnotedebasdep"/>
          <w:rFonts w:asciiTheme="majorHAnsi" w:hAnsiTheme="majorHAnsi" w:cstheme="majorBidi"/>
          <w:b w:val="0"/>
          <w:bCs w:val="0"/>
          <w:color w:val="000000" w:themeColor="text1"/>
          <w:sz w:val="30"/>
          <w:szCs w:val="30"/>
        </w:rPr>
        <w:footnoteReference w:id="2"/>
      </w:r>
      <w:r w:rsidR="00200F80" w:rsidRPr="009722C2">
        <w:rPr>
          <w:rFonts w:asciiTheme="majorHAnsi" w:hAnsiTheme="majorHAnsi" w:cstheme="majorBidi"/>
          <w:b w:val="0"/>
          <w:bCs w:val="0"/>
          <w:color w:val="000000" w:themeColor="text1"/>
          <w:sz w:val="30"/>
          <w:szCs w:val="30"/>
        </w:rPr>
        <w:t xml:space="preserve"> </w:t>
      </w:r>
      <w:r w:rsidR="0017628A">
        <w:rPr>
          <w:rFonts w:asciiTheme="majorHAnsi" w:hAnsiTheme="majorHAnsi" w:cstheme="majorBidi"/>
          <w:b w:val="0"/>
          <w:bCs w:val="0"/>
          <w:color w:val="000000" w:themeColor="text1"/>
          <w:sz w:val="30"/>
          <w:szCs w:val="30"/>
        </w:rPr>
        <w:t xml:space="preserve">devrait </w:t>
      </w:r>
      <w:r w:rsidR="00A963E5" w:rsidRPr="009722C2">
        <w:rPr>
          <w:rFonts w:asciiTheme="majorHAnsi" w:hAnsiTheme="majorHAnsi" w:cstheme="majorBidi"/>
          <w:b w:val="0"/>
          <w:bCs w:val="0"/>
          <w:color w:val="000000" w:themeColor="text1"/>
          <w:sz w:val="30"/>
          <w:szCs w:val="30"/>
        </w:rPr>
        <w:t>poursuivr</w:t>
      </w:r>
      <w:r w:rsidR="0017628A">
        <w:rPr>
          <w:rFonts w:asciiTheme="majorHAnsi" w:hAnsiTheme="majorHAnsi" w:cstheme="majorBidi"/>
          <w:b w:val="0"/>
          <w:bCs w:val="0"/>
          <w:color w:val="000000" w:themeColor="text1"/>
          <w:sz w:val="30"/>
          <w:szCs w:val="30"/>
        </w:rPr>
        <w:t>e</w:t>
      </w:r>
      <w:r w:rsidR="00A963E5" w:rsidRPr="009722C2">
        <w:rPr>
          <w:rFonts w:asciiTheme="majorHAnsi" w:hAnsiTheme="majorHAnsi" w:cstheme="majorBidi"/>
          <w:b w:val="0"/>
          <w:bCs w:val="0"/>
          <w:color w:val="000000" w:themeColor="text1"/>
          <w:sz w:val="30"/>
          <w:szCs w:val="30"/>
        </w:rPr>
        <w:t xml:space="preserve"> son ralentissement  </w:t>
      </w:r>
      <w:r w:rsidR="00200F80" w:rsidRPr="009722C2">
        <w:rPr>
          <w:rFonts w:asciiTheme="majorHAnsi" w:hAnsiTheme="majorHAnsi" w:cstheme="majorBidi"/>
          <w:b w:val="0"/>
          <w:bCs w:val="0"/>
          <w:color w:val="000000" w:themeColor="text1"/>
          <w:sz w:val="30"/>
          <w:szCs w:val="30"/>
        </w:rPr>
        <w:t>passant de 3,7% en 2017 à 3,6% en 2018 puis à 3,5% en 2019</w:t>
      </w:r>
      <w:r w:rsidR="006B0567">
        <w:rPr>
          <w:rFonts w:asciiTheme="majorHAnsi" w:hAnsiTheme="majorHAnsi" w:cstheme="majorBidi"/>
          <w:b w:val="0"/>
          <w:bCs w:val="0"/>
          <w:color w:val="000000" w:themeColor="text1"/>
          <w:sz w:val="30"/>
          <w:szCs w:val="30"/>
        </w:rPr>
        <w:t>,</w:t>
      </w:r>
      <w:r w:rsidR="00200F80" w:rsidRPr="009722C2">
        <w:rPr>
          <w:rFonts w:asciiTheme="majorHAnsi" w:hAnsiTheme="majorHAnsi" w:cstheme="majorBidi"/>
          <w:b w:val="0"/>
          <w:bCs w:val="0"/>
          <w:color w:val="000000" w:themeColor="text1"/>
          <w:sz w:val="30"/>
          <w:szCs w:val="30"/>
        </w:rPr>
        <w:t xml:space="preserve"> avec une divergence de plus en plus accentuée entre les régions économiques.</w:t>
      </w:r>
    </w:p>
    <w:p w:rsidR="00200F80" w:rsidRPr="009722C2" w:rsidRDefault="00200F80" w:rsidP="00200F80">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p>
    <w:p w:rsidR="00200F80" w:rsidRPr="00A941A5" w:rsidRDefault="00200F80" w:rsidP="002B0B16">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r w:rsidRPr="009722C2">
        <w:rPr>
          <w:rFonts w:asciiTheme="majorHAnsi" w:hAnsiTheme="majorHAnsi" w:cstheme="majorBidi"/>
          <w:b w:val="0"/>
          <w:bCs w:val="0"/>
          <w:color w:val="000000" w:themeColor="text1"/>
          <w:sz w:val="30"/>
          <w:szCs w:val="30"/>
        </w:rPr>
        <w:tab/>
      </w:r>
      <w:r w:rsidR="002F2050" w:rsidRPr="009722C2">
        <w:rPr>
          <w:rFonts w:asciiTheme="majorHAnsi" w:hAnsiTheme="majorHAnsi" w:cstheme="majorBidi"/>
          <w:b w:val="0"/>
          <w:bCs w:val="0"/>
          <w:color w:val="000000" w:themeColor="text1"/>
          <w:sz w:val="30"/>
          <w:szCs w:val="30"/>
        </w:rPr>
        <w:t>L</w:t>
      </w:r>
      <w:r w:rsidRPr="009722C2">
        <w:rPr>
          <w:rFonts w:asciiTheme="majorHAnsi" w:hAnsiTheme="majorHAnsi" w:cstheme="majorBidi"/>
          <w:b w:val="0"/>
          <w:bCs w:val="0"/>
          <w:color w:val="000000" w:themeColor="text1"/>
          <w:sz w:val="30"/>
          <w:szCs w:val="30"/>
        </w:rPr>
        <w:t xml:space="preserve">’activité économique </w:t>
      </w:r>
      <w:r w:rsidR="002F2050" w:rsidRPr="009722C2">
        <w:rPr>
          <w:rFonts w:asciiTheme="majorHAnsi" w:hAnsiTheme="majorHAnsi" w:cstheme="majorBidi"/>
          <w:b w:val="0"/>
          <w:bCs w:val="0"/>
          <w:color w:val="000000" w:themeColor="text1"/>
          <w:sz w:val="30"/>
          <w:szCs w:val="30"/>
        </w:rPr>
        <w:t>dans</w:t>
      </w:r>
      <w:r w:rsidR="002F2050" w:rsidRPr="009722C2">
        <w:rPr>
          <w:rFonts w:asciiTheme="majorHAnsi" w:hAnsiTheme="majorHAnsi" w:cstheme="majorBidi"/>
          <w:color w:val="000000" w:themeColor="text1"/>
          <w:sz w:val="30"/>
          <w:szCs w:val="30"/>
        </w:rPr>
        <w:t xml:space="preserve"> les pays avancés</w:t>
      </w:r>
      <w:r w:rsidRPr="009722C2">
        <w:rPr>
          <w:rFonts w:asciiTheme="majorHAnsi" w:hAnsiTheme="majorHAnsi" w:cstheme="majorBidi"/>
          <w:b w:val="0"/>
          <w:bCs w:val="0"/>
          <w:color w:val="000000" w:themeColor="text1"/>
          <w:sz w:val="30"/>
          <w:szCs w:val="30"/>
        </w:rPr>
        <w:t xml:space="preserve">, aurait bénéficié </w:t>
      </w:r>
      <w:r w:rsidR="002F2050" w:rsidRPr="009722C2">
        <w:rPr>
          <w:rFonts w:asciiTheme="majorHAnsi" w:hAnsiTheme="majorHAnsi" w:cstheme="majorBidi"/>
          <w:b w:val="0"/>
          <w:bCs w:val="0"/>
          <w:color w:val="000000" w:themeColor="text1"/>
          <w:sz w:val="30"/>
          <w:szCs w:val="30"/>
        </w:rPr>
        <w:t xml:space="preserve">en 2018 </w:t>
      </w:r>
      <w:r w:rsidRPr="009722C2">
        <w:rPr>
          <w:rFonts w:asciiTheme="majorHAnsi" w:hAnsiTheme="majorHAnsi" w:cstheme="majorBidi"/>
          <w:b w:val="0"/>
          <w:bCs w:val="0"/>
          <w:color w:val="000000" w:themeColor="text1"/>
          <w:sz w:val="30"/>
          <w:szCs w:val="30"/>
        </w:rPr>
        <w:t>d’une forte dynamique</w:t>
      </w:r>
      <w:r w:rsidR="002F2050" w:rsidRPr="009722C2">
        <w:rPr>
          <w:rFonts w:asciiTheme="majorHAnsi" w:hAnsiTheme="majorHAnsi" w:cstheme="majorBidi"/>
          <w:b w:val="0"/>
          <w:bCs w:val="0"/>
          <w:color w:val="000000" w:themeColor="text1"/>
          <w:sz w:val="30"/>
          <w:szCs w:val="30"/>
        </w:rPr>
        <w:t xml:space="preserve"> </w:t>
      </w:r>
      <w:r w:rsidR="00A905E2" w:rsidRPr="009722C2">
        <w:rPr>
          <w:rFonts w:asciiTheme="majorHAnsi" w:hAnsiTheme="majorHAnsi" w:cstheme="majorBidi"/>
          <w:b w:val="0"/>
          <w:bCs w:val="0"/>
          <w:color w:val="000000" w:themeColor="text1"/>
          <w:sz w:val="30"/>
          <w:szCs w:val="30"/>
        </w:rPr>
        <w:t>aux États-Unis</w:t>
      </w:r>
      <w:r w:rsidRPr="009722C2">
        <w:rPr>
          <w:rFonts w:asciiTheme="majorHAnsi" w:hAnsiTheme="majorHAnsi" w:cstheme="majorBidi"/>
          <w:b w:val="0"/>
          <w:bCs w:val="0"/>
          <w:color w:val="000000" w:themeColor="text1"/>
          <w:sz w:val="30"/>
          <w:szCs w:val="30"/>
        </w:rPr>
        <w:t>. Une demande intérieure vigoureuse, stimulée par des réductions fiscales et des con</w:t>
      </w:r>
      <w:r w:rsidR="002B0B16">
        <w:rPr>
          <w:rFonts w:asciiTheme="majorHAnsi" w:hAnsiTheme="majorHAnsi" w:cstheme="majorBidi"/>
          <w:b w:val="0"/>
          <w:bCs w:val="0"/>
          <w:color w:val="000000" w:themeColor="text1"/>
          <w:sz w:val="30"/>
          <w:szCs w:val="30"/>
        </w:rPr>
        <w:t xml:space="preserve">ditions financières favorables, </w:t>
      </w:r>
      <w:r w:rsidRPr="009722C2">
        <w:rPr>
          <w:rFonts w:asciiTheme="majorHAnsi" w:hAnsiTheme="majorHAnsi" w:cstheme="majorBidi"/>
          <w:b w:val="0"/>
          <w:bCs w:val="0"/>
          <w:color w:val="000000" w:themeColor="text1"/>
          <w:sz w:val="30"/>
          <w:szCs w:val="30"/>
        </w:rPr>
        <w:t xml:space="preserve">aurait porté </w:t>
      </w:r>
      <w:r w:rsidR="002B0B16">
        <w:rPr>
          <w:rFonts w:asciiTheme="majorHAnsi" w:hAnsiTheme="majorHAnsi" w:cstheme="majorBidi"/>
          <w:b w:val="0"/>
          <w:bCs w:val="0"/>
          <w:color w:val="000000" w:themeColor="text1"/>
          <w:sz w:val="30"/>
          <w:szCs w:val="30"/>
        </w:rPr>
        <w:t xml:space="preserve">la </w:t>
      </w:r>
      <w:r w:rsidR="002B0B16" w:rsidRPr="009722C2">
        <w:rPr>
          <w:rFonts w:asciiTheme="majorHAnsi" w:hAnsiTheme="majorHAnsi" w:cstheme="majorBidi"/>
          <w:b w:val="0"/>
          <w:bCs w:val="0"/>
          <w:color w:val="000000" w:themeColor="text1"/>
          <w:sz w:val="30"/>
          <w:szCs w:val="30"/>
        </w:rPr>
        <w:t xml:space="preserve">croissance </w:t>
      </w:r>
      <w:r w:rsidR="002B0B16">
        <w:rPr>
          <w:rFonts w:asciiTheme="majorHAnsi" w:hAnsiTheme="majorHAnsi" w:cstheme="majorBidi"/>
          <w:b w:val="0"/>
          <w:bCs w:val="0"/>
          <w:color w:val="000000" w:themeColor="text1"/>
          <w:sz w:val="30"/>
          <w:szCs w:val="30"/>
        </w:rPr>
        <w:t xml:space="preserve">de </w:t>
      </w:r>
      <w:r w:rsidRPr="009722C2">
        <w:rPr>
          <w:rFonts w:asciiTheme="majorHAnsi" w:hAnsiTheme="majorHAnsi" w:cstheme="majorBidi"/>
          <w:b w:val="0"/>
          <w:bCs w:val="0"/>
          <w:color w:val="000000" w:themeColor="text1"/>
          <w:sz w:val="30"/>
          <w:szCs w:val="30"/>
        </w:rPr>
        <w:t>l’économie</w:t>
      </w:r>
      <w:r w:rsidR="00A905E2" w:rsidRPr="009722C2">
        <w:rPr>
          <w:rFonts w:asciiTheme="majorHAnsi" w:hAnsiTheme="majorHAnsi" w:cstheme="majorBidi"/>
          <w:b w:val="0"/>
          <w:bCs w:val="0"/>
          <w:color w:val="000000" w:themeColor="text1"/>
          <w:sz w:val="30"/>
          <w:szCs w:val="30"/>
        </w:rPr>
        <w:t xml:space="preserve"> américaine</w:t>
      </w:r>
      <w:r w:rsidRPr="009722C2">
        <w:rPr>
          <w:rFonts w:asciiTheme="majorHAnsi" w:hAnsiTheme="majorHAnsi" w:cstheme="majorBidi"/>
          <w:b w:val="0"/>
          <w:bCs w:val="0"/>
          <w:color w:val="000000" w:themeColor="text1"/>
          <w:sz w:val="30"/>
          <w:szCs w:val="30"/>
        </w:rPr>
        <w:t xml:space="preserve"> </w:t>
      </w:r>
      <w:r w:rsidR="002B0B16">
        <w:rPr>
          <w:rFonts w:asciiTheme="majorHAnsi" w:hAnsiTheme="majorHAnsi" w:cstheme="majorBidi"/>
          <w:b w:val="0"/>
          <w:bCs w:val="0"/>
          <w:color w:val="000000" w:themeColor="text1"/>
          <w:sz w:val="30"/>
          <w:szCs w:val="30"/>
        </w:rPr>
        <w:t>à</w:t>
      </w:r>
      <w:r w:rsidR="00A905E2" w:rsidRPr="009722C2">
        <w:rPr>
          <w:rFonts w:asciiTheme="majorHAnsi" w:hAnsiTheme="majorHAnsi" w:cstheme="majorBidi"/>
          <w:b w:val="0"/>
          <w:bCs w:val="0"/>
          <w:color w:val="000000" w:themeColor="text1"/>
          <w:sz w:val="30"/>
          <w:szCs w:val="30"/>
        </w:rPr>
        <w:t xml:space="preserve"> 2,9%. </w:t>
      </w:r>
      <w:r w:rsidR="00336D61">
        <w:rPr>
          <w:rFonts w:asciiTheme="majorHAnsi" w:hAnsiTheme="majorHAnsi" w:cstheme="majorBidi"/>
          <w:b w:val="0"/>
          <w:bCs w:val="0"/>
          <w:color w:val="000000" w:themeColor="text1"/>
          <w:sz w:val="30"/>
          <w:szCs w:val="30"/>
        </w:rPr>
        <w:t>Toutefois, le rythme de cro</w:t>
      </w:r>
      <w:r w:rsidR="00DA6A44">
        <w:rPr>
          <w:rFonts w:asciiTheme="majorHAnsi" w:hAnsiTheme="majorHAnsi" w:cstheme="majorBidi"/>
          <w:b w:val="0"/>
          <w:bCs w:val="0"/>
          <w:color w:val="000000" w:themeColor="text1"/>
          <w:sz w:val="30"/>
          <w:szCs w:val="30"/>
        </w:rPr>
        <w:t>issance devrait ralentir à 2,5%</w:t>
      </w:r>
      <w:r w:rsidR="00A905E2" w:rsidRPr="009722C2">
        <w:rPr>
          <w:rFonts w:asciiTheme="majorHAnsi" w:hAnsiTheme="majorHAnsi" w:cstheme="majorBidi"/>
          <w:b w:val="0"/>
          <w:bCs w:val="0"/>
          <w:color w:val="000000" w:themeColor="text1"/>
          <w:sz w:val="30"/>
          <w:szCs w:val="30"/>
        </w:rPr>
        <w:t xml:space="preserve"> </w:t>
      </w:r>
      <w:r w:rsidR="00336D61">
        <w:rPr>
          <w:rFonts w:asciiTheme="majorHAnsi" w:hAnsiTheme="majorHAnsi" w:cstheme="majorBidi"/>
          <w:b w:val="0"/>
          <w:bCs w:val="0"/>
          <w:color w:val="000000" w:themeColor="text1"/>
          <w:sz w:val="30"/>
          <w:szCs w:val="30"/>
        </w:rPr>
        <w:t xml:space="preserve">en 2019 </w:t>
      </w:r>
      <w:r w:rsidRPr="009722C2">
        <w:rPr>
          <w:rFonts w:asciiTheme="majorHAnsi" w:hAnsiTheme="majorHAnsi" w:cstheme="majorBidi"/>
          <w:b w:val="0"/>
          <w:bCs w:val="0"/>
          <w:color w:val="000000" w:themeColor="text1"/>
          <w:sz w:val="30"/>
          <w:szCs w:val="30"/>
        </w:rPr>
        <w:t xml:space="preserve">en raison </w:t>
      </w:r>
      <w:r w:rsidR="002B0B16" w:rsidRPr="009722C2">
        <w:rPr>
          <w:rFonts w:asciiTheme="majorHAnsi" w:hAnsiTheme="majorHAnsi" w:cstheme="majorBidi"/>
          <w:b w:val="0"/>
          <w:bCs w:val="0"/>
          <w:color w:val="000000" w:themeColor="text1"/>
          <w:sz w:val="30"/>
          <w:szCs w:val="30"/>
        </w:rPr>
        <w:t>de la normalisation progressive de la politique</w:t>
      </w:r>
      <w:r w:rsidR="002B0B16" w:rsidRPr="00A941A5">
        <w:rPr>
          <w:rFonts w:asciiTheme="majorHAnsi" w:hAnsiTheme="majorHAnsi" w:cstheme="majorBidi"/>
          <w:b w:val="0"/>
          <w:bCs w:val="0"/>
          <w:color w:val="000000" w:themeColor="text1"/>
          <w:sz w:val="30"/>
          <w:szCs w:val="30"/>
        </w:rPr>
        <w:t xml:space="preserve"> monétaire</w:t>
      </w:r>
      <w:r w:rsidR="002B0B16">
        <w:rPr>
          <w:rFonts w:asciiTheme="majorHAnsi" w:hAnsiTheme="majorHAnsi" w:cstheme="majorBidi"/>
          <w:b w:val="0"/>
          <w:bCs w:val="0"/>
          <w:color w:val="000000" w:themeColor="text1"/>
          <w:sz w:val="30"/>
          <w:szCs w:val="30"/>
        </w:rPr>
        <w:t xml:space="preserve"> et</w:t>
      </w:r>
      <w:r w:rsidR="002B0B16" w:rsidRPr="00A941A5">
        <w:rPr>
          <w:rFonts w:asciiTheme="majorHAnsi" w:hAnsiTheme="majorHAnsi" w:cstheme="majorBidi"/>
          <w:b w:val="0"/>
          <w:bCs w:val="0"/>
          <w:color w:val="000000" w:themeColor="text1"/>
          <w:sz w:val="30"/>
          <w:szCs w:val="30"/>
        </w:rPr>
        <w:t xml:space="preserve"> de la dissipation de l’effet des mesures de stimulation budgétaire</w:t>
      </w:r>
      <w:r w:rsidR="002B0B16">
        <w:rPr>
          <w:rFonts w:asciiTheme="majorHAnsi" w:hAnsiTheme="majorHAnsi" w:cstheme="majorBidi"/>
          <w:b w:val="0"/>
          <w:bCs w:val="0"/>
          <w:color w:val="000000" w:themeColor="text1"/>
          <w:sz w:val="30"/>
          <w:szCs w:val="30"/>
        </w:rPr>
        <w:t xml:space="preserve"> ainsi que de l’adoption </w:t>
      </w:r>
      <w:r w:rsidRPr="009722C2">
        <w:rPr>
          <w:rFonts w:asciiTheme="majorHAnsi" w:hAnsiTheme="majorHAnsi" w:cstheme="majorBidi"/>
          <w:b w:val="0"/>
          <w:bCs w:val="0"/>
          <w:color w:val="000000" w:themeColor="text1"/>
          <w:sz w:val="30"/>
          <w:szCs w:val="30"/>
        </w:rPr>
        <w:t>des me</w:t>
      </w:r>
      <w:r w:rsidR="002B0B16">
        <w:rPr>
          <w:rFonts w:asciiTheme="majorHAnsi" w:hAnsiTheme="majorHAnsi" w:cstheme="majorBidi"/>
          <w:b w:val="0"/>
          <w:bCs w:val="0"/>
          <w:color w:val="000000" w:themeColor="text1"/>
          <w:sz w:val="30"/>
          <w:szCs w:val="30"/>
        </w:rPr>
        <w:t>sures commerciales restrictives.</w:t>
      </w:r>
      <w:r w:rsidRPr="009722C2">
        <w:rPr>
          <w:rFonts w:asciiTheme="majorHAnsi" w:hAnsiTheme="majorHAnsi" w:cstheme="majorBidi"/>
          <w:b w:val="0"/>
          <w:bCs w:val="0"/>
          <w:color w:val="000000" w:themeColor="text1"/>
          <w:sz w:val="30"/>
          <w:szCs w:val="30"/>
        </w:rPr>
        <w:t xml:space="preserve"> </w:t>
      </w:r>
    </w:p>
    <w:p w:rsidR="00200F80" w:rsidRPr="00A941A5" w:rsidRDefault="00200F80" w:rsidP="00200F80">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p>
    <w:p w:rsidR="009E1FE3" w:rsidRPr="009E1FE3" w:rsidRDefault="00200F80" w:rsidP="00CC4591">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r>
        <w:rPr>
          <w:rFonts w:asciiTheme="majorHAnsi" w:hAnsiTheme="majorHAnsi" w:cstheme="majorBidi"/>
          <w:b w:val="0"/>
          <w:bCs w:val="0"/>
          <w:color w:val="000000" w:themeColor="text1"/>
          <w:sz w:val="30"/>
          <w:szCs w:val="30"/>
        </w:rPr>
        <w:tab/>
      </w:r>
      <w:r w:rsidRPr="009E1FE3">
        <w:rPr>
          <w:rFonts w:asciiTheme="majorHAnsi" w:hAnsiTheme="majorHAnsi" w:cstheme="majorBidi"/>
          <w:b w:val="0"/>
          <w:bCs w:val="0"/>
          <w:color w:val="000000" w:themeColor="text1"/>
          <w:sz w:val="30"/>
          <w:szCs w:val="30"/>
        </w:rPr>
        <w:t xml:space="preserve">Dans </w:t>
      </w:r>
      <w:r w:rsidRPr="009E1FE3">
        <w:rPr>
          <w:rFonts w:asciiTheme="majorHAnsi" w:hAnsiTheme="majorHAnsi" w:cstheme="majorBidi"/>
          <w:color w:val="000000" w:themeColor="text1"/>
          <w:sz w:val="30"/>
          <w:szCs w:val="30"/>
        </w:rPr>
        <w:t>la zone euro</w:t>
      </w:r>
      <w:r w:rsidRPr="00A941A5">
        <w:rPr>
          <w:rFonts w:asciiTheme="majorHAnsi" w:hAnsiTheme="majorHAnsi" w:cstheme="majorBidi"/>
          <w:b w:val="0"/>
          <w:bCs w:val="0"/>
          <w:color w:val="000000" w:themeColor="text1"/>
          <w:sz w:val="30"/>
          <w:szCs w:val="30"/>
        </w:rPr>
        <w:t xml:space="preserve">, </w:t>
      </w:r>
      <w:r w:rsidR="009E1FE3">
        <w:rPr>
          <w:rFonts w:asciiTheme="majorHAnsi" w:hAnsiTheme="majorHAnsi" w:cstheme="majorBidi"/>
          <w:b w:val="0"/>
          <w:bCs w:val="0"/>
          <w:color w:val="000000" w:themeColor="text1"/>
          <w:sz w:val="30"/>
          <w:szCs w:val="30"/>
        </w:rPr>
        <w:t>le climat des affaires ne cesse de se dégrader. L</w:t>
      </w:r>
      <w:r w:rsidR="009E1FE3" w:rsidRPr="00A941A5">
        <w:rPr>
          <w:rFonts w:asciiTheme="majorHAnsi" w:hAnsiTheme="majorHAnsi" w:cstheme="majorBidi"/>
          <w:b w:val="0"/>
          <w:bCs w:val="0"/>
          <w:color w:val="000000" w:themeColor="text1"/>
          <w:sz w:val="30"/>
          <w:szCs w:val="30"/>
        </w:rPr>
        <w:t>es négociations autour du Brexit,</w:t>
      </w:r>
      <w:r w:rsidR="009E1FE3">
        <w:rPr>
          <w:rFonts w:asciiTheme="majorHAnsi" w:hAnsiTheme="majorHAnsi" w:cstheme="majorBidi"/>
          <w:b w:val="0"/>
          <w:bCs w:val="0"/>
          <w:color w:val="000000" w:themeColor="text1"/>
          <w:sz w:val="30"/>
          <w:szCs w:val="30"/>
        </w:rPr>
        <w:t xml:space="preserve"> la montée</w:t>
      </w:r>
      <w:r w:rsidR="009E1FE3" w:rsidRPr="00A941A5">
        <w:rPr>
          <w:rFonts w:asciiTheme="majorHAnsi" w:hAnsiTheme="majorHAnsi" w:cstheme="majorBidi"/>
          <w:b w:val="0"/>
          <w:bCs w:val="0"/>
          <w:color w:val="000000" w:themeColor="text1"/>
          <w:sz w:val="30"/>
          <w:szCs w:val="30"/>
        </w:rPr>
        <w:t xml:space="preserve"> </w:t>
      </w:r>
      <w:r w:rsidR="009E1FE3" w:rsidRPr="00406A32">
        <w:rPr>
          <w:rFonts w:asciiTheme="majorHAnsi" w:hAnsiTheme="majorHAnsi" w:cstheme="majorBidi"/>
          <w:b w:val="0"/>
          <w:bCs w:val="0"/>
          <w:color w:val="000000" w:themeColor="text1"/>
          <w:sz w:val="30"/>
          <w:szCs w:val="30"/>
        </w:rPr>
        <w:t>sans précédent</w:t>
      </w:r>
      <w:r w:rsidR="009E1FE3">
        <w:rPr>
          <w:rFonts w:asciiTheme="majorHAnsi" w:hAnsiTheme="majorHAnsi" w:cstheme="majorBidi"/>
          <w:b w:val="0"/>
          <w:bCs w:val="0"/>
          <w:color w:val="000000" w:themeColor="text1"/>
          <w:sz w:val="30"/>
          <w:szCs w:val="30"/>
        </w:rPr>
        <w:t xml:space="preserve"> d</w:t>
      </w:r>
      <w:r w:rsidR="009E1FE3" w:rsidRPr="00A941A5">
        <w:rPr>
          <w:rFonts w:asciiTheme="majorHAnsi" w:hAnsiTheme="majorHAnsi" w:cstheme="majorBidi"/>
          <w:b w:val="0"/>
          <w:bCs w:val="0"/>
          <w:color w:val="000000" w:themeColor="text1"/>
          <w:sz w:val="30"/>
          <w:szCs w:val="30"/>
        </w:rPr>
        <w:t xml:space="preserve">es tensions sociales en France </w:t>
      </w:r>
      <w:r w:rsidR="009E1FE3">
        <w:rPr>
          <w:rFonts w:asciiTheme="majorHAnsi" w:hAnsiTheme="majorHAnsi" w:cstheme="majorBidi"/>
          <w:b w:val="0"/>
          <w:bCs w:val="0"/>
          <w:color w:val="000000" w:themeColor="text1"/>
          <w:sz w:val="30"/>
          <w:szCs w:val="30"/>
        </w:rPr>
        <w:t xml:space="preserve">et </w:t>
      </w:r>
      <w:r w:rsidR="009E1FE3" w:rsidRPr="00A941A5">
        <w:rPr>
          <w:rFonts w:asciiTheme="majorHAnsi" w:hAnsiTheme="majorHAnsi" w:cstheme="majorBidi"/>
          <w:b w:val="0"/>
          <w:bCs w:val="0"/>
          <w:color w:val="000000" w:themeColor="text1"/>
          <w:sz w:val="30"/>
          <w:szCs w:val="30"/>
        </w:rPr>
        <w:t>l</w:t>
      </w:r>
      <w:r w:rsidR="009E1FE3">
        <w:rPr>
          <w:rFonts w:asciiTheme="majorHAnsi" w:hAnsiTheme="majorHAnsi" w:cstheme="majorBidi"/>
          <w:b w:val="0"/>
          <w:bCs w:val="0"/>
          <w:color w:val="000000" w:themeColor="text1"/>
          <w:sz w:val="30"/>
          <w:szCs w:val="30"/>
        </w:rPr>
        <w:t>’incertitude</w:t>
      </w:r>
      <w:r w:rsidR="009E1FE3" w:rsidRPr="00A941A5">
        <w:rPr>
          <w:rFonts w:asciiTheme="majorHAnsi" w:hAnsiTheme="majorHAnsi" w:cstheme="majorBidi"/>
          <w:b w:val="0"/>
          <w:bCs w:val="0"/>
          <w:color w:val="000000" w:themeColor="text1"/>
          <w:sz w:val="30"/>
          <w:szCs w:val="30"/>
        </w:rPr>
        <w:t xml:space="preserve"> </w:t>
      </w:r>
      <w:r w:rsidR="009E1FE3" w:rsidRPr="00406A32">
        <w:rPr>
          <w:rFonts w:asciiTheme="majorHAnsi" w:hAnsiTheme="majorHAnsi" w:cstheme="majorBidi"/>
          <w:b w:val="0"/>
          <w:bCs w:val="0"/>
          <w:color w:val="000000" w:themeColor="text1"/>
          <w:sz w:val="30"/>
          <w:szCs w:val="30"/>
        </w:rPr>
        <w:t xml:space="preserve">qui pointe à </w:t>
      </w:r>
      <w:r w:rsidR="00CC4591">
        <w:rPr>
          <w:rFonts w:asciiTheme="majorHAnsi" w:hAnsiTheme="majorHAnsi" w:cstheme="majorBidi"/>
          <w:b w:val="0"/>
          <w:bCs w:val="0"/>
          <w:color w:val="000000" w:themeColor="text1"/>
          <w:sz w:val="30"/>
          <w:szCs w:val="30"/>
        </w:rPr>
        <w:t>teme</w:t>
      </w:r>
      <w:r w:rsidR="009E1FE3" w:rsidRPr="00406A32">
        <w:rPr>
          <w:rFonts w:asciiTheme="majorHAnsi" w:hAnsiTheme="majorHAnsi" w:cstheme="majorBidi"/>
          <w:b w:val="0"/>
          <w:bCs w:val="0"/>
          <w:color w:val="000000" w:themeColor="text1"/>
          <w:sz w:val="30"/>
          <w:szCs w:val="30"/>
        </w:rPr>
        <w:t xml:space="preserve"> la politique </w:t>
      </w:r>
      <w:r w:rsidR="009E1FE3">
        <w:rPr>
          <w:rFonts w:asciiTheme="majorHAnsi" w:hAnsiTheme="majorHAnsi" w:cstheme="majorBidi"/>
          <w:b w:val="0"/>
          <w:bCs w:val="0"/>
          <w:color w:val="000000" w:themeColor="text1"/>
          <w:sz w:val="30"/>
          <w:szCs w:val="30"/>
        </w:rPr>
        <w:t>budgétaire</w:t>
      </w:r>
      <w:r w:rsidR="009E1FE3" w:rsidRPr="00A941A5">
        <w:rPr>
          <w:rFonts w:asciiTheme="majorHAnsi" w:hAnsiTheme="majorHAnsi" w:cstheme="majorBidi"/>
          <w:b w:val="0"/>
          <w:bCs w:val="0"/>
          <w:color w:val="000000" w:themeColor="text1"/>
          <w:sz w:val="30"/>
          <w:szCs w:val="30"/>
        </w:rPr>
        <w:t xml:space="preserve"> </w:t>
      </w:r>
      <w:r w:rsidR="009E1FE3">
        <w:rPr>
          <w:rFonts w:asciiTheme="majorHAnsi" w:hAnsiTheme="majorHAnsi" w:cstheme="majorBidi"/>
          <w:b w:val="0"/>
          <w:bCs w:val="0"/>
          <w:color w:val="000000" w:themeColor="text1"/>
          <w:sz w:val="30"/>
          <w:szCs w:val="30"/>
        </w:rPr>
        <w:t xml:space="preserve">en Italie, </w:t>
      </w:r>
      <w:r w:rsidR="009E1FE3" w:rsidRPr="009722C2">
        <w:rPr>
          <w:rFonts w:asciiTheme="majorHAnsi" w:hAnsiTheme="majorHAnsi" w:cstheme="majorBidi"/>
          <w:b w:val="0"/>
          <w:bCs w:val="0"/>
          <w:color w:val="000000" w:themeColor="text1"/>
          <w:sz w:val="30"/>
          <w:szCs w:val="30"/>
        </w:rPr>
        <w:t>devraient susciter plusieurs inquiétudes</w:t>
      </w:r>
      <w:r w:rsidR="009E1FE3">
        <w:rPr>
          <w:rFonts w:asciiTheme="majorHAnsi" w:hAnsiTheme="majorHAnsi" w:cstheme="majorBidi"/>
          <w:b w:val="0"/>
          <w:bCs w:val="0"/>
          <w:color w:val="000000" w:themeColor="text1"/>
          <w:sz w:val="30"/>
          <w:szCs w:val="30"/>
        </w:rPr>
        <w:t>.</w:t>
      </w:r>
      <w:r w:rsidR="009E1FE3" w:rsidRPr="009E1FE3">
        <w:rPr>
          <w:rFonts w:asciiTheme="majorHAnsi" w:hAnsiTheme="majorHAnsi" w:cstheme="majorBidi"/>
          <w:b w:val="0"/>
          <w:bCs w:val="0"/>
          <w:color w:val="000000" w:themeColor="text1"/>
          <w:sz w:val="30"/>
          <w:szCs w:val="30"/>
        </w:rPr>
        <w:t xml:space="preserve"> </w:t>
      </w:r>
      <w:r w:rsidR="009E1FE3" w:rsidRPr="00A941A5">
        <w:rPr>
          <w:rFonts w:asciiTheme="majorHAnsi" w:hAnsiTheme="majorHAnsi" w:cstheme="majorBidi"/>
          <w:b w:val="0"/>
          <w:bCs w:val="0"/>
          <w:color w:val="000000" w:themeColor="text1"/>
          <w:sz w:val="30"/>
          <w:szCs w:val="30"/>
        </w:rPr>
        <w:t xml:space="preserve">Plusieurs pays de la zone continueraient </w:t>
      </w:r>
      <w:r w:rsidR="009E1FE3">
        <w:rPr>
          <w:rFonts w:asciiTheme="majorHAnsi" w:hAnsiTheme="majorHAnsi" w:cstheme="majorBidi"/>
          <w:b w:val="0"/>
          <w:bCs w:val="0"/>
          <w:color w:val="000000" w:themeColor="text1"/>
          <w:sz w:val="30"/>
          <w:szCs w:val="30"/>
        </w:rPr>
        <w:t>d’être pénalisés par le</w:t>
      </w:r>
      <w:r w:rsidR="009E1FE3" w:rsidRPr="00A941A5">
        <w:rPr>
          <w:rFonts w:asciiTheme="majorHAnsi" w:hAnsiTheme="majorHAnsi" w:cstheme="majorBidi"/>
          <w:b w:val="0"/>
          <w:bCs w:val="0"/>
          <w:color w:val="000000" w:themeColor="text1"/>
          <w:sz w:val="30"/>
          <w:szCs w:val="30"/>
        </w:rPr>
        <w:t xml:space="preserve"> niveau inso</w:t>
      </w:r>
      <w:r w:rsidR="009E1FE3">
        <w:rPr>
          <w:rFonts w:asciiTheme="majorHAnsi" w:hAnsiTheme="majorHAnsi" w:cstheme="majorBidi"/>
          <w:b w:val="0"/>
          <w:bCs w:val="0"/>
          <w:color w:val="000000" w:themeColor="text1"/>
          <w:sz w:val="30"/>
          <w:szCs w:val="30"/>
        </w:rPr>
        <w:t>utenable de la dette publique et par la baisse de leurs exportations.</w:t>
      </w:r>
      <w:r w:rsidRPr="009722C2">
        <w:rPr>
          <w:rFonts w:asciiTheme="majorHAnsi" w:hAnsiTheme="majorHAnsi" w:cstheme="majorBidi"/>
          <w:b w:val="0"/>
          <w:bCs w:val="0"/>
          <w:color w:val="000000" w:themeColor="text1"/>
          <w:sz w:val="30"/>
          <w:szCs w:val="30"/>
        </w:rPr>
        <w:t xml:space="preserve"> </w:t>
      </w:r>
      <w:r w:rsidR="009E1FE3" w:rsidRPr="009E1FE3">
        <w:rPr>
          <w:rFonts w:asciiTheme="majorHAnsi" w:hAnsiTheme="majorHAnsi" w:cstheme="majorBidi"/>
          <w:b w:val="0"/>
          <w:bCs w:val="0"/>
          <w:color w:val="000000" w:themeColor="text1"/>
          <w:sz w:val="30"/>
          <w:szCs w:val="30"/>
        </w:rPr>
        <w:t xml:space="preserve">Dans ce contexte, la croissance de la zone euro devrait </w:t>
      </w:r>
      <w:r w:rsidR="009E1FE3">
        <w:rPr>
          <w:rFonts w:asciiTheme="majorHAnsi" w:hAnsiTheme="majorHAnsi" w:cstheme="majorBidi"/>
          <w:b w:val="0"/>
          <w:bCs w:val="0"/>
          <w:color w:val="000000" w:themeColor="text1"/>
          <w:sz w:val="30"/>
          <w:szCs w:val="30"/>
        </w:rPr>
        <w:t xml:space="preserve">ralentir </w:t>
      </w:r>
      <w:r w:rsidR="009E1FE3" w:rsidRPr="009E1FE3">
        <w:rPr>
          <w:rFonts w:asciiTheme="majorHAnsi" w:hAnsiTheme="majorHAnsi" w:cstheme="majorBidi"/>
          <w:b w:val="0"/>
          <w:bCs w:val="0"/>
          <w:color w:val="000000" w:themeColor="text1"/>
          <w:sz w:val="30"/>
          <w:szCs w:val="30"/>
        </w:rPr>
        <w:t>pass</w:t>
      </w:r>
      <w:r w:rsidR="009E1FE3">
        <w:rPr>
          <w:rFonts w:asciiTheme="majorHAnsi" w:hAnsiTheme="majorHAnsi" w:cstheme="majorBidi"/>
          <w:b w:val="0"/>
          <w:bCs w:val="0"/>
          <w:color w:val="000000" w:themeColor="text1"/>
          <w:sz w:val="30"/>
          <w:szCs w:val="30"/>
        </w:rPr>
        <w:t>ant</w:t>
      </w:r>
      <w:r w:rsidR="009E1FE3" w:rsidRPr="009E1FE3">
        <w:rPr>
          <w:rFonts w:asciiTheme="majorHAnsi" w:hAnsiTheme="majorHAnsi" w:cstheme="majorBidi"/>
          <w:b w:val="0"/>
          <w:bCs w:val="0"/>
          <w:color w:val="000000" w:themeColor="text1"/>
          <w:sz w:val="30"/>
          <w:szCs w:val="30"/>
        </w:rPr>
        <w:t xml:space="preserve"> de 1,9% en 2018, à 1,6% en 2019, après 2,5% en 2017.  </w:t>
      </w:r>
    </w:p>
    <w:p w:rsidR="00200F80" w:rsidRDefault="00200F80" w:rsidP="00A365B4">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r w:rsidRPr="009722C2">
        <w:rPr>
          <w:rFonts w:asciiTheme="majorHAnsi" w:hAnsiTheme="majorHAnsi" w:cstheme="majorBidi"/>
          <w:b w:val="0"/>
          <w:bCs w:val="0"/>
          <w:color w:val="000000" w:themeColor="text1"/>
          <w:sz w:val="30"/>
          <w:szCs w:val="30"/>
        </w:rPr>
        <w:tab/>
        <w:t xml:space="preserve"> </w:t>
      </w:r>
    </w:p>
    <w:p w:rsidR="00200F80" w:rsidRPr="009722C2" w:rsidRDefault="00200F80" w:rsidP="006578B3">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r w:rsidRPr="009722C2">
        <w:rPr>
          <w:rFonts w:asciiTheme="majorHAnsi" w:hAnsiTheme="majorHAnsi"/>
          <w:b w:val="0"/>
          <w:bCs w:val="0"/>
          <w:color w:val="000000" w:themeColor="text1"/>
          <w:sz w:val="30"/>
          <w:szCs w:val="30"/>
        </w:rPr>
        <w:tab/>
      </w:r>
      <w:r w:rsidRPr="009722C2">
        <w:rPr>
          <w:rFonts w:asciiTheme="majorHAnsi" w:hAnsiTheme="majorHAnsi" w:cstheme="majorBidi"/>
          <w:color w:val="000000" w:themeColor="text1"/>
          <w:sz w:val="30"/>
          <w:szCs w:val="30"/>
        </w:rPr>
        <w:t>Dans les pays émergents</w:t>
      </w:r>
      <w:r w:rsidRPr="009722C2">
        <w:rPr>
          <w:rFonts w:asciiTheme="majorHAnsi" w:hAnsiTheme="majorHAnsi" w:cstheme="majorBidi"/>
          <w:b w:val="0"/>
          <w:bCs w:val="0"/>
          <w:color w:val="000000" w:themeColor="text1"/>
          <w:sz w:val="30"/>
          <w:szCs w:val="30"/>
        </w:rPr>
        <w:t xml:space="preserve"> </w:t>
      </w:r>
      <w:r w:rsidRPr="009722C2">
        <w:rPr>
          <w:rFonts w:asciiTheme="majorHAnsi" w:hAnsiTheme="majorHAnsi" w:cstheme="majorBidi"/>
          <w:color w:val="000000" w:themeColor="text1"/>
          <w:sz w:val="30"/>
          <w:szCs w:val="30"/>
        </w:rPr>
        <w:t>et en développement</w:t>
      </w:r>
      <w:r w:rsidRPr="009722C2">
        <w:rPr>
          <w:rFonts w:asciiTheme="majorHAnsi" w:hAnsiTheme="majorHAnsi" w:cstheme="majorBidi"/>
          <w:b w:val="0"/>
          <w:bCs w:val="0"/>
          <w:color w:val="000000" w:themeColor="text1"/>
          <w:sz w:val="30"/>
          <w:szCs w:val="30"/>
        </w:rPr>
        <w:t>,</w:t>
      </w:r>
      <w:r w:rsidR="00A365B4" w:rsidRPr="009722C2">
        <w:rPr>
          <w:rFonts w:asciiTheme="majorHAnsi" w:hAnsiTheme="majorHAnsi" w:cstheme="majorBidi"/>
          <w:b w:val="0"/>
          <w:bCs w:val="0"/>
          <w:color w:val="000000" w:themeColor="text1"/>
          <w:sz w:val="30"/>
          <w:szCs w:val="30"/>
        </w:rPr>
        <w:t xml:space="preserve"> les perspectives </w:t>
      </w:r>
      <w:r w:rsidR="00D60FE4">
        <w:rPr>
          <w:rFonts w:asciiTheme="majorHAnsi" w:hAnsiTheme="majorHAnsi" w:cstheme="majorBidi"/>
          <w:b w:val="0"/>
          <w:bCs w:val="0"/>
          <w:color w:val="000000" w:themeColor="text1"/>
          <w:sz w:val="30"/>
          <w:szCs w:val="30"/>
        </w:rPr>
        <w:t xml:space="preserve">économiques </w:t>
      </w:r>
      <w:r w:rsidR="00A365B4" w:rsidRPr="009722C2">
        <w:rPr>
          <w:rFonts w:asciiTheme="majorHAnsi" w:hAnsiTheme="majorHAnsi" w:cstheme="majorBidi"/>
          <w:b w:val="0"/>
          <w:bCs w:val="0"/>
          <w:color w:val="000000" w:themeColor="text1"/>
          <w:sz w:val="30"/>
          <w:szCs w:val="30"/>
        </w:rPr>
        <w:t xml:space="preserve">restent </w:t>
      </w:r>
      <w:r w:rsidR="005151FD">
        <w:rPr>
          <w:rFonts w:asciiTheme="majorHAnsi" w:hAnsiTheme="majorHAnsi" w:cstheme="majorBidi"/>
          <w:b w:val="0"/>
          <w:bCs w:val="0"/>
          <w:color w:val="000000" w:themeColor="text1"/>
          <w:sz w:val="30"/>
          <w:szCs w:val="30"/>
        </w:rPr>
        <w:t xml:space="preserve">globalement </w:t>
      </w:r>
      <w:r w:rsidR="00A365B4" w:rsidRPr="009722C2">
        <w:rPr>
          <w:rFonts w:asciiTheme="majorHAnsi" w:hAnsiTheme="majorHAnsi" w:cstheme="majorBidi"/>
          <w:b w:val="0"/>
          <w:bCs w:val="0"/>
          <w:color w:val="000000" w:themeColor="text1"/>
          <w:sz w:val="30"/>
          <w:szCs w:val="30"/>
        </w:rPr>
        <w:t xml:space="preserve">inégales. </w:t>
      </w:r>
      <w:r w:rsidR="00737B45" w:rsidRPr="009722C2">
        <w:rPr>
          <w:rFonts w:asciiTheme="majorHAnsi" w:hAnsiTheme="majorHAnsi" w:cstheme="majorBidi"/>
          <w:b w:val="0"/>
          <w:bCs w:val="0"/>
          <w:color w:val="000000" w:themeColor="text1"/>
          <w:sz w:val="30"/>
          <w:szCs w:val="30"/>
        </w:rPr>
        <w:t xml:space="preserve">Le </w:t>
      </w:r>
      <w:r w:rsidRPr="009722C2">
        <w:rPr>
          <w:rFonts w:asciiTheme="majorHAnsi" w:hAnsiTheme="majorHAnsi" w:cstheme="majorBidi"/>
          <w:b w:val="0"/>
          <w:bCs w:val="0"/>
          <w:color w:val="000000" w:themeColor="text1"/>
          <w:sz w:val="30"/>
          <w:szCs w:val="30"/>
        </w:rPr>
        <w:t xml:space="preserve">ralentissement de la demande extérieure, l’accroissement des charges d’emprunt et la persistance </w:t>
      </w:r>
      <w:r w:rsidR="00737B45" w:rsidRPr="009722C2">
        <w:rPr>
          <w:rFonts w:asciiTheme="majorHAnsi" w:hAnsiTheme="majorHAnsi" w:cstheme="majorBidi"/>
          <w:b w:val="0"/>
          <w:bCs w:val="0"/>
          <w:color w:val="000000" w:themeColor="text1"/>
          <w:sz w:val="30"/>
          <w:szCs w:val="30"/>
        </w:rPr>
        <w:t xml:space="preserve">des incertitudes </w:t>
      </w:r>
      <w:r w:rsidRPr="009722C2">
        <w:rPr>
          <w:rFonts w:asciiTheme="majorHAnsi" w:hAnsiTheme="majorHAnsi" w:cstheme="majorBidi"/>
          <w:b w:val="0"/>
          <w:bCs w:val="0"/>
          <w:color w:val="000000" w:themeColor="text1"/>
          <w:sz w:val="30"/>
          <w:szCs w:val="30"/>
        </w:rPr>
        <w:t>en matière de politiques publiques</w:t>
      </w:r>
      <w:r w:rsidR="005151FD">
        <w:rPr>
          <w:rFonts w:asciiTheme="majorHAnsi" w:hAnsiTheme="majorHAnsi" w:cstheme="majorBidi"/>
          <w:b w:val="0"/>
          <w:bCs w:val="0"/>
          <w:color w:val="000000" w:themeColor="text1"/>
          <w:sz w:val="30"/>
          <w:szCs w:val="30"/>
        </w:rPr>
        <w:t>,</w:t>
      </w:r>
      <w:r w:rsidRPr="009722C2">
        <w:rPr>
          <w:rFonts w:asciiTheme="majorHAnsi" w:hAnsiTheme="majorHAnsi" w:cstheme="majorBidi"/>
          <w:b w:val="0"/>
          <w:bCs w:val="0"/>
          <w:color w:val="000000" w:themeColor="text1"/>
          <w:sz w:val="30"/>
          <w:szCs w:val="30"/>
        </w:rPr>
        <w:t xml:space="preserve"> </w:t>
      </w:r>
      <w:r w:rsidR="00737B45" w:rsidRPr="009722C2">
        <w:rPr>
          <w:rFonts w:asciiTheme="majorHAnsi" w:hAnsiTheme="majorHAnsi" w:cstheme="majorBidi"/>
          <w:b w:val="0"/>
          <w:bCs w:val="0"/>
          <w:color w:val="000000" w:themeColor="text1"/>
          <w:sz w:val="30"/>
          <w:szCs w:val="30"/>
        </w:rPr>
        <w:t>seraient</w:t>
      </w:r>
      <w:r w:rsidR="00A365B4" w:rsidRPr="009722C2">
        <w:rPr>
          <w:rFonts w:asciiTheme="majorHAnsi" w:hAnsiTheme="majorHAnsi" w:cstheme="majorBidi"/>
          <w:b w:val="0"/>
          <w:bCs w:val="0"/>
          <w:color w:val="000000" w:themeColor="text1"/>
          <w:sz w:val="30"/>
          <w:szCs w:val="30"/>
        </w:rPr>
        <w:t xml:space="preserve"> autant de facteurs qui </w:t>
      </w:r>
      <w:r w:rsidRPr="009722C2">
        <w:rPr>
          <w:rFonts w:asciiTheme="majorHAnsi" w:hAnsiTheme="majorHAnsi" w:cstheme="majorBidi"/>
          <w:b w:val="0"/>
          <w:bCs w:val="0"/>
          <w:color w:val="000000" w:themeColor="text1"/>
          <w:sz w:val="30"/>
          <w:szCs w:val="30"/>
        </w:rPr>
        <w:t>devraient peser sur l’activité économique</w:t>
      </w:r>
      <w:r w:rsidR="00543863">
        <w:rPr>
          <w:rFonts w:asciiTheme="majorHAnsi" w:hAnsiTheme="majorHAnsi" w:cstheme="majorBidi"/>
          <w:b w:val="0"/>
          <w:bCs w:val="0"/>
          <w:color w:val="000000" w:themeColor="text1"/>
          <w:sz w:val="30"/>
          <w:szCs w:val="30"/>
        </w:rPr>
        <w:t xml:space="preserve">  avec une</w:t>
      </w:r>
      <w:r w:rsidR="00A365B4" w:rsidRPr="009722C2">
        <w:rPr>
          <w:rFonts w:asciiTheme="majorHAnsi" w:hAnsiTheme="majorHAnsi" w:cstheme="majorBidi"/>
          <w:b w:val="0"/>
          <w:bCs w:val="0"/>
          <w:color w:val="000000" w:themeColor="text1"/>
          <w:sz w:val="30"/>
          <w:szCs w:val="30"/>
        </w:rPr>
        <w:t xml:space="preserve"> </w:t>
      </w:r>
      <w:r w:rsidRPr="009722C2">
        <w:rPr>
          <w:rFonts w:asciiTheme="majorHAnsi" w:hAnsiTheme="majorHAnsi" w:cstheme="majorBidi"/>
          <w:b w:val="0"/>
          <w:bCs w:val="0"/>
          <w:color w:val="000000" w:themeColor="text1"/>
          <w:sz w:val="30"/>
          <w:szCs w:val="30"/>
        </w:rPr>
        <w:t xml:space="preserve">croissance globale </w:t>
      </w:r>
      <w:r w:rsidR="00543863">
        <w:rPr>
          <w:rFonts w:asciiTheme="majorHAnsi" w:hAnsiTheme="majorHAnsi" w:cstheme="majorBidi"/>
          <w:b w:val="0"/>
          <w:bCs w:val="0"/>
          <w:color w:val="000000" w:themeColor="text1"/>
          <w:sz w:val="30"/>
          <w:szCs w:val="30"/>
        </w:rPr>
        <w:t xml:space="preserve">qui </w:t>
      </w:r>
      <w:r w:rsidRPr="009722C2">
        <w:rPr>
          <w:rFonts w:asciiTheme="majorHAnsi" w:hAnsiTheme="majorHAnsi" w:cstheme="majorBidi"/>
          <w:b w:val="0"/>
          <w:bCs w:val="0"/>
          <w:color w:val="000000" w:themeColor="text1"/>
          <w:sz w:val="30"/>
          <w:szCs w:val="30"/>
        </w:rPr>
        <w:t xml:space="preserve">devrait </w:t>
      </w:r>
      <w:r w:rsidR="005151FD">
        <w:rPr>
          <w:rFonts w:asciiTheme="majorHAnsi" w:hAnsiTheme="majorHAnsi" w:cstheme="majorBidi"/>
          <w:b w:val="0"/>
          <w:bCs w:val="0"/>
          <w:color w:val="000000" w:themeColor="text1"/>
          <w:sz w:val="30"/>
          <w:szCs w:val="30"/>
        </w:rPr>
        <w:t>se maintenir à</w:t>
      </w:r>
      <w:r w:rsidRPr="009722C2">
        <w:rPr>
          <w:rFonts w:asciiTheme="majorHAnsi" w:hAnsiTheme="majorHAnsi" w:cstheme="majorBidi"/>
          <w:b w:val="0"/>
          <w:bCs w:val="0"/>
          <w:color w:val="000000" w:themeColor="text1"/>
          <w:sz w:val="30"/>
          <w:szCs w:val="30"/>
        </w:rPr>
        <w:t xml:space="preserve"> </w:t>
      </w:r>
      <w:r w:rsidR="005151FD">
        <w:rPr>
          <w:rFonts w:asciiTheme="majorHAnsi" w:hAnsiTheme="majorHAnsi" w:cstheme="majorBidi"/>
          <w:b w:val="0"/>
          <w:bCs w:val="0"/>
          <w:color w:val="000000" w:themeColor="text1"/>
          <w:sz w:val="30"/>
          <w:szCs w:val="30"/>
        </w:rPr>
        <w:t>4,2%</w:t>
      </w:r>
      <w:r w:rsidR="005151FD" w:rsidRPr="009722C2">
        <w:rPr>
          <w:rFonts w:asciiTheme="majorHAnsi" w:hAnsiTheme="majorHAnsi" w:cstheme="majorBidi"/>
          <w:b w:val="0"/>
          <w:bCs w:val="0"/>
          <w:color w:val="000000" w:themeColor="text1"/>
          <w:sz w:val="30"/>
          <w:szCs w:val="30"/>
        </w:rPr>
        <w:t xml:space="preserve"> </w:t>
      </w:r>
      <w:r w:rsidR="005151FD">
        <w:rPr>
          <w:rFonts w:asciiTheme="majorHAnsi" w:hAnsiTheme="majorHAnsi" w:cstheme="majorBidi"/>
          <w:b w:val="0"/>
          <w:bCs w:val="0"/>
          <w:color w:val="000000" w:themeColor="text1"/>
          <w:sz w:val="30"/>
          <w:szCs w:val="30"/>
        </w:rPr>
        <w:t>en 2019.</w:t>
      </w:r>
      <w:r w:rsidRPr="009722C2">
        <w:rPr>
          <w:rFonts w:asciiTheme="majorHAnsi" w:hAnsiTheme="majorHAnsi" w:cstheme="majorBidi"/>
          <w:b w:val="0"/>
          <w:bCs w:val="0"/>
          <w:color w:val="000000" w:themeColor="text1"/>
          <w:sz w:val="30"/>
          <w:szCs w:val="30"/>
        </w:rPr>
        <w:t xml:space="preserve"> </w:t>
      </w:r>
    </w:p>
    <w:p w:rsidR="00200F80" w:rsidRPr="009722C2" w:rsidRDefault="00200F80" w:rsidP="00200F80">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p>
    <w:p w:rsidR="00360367" w:rsidRDefault="00200F80" w:rsidP="006578B3">
      <w:pPr>
        <w:ind w:left="-426" w:hanging="426"/>
        <w:jc w:val="both"/>
        <w:rPr>
          <w:rFonts w:asciiTheme="majorHAnsi" w:hAnsiTheme="majorHAnsi" w:cstheme="majorBidi"/>
          <w:b w:val="0"/>
          <w:bCs w:val="0"/>
          <w:color w:val="000000" w:themeColor="text1"/>
          <w:sz w:val="30"/>
          <w:szCs w:val="30"/>
        </w:rPr>
      </w:pPr>
      <w:r w:rsidRPr="009722C2">
        <w:rPr>
          <w:rFonts w:asciiTheme="majorHAnsi" w:hAnsiTheme="majorHAnsi" w:cstheme="majorBidi"/>
          <w:b w:val="0"/>
          <w:bCs w:val="0"/>
          <w:color w:val="000000" w:themeColor="text1"/>
          <w:sz w:val="30"/>
          <w:szCs w:val="30"/>
        </w:rPr>
        <w:t xml:space="preserve"> </w:t>
      </w:r>
      <w:r w:rsidR="00A905E2" w:rsidRPr="009722C2">
        <w:rPr>
          <w:rFonts w:asciiTheme="majorHAnsi" w:hAnsiTheme="majorHAnsi" w:cstheme="majorBidi"/>
          <w:b w:val="0"/>
          <w:bCs w:val="0"/>
          <w:color w:val="000000" w:themeColor="text1"/>
          <w:sz w:val="30"/>
          <w:szCs w:val="30"/>
        </w:rPr>
        <w:tab/>
      </w:r>
      <w:r w:rsidR="006578B3">
        <w:rPr>
          <w:rFonts w:asciiTheme="majorHAnsi" w:hAnsiTheme="majorHAnsi" w:cstheme="majorBidi"/>
          <w:b w:val="0"/>
          <w:bCs w:val="0"/>
          <w:color w:val="000000" w:themeColor="text1"/>
          <w:sz w:val="30"/>
          <w:szCs w:val="30"/>
        </w:rPr>
        <w:tab/>
      </w:r>
      <w:r w:rsidRPr="00366C9F">
        <w:rPr>
          <w:rFonts w:asciiTheme="majorHAnsi" w:hAnsiTheme="majorHAnsi" w:cstheme="majorBidi"/>
          <w:color w:val="000000" w:themeColor="text1"/>
          <w:sz w:val="30"/>
          <w:szCs w:val="30"/>
        </w:rPr>
        <w:t>En Inde,</w:t>
      </w:r>
      <w:r w:rsidRPr="009722C2">
        <w:rPr>
          <w:rFonts w:asciiTheme="majorHAnsi" w:hAnsiTheme="majorHAnsi" w:cstheme="majorBidi"/>
          <w:b w:val="0"/>
          <w:bCs w:val="0"/>
          <w:color w:val="000000" w:themeColor="text1"/>
          <w:sz w:val="30"/>
          <w:szCs w:val="30"/>
        </w:rPr>
        <w:t xml:space="preserve"> la croissance rester</w:t>
      </w:r>
      <w:r w:rsidR="00BE77C8">
        <w:rPr>
          <w:rFonts w:asciiTheme="majorHAnsi" w:hAnsiTheme="majorHAnsi" w:cstheme="majorBidi"/>
          <w:b w:val="0"/>
          <w:bCs w:val="0"/>
          <w:color w:val="000000" w:themeColor="text1"/>
          <w:sz w:val="30"/>
          <w:szCs w:val="30"/>
        </w:rPr>
        <w:t>ait</w:t>
      </w:r>
      <w:r w:rsidRPr="009722C2">
        <w:rPr>
          <w:rFonts w:asciiTheme="majorHAnsi" w:hAnsiTheme="majorHAnsi" w:cstheme="majorBidi"/>
          <w:b w:val="0"/>
          <w:bCs w:val="0"/>
          <w:color w:val="000000" w:themeColor="text1"/>
          <w:sz w:val="30"/>
          <w:szCs w:val="30"/>
        </w:rPr>
        <w:t xml:space="preserve"> robuste avec un taux accéléré de 7,5% en 2019 après 7,3% en 2018, suite au renf</w:t>
      </w:r>
      <w:r w:rsidR="003915A1" w:rsidRPr="009722C2">
        <w:rPr>
          <w:rFonts w:asciiTheme="majorHAnsi" w:hAnsiTheme="majorHAnsi" w:cstheme="majorBidi"/>
          <w:b w:val="0"/>
          <w:bCs w:val="0"/>
          <w:color w:val="000000" w:themeColor="text1"/>
          <w:sz w:val="30"/>
          <w:szCs w:val="30"/>
        </w:rPr>
        <w:t xml:space="preserve">orcement des investissements et </w:t>
      </w:r>
      <w:r w:rsidRPr="009722C2">
        <w:rPr>
          <w:rFonts w:asciiTheme="majorHAnsi" w:hAnsiTheme="majorHAnsi" w:cstheme="majorBidi"/>
          <w:b w:val="0"/>
          <w:bCs w:val="0"/>
          <w:color w:val="000000" w:themeColor="text1"/>
          <w:sz w:val="30"/>
          <w:szCs w:val="30"/>
        </w:rPr>
        <w:t xml:space="preserve">une forte consommation privée. En </w:t>
      </w:r>
      <w:r w:rsidRPr="00366C9F">
        <w:rPr>
          <w:rFonts w:asciiTheme="majorHAnsi" w:hAnsiTheme="majorHAnsi" w:cstheme="majorBidi"/>
          <w:b w:val="0"/>
          <w:bCs w:val="0"/>
          <w:color w:val="000000" w:themeColor="text1"/>
          <w:sz w:val="30"/>
          <w:szCs w:val="30"/>
        </w:rPr>
        <w:t>Chine,</w:t>
      </w:r>
      <w:r w:rsidRPr="009722C2">
        <w:rPr>
          <w:rFonts w:asciiTheme="majorHAnsi" w:hAnsiTheme="majorHAnsi" w:cstheme="majorBidi"/>
          <w:b w:val="0"/>
          <w:bCs w:val="0"/>
          <w:color w:val="000000" w:themeColor="text1"/>
          <w:sz w:val="30"/>
          <w:szCs w:val="30"/>
        </w:rPr>
        <w:t xml:space="preserve"> la croissance économique, impactée par les mesures tarifaires restrictives et par la poursuite d</w:t>
      </w:r>
      <w:r w:rsidR="00370698">
        <w:rPr>
          <w:rFonts w:asciiTheme="majorHAnsi" w:hAnsiTheme="majorHAnsi" w:cstheme="majorBidi"/>
          <w:b w:val="0"/>
          <w:bCs w:val="0"/>
          <w:color w:val="000000" w:themeColor="text1"/>
          <w:sz w:val="30"/>
          <w:szCs w:val="30"/>
        </w:rPr>
        <w:t>u</w:t>
      </w:r>
      <w:r w:rsidRPr="009722C2">
        <w:rPr>
          <w:rFonts w:asciiTheme="majorHAnsi" w:hAnsiTheme="majorHAnsi" w:cstheme="majorBidi"/>
          <w:b w:val="0"/>
          <w:bCs w:val="0"/>
          <w:color w:val="000000" w:themeColor="text1"/>
          <w:sz w:val="30"/>
          <w:szCs w:val="30"/>
        </w:rPr>
        <w:t xml:space="preserve"> rééquilibrage intérieur, devrait ralentir en 2019, mais </w:t>
      </w:r>
      <w:r w:rsidR="00BE77C8">
        <w:rPr>
          <w:rFonts w:asciiTheme="majorHAnsi" w:hAnsiTheme="majorHAnsi" w:cstheme="majorBidi"/>
          <w:b w:val="0"/>
          <w:bCs w:val="0"/>
          <w:color w:val="000000" w:themeColor="text1"/>
          <w:sz w:val="30"/>
          <w:szCs w:val="30"/>
        </w:rPr>
        <w:t>demeure</w:t>
      </w:r>
      <w:r w:rsidRPr="009722C2">
        <w:rPr>
          <w:rFonts w:asciiTheme="majorHAnsi" w:hAnsiTheme="majorHAnsi" w:cstheme="majorBidi"/>
          <w:b w:val="0"/>
          <w:bCs w:val="0"/>
          <w:color w:val="000000" w:themeColor="text1"/>
          <w:sz w:val="30"/>
          <w:szCs w:val="30"/>
        </w:rPr>
        <w:t xml:space="preserve">rait forte avec un taux de 6,2% au lieu de 6,5% </w:t>
      </w:r>
      <w:r w:rsidR="003915A1" w:rsidRPr="009722C2">
        <w:rPr>
          <w:rFonts w:asciiTheme="majorHAnsi" w:hAnsiTheme="majorHAnsi" w:cstheme="majorBidi"/>
          <w:b w:val="0"/>
          <w:bCs w:val="0"/>
          <w:color w:val="000000" w:themeColor="text1"/>
          <w:sz w:val="30"/>
          <w:szCs w:val="30"/>
        </w:rPr>
        <w:t>en 2018.</w:t>
      </w:r>
      <w:r w:rsidR="00391D55">
        <w:rPr>
          <w:rFonts w:asciiTheme="majorHAnsi" w:hAnsiTheme="majorHAnsi" w:cstheme="majorBidi"/>
          <w:b w:val="0"/>
          <w:bCs w:val="0"/>
          <w:color w:val="000000" w:themeColor="text1"/>
          <w:sz w:val="30"/>
          <w:szCs w:val="30"/>
        </w:rPr>
        <w:t xml:space="preserve"> </w:t>
      </w:r>
      <w:r w:rsidR="00360367" w:rsidRPr="00360367">
        <w:rPr>
          <w:rFonts w:asciiTheme="majorHAnsi" w:hAnsiTheme="majorHAnsi" w:cstheme="majorBidi"/>
          <w:b w:val="0"/>
          <w:bCs w:val="0"/>
          <w:color w:val="000000" w:themeColor="text1"/>
          <w:sz w:val="30"/>
          <w:szCs w:val="30"/>
        </w:rPr>
        <w:t xml:space="preserve">En Amérique Latine, le Brésil fait également bonne mine avec une activité en progression de 2,2% en 2019 au lieu de </w:t>
      </w:r>
      <w:r w:rsidR="00C2146F">
        <w:rPr>
          <w:rFonts w:asciiTheme="majorHAnsi" w:hAnsiTheme="majorHAnsi" w:cstheme="majorBidi"/>
          <w:b w:val="0"/>
          <w:bCs w:val="0"/>
          <w:color w:val="000000" w:themeColor="text1"/>
          <w:sz w:val="30"/>
          <w:szCs w:val="30"/>
        </w:rPr>
        <w:t>1</w:t>
      </w:r>
      <w:r w:rsidR="00360367" w:rsidRPr="00360367">
        <w:rPr>
          <w:rFonts w:asciiTheme="majorHAnsi" w:hAnsiTheme="majorHAnsi" w:cstheme="majorBidi"/>
          <w:b w:val="0"/>
          <w:bCs w:val="0"/>
          <w:color w:val="000000" w:themeColor="text1"/>
          <w:sz w:val="30"/>
          <w:szCs w:val="30"/>
        </w:rPr>
        <w:t>,</w:t>
      </w:r>
      <w:r w:rsidR="00C2146F">
        <w:rPr>
          <w:rFonts w:asciiTheme="majorHAnsi" w:hAnsiTheme="majorHAnsi" w:cstheme="majorBidi"/>
          <w:b w:val="0"/>
          <w:bCs w:val="0"/>
          <w:color w:val="000000" w:themeColor="text1"/>
          <w:sz w:val="30"/>
          <w:szCs w:val="30"/>
        </w:rPr>
        <w:t>2</w:t>
      </w:r>
      <w:r w:rsidR="00360367" w:rsidRPr="00360367">
        <w:rPr>
          <w:rFonts w:asciiTheme="majorHAnsi" w:hAnsiTheme="majorHAnsi" w:cstheme="majorBidi"/>
          <w:b w:val="0"/>
          <w:bCs w:val="0"/>
          <w:color w:val="000000" w:themeColor="text1"/>
          <w:sz w:val="30"/>
          <w:szCs w:val="30"/>
        </w:rPr>
        <w:t xml:space="preserve">% en 2018, avec la reprise de la consommation et de l’investissement. </w:t>
      </w:r>
    </w:p>
    <w:p w:rsidR="00360367" w:rsidRDefault="00360367" w:rsidP="00360367">
      <w:pPr>
        <w:ind w:firstLine="709"/>
        <w:jc w:val="both"/>
        <w:rPr>
          <w:rFonts w:asciiTheme="majorHAnsi" w:hAnsiTheme="majorHAnsi" w:cstheme="majorBidi"/>
          <w:b w:val="0"/>
          <w:bCs w:val="0"/>
          <w:color w:val="000000" w:themeColor="text1"/>
          <w:sz w:val="30"/>
          <w:szCs w:val="30"/>
        </w:rPr>
      </w:pPr>
    </w:p>
    <w:p w:rsidR="00200F80" w:rsidRPr="009722C2" w:rsidRDefault="00C2146F" w:rsidP="006578B3">
      <w:pPr>
        <w:ind w:left="-426" w:hanging="426"/>
        <w:jc w:val="both"/>
        <w:rPr>
          <w:rFonts w:asciiTheme="majorHAnsi" w:hAnsiTheme="majorHAnsi" w:cstheme="majorBidi"/>
          <w:b w:val="0"/>
          <w:bCs w:val="0"/>
          <w:color w:val="000000" w:themeColor="text1"/>
          <w:sz w:val="30"/>
          <w:szCs w:val="30"/>
        </w:rPr>
      </w:pPr>
      <w:r>
        <w:rPr>
          <w:rFonts w:asciiTheme="majorHAnsi" w:hAnsiTheme="majorHAnsi" w:cstheme="majorBidi"/>
          <w:b w:val="0"/>
          <w:bCs w:val="0"/>
          <w:color w:val="000000" w:themeColor="text1"/>
          <w:sz w:val="30"/>
          <w:szCs w:val="30"/>
        </w:rPr>
        <w:t xml:space="preserve">     </w:t>
      </w:r>
      <w:r w:rsidR="006578B3">
        <w:rPr>
          <w:rFonts w:asciiTheme="majorHAnsi" w:hAnsiTheme="majorHAnsi" w:cstheme="majorBidi"/>
          <w:b w:val="0"/>
          <w:bCs w:val="0"/>
          <w:color w:val="000000" w:themeColor="text1"/>
          <w:sz w:val="30"/>
          <w:szCs w:val="30"/>
        </w:rPr>
        <w:tab/>
      </w:r>
      <w:r w:rsidR="006578B3">
        <w:rPr>
          <w:rFonts w:asciiTheme="majorHAnsi" w:hAnsiTheme="majorHAnsi" w:cstheme="majorBidi"/>
          <w:b w:val="0"/>
          <w:bCs w:val="0"/>
          <w:color w:val="000000" w:themeColor="text1"/>
          <w:sz w:val="30"/>
          <w:szCs w:val="30"/>
        </w:rPr>
        <w:tab/>
      </w:r>
      <w:r>
        <w:rPr>
          <w:rFonts w:asciiTheme="majorHAnsi" w:hAnsiTheme="majorHAnsi" w:cstheme="majorBidi"/>
          <w:b w:val="0"/>
          <w:bCs w:val="0"/>
          <w:color w:val="000000" w:themeColor="text1"/>
          <w:sz w:val="30"/>
          <w:szCs w:val="30"/>
        </w:rPr>
        <w:t xml:space="preserve"> </w:t>
      </w:r>
      <w:r w:rsidR="00360367">
        <w:rPr>
          <w:rFonts w:asciiTheme="majorHAnsi" w:hAnsiTheme="majorHAnsi" w:cstheme="majorBidi"/>
          <w:b w:val="0"/>
          <w:bCs w:val="0"/>
          <w:color w:val="000000" w:themeColor="text1"/>
          <w:sz w:val="30"/>
          <w:szCs w:val="30"/>
        </w:rPr>
        <w:t>En revanche</w:t>
      </w:r>
      <w:r w:rsidR="00360367" w:rsidRPr="00360367">
        <w:rPr>
          <w:rFonts w:asciiTheme="majorHAnsi" w:hAnsiTheme="majorHAnsi" w:cstheme="majorBidi"/>
          <w:b w:val="0"/>
          <w:bCs w:val="0"/>
          <w:color w:val="000000" w:themeColor="text1"/>
          <w:sz w:val="30"/>
          <w:szCs w:val="30"/>
        </w:rPr>
        <w:t xml:space="preserve">, la baisse du pouvoir d’achat liée à la dépréciation </w:t>
      </w:r>
      <w:r w:rsidR="006578B3">
        <w:rPr>
          <w:rFonts w:asciiTheme="majorHAnsi" w:hAnsiTheme="majorHAnsi" w:cstheme="majorBidi"/>
          <w:b w:val="0"/>
          <w:bCs w:val="0"/>
          <w:color w:val="000000" w:themeColor="text1"/>
          <w:sz w:val="30"/>
          <w:szCs w:val="30"/>
        </w:rPr>
        <w:t>du rouble et la hausse</w:t>
      </w:r>
      <w:r w:rsidR="00360367" w:rsidRPr="00360367">
        <w:rPr>
          <w:rFonts w:asciiTheme="majorHAnsi" w:hAnsiTheme="majorHAnsi" w:cstheme="majorBidi"/>
          <w:b w:val="0"/>
          <w:bCs w:val="0"/>
          <w:color w:val="000000" w:themeColor="text1"/>
          <w:sz w:val="30"/>
          <w:szCs w:val="30"/>
        </w:rPr>
        <w:t xml:space="preserve"> de la TVA, devrait pénaliser la croissance </w:t>
      </w:r>
      <w:r w:rsidR="00360367">
        <w:rPr>
          <w:rFonts w:asciiTheme="majorHAnsi" w:hAnsiTheme="majorHAnsi" w:cstheme="majorBidi"/>
          <w:b w:val="0"/>
          <w:bCs w:val="0"/>
          <w:color w:val="000000" w:themeColor="text1"/>
          <w:sz w:val="30"/>
          <w:szCs w:val="30"/>
        </w:rPr>
        <w:t>e</w:t>
      </w:r>
      <w:r w:rsidR="00360367" w:rsidRPr="00360367">
        <w:rPr>
          <w:rFonts w:asciiTheme="majorHAnsi" w:hAnsiTheme="majorHAnsi" w:cstheme="majorBidi"/>
          <w:b w:val="0"/>
          <w:bCs w:val="0"/>
          <w:color w:val="000000" w:themeColor="text1"/>
          <w:sz w:val="30"/>
          <w:szCs w:val="30"/>
        </w:rPr>
        <w:t xml:space="preserve">n </w:t>
      </w:r>
      <w:r w:rsidR="00360367" w:rsidRPr="00360367">
        <w:rPr>
          <w:rFonts w:asciiTheme="majorHAnsi" w:hAnsiTheme="majorHAnsi" w:cstheme="majorBidi"/>
          <w:bCs w:val="0"/>
          <w:color w:val="000000" w:themeColor="text1"/>
          <w:sz w:val="30"/>
          <w:szCs w:val="30"/>
        </w:rPr>
        <w:t>Russie</w:t>
      </w:r>
      <w:r w:rsidR="00360367" w:rsidRPr="00360367">
        <w:rPr>
          <w:rFonts w:asciiTheme="majorHAnsi" w:hAnsiTheme="majorHAnsi" w:cstheme="majorBidi"/>
          <w:b w:val="0"/>
          <w:bCs w:val="0"/>
          <w:color w:val="000000" w:themeColor="text1"/>
          <w:sz w:val="30"/>
          <w:szCs w:val="30"/>
        </w:rPr>
        <w:t xml:space="preserve"> en ramenant le taux à 1,5% en 2019, après 1,6% en 2018.</w:t>
      </w:r>
      <w:r w:rsidR="00360367">
        <w:rPr>
          <w:rFonts w:asciiTheme="majorHAnsi" w:hAnsiTheme="majorHAnsi" w:cstheme="majorBidi"/>
          <w:b w:val="0"/>
          <w:bCs w:val="0"/>
          <w:color w:val="000000" w:themeColor="text1"/>
          <w:sz w:val="30"/>
          <w:szCs w:val="30"/>
        </w:rPr>
        <w:t xml:space="preserve"> L</w:t>
      </w:r>
      <w:r w:rsidR="00200F80" w:rsidRPr="009722C2">
        <w:rPr>
          <w:rFonts w:asciiTheme="majorHAnsi" w:hAnsiTheme="majorHAnsi" w:cstheme="majorBidi"/>
          <w:b w:val="0"/>
          <w:bCs w:val="0"/>
          <w:color w:val="000000" w:themeColor="text1"/>
          <w:sz w:val="30"/>
          <w:szCs w:val="30"/>
        </w:rPr>
        <w:t>a croissance économique</w:t>
      </w:r>
      <w:r w:rsidR="007152E4" w:rsidRPr="009722C2">
        <w:rPr>
          <w:rFonts w:asciiTheme="majorHAnsi" w:hAnsiTheme="majorHAnsi" w:cstheme="majorBidi"/>
          <w:b w:val="0"/>
          <w:bCs w:val="0"/>
          <w:color w:val="000000" w:themeColor="text1"/>
          <w:sz w:val="30"/>
          <w:szCs w:val="30"/>
        </w:rPr>
        <w:t xml:space="preserve"> décélérerait </w:t>
      </w:r>
      <w:r w:rsidR="006578B3">
        <w:rPr>
          <w:rFonts w:asciiTheme="majorHAnsi" w:hAnsiTheme="majorHAnsi" w:cstheme="majorBidi"/>
          <w:b w:val="0"/>
          <w:bCs w:val="0"/>
          <w:color w:val="000000" w:themeColor="text1"/>
          <w:sz w:val="30"/>
          <w:szCs w:val="30"/>
        </w:rPr>
        <w:t>également</w:t>
      </w:r>
      <w:r>
        <w:rPr>
          <w:rFonts w:asciiTheme="majorHAnsi" w:hAnsiTheme="majorHAnsi" w:cstheme="majorBidi"/>
          <w:b w:val="0"/>
          <w:bCs w:val="0"/>
          <w:color w:val="000000" w:themeColor="text1"/>
          <w:sz w:val="30"/>
          <w:szCs w:val="30"/>
        </w:rPr>
        <w:t xml:space="preserve"> </w:t>
      </w:r>
      <w:r w:rsidR="00200F80" w:rsidRPr="009722C2">
        <w:rPr>
          <w:rFonts w:asciiTheme="majorHAnsi" w:hAnsiTheme="majorHAnsi" w:cstheme="majorBidi"/>
          <w:b w:val="0"/>
          <w:bCs w:val="0"/>
          <w:color w:val="000000" w:themeColor="text1"/>
          <w:sz w:val="30"/>
          <w:szCs w:val="30"/>
        </w:rPr>
        <w:t xml:space="preserve">pour un certain nombre d’économies émergentes notamment </w:t>
      </w:r>
      <w:r w:rsidR="00200F80" w:rsidRPr="009722C2">
        <w:rPr>
          <w:rFonts w:asciiTheme="majorHAnsi" w:hAnsiTheme="majorHAnsi" w:cstheme="majorBidi"/>
          <w:color w:val="000000" w:themeColor="text1"/>
          <w:sz w:val="30"/>
          <w:szCs w:val="30"/>
        </w:rPr>
        <w:t xml:space="preserve">l’Argentine, la Turquie, l’Iran et </w:t>
      </w:r>
      <w:r w:rsidR="007152E4" w:rsidRPr="009722C2">
        <w:rPr>
          <w:rFonts w:asciiTheme="majorHAnsi" w:hAnsiTheme="majorHAnsi" w:cstheme="majorBidi"/>
          <w:color w:val="000000" w:themeColor="text1"/>
          <w:sz w:val="30"/>
          <w:szCs w:val="30"/>
        </w:rPr>
        <w:t xml:space="preserve">le </w:t>
      </w:r>
      <w:r w:rsidR="00200F80" w:rsidRPr="009722C2">
        <w:rPr>
          <w:rFonts w:asciiTheme="majorHAnsi" w:hAnsiTheme="majorHAnsi" w:cstheme="majorBidi"/>
          <w:color w:val="000000" w:themeColor="text1"/>
          <w:sz w:val="30"/>
          <w:szCs w:val="30"/>
        </w:rPr>
        <w:t>Venezuela</w:t>
      </w:r>
      <w:r w:rsidR="00200F80" w:rsidRPr="009722C2">
        <w:rPr>
          <w:rFonts w:asciiTheme="majorHAnsi" w:hAnsiTheme="majorHAnsi" w:cstheme="majorBidi"/>
          <w:b w:val="0"/>
          <w:bCs w:val="0"/>
          <w:color w:val="000000" w:themeColor="text1"/>
          <w:sz w:val="30"/>
          <w:szCs w:val="30"/>
        </w:rPr>
        <w:t xml:space="preserve">, en raison de facteurs politiques propres à ces pays et aux  turbulences monétaires, </w:t>
      </w:r>
      <w:r w:rsidR="007152E4" w:rsidRPr="009722C2">
        <w:rPr>
          <w:rFonts w:asciiTheme="majorHAnsi" w:hAnsiTheme="majorHAnsi" w:cstheme="majorBidi"/>
          <w:b w:val="0"/>
          <w:bCs w:val="0"/>
          <w:color w:val="000000" w:themeColor="text1"/>
          <w:sz w:val="30"/>
          <w:szCs w:val="30"/>
        </w:rPr>
        <w:t>notamment</w:t>
      </w:r>
      <w:r w:rsidR="00200F80" w:rsidRPr="009722C2">
        <w:rPr>
          <w:rFonts w:asciiTheme="majorHAnsi" w:hAnsiTheme="majorHAnsi" w:cstheme="majorBidi"/>
          <w:b w:val="0"/>
          <w:bCs w:val="0"/>
          <w:color w:val="000000" w:themeColor="text1"/>
          <w:sz w:val="30"/>
          <w:szCs w:val="30"/>
        </w:rPr>
        <w:t xml:space="preserve"> la dépréciation </w:t>
      </w:r>
      <w:r w:rsidR="007152E4" w:rsidRPr="009722C2">
        <w:rPr>
          <w:rFonts w:asciiTheme="majorHAnsi" w:hAnsiTheme="majorHAnsi" w:cstheme="majorBidi"/>
          <w:b w:val="0"/>
          <w:bCs w:val="0"/>
          <w:color w:val="000000" w:themeColor="text1"/>
          <w:sz w:val="30"/>
          <w:szCs w:val="30"/>
        </w:rPr>
        <w:t>de leurs devises</w:t>
      </w:r>
      <w:r w:rsidR="000D4433" w:rsidRPr="009722C2">
        <w:rPr>
          <w:rFonts w:asciiTheme="majorHAnsi" w:hAnsiTheme="majorHAnsi" w:cstheme="majorBidi"/>
          <w:b w:val="0"/>
          <w:bCs w:val="0"/>
          <w:color w:val="000000" w:themeColor="text1"/>
          <w:sz w:val="30"/>
          <w:szCs w:val="30"/>
        </w:rPr>
        <w:t xml:space="preserve">  </w:t>
      </w:r>
      <w:r w:rsidR="00200F80" w:rsidRPr="009722C2">
        <w:rPr>
          <w:rFonts w:asciiTheme="majorHAnsi" w:hAnsiTheme="majorHAnsi" w:cstheme="majorBidi"/>
          <w:b w:val="0"/>
          <w:bCs w:val="0"/>
          <w:color w:val="000000" w:themeColor="text1"/>
          <w:sz w:val="30"/>
          <w:szCs w:val="30"/>
        </w:rPr>
        <w:t xml:space="preserve">face au dollar américain. </w:t>
      </w:r>
    </w:p>
    <w:p w:rsidR="005151FD" w:rsidRPr="009722C2" w:rsidRDefault="005151FD" w:rsidP="00200F80">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p>
    <w:p w:rsidR="00DF0195" w:rsidRPr="009722C2" w:rsidRDefault="003915A1" w:rsidP="00153BFD">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r w:rsidRPr="009722C2">
        <w:rPr>
          <w:rFonts w:asciiTheme="majorHAnsi" w:hAnsiTheme="majorHAnsi" w:cstheme="majorBidi"/>
          <w:b w:val="0"/>
          <w:bCs w:val="0"/>
          <w:color w:val="000000" w:themeColor="text1"/>
          <w:sz w:val="30"/>
          <w:szCs w:val="30"/>
        </w:rPr>
        <w:tab/>
        <w:t xml:space="preserve">Dans ces conditions, </w:t>
      </w:r>
      <w:r w:rsidR="00200F80" w:rsidRPr="009722C2">
        <w:rPr>
          <w:rFonts w:asciiTheme="majorHAnsi" w:hAnsiTheme="majorHAnsi" w:cstheme="majorBidi"/>
          <w:b w:val="0"/>
          <w:bCs w:val="0"/>
          <w:color w:val="000000" w:themeColor="text1"/>
          <w:sz w:val="30"/>
          <w:szCs w:val="30"/>
        </w:rPr>
        <w:t xml:space="preserve">la croissance du </w:t>
      </w:r>
      <w:r w:rsidR="00200F80" w:rsidRPr="009722C2">
        <w:rPr>
          <w:rFonts w:asciiTheme="majorHAnsi" w:hAnsiTheme="majorHAnsi" w:cstheme="majorBidi"/>
          <w:color w:val="000000" w:themeColor="text1"/>
          <w:sz w:val="30"/>
          <w:szCs w:val="30"/>
        </w:rPr>
        <w:t>commerce mondial</w:t>
      </w:r>
      <w:r w:rsidR="00200F80" w:rsidRPr="009722C2">
        <w:rPr>
          <w:rFonts w:asciiTheme="majorHAnsi" w:hAnsiTheme="majorHAnsi" w:cstheme="majorBidi"/>
          <w:b w:val="0"/>
          <w:bCs w:val="0"/>
          <w:color w:val="000000" w:themeColor="text1"/>
          <w:sz w:val="30"/>
          <w:szCs w:val="30"/>
          <w:u w:val="single"/>
        </w:rPr>
        <w:t>,</w:t>
      </w:r>
      <w:r w:rsidR="00200F80" w:rsidRPr="00265123">
        <w:rPr>
          <w:rFonts w:asciiTheme="majorHAnsi" w:hAnsiTheme="majorHAnsi" w:cstheme="majorBidi"/>
          <w:b w:val="0"/>
          <w:bCs w:val="0"/>
          <w:color w:val="000000" w:themeColor="text1"/>
          <w:sz w:val="30"/>
          <w:szCs w:val="30"/>
        </w:rPr>
        <w:t xml:space="preserve"> </w:t>
      </w:r>
      <w:r w:rsidR="00200F80" w:rsidRPr="009722C2">
        <w:rPr>
          <w:rFonts w:asciiTheme="majorHAnsi" w:hAnsiTheme="majorHAnsi" w:cstheme="majorBidi"/>
          <w:b w:val="0"/>
          <w:bCs w:val="0"/>
          <w:color w:val="000000" w:themeColor="text1"/>
          <w:sz w:val="30"/>
          <w:szCs w:val="30"/>
        </w:rPr>
        <w:t xml:space="preserve">devrait continuer de ralentir  passant de 5,4% en 2017 à 3,8% en 2018 puis à  3,6% en </w:t>
      </w:r>
      <w:r w:rsidR="00265123">
        <w:rPr>
          <w:rFonts w:asciiTheme="majorHAnsi" w:hAnsiTheme="majorHAnsi" w:cstheme="majorBidi"/>
          <w:b w:val="0"/>
          <w:bCs w:val="0"/>
          <w:color w:val="000000" w:themeColor="text1"/>
          <w:sz w:val="30"/>
          <w:szCs w:val="30"/>
        </w:rPr>
        <w:t>2019</w:t>
      </w:r>
      <w:r w:rsidR="00563E02" w:rsidRPr="009722C2">
        <w:rPr>
          <w:rFonts w:asciiTheme="majorHAnsi" w:hAnsiTheme="majorHAnsi" w:cstheme="majorBidi"/>
          <w:b w:val="0"/>
          <w:bCs w:val="0"/>
          <w:color w:val="000000" w:themeColor="text1"/>
          <w:sz w:val="30"/>
          <w:szCs w:val="30"/>
        </w:rPr>
        <w:t xml:space="preserve">. </w:t>
      </w:r>
      <w:r w:rsidR="007152E4" w:rsidRPr="009722C2">
        <w:rPr>
          <w:rFonts w:asciiTheme="majorHAnsi" w:hAnsiTheme="majorHAnsi" w:cstheme="majorBidi"/>
          <w:b w:val="0"/>
          <w:bCs w:val="0"/>
          <w:color w:val="000000" w:themeColor="text1"/>
          <w:sz w:val="30"/>
          <w:szCs w:val="30"/>
        </w:rPr>
        <w:t xml:space="preserve">Sur le </w:t>
      </w:r>
      <w:r w:rsidR="007152E4" w:rsidRPr="00A76A05">
        <w:rPr>
          <w:rFonts w:asciiTheme="majorHAnsi" w:hAnsiTheme="majorHAnsi" w:cstheme="majorBidi"/>
          <w:color w:val="000000" w:themeColor="text1"/>
          <w:sz w:val="30"/>
          <w:szCs w:val="30"/>
        </w:rPr>
        <w:t xml:space="preserve">marché </w:t>
      </w:r>
      <w:r w:rsidR="00A905E2" w:rsidRPr="00A76A05">
        <w:rPr>
          <w:rFonts w:asciiTheme="majorHAnsi" w:hAnsiTheme="majorHAnsi" w:cstheme="majorBidi"/>
          <w:color w:val="000000" w:themeColor="text1"/>
          <w:sz w:val="30"/>
          <w:szCs w:val="30"/>
        </w:rPr>
        <w:t>des matières premières</w:t>
      </w:r>
      <w:r w:rsidR="00A905E2" w:rsidRPr="009722C2">
        <w:rPr>
          <w:rFonts w:asciiTheme="majorHAnsi" w:hAnsiTheme="majorHAnsi" w:cstheme="majorBidi"/>
          <w:b w:val="0"/>
          <w:bCs w:val="0"/>
          <w:color w:val="000000" w:themeColor="text1"/>
          <w:sz w:val="30"/>
          <w:szCs w:val="30"/>
        </w:rPr>
        <w:t>, l</w:t>
      </w:r>
      <w:r w:rsidR="00563E02" w:rsidRPr="009722C2">
        <w:rPr>
          <w:rFonts w:asciiTheme="majorHAnsi" w:hAnsiTheme="majorHAnsi" w:cstheme="majorBidi"/>
          <w:b w:val="0"/>
          <w:bCs w:val="0"/>
          <w:color w:val="000000" w:themeColor="text1"/>
          <w:sz w:val="30"/>
          <w:szCs w:val="30"/>
        </w:rPr>
        <w:t>e</w:t>
      </w:r>
      <w:r w:rsidR="00DF0195" w:rsidRPr="009722C2">
        <w:rPr>
          <w:rFonts w:asciiTheme="majorHAnsi" w:hAnsiTheme="majorHAnsi" w:cstheme="majorBidi"/>
          <w:b w:val="0"/>
          <w:bCs w:val="0"/>
          <w:color w:val="000000" w:themeColor="text1"/>
          <w:sz w:val="30"/>
          <w:szCs w:val="30"/>
        </w:rPr>
        <w:t xml:space="preserve"> prix du pétrole</w:t>
      </w:r>
      <w:r w:rsidR="00A905E2" w:rsidRPr="009722C2">
        <w:rPr>
          <w:rFonts w:asciiTheme="majorHAnsi" w:hAnsiTheme="majorHAnsi" w:cstheme="majorBidi"/>
          <w:b w:val="0"/>
          <w:bCs w:val="0"/>
          <w:color w:val="000000" w:themeColor="text1"/>
          <w:sz w:val="30"/>
          <w:szCs w:val="30"/>
        </w:rPr>
        <w:t xml:space="preserve"> </w:t>
      </w:r>
      <w:r w:rsidR="00153BFD">
        <w:rPr>
          <w:rFonts w:asciiTheme="majorHAnsi" w:hAnsiTheme="majorHAnsi" w:cstheme="majorBidi"/>
          <w:b w:val="0"/>
          <w:bCs w:val="0"/>
          <w:color w:val="000000" w:themeColor="text1"/>
          <w:sz w:val="30"/>
          <w:szCs w:val="30"/>
        </w:rPr>
        <w:t>devrait</w:t>
      </w:r>
      <w:r w:rsidR="007152E4" w:rsidRPr="009722C2">
        <w:rPr>
          <w:rFonts w:asciiTheme="majorHAnsi" w:hAnsiTheme="majorHAnsi" w:cstheme="majorBidi"/>
          <w:b w:val="0"/>
          <w:bCs w:val="0"/>
          <w:color w:val="000000" w:themeColor="text1"/>
          <w:sz w:val="30"/>
          <w:szCs w:val="30"/>
        </w:rPr>
        <w:t xml:space="preserve"> attein</w:t>
      </w:r>
      <w:r w:rsidR="00153BFD">
        <w:rPr>
          <w:rFonts w:asciiTheme="majorHAnsi" w:hAnsiTheme="majorHAnsi" w:cstheme="majorBidi"/>
          <w:b w:val="0"/>
          <w:bCs w:val="0"/>
          <w:color w:val="000000" w:themeColor="text1"/>
          <w:sz w:val="30"/>
          <w:szCs w:val="30"/>
        </w:rPr>
        <w:t>dre</w:t>
      </w:r>
      <w:r w:rsidR="007152E4" w:rsidRPr="009722C2">
        <w:rPr>
          <w:rFonts w:asciiTheme="majorHAnsi" w:hAnsiTheme="majorHAnsi" w:cstheme="majorBidi"/>
          <w:b w:val="0"/>
          <w:bCs w:val="0"/>
          <w:color w:val="000000" w:themeColor="text1"/>
          <w:sz w:val="30"/>
          <w:szCs w:val="30"/>
        </w:rPr>
        <w:t xml:space="preserve"> </w:t>
      </w:r>
      <w:r w:rsidR="00153BFD" w:rsidRPr="009722C2">
        <w:rPr>
          <w:rFonts w:asciiTheme="majorHAnsi" w:hAnsiTheme="majorHAnsi" w:cstheme="majorBidi"/>
          <w:b w:val="0"/>
          <w:bCs w:val="0"/>
          <w:color w:val="000000" w:themeColor="text1"/>
          <w:sz w:val="30"/>
          <w:szCs w:val="30"/>
        </w:rPr>
        <w:t xml:space="preserve">67$/baril </w:t>
      </w:r>
      <w:r w:rsidR="00153BFD">
        <w:rPr>
          <w:rFonts w:asciiTheme="majorHAnsi" w:hAnsiTheme="majorHAnsi" w:cstheme="majorBidi"/>
          <w:b w:val="0"/>
          <w:bCs w:val="0"/>
          <w:color w:val="000000" w:themeColor="text1"/>
          <w:sz w:val="30"/>
          <w:szCs w:val="30"/>
        </w:rPr>
        <w:t>e</w:t>
      </w:r>
      <w:r w:rsidR="00153BFD" w:rsidRPr="009722C2">
        <w:rPr>
          <w:rFonts w:asciiTheme="majorHAnsi" w:hAnsiTheme="majorHAnsi" w:cstheme="majorBidi"/>
          <w:b w:val="0"/>
          <w:bCs w:val="0"/>
          <w:color w:val="000000" w:themeColor="text1"/>
          <w:sz w:val="30"/>
          <w:szCs w:val="30"/>
        </w:rPr>
        <w:t>n 2019</w:t>
      </w:r>
      <w:r w:rsidR="00153BFD">
        <w:rPr>
          <w:rFonts w:asciiTheme="majorHAnsi" w:hAnsiTheme="majorHAnsi" w:cstheme="majorBidi"/>
          <w:b w:val="0"/>
          <w:bCs w:val="0"/>
          <w:color w:val="000000" w:themeColor="text1"/>
          <w:sz w:val="30"/>
          <w:szCs w:val="30"/>
        </w:rPr>
        <w:t xml:space="preserve"> au lieu </w:t>
      </w:r>
      <w:r w:rsidR="00A905E2" w:rsidRPr="009722C2">
        <w:rPr>
          <w:rFonts w:asciiTheme="majorHAnsi" w:hAnsiTheme="majorHAnsi" w:cstheme="majorBidi"/>
          <w:b w:val="0"/>
          <w:bCs w:val="0"/>
          <w:color w:val="000000" w:themeColor="text1"/>
          <w:sz w:val="30"/>
          <w:szCs w:val="30"/>
        </w:rPr>
        <w:t>71</w:t>
      </w:r>
      <w:r w:rsidR="00370698">
        <w:rPr>
          <w:rFonts w:asciiTheme="majorHAnsi" w:hAnsiTheme="majorHAnsi" w:cstheme="majorBidi"/>
          <w:b w:val="0"/>
          <w:bCs w:val="0"/>
          <w:color w:val="000000" w:themeColor="text1"/>
          <w:sz w:val="30"/>
          <w:szCs w:val="30"/>
        </w:rPr>
        <w:t>$/</w:t>
      </w:r>
      <w:r w:rsidR="007152E4" w:rsidRPr="009722C2">
        <w:rPr>
          <w:rFonts w:asciiTheme="majorHAnsi" w:hAnsiTheme="majorHAnsi" w:cstheme="majorBidi"/>
          <w:b w:val="0"/>
          <w:bCs w:val="0"/>
          <w:color w:val="000000" w:themeColor="text1"/>
          <w:sz w:val="30"/>
          <w:szCs w:val="30"/>
        </w:rPr>
        <w:t xml:space="preserve">baril </w:t>
      </w:r>
      <w:r w:rsidR="00153BFD">
        <w:rPr>
          <w:rFonts w:asciiTheme="majorHAnsi" w:hAnsiTheme="majorHAnsi" w:cstheme="majorBidi"/>
          <w:b w:val="0"/>
          <w:bCs w:val="0"/>
          <w:color w:val="000000" w:themeColor="text1"/>
          <w:sz w:val="30"/>
          <w:szCs w:val="30"/>
        </w:rPr>
        <w:t xml:space="preserve">enregistré </w:t>
      </w:r>
      <w:r w:rsidR="00A905E2" w:rsidRPr="009722C2">
        <w:rPr>
          <w:rFonts w:asciiTheme="majorHAnsi" w:hAnsiTheme="majorHAnsi" w:cstheme="majorBidi"/>
          <w:b w:val="0"/>
          <w:bCs w:val="0"/>
          <w:color w:val="000000" w:themeColor="text1"/>
          <w:sz w:val="30"/>
          <w:szCs w:val="30"/>
        </w:rPr>
        <w:t>en 2018</w:t>
      </w:r>
      <w:r w:rsidR="007152E4" w:rsidRPr="009722C2">
        <w:rPr>
          <w:rFonts w:asciiTheme="majorHAnsi" w:hAnsiTheme="majorHAnsi" w:cstheme="majorBidi"/>
          <w:b w:val="0"/>
          <w:bCs w:val="0"/>
          <w:color w:val="000000" w:themeColor="text1"/>
          <w:sz w:val="30"/>
          <w:szCs w:val="30"/>
        </w:rPr>
        <w:t>,</w:t>
      </w:r>
      <w:r w:rsidR="00A905E2" w:rsidRPr="009722C2">
        <w:rPr>
          <w:rFonts w:asciiTheme="majorHAnsi" w:hAnsiTheme="majorHAnsi" w:cstheme="majorBidi"/>
          <w:b w:val="0"/>
          <w:bCs w:val="0"/>
          <w:color w:val="000000" w:themeColor="text1"/>
          <w:sz w:val="30"/>
          <w:szCs w:val="30"/>
        </w:rPr>
        <w:t xml:space="preserve"> </w:t>
      </w:r>
      <w:r w:rsidR="00563E02" w:rsidRPr="009722C2">
        <w:rPr>
          <w:rFonts w:asciiTheme="majorHAnsi" w:hAnsiTheme="majorHAnsi" w:cstheme="majorBidi"/>
          <w:b w:val="0"/>
          <w:bCs w:val="0"/>
          <w:color w:val="000000" w:themeColor="text1"/>
          <w:sz w:val="30"/>
          <w:szCs w:val="30"/>
        </w:rPr>
        <w:t xml:space="preserve">en raison  </w:t>
      </w:r>
      <w:r w:rsidR="00D43205" w:rsidRPr="009722C2">
        <w:rPr>
          <w:rFonts w:asciiTheme="majorHAnsi" w:hAnsiTheme="majorHAnsi" w:cstheme="majorBidi"/>
          <w:b w:val="0"/>
          <w:bCs w:val="0"/>
          <w:color w:val="000000" w:themeColor="text1"/>
          <w:sz w:val="30"/>
          <w:szCs w:val="30"/>
        </w:rPr>
        <w:t xml:space="preserve">d’un marché excédentaire </w:t>
      </w:r>
      <w:r w:rsidR="00C52ED2">
        <w:rPr>
          <w:rFonts w:asciiTheme="majorHAnsi" w:hAnsiTheme="majorHAnsi" w:cstheme="majorBidi"/>
          <w:b w:val="0"/>
          <w:bCs w:val="0"/>
          <w:color w:val="000000" w:themeColor="text1"/>
          <w:sz w:val="30"/>
          <w:szCs w:val="30"/>
        </w:rPr>
        <w:t xml:space="preserve">associé à </w:t>
      </w:r>
      <w:r w:rsidR="007152E4" w:rsidRPr="009722C2">
        <w:rPr>
          <w:rFonts w:asciiTheme="majorHAnsi" w:hAnsiTheme="majorHAnsi" w:cstheme="majorBidi"/>
          <w:b w:val="0"/>
          <w:bCs w:val="0"/>
          <w:color w:val="000000" w:themeColor="text1"/>
          <w:sz w:val="30"/>
          <w:szCs w:val="30"/>
        </w:rPr>
        <w:t>une décélération de la demande</w:t>
      </w:r>
      <w:r w:rsidR="00153BFD">
        <w:rPr>
          <w:rFonts w:asciiTheme="majorHAnsi" w:hAnsiTheme="majorHAnsi" w:cstheme="majorBidi"/>
          <w:b w:val="0"/>
          <w:bCs w:val="0"/>
          <w:color w:val="000000" w:themeColor="text1"/>
          <w:sz w:val="30"/>
          <w:szCs w:val="30"/>
        </w:rPr>
        <w:t xml:space="preserve"> des produits énergétiques</w:t>
      </w:r>
      <w:r w:rsidR="00DF0195" w:rsidRPr="009722C2">
        <w:rPr>
          <w:rFonts w:asciiTheme="majorHAnsi" w:hAnsiTheme="majorHAnsi" w:cstheme="majorBidi"/>
          <w:b w:val="0"/>
          <w:bCs w:val="0"/>
          <w:color w:val="000000" w:themeColor="text1"/>
          <w:sz w:val="30"/>
          <w:szCs w:val="30"/>
        </w:rPr>
        <w:t xml:space="preserve">. De </w:t>
      </w:r>
      <w:r w:rsidR="007152E4" w:rsidRPr="009722C2">
        <w:rPr>
          <w:rFonts w:asciiTheme="majorHAnsi" w:hAnsiTheme="majorHAnsi" w:cstheme="majorBidi"/>
          <w:b w:val="0"/>
          <w:bCs w:val="0"/>
          <w:color w:val="000000" w:themeColor="text1"/>
          <w:sz w:val="30"/>
          <w:szCs w:val="30"/>
        </w:rPr>
        <w:t xml:space="preserve">son </w:t>
      </w:r>
      <w:r w:rsidR="00DF0195" w:rsidRPr="009722C2">
        <w:rPr>
          <w:rFonts w:asciiTheme="majorHAnsi" w:hAnsiTheme="majorHAnsi" w:cstheme="majorBidi"/>
          <w:b w:val="0"/>
          <w:bCs w:val="0"/>
          <w:color w:val="000000" w:themeColor="text1"/>
          <w:sz w:val="30"/>
          <w:szCs w:val="30"/>
        </w:rPr>
        <w:t xml:space="preserve">côté, </w:t>
      </w:r>
      <w:r w:rsidR="00DF0195" w:rsidRPr="00A76A05">
        <w:rPr>
          <w:rFonts w:asciiTheme="majorHAnsi" w:hAnsiTheme="majorHAnsi" w:cstheme="majorBidi"/>
          <w:b w:val="0"/>
          <w:bCs w:val="0"/>
          <w:color w:val="000000" w:themeColor="text1"/>
          <w:sz w:val="30"/>
          <w:szCs w:val="30"/>
        </w:rPr>
        <w:t>le rythme de croissance des</w:t>
      </w:r>
      <w:r w:rsidR="00DF0195" w:rsidRPr="009722C2">
        <w:rPr>
          <w:rFonts w:asciiTheme="majorHAnsi" w:hAnsiTheme="majorHAnsi" w:cstheme="majorBidi"/>
          <w:color w:val="000000" w:themeColor="text1"/>
          <w:sz w:val="30"/>
          <w:szCs w:val="30"/>
        </w:rPr>
        <w:t xml:space="preserve"> </w:t>
      </w:r>
      <w:r w:rsidR="00DF0195" w:rsidRPr="00A76A05">
        <w:rPr>
          <w:rFonts w:asciiTheme="majorHAnsi" w:hAnsiTheme="majorHAnsi" w:cstheme="majorBidi"/>
          <w:b w:val="0"/>
          <w:bCs w:val="0"/>
          <w:color w:val="000000" w:themeColor="text1"/>
          <w:sz w:val="30"/>
          <w:szCs w:val="30"/>
        </w:rPr>
        <w:t>produits de base hors carburants</w:t>
      </w:r>
      <w:r w:rsidR="00DF0195" w:rsidRPr="009722C2">
        <w:rPr>
          <w:rFonts w:asciiTheme="majorHAnsi" w:hAnsiTheme="majorHAnsi" w:cstheme="majorBidi"/>
          <w:b w:val="0"/>
          <w:bCs w:val="0"/>
          <w:color w:val="000000" w:themeColor="text1"/>
          <w:sz w:val="30"/>
          <w:szCs w:val="30"/>
        </w:rPr>
        <w:t xml:space="preserve"> continuer</w:t>
      </w:r>
      <w:r w:rsidR="00153BFD">
        <w:rPr>
          <w:rFonts w:asciiTheme="majorHAnsi" w:hAnsiTheme="majorHAnsi" w:cstheme="majorBidi"/>
          <w:b w:val="0"/>
          <w:bCs w:val="0"/>
          <w:color w:val="000000" w:themeColor="text1"/>
          <w:sz w:val="30"/>
          <w:szCs w:val="30"/>
        </w:rPr>
        <w:t>ait</w:t>
      </w:r>
      <w:r w:rsidR="00DF0195" w:rsidRPr="009722C2">
        <w:rPr>
          <w:rFonts w:asciiTheme="majorHAnsi" w:hAnsiTheme="majorHAnsi" w:cstheme="majorBidi"/>
          <w:b w:val="0"/>
          <w:bCs w:val="0"/>
          <w:color w:val="000000" w:themeColor="text1"/>
          <w:sz w:val="30"/>
          <w:szCs w:val="30"/>
        </w:rPr>
        <w:t xml:space="preserve"> de baisser passant de 5,3% en 2017 à 1,7</w:t>
      </w:r>
      <w:r w:rsidR="007152E4" w:rsidRPr="009722C2">
        <w:rPr>
          <w:rFonts w:asciiTheme="majorHAnsi" w:hAnsiTheme="majorHAnsi" w:cstheme="majorBidi"/>
          <w:b w:val="0"/>
          <w:bCs w:val="0"/>
          <w:color w:val="000000" w:themeColor="text1"/>
          <w:sz w:val="30"/>
          <w:szCs w:val="30"/>
        </w:rPr>
        <w:t>%</w:t>
      </w:r>
      <w:r w:rsidR="00DF0195" w:rsidRPr="009722C2">
        <w:rPr>
          <w:rFonts w:asciiTheme="majorHAnsi" w:hAnsiTheme="majorHAnsi" w:cstheme="majorBidi"/>
          <w:b w:val="0"/>
          <w:bCs w:val="0"/>
          <w:color w:val="000000" w:themeColor="text1"/>
          <w:sz w:val="30"/>
          <w:szCs w:val="30"/>
        </w:rPr>
        <w:t xml:space="preserve"> en 2018 puis à 1% en 2019.</w:t>
      </w:r>
    </w:p>
    <w:p w:rsidR="00DF0195" w:rsidRPr="009722C2" w:rsidRDefault="00DF0195" w:rsidP="00200F80">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p>
    <w:p w:rsidR="00153BFD" w:rsidRDefault="00200F80" w:rsidP="00984AA5">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r w:rsidRPr="009722C2">
        <w:rPr>
          <w:rFonts w:asciiTheme="majorHAnsi" w:hAnsiTheme="majorHAnsi" w:cstheme="majorBidi"/>
          <w:b w:val="0"/>
          <w:bCs w:val="0"/>
          <w:color w:val="000000" w:themeColor="text1"/>
          <w:sz w:val="30"/>
          <w:szCs w:val="30"/>
        </w:rPr>
        <w:tab/>
      </w:r>
      <w:r w:rsidR="00153BFD">
        <w:rPr>
          <w:rFonts w:asciiTheme="majorHAnsi" w:hAnsiTheme="majorHAnsi" w:cstheme="majorBidi"/>
          <w:color w:val="000000" w:themeColor="text1"/>
          <w:sz w:val="30"/>
          <w:szCs w:val="30"/>
        </w:rPr>
        <w:t>L</w:t>
      </w:r>
      <w:r w:rsidR="00153BFD" w:rsidRPr="009722C2">
        <w:rPr>
          <w:rFonts w:asciiTheme="majorHAnsi" w:hAnsiTheme="majorHAnsi" w:cstheme="majorBidi"/>
          <w:color w:val="000000" w:themeColor="text1"/>
          <w:sz w:val="30"/>
          <w:szCs w:val="30"/>
        </w:rPr>
        <w:t>’inflation globale</w:t>
      </w:r>
      <w:r w:rsidR="00153BFD" w:rsidRPr="009722C2">
        <w:rPr>
          <w:rFonts w:asciiTheme="majorHAnsi" w:hAnsiTheme="majorHAnsi" w:cstheme="majorBidi"/>
          <w:b w:val="0"/>
          <w:bCs w:val="0"/>
          <w:color w:val="000000" w:themeColor="text1"/>
          <w:sz w:val="30"/>
          <w:szCs w:val="30"/>
        </w:rPr>
        <w:t xml:space="preserve"> </w:t>
      </w:r>
      <w:r w:rsidR="00153BFD">
        <w:rPr>
          <w:rFonts w:asciiTheme="majorHAnsi" w:hAnsiTheme="majorHAnsi" w:cstheme="majorBidi"/>
          <w:b w:val="0"/>
          <w:bCs w:val="0"/>
          <w:color w:val="000000" w:themeColor="text1"/>
          <w:sz w:val="30"/>
          <w:szCs w:val="30"/>
        </w:rPr>
        <w:t xml:space="preserve">serait ainsi </w:t>
      </w:r>
      <w:r w:rsidR="00153BFD" w:rsidRPr="009722C2">
        <w:rPr>
          <w:rFonts w:asciiTheme="majorHAnsi" w:hAnsiTheme="majorHAnsi" w:cstheme="majorBidi"/>
          <w:b w:val="0"/>
          <w:bCs w:val="0"/>
          <w:color w:val="000000" w:themeColor="text1"/>
          <w:sz w:val="30"/>
          <w:szCs w:val="30"/>
        </w:rPr>
        <w:t xml:space="preserve">de 1,5% en 2019 dans les pays avancés et resterait inférieure </w:t>
      </w:r>
      <w:r w:rsidR="00153BFD">
        <w:rPr>
          <w:rFonts w:asciiTheme="majorHAnsi" w:hAnsiTheme="majorHAnsi" w:cstheme="majorBidi"/>
          <w:b w:val="0"/>
          <w:bCs w:val="0"/>
          <w:color w:val="000000" w:themeColor="text1"/>
          <w:sz w:val="30"/>
          <w:szCs w:val="30"/>
        </w:rPr>
        <w:t>à 5% dans  les pays émergents</w:t>
      </w:r>
      <w:r w:rsidR="00153BFD" w:rsidRPr="009722C2">
        <w:rPr>
          <w:rFonts w:asciiTheme="majorHAnsi" w:hAnsiTheme="majorHAnsi" w:cstheme="majorBidi"/>
          <w:b w:val="0"/>
          <w:bCs w:val="0"/>
          <w:color w:val="000000" w:themeColor="text1"/>
          <w:sz w:val="30"/>
          <w:szCs w:val="30"/>
        </w:rPr>
        <w:t xml:space="preserve">.  Pour sa part, la parité euro-dollar serait </w:t>
      </w:r>
      <w:r w:rsidR="00984AA5" w:rsidRPr="009722C2">
        <w:rPr>
          <w:rFonts w:asciiTheme="majorHAnsi" w:hAnsiTheme="majorHAnsi" w:cstheme="majorBidi"/>
          <w:b w:val="0"/>
          <w:bCs w:val="0"/>
          <w:color w:val="000000" w:themeColor="text1"/>
          <w:sz w:val="30"/>
          <w:szCs w:val="30"/>
        </w:rPr>
        <w:t xml:space="preserve">en moyenne </w:t>
      </w:r>
      <w:r w:rsidR="00153BFD" w:rsidRPr="009722C2">
        <w:rPr>
          <w:rFonts w:asciiTheme="majorHAnsi" w:hAnsiTheme="majorHAnsi" w:cstheme="majorBidi"/>
          <w:b w:val="0"/>
          <w:bCs w:val="0"/>
          <w:color w:val="000000" w:themeColor="text1"/>
          <w:sz w:val="30"/>
          <w:szCs w:val="30"/>
        </w:rPr>
        <w:t xml:space="preserve">de 1,14 en 2019. Cette dépréciation </w:t>
      </w:r>
      <w:r w:rsidR="00153BFD">
        <w:rPr>
          <w:rFonts w:asciiTheme="majorHAnsi" w:hAnsiTheme="majorHAnsi" w:cstheme="majorBidi"/>
          <w:b w:val="0"/>
          <w:bCs w:val="0"/>
          <w:color w:val="000000" w:themeColor="text1"/>
          <w:sz w:val="30"/>
          <w:szCs w:val="30"/>
        </w:rPr>
        <w:t xml:space="preserve">du dollar, </w:t>
      </w:r>
      <w:r w:rsidR="00153BFD" w:rsidRPr="009722C2">
        <w:rPr>
          <w:rFonts w:asciiTheme="majorHAnsi" w:hAnsiTheme="majorHAnsi" w:cstheme="majorBidi"/>
          <w:b w:val="0"/>
          <w:bCs w:val="0"/>
          <w:color w:val="000000" w:themeColor="text1"/>
          <w:sz w:val="30"/>
          <w:szCs w:val="30"/>
        </w:rPr>
        <w:t>entamée depuis 2015, s’explique notamment par l’écart de croissance et d</w:t>
      </w:r>
      <w:r w:rsidR="00153BFD">
        <w:rPr>
          <w:rFonts w:asciiTheme="majorHAnsi" w:hAnsiTheme="majorHAnsi" w:cstheme="majorBidi"/>
          <w:b w:val="0"/>
          <w:bCs w:val="0"/>
          <w:color w:val="000000" w:themeColor="text1"/>
          <w:sz w:val="30"/>
          <w:szCs w:val="30"/>
        </w:rPr>
        <w:t>u taux d’intérêt entre l</w:t>
      </w:r>
      <w:r w:rsidR="00153BFD" w:rsidRPr="009722C2">
        <w:rPr>
          <w:rFonts w:asciiTheme="majorHAnsi" w:hAnsiTheme="majorHAnsi" w:cstheme="majorBidi"/>
          <w:b w:val="0"/>
          <w:bCs w:val="0"/>
          <w:color w:val="000000" w:themeColor="text1"/>
          <w:sz w:val="30"/>
          <w:szCs w:val="30"/>
        </w:rPr>
        <w:t>es Etats-Unis</w:t>
      </w:r>
      <w:r w:rsidR="00153BFD">
        <w:rPr>
          <w:rFonts w:asciiTheme="majorHAnsi" w:hAnsiTheme="majorHAnsi" w:cstheme="majorBidi"/>
          <w:b w:val="0"/>
          <w:bCs w:val="0"/>
          <w:color w:val="000000" w:themeColor="text1"/>
          <w:sz w:val="30"/>
          <w:szCs w:val="30"/>
        </w:rPr>
        <w:t xml:space="preserve"> et la zone Euro</w:t>
      </w:r>
      <w:r w:rsidR="00153BFD" w:rsidRPr="009722C2">
        <w:rPr>
          <w:rFonts w:asciiTheme="majorHAnsi" w:hAnsiTheme="majorHAnsi" w:cstheme="majorBidi"/>
          <w:b w:val="0"/>
          <w:bCs w:val="0"/>
          <w:color w:val="000000" w:themeColor="text1"/>
          <w:sz w:val="30"/>
          <w:szCs w:val="30"/>
        </w:rPr>
        <w:t xml:space="preserve">. </w:t>
      </w:r>
    </w:p>
    <w:p w:rsidR="00153BFD" w:rsidRDefault="00153BFD" w:rsidP="00153BFD">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p>
    <w:p w:rsidR="00153BFD" w:rsidRDefault="00153BFD" w:rsidP="00153BFD">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p>
    <w:p w:rsidR="00153BFD" w:rsidRDefault="00153BFD" w:rsidP="00153BFD">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p>
    <w:p w:rsidR="00153BFD" w:rsidRDefault="00153BFD" w:rsidP="00153BFD">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p>
    <w:p w:rsidR="00153BFD" w:rsidRDefault="00153BFD" w:rsidP="00153BFD">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p>
    <w:p w:rsidR="00153BFD" w:rsidRDefault="00153BFD" w:rsidP="00153BFD">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p>
    <w:p w:rsidR="00153BFD" w:rsidRDefault="00153BFD" w:rsidP="00153BFD">
      <w:pPr>
        <w:tabs>
          <w:tab w:val="left" w:pos="284"/>
          <w:tab w:val="left" w:pos="993"/>
        </w:tabs>
        <w:spacing w:before="100" w:beforeAutospacing="1" w:after="100" w:afterAutospacing="1"/>
        <w:ind w:left="-426"/>
        <w:contextualSpacing/>
        <w:jc w:val="both"/>
        <w:rPr>
          <w:rFonts w:asciiTheme="majorHAnsi" w:hAnsiTheme="majorHAnsi" w:cstheme="majorBidi"/>
          <w:b w:val="0"/>
          <w:bCs w:val="0"/>
          <w:color w:val="000000" w:themeColor="text1"/>
          <w:sz w:val="30"/>
          <w:szCs w:val="30"/>
        </w:rPr>
      </w:pPr>
    </w:p>
    <w:p w:rsidR="00D300CA" w:rsidRDefault="00153BFD" w:rsidP="00153BFD">
      <w:pPr>
        <w:tabs>
          <w:tab w:val="left" w:pos="284"/>
          <w:tab w:val="left" w:pos="993"/>
        </w:tabs>
        <w:spacing w:before="100" w:beforeAutospacing="1" w:after="100" w:afterAutospacing="1"/>
        <w:ind w:left="-426" w:firstLine="426"/>
        <w:contextualSpacing/>
        <w:jc w:val="both"/>
        <w:rPr>
          <w:rFonts w:asciiTheme="majorHAnsi" w:hAnsiTheme="majorHAnsi"/>
          <w:caps/>
          <w:shadow/>
          <w:color w:val="000000" w:themeColor="text1"/>
          <w:kern w:val="16"/>
          <w:sz w:val="30"/>
          <w:szCs w:val="30"/>
          <w:u w:val="single"/>
        </w:rPr>
      </w:pPr>
      <w:r>
        <w:rPr>
          <w:rFonts w:asciiTheme="majorHAnsi" w:hAnsiTheme="majorHAnsi"/>
          <w:caps/>
          <w:shadow/>
          <w:color w:val="000000" w:themeColor="text1"/>
          <w:kern w:val="16"/>
          <w:sz w:val="30"/>
          <w:szCs w:val="30"/>
          <w:u w:val="single"/>
        </w:rPr>
        <w:t xml:space="preserve"> </w:t>
      </w:r>
      <w:r w:rsidR="00D300CA" w:rsidRPr="009722C2">
        <w:rPr>
          <w:rFonts w:asciiTheme="majorHAnsi" w:hAnsiTheme="majorHAnsi"/>
          <w:caps/>
          <w:shadow/>
          <w:color w:val="000000" w:themeColor="text1"/>
          <w:kern w:val="16"/>
          <w:sz w:val="30"/>
          <w:szCs w:val="30"/>
          <w:u w:val="single"/>
        </w:rPr>
        <w:t>L’évolution de l’économie nationale en 2018</w:t>
      </w:r>
    </w:p>
    <w:p w:rsidR="00A72113" w:rsidRDefault="00131484" w:rsidP="00A72113">
      <w:pPr>
        <w:spacing w:before="100" w:beforeAutospacing="1" w:after="100" w:afterAutospacing="1"/>
        <w:ind w:left="-426" w:firstLine="424"/>
        <w:contextualSpacing/>
        <w:jc w:val="both"/>
        <w:rPr>
          <w:rFonts w:asciiTheme="majorHAnsi" w:hAnsiTheme="majorHAnsi"/>
          <w:b w:val="0"/>
          <w:bCs w:val="0"/>
          <w:color w:val="000000" w:themeColor="text1"/>
          <w:sz w:val="30"/>
          <w:szCs w:val="30"/>
        </w:rPr>
      </w:pPr>
      <w:r w:rsidRPr="009722C2">
        <w:rPr>
          <w:rFonts w:asciiTheme="majorHAnsi" w:hAnsiTheme="majorHAnsi" w:cstheme="majorBidi"/>
          <w:b w:val="0"/>
          <w:bCs w:val="0"/>
          <w:color w:val="000000" w:themeColor="text1"/>
          <w:sz w:val="30"/>
          <w:szCs w:val="30"/>
        </w:rPr>
        <w:tab/>
      </w:r>
    </w:p>
    <w:p w:rsidR="00225BA8" w:rsidRDefault="00A72113" w:rsidP="00770919">
      <w:pPr>
        <w:ind w:left="-426" w:firstLine="426"/>
        <w:jc w:val="both"/>
        <w:rPr>
          <w:rFonts w:asciiTheme="majorHAnsi" w:hAnsiTheme="majorHAnsi"/>
          <w:b w:val="0"/>
          <w:bCs w:val="0"/>
          <w:color w:val="000000" w:themeColor="text1"/>
          <w:sz w:val="30"/>
          <w:szCs w:val="30"/>
        </w:rPr>
      </w:pPr>
      <w:r w:rsidRPr="009722C2">
        <w:rPr>
          <w:rFonts w:asciiTheme="majorHAnsi" w:hAnsiTheme="majorHAnsi" w:cstheme="majorBidi"/>
          <w:b w:val="0"/>
          <w:bCs w:val="0"/>
          <w:color w:val="000000" w:themeColor="text1"/>
          <w:sz w:val="30"/>
          <w:szCs w:val="30"/>
        </w:rPr>
        <w:t xml:space="preserve">L’économie nationale aurait </w:t>
      </w:r>
      <w:r>
        <w:rPr>
          <w:rFonts w:asciiTheme="majorHAnsi" w:hAnsiTheme="majorHAnsi"/>
          <w:b w:val="0"/>
          <w:bCs w:val="0"/>
          <w:color w:val="000000" w:themeColor="text1"/>
          <w:sz w:val="30"/>
          <w:szCs w:val="30"/>
        </w:rPr>
        <w:t>bénéficié</w:t>
      </w:r>
      <w:r w:rsidRPr="009722C2">
        <w:rPr>
          <w:rFonts w:asciiTheme="majorHAnsi" w:hAnsiTheme="majorHAnsi"/>
          <w:b w:val="0"/>
          <w:bCs w:val="0"/>
          <w:color w:val="000000" w:themeColor="text1"/>
          <w:sz w:val="30"/>
          <w:szCs w:val="30"/>
        </w:rPr>
        <w:t xml:space="preserve"> </w:t>
      </w:r>
      <w:r w:rsidR="00753E5C" w:rsidRPr="009722C2">
        <w:rPr>
          <w:rFonts w:asciiTheme="majorHAnsi" w:hAnsiTheme="majorHAnsi" w:cstheme="majorBidi"/>
          <w:b w:val="0"/>
          <w:bCs w:val="0"/>
          <w:color w:val="000000" w:themeColor="text1"/>
          <w:sz w:val="30"/>
          <w:szCs w:val="30"/>
        </w:rPr>
        <w:t xml:space="preserve">en 2018 </w:t>
      </w:r>
      <w:r w:rsidRPr="009722C2">
        <w:rPr>
          <w:rFonts w:asciiTheme="majorHAnsi" w:hAnsiTheme="majorHAnsi"/>
          <w:b w:val="0"/>
          <w:bCs w:val="0"/>
          <w:color w:val="000000" w:themeColor="text1"/>
          <w:sz w:val="30"/>
          <w:szCs w:val="30"/>
        </w:rPr>
        <w:t>d’une campagne agricole favorable</w:t>
      </w:r>
      <w:r>
        <w:rPr>
          <w:rFonts w:asciiTheme="majorHAnsi" w:hAnsiTheme="majorHAnsi"/>
          <w:b w:val="0"/>
          <w:bCs w:val="0"/>
          <w:color w:val="000000" w:themeColor="text1"/>
          <w:sz w:val="30"/>
          <w:szCs w:val="30"/>
        </w:rPr>
        <w:t xml:space="preserve"> et d’</w:t>
      </w:r>
      <w:r w:rsidRPr="009722C2">
        <w:rPr>
          <w:rFonts w:asciiTheme="majorHAnsi" w:hAnsiTheme="majorHAnsi"/>
          <w:b w:val="0"/>
          <w:bCs w:val="0"/>
          <w:color w:val="000000" w:themeColor="text1"/>
          <w:sz w:val="30"/>
          <w:szCs w:val="30"/>
        </w:rPr>
        <w:t xml:space="preserve">une amélioration des activités </w:t>
      </w:r>
      <w:r>
        <w:rPr>
          <w:rFonts w:asciiTheme="majorHAnsi" w:hAnsiTheme="majorHAnsi"/>
          <w:b w:val="0"/>
          <w:bCs w:val="0"/>
          <w:color w:val="000000" w:themeColor="text1"/>
          <w:sz w:val="30"/>
          <w:szCs w:val="30"/>
        </w:rPr>
        <w:t xml:space="preserve">tertiaires </w:t>
      </w:r>
      <w:r w:rsidRPr="009722C2">
        <w:rPr>
          <w:rFonts w:asciiTheme="majorHAnsi" w:hAnsiTheme="majorHAnsi"/>
          <w:b w:val="0"/>
          <w:bCs w:val="0"/>
          <w:color w:val="000000" w:themeColor="text1"/>
          <w:sz w:val="30"/>
          <w:szCs w:val="30"/>
        </w:rPr>
        <w:t xml:space="preserve">par rapport </w:t>
      </w:r>
      <w:r>
        <w:rPr>
          <w:rFonts w:asciiTheme="majorHAnsi" w:hAnsiTheme="majorHAnsi"/>
          <w:b w:val="0"/>
          <w:bCs w:val="0"/>
          <w:color w:val="000000" w:themeColor="text1"/>
          <w:sz w:val="30"/>
          <w:szCs w:val="30"/>
        </w:rPr>
        <w:t>à leurs</w:t>
      </w:r>
      <w:r w:rsidRPr="009722C2">
        <w:rPr>
          <w:rFonts w:asciiTheme="majorHAnsi" w:hAnsiTheme="majorHAnsi"/>
          <w:b w:val="0"/>
          <w:bCs w:val="0"/>
          <w:color w:val="000000" w:themeColor="text1"/>
          <w:sz w:val="30"/>
          <w:szCs w:val="30"/>
        </w:rPr>
        <w:t xml:space="preserve"> </w:t>
      </w:r>
      <w:r w:rsidRPr="00753E5C">
        <w:rPr>
          <w:rFonts w:asciiTheme="majorHAnsi" w:hAnsiTheme="majorHAnsi" w:cstheme="majorBidi"/>
          <w:b w:val="0"/>
          <w:bCs w:val="0"/>
          <w:color w:val="000000" w:themeColor="text1"/>
          <w:sz w:val="30"/>
          <w:szCs w:val="30"/>
        </w:rPr>
        <w:t xml:space="preserve">résultats enregistrés en 2017. Cependant, les </w:t>
      </w:r>
      <w:r>
        <w:rPr>
          <w:rFonts w:asciiTheme="majorHAnsi" w:hAnsiTheme="majorHAnsi" w:cstheme="majorBidi"/>
          <w:b w:val="0"/>
          <w:bCs w:val="0"/>
          <w:color w:val="000000" w:themeColor="text1"/>
          <w:sz w:val="30"/>
          <w:szCs w:val="30"/>
        </w:rPr>
        <w:t>activités secondaires</w:t>
      </w:r>
      <w:r w:rsidR="00770919" w:rsidRPr="00770919">
        <w:t xml:space="preserve"> </w:t>
      </w:r>
      <w:r w:rsidR="00770919" w:rsidRPr="00770919">
        <w:rPr>
          <w:rFonts w:asciiTheme="majorHAnsi" w:hAnsiTheme="majorHAnsi"/>
          <w:b w:val="0"/>
          <w:bCs w:val="0"/>
          <w:color w:val="000000" w:themeColor="text1"/>
          <w:sz w:val="30"/>
          <w:szCs w:val="30"/>
        </w:rPr>
        <w:t>particulièrement dynamiques en 2017</w:t>
      </w:r>
      <w:r w:rsidRPr="00753E5C">
        <w:rPr>
          <w:rFonts w:asciiTheme="majorHAnsi" w:hAnsiTheme="majorHAnsi"/>
          <w:b w:val="0"/>
          <w:bCs w:val="0"/>
          <w:color w:val="000000" w:themeColor="text1"/>
          <w:sz w:val="30"/>
          <w:szCs w:val="30"/>
        </w:rPr>
        <w:t xml:space="preserve">, </w:t>
      </w:r>
      <w:r w:rsidR="00753E5C" w:rsidRPr="00753E5C">
        <w:rPr>
          <w:rFonts w:asciiTheme="majorHAnsi" w:hAnsiTheme="majorHAnsi"/>
          <w:b w:val="0"/>
          <w:bCs w:val="0"/>
          <w:color w:val="000000" w:themeColor="text1"/>
          <w:sz w:val="30"/>
          <w:szCs w:val="30"/>
        </w:rPr>
        <w:t>auraient affiché une croissance moins soutenue</w:t>
      </w:r>
      <w:r w:rsidR="00770919">
        <w:rPr>
          <w:rFonts w:asciiTheme="majorHAnsi" w:hAnsiTheme="majorHAnsi"/>
          <w:b w:val="0"/>
          <w:bCs w:val="0"/>
          <w:color w:val="000000" w:themeColor="text1"/>
          <w:sz w:val="30"/>
          <w:szCs w:val="30"/>
        </w:rPr>
        <w:t xml:space="preserve"> en </w:t>
      </w:r>
      <w:r w:rsidR="00770919" w:rsidRPr="00770919">
        <w:rPr>
          <w:rFonts w:asciiTheme="majorHAnsi" w:hAnsiTheme="majorHAnsi"/>
          <w:b w:val="0"/>
          <w:bCs w:val="0"/>
          <w:color w:val="000000" w:themeColor="text1"/>
          <w:sz w:val="30"/>
          <w:szCs w:val="30"/>
        </w:rPr>
        <w:t>2018</w:t>
      </w:r>
      <w:r w:rsidR="00753E5C" w:rsidRPr="00753E5C">
        <w:rPr>
          <w:rFonts w:asciiTheme="majorHAnsi" w:hAnsiTheme="majorHAnsi"/>
          <w:b w:val="0"/>
          <w:bCs w:val="0"/>
          <w:color w:val="000000" w:themeColor="text1"/>
          <w:sz w:val="30"/>
          <w:szCs w:val="30"/>
        </w:rPr>
        <w:t>, du fait notamment des faibles performances d</w:t>
      </w:r>
      <w:r w:rsidR="00753E5C">
        <w:rPr>
          <w:rFonts w:asciiTheme="majorHAnsi" w:hAnsiTheme="majorHAnsi"/>
          <w:b w:val="0"/>
          <w:bCs w:val="0"/>
          <w:color w:val="000000" w:themeColor="text1"/>
          <w:sz w:val="30"/>
          <w:szCs w:val="30"/>
        </w:rPr>
        <w:t>u secteur du bâtiment et travaux publics</w:t>
      </w:r>
      <w:r w:rsidR="00753E5C" w:rsidRPr="00753E5C">
        <w:rPr>
          <w:rFonts w:asciiTheme="majorHAnsi" w:hAnsiTheme="majorHAnsi"/>
          <w:b w:val="0"/>
          <w:bCs w:val="0"/>
          <w:color w:val="000000" w:themeColor="text1"/>
          <w:sz w:val="30"/>
          <w:szCs w:val="30"/>
        </w:rPr>
        <w:t xml:space="preserve"> et du ralentissement des </w:t>
      </w:r>
      <w:r w:rsidR="00770919">
        <w:rPr>
          <w:rFonts w:asciiTheme="majorHAnsi" w:hAnsiTheme="majorHAnsi"/>
          <w:b w:val="0"/>
          <w:bCs w:val="0"/>
          <w:color w:val="000000" w:themeColor="text1"/>
          <w:sz w:val="30"/>
          <w:szCs w:val="30"/>
        </w:rPr>
        <w:t xml:space="preserve">activités </w:t>
      </w:r>
      <w:r w:rsidR="00753E5C" w:rsidRPr="00753E5C">
        <w:rPr>
          <w:rFonts w:asciiTheme="majorHAnsi" w:hAnsiTheme="majorHAnsi"/>
          <w:b w:val="0"/>
          <w:bCs w:val="0"/>
          <w:color w:val="000000" w:themeColor="text1"/>
          <w:sz w:val="30"/>
          <w:szCs w:val="30"/>
        </w:rPr>
        <w:t>min</w:t>
      </w:r>
      <w:r w:rsidR="00770919">
        <w:rPr>
          <w:rFonts w:asciiTheme="majorHAnsi" w:hAnsiTheme="majorHAnsi"/>
          <w:b w:val="0"/>
          <w:bCs w:val="0"/>
          <w:color w:val="000000" w:themeColor="text1"/>
          <w:sz w:val="30"/>
          <w:szCs w:val="30"/>
        </w:rPr>
        <w:t>ièr</w:t>
      </w:r>
      <w:r w:rsidR="00753E5C" w:rsidRPr="00753E5C">
        <w:rPr>
          <w:rFonts w:asciiTheme="majorHAnsi" w:hAnsiTheme="majorHAnsi"/>
          <w:b w:val="0"/>
          <w:bCs w:val="0"/>
          <w:color w:val="000000" w:themeColor="text1"/>
          <w:sz w:val="30"/>
          <w:szCs w:val="30"/>
        </w:rPr>
        <w:t xml:space="preserve">es. </w:t>
      </w:r>
    </w:p>
    <w:p w:rsidR="00770919" w:rsidRPr="009722C2" w:rsidRDefault="00770919" w:rsidP="00770919">
      <w:pPr>
        <w:jc w:val="both"/>
        <w:rPr>
          <w:rFonts w:asciiTheme="majorHAnsi" w:hAnsiTheme="majorHAnsi" w:cs="Arial"/>
          <w:b w:val="0"/>
          <w:bCs w:val="0"/>
          <w:vanish/>
          <w:color w:val="000000" w:themeColor="text1"/>
          <w:kern w:val="32"/>
          <w:sz w:val="30"/>
          <w:szCs w:val="30"/>
        </w:rPr>
      </w:pPr>
    </w:p>
    <w:p w:rsidR="00225BA8" w:rsidRPr="009722C2" w:rsidRDefault="00225BA8" w:rsidP="00EA2344">
      <w:pPr>
        <w:pStyle w:val="Paragraphedeliste"/>
        <w:keepNext/>
        <w:numPr>
          <w:ilvl w:val="0"/>
          <w:numId w:val="4"/>
        </w:numPr>
        <w:spacing w:before="100" w:beforeAutospacing="1" w:after="100" w:afterAutospacing="1" w:line="240" w:lineRule="auto"/>
        <w:ind w:left="0" w:firstLine="284"/>
        <w:outlineLvl w:val="0"/>
        <w:rPr>
          <w:rFonts w:asciiTheme="majorHAnsi" w:eastAsia="Times New Roman" w:hAnsiTheme="majorHAnsi" w:cs="Arial"/>
          <w:b/>
          <w:bCs/>
          <w:vanish/>
          <w:color w:val="000000" w:themeColor="text1"/>
          <w:kern w:val="32"/>
          <w:sz w:val="30"/>
          <w:szCs w:val="30"/>
          <w:lang w:eastAsia="fr-FR" w:bidi="ar-SA"/>
        </w:rPr>
      </w:pPr>
    </w:p>
    <w:p w:rsidR="00EA384F" w:rsidRPr="009722C2" w:rsidRDefault="006E1286" w:rsidP="006E1286">
      <w:pPr>
        <w:pStyle w:val="Titre1"/>
        <w:tabs>
          <w:tab w:val="left" w:pos="426"/>
          <w:tab w:val="left" w:pos="709"/>
          <w:tab w:val="left" w:pos="993"/>
        </w:tabs>
        <w:spacing w:before="100" w:beforeAutospacing="1" w:after="100" w:afterAutospacing="1"/>
        <w:contextualSpacing/>
        <w:rPr>
          <w:rFonts w:asciiTheme="majorHAnsi" w:hAnsiTheme="majorHAnsi"/>
          <w:color w:val="000000" w:themeColor="text1"/>
          <w:sz w:val="30"/>
          <w:szCs w:val="30"/>
          <w:u w:val="single"/>
        </w:rPr>
      </w:pPr>
      <w:r>
        <w:rPr>
          <w:rFonts w:asciiTheme="majorHAnsi" w:hAnsiTheme="majorHAnsi"/>
          <w:color w:val="000000" w:themeColor="text1"/>
          <w:sz w:val="30"/>
          <w:szCs w:val="30"/>
          <w:u w:val="single"/>
        </w:rPr>
        <w:t>L</w:t>
      </w:r>
      <w:r w:rsidR="00830981" w:rsidRPr="009722C2">
        <w:rPr>
          <w:rFonts w:asciiTheme="majorHAnsi" w:hAnsiTheme="majorHAnsi"/>
          <w:color w:val="000000" w:themeColor="text1"/>
          <w:sz w:val="30"/>
          <w:szCs w:val="30"/>
          <w:u w:val="single"/>
        </w:rPr>
        <w:t>égère amélioration</w:t>
      </w:r>
      <w:r w:rsidR="00EA384F" w:rsidRPr="009722C2">
        <w:rPr>
          <w:rFonts w:asciiTheme="majorHAnsi" w:hAnsiTheme="majorHAnsi"/>
          <w:color w:val="000000" w:themeColor="text1"/>
          <w:sz w:val="30"/>
          <w:szCs w:val="30"/>
          <w:u w:val="single"/>
        </w:rPr>
        <w:t xml:space="preserve"> des activités </w:t>
      </w:r>
      <w:r w:rsidR="002776CC" w:rsidRPr="009722C2">
        <w:rPr>
          <w:rFonts w:asciiTheme="majorHAnsi" w:hAnsiTheme="majorHAnsi"/>
          <w:color w:val="000000" w:themeColor="text1"/>
          <w:sz w:val="30"/>
          <w:szCs w:val="30"/>
          <w:u w:val="single"/>
        </w:rPr>
        <w:t xml:space="preserve">agricoles et </w:t>
      </w:r>
      <w:r w:rsidR="00EA384F" w:rsidRPr="009722C2">
        <w:rPr>
          <w:rFonts w:asciiTheme="majorHAnsi" w:hAnsiTheme="majorHAnsi"/>
          <w:color w:val="000000" w:themeColor="text1"/>
          <w:sz w:val="30"/>
          <w:szCs w:val="30"/>
          <w:u w:val="single"/>
        </w:rPr>
        <w:t xml:space="preserve">non agricoles </w:t>
      </w:r>
    </w:p>
    <w:p w:rsidR="0049779B" w:rsidRDefault="00F04D0A" w:rsidP="00F142D5">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t xml:space="preserve">Le secteur agricole aurait réalisé pour la deuxième année consécutive des résultats </w:t>
      </w:r>
      <w:r w:rsidR="00244A34" w:rsidRPr="009722C2">
        <w:rPr>
          <w:rFonts w:asciiTheme="majorHAnsi" w:hAnsiTheme="majorHAnsi"/>
          <w:b w:val="0"/>
          <w:bCs w:val="0"/>
          <w:color w:val="000000" w:themeColor="text1"/>
          <w:sz w:val="30"/>
          <w:szCs w:val="30"/>
        </w:rPr>
        <w:t>satisfaisants</w:t>
      </w:r>
      <w:r w:rsidRPr="009722C2">
        <w:rPr>
          <w:rFonts w:asciiTheme="majorHAnsi" w:hAnsiTheme="majorHAnsi"/>
          <w:b w:val="0"/>
          <w:bCs w:val="0"/>
          <w:color w:val="000000" w:themeColor="text1"/>
          <w:sz w:val="30"/>
          <w:szCs w:val="30"/>
        </w:rPr>
        <w:t>, bénéficiant de</w:t>
      </w:r>
      <w:r w:rsidR="004403A6" w:rsidRPr="009722C2">
        <w:rPr>
          <w:rFonts w:asciiTheme="majorHAnsi" w:hAnsiTheme="majorHAnsi"/>
          <w:b w:val="0"/>
          <w:bCs w:val="0"/>
          <w:color w:val="000000" w:themeColor="text1"/>
          <w:sz w:val="30"/>
          <w:szCs w:val="30"/>
        </w:rPr>
        <w:t>s</w:t>
      </w:r>
      <w:r w:rsidRPr="009722C2">
        <w:rPr>
          <w:rFonts w:asciiTheme="majorHAnsi" w:hAnsiTheme="majorHAnsi"/>
          <w:b w:val="0"/>
          <w:bCs w:val="0"/>
          <w:color w:val="000000" w:themeColor="text1"/>
          <w:sz w:val="30"/>
          <w:szCs w:val="30"/>
        </w:rPr>
        <w:t xml:space="preserve"> </w:t>
      </w:r>
      <w:r w:rsidR="004403A6" w:rsidRPr="009722C2">
        <w:rPr>
          <w:rFonts w:asciiTheme="majorHAnsi" w:hAnsiTheme="majorHAnsi"/>
          <w:b w:val="0"/>
          <w:bCs w:val="0"/>
          <w:color w:val="000000" w:themeColor="text1"/>
          <w:sz w:val="30"/>
          <w:szCs w:val="30"/>
        </w:rPr>
        <w:t>conditions climatiques favorables</w:t>
      </w:r>
      <w:r w:rsidR="00C03281" w:rsidRPr="009722C2">
        <w:rPr>
          <w:rFonts w:asciiTheme="majorHAnsi" w:hAnsiTheme="majorHAnsi"/>
          <w:b w:val="0"/>
          <w:bCs w:val="0"/>
          <w:color w:val="000000" w:themeColor="text1"/>
          <w:sz w:val="30"/>
          <w:szCs w:val="30"/>
        </w:rPr>
        <w:t xml:space="preserve"> caractérisées</w:t>
      </w:r>
      <w:r w:rsidR="004403A6" w:rsidRPr="009722C2">
        <w:rPr>
          <w:rFonts w:asciiTheme="majorHAnsi" w:hAnsiTheme="majorHAnsi"/>
          <w:b w:val="0"/>
          <w:bCs w:val="0"/>
          <w:color w:val="000000" w:themeColor="text1"/>
          <w:sz w:val="30"/>
          <w:szCs w:val="30"/>
        </w:rPr>
        <w:t xml:space="preserve"> </w:t>
      </w:r>
      <w:r w:rsidR="00DE5350" w:rsidRPr="009722C2">
        <w:rPr>
          <w:rFonts w:asciiTheme="majorHAnsi" w:hAnsiTheme="majorHAnsi"/>
          <w:b w:val="0"/>
          <w:bCs w:val="0"/>
          <w:color w:val="000000" w:themeColor="text1"/>
          <w:sz w:val="30"/>
          <w:szCs w:val="30"/>
        </w:rPr>
        <w:t xml:space="preserve">par </w:t>
      </w:r>
      <w:r w:rsidR="004403A6" w:rsidRPr="009722C2">
        <w:rPr>
          <w:rFonts w:asciiTheme="majorHAnsi" w:hAnsiTheme="majorHAnsi"/>
          <w:b w:val="0"/>
          <w:bCs w:val="0"/>
          <w:color w:val="000000" w:themeColor="text1"/>
          <w:sz w:val="30"/>
          <w:szCs w:val="30"/>
        </w:rPr>
        <w:t>une</w:t>
      </w:r>
      <w:r w:rsidRPr="009722C2">
        <w:rPr>
          <w:rFonts w:asciiTheme="majorHAnsi" w:hAnsiTheme="majorHAnsi"/>
          <w:b w:val="0"/>
          <w:bCs w:val="0"/>
          <w:color w:val="000000" w:themeColor="text1"/>
          <w:sz w:val="30"/>
          <w:szCs w:val="30"/>
        </w:rPr>
        <w:t xml:space="preserve"> bonne distribution pluviométrique</w:t>
      </w:r>
      <w:r w:rsidR="00735B9F" w:rsidRPr="009722C2">
        <w:rPr>
          <w:rFonts w:asciiTheme="majorHAnsi" w:hAnsiTheme="majorHAnsi"/>
          <w:b w:val="0"/>
          <w:bCs w:val="0"/>
          <w:color w:val="000000" w:themeColor="text1"/>
          <w:sz w:val="30"/>
          <w:szCs w:val="30"/>
        </w:rPr>
        <w:t xml:space="preserve">. La campagne agricole 2017/2018 </w:t>
      </w:r>
      <w:r w:rsidR="00414E0F" w:rsidRPr="009722C2">
        <w:rPr>
          <w:rFonts w:asciiTheme="majorHAnsi" w:hAnsiTheme="majorHAnsi"/>
          <w:b w:val="0"/>
          <w:bCs w:val="0"/>
          <w:color w:val="000000" w:themeColor="text1"/>
          <w:sz w:val="30"/>
          <w:szCs w:val="30"/>
        </w:rPr>
        <w:t xml:space="preserve">aurait </w:t>
      </w:r>
      <w:r w:rsidR="00735B9F" w:rsidRPr="009722C2">
        <w:rPr>
          <w:rFonts w:asciiTheme="majorHAnsi" w:hAnsiTheme="majorHAnsi"/>
          <w:b w:val="0"/>
          <w:bCs w:val="0"/>
          <w:color w:val="000000" w:themeColor="text1"/>
          <w:sz w:val="30"/>
          <w:szCs w:val="30"/>
        </w:rPr>
        <w:t>dégag</w:t>
      </w:r>
      <w:r w:rsidR="00414E0F" w:rsidRPr="009722C2">
        <w:rPr>
          <w:rFonts w:asciiTheme="majorHAnsi" w:hAnsiTheme="majorHAnsi"/>
          <w:b w:val="0"/>
          <w:bCs w:val="0"/>
          <w:color w:val="000000" w:themeColor="text1"/>
          <w:sz w:val="30"/>
          <w:szCs w:val="30"/>
        </w:rPr>
        <w:t>é</w:t>
      </w:r>
      <w:r w:rsidR="00D7320F">
        <w:rPr>
          <w:rFonts w:asciiTheme="majorHAnsi" w:hAnsiTheme="majorHAnsi"/>
          <w:b w:val="0"/>
          <w:bCs w:val="0"/>
          <w:color w:val="000000" w:themeColor="text1"/>
          <w:sz w:val="30"/>
          <w:szCs w:val="30"/>
        </w:rPr>
        <w:t>,</w:t>
      </w:r>
      <w:r w:rsidR="00735B9F" w:rsidRPr="009722C2">
        <w:rPr>
          <w:rFonts w:asciiTheme="majorHAnsi" w:hAnsiTheme="majorHAnsi"/>
          <w:b w:val="0"/>
          <w:bCs w:val="0"/>
          <w:color w:val="000000" w:themeColor="text1"/>
          <w:sz w:val="30"/>
          <w:szCs w:val="30"/>
        </w:rPr>
        <w:t xml:space="preserve"> ainsi une production céréalière d’environ 103 millions de quintaux, en augmentation  de </w:t>
      </w:r>
      <w:r w:rsidR="00EC1370" w:rsidRPr="009722C2">
        <w:rPr>
          <w:rFonts w:asciiTheme="majorHAnsi" w:hAnsiTheme="majorHAnsi"/>
          <w:b w:val="0"/>
          <w:bCs w:val="0"/>
          <w:color w:val="000000" w:themeColor="text1"/>
          <w:sz w:val="30"/>
          <w:szCs w:val="30"/>
        </w:rPr>
        <w:t>7,3</w:t>
      </w:r>
      <w:r w:rsidR="00735B9F" w:rsidRPr="009722C2">
        <w:rPr>
          <w:rFonts w:asciiTheme="majorHAnsi" w:hAnsiTheme="majorHAnsi"/>
          <w:b w:val="0"/>
          <w:bCs w:val="0"/>
          <w:color w:val="000000" w:themeColor="text1"/>
          <w:sz w:val="30"/>
          <w:szCs w:val="30"/>
        </w:rPr>
        <w:t>% par rapport à 2017</w:t>
      </w:r>
      <w:r w:rsidR="00DE5350" w:rsidRPr="009722C2">
        <w:rPr>
          <w:rFonts w:asciiTheme="majorHAnsi" w:hAnsiTheme="majorHAnsi"/>
          <w:b w:val="0"/>
          <w:bCs w:val="0"/>
          <w:color w:val="000000" w:themeColor="text1"/>
          <w:sz w:val="30"/>
          <w:szCs w:val="30"/>
        </w:rPr>
        <w:t>.</w:t>
      </w:r>
      <w:r w:rsidR="00B73D8F" w:rsidRPr="009722C2">
        <w:rPr>
          <w:rFonts w:asciiTheme="majorHAnsi" w:hAnsiTheme="majorHAnsi"/>
          <w:b w:val="0"/>
          <w:bCs w:val="0"/>
          <w:color w:val="000000" w:themeColor="text1"/>
          <w:sz w:val="30"/>
          <w:szCs w:val="30"/>
        </w:rPr>
        <w:t xml:space="preserve"> </w:t>
      </w:r>
    </w:p>
    <w:p w:rsidR="0049779B" w:rsidRDefault="0049779B" w:rsidP="006E1286">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B73D8F" w:rsidRPr="009722C2" w:rsidRDefault="00B73D8F" w:rsidP="0049779B">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t>Avec une superficie cultivée en céréales principales de 4,5 millions d’hectares, la campagne céréalière 2017/2018 aurait connu un rendement moyen record de 22,9 quintaux/hectare. Le contexte climatique aurait bénéficié aussi aux autres cultures non-céréalières notamment les cultures maraichères et fruitières et au secteur de  l’élevage qui</w:t>
      </w:r>
      <w:r w:rsidR="00452177">
        <w:rPr>
          <w:rFonts w:asciiTheme="majorHAnsi" w:hAnsiTheme="majorHAnsi"/>
          <w:b w:val="0"/>
          <w:bCs w:val="0"/>
          <w:color w:val="000000" w:themeColor="text1"/>
          <w:sz w:val="30"/>
          <w:szCs w:val="30"/>
        </w:rPr>
        <w:t>,</w:t>
      </w:r>
      <w:r w:rsidRPr="009722C2">
        <w:rPr>
          <w:rFonts w:asciiTheme="majorHAnsi" w:hAnsiTheme="majorHAnsi"/>
          <w:b w:val="0"/>
          <w:bCs w:val="0"/>
          <w:color w:val="000000" w:themeColor="text1"/>
          <w:sz w:val="30"/>
          <w:szCs w:val="30"/>
        </w:rPr>
        <w:t xml:space="preserve"> grâce à la bonne production fourragère, </w:t>
      </w:r>
      <w:r w:rsidR="002C5606" w:rsidRPr="009722C2">
        <w:rPr>
          <w:rFonts w:asciiTheme="majorHAnsi" w:hAnsiTheme="majorHAnsi"/>
          <w:b w:val="0"/>
          <w:bCs w:val="0"/>
          <w:color w:val="000000" w:themeColor="text1"/>
          <w:sz w:val="30"/>
          <w:szCs w:val="30"/>
        </w:rPr>
        <w:t>aurait enregistré</w:t>
      </w:r>
      <w:r w:rsidRPr="009722C2">
        <w:rPr>
          <w:rFonts w:asciiTheme="majorHAnsi" w:hAnsiTheme="majorHAnsi"/>
          <w:b w:val="0"/>
          <w:bCs w:val="0"/>
          <w:color w:val="000000" w:themeColor="text1"/>
          <w:sz w:val="30"/>
          <w:szCs w:val="30"/>
        </w:rPr>
        <w:t xml:space="preserve"> une évolution positive de ses activités. </w:t>
      </w:r>
    </w:p>
    <w:p w:rsidR="00DE5350" w:rsidRPr="009722C2" w:rsidRDefault="00DE5350" w:rsidP="00B73D8F">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735B9F" w:rsidRPr="009722C2" w:rsidRDefault="004403A6" w:rsidP="00482A65">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t>Compte tenu d’une amélioration de pr</w:t>
      </w:r>
      <w:r w:rsidR="006E1286">
        <w:rPr>
          <w:rFonts w:asciiTheme="majorHAnsi" w:hAnsiTheme="majorHAnsi"/>
          <w:b w:val="0"/>
          <w:bCs w:val="0"/>
          <w:color w:val="000000" w:themeColor="text1"/>
          <w:sz w:val="30"/>
          <w:szCs w:val="30"/>
        </w:rPr>
        <w:t>è</w:t>
      </w:r>
      <w:r w:rsidRPr="009722C2">
        <w:rPr>
          <w:rFonts w:asciiTheme="majorHAnsi" w:hAnsiTheme="majorHAnsi"/>
          <w:b w:val="0"/>
          <w:bCs w:val="0"/>
          <w:color w:val="000000" w:themeColor="text1"/>
          <w:sz w:val="30"/>
          <w:szCs w:val="30"/>
        </w:rPr>
        <w:t>s de 3% des activités de la p</w:t>
      </w:r>
      <w:r w:rsidR="006E1286">
        <w:rPr>
          <w:rFonts w:asciiTheme="majorHAnsi" w:hAnsiTheme="majorHAnsi"/>
          <w:b w:val="0"/>
          <w:bCs w:val="0"/>
          <w:color w:val="000000" w:themeColor="text1"/>
          <w:sz w:val="30"/>
          <w:szCs w:val="30"/>
        </w:rPr>
        <w:t>ê</w:t>
      </w:r>
      <w:r w:rsidRPr="009722C2">
        <w:rPr>
          <w:rFonts w:asciiTheme="majorHAnsi" w:hAnsiTheme="majorHAnsi"/>
          <w:b w:val="0"/>
          <w:bCs w:val="0"/>
          <w:color w:val="000000" w:themeColor="text1"/>
          <w:sz w:val="30"/>
          <w:szCs w:val="30"/>
        </w:rPr>
        <w:t xml:space="preserve">che maritime </w:t>
      </w:r>
      <w:r w:rsidR="00A44720" w:rsidRPr="009722C2">
        <w:rPr>
          <w:rFonts w:asciiTheme="majorHAnsi" w:hAnsiTheme="majorHAnsi"/>
          <w:b w:val="0"/>
          <w:bCs w:val="0"/>
          <w:color w:val="000000" w:themeColor="text1"/>
          <w:sz w:val="30"/>
          <w:szCs w:val="30"/>
        </w:rPr>
        <w:t xml:space="preserve">après </w:t>
      </w:r>
      <w:r w:rsidRPr="009722C2">
        <w:rPr>
          <w:rFonts w:asciiTheme="majorHAnsi" w:hAnsiTheme="majorHAnsi"/>
          <w:b w:val="0"/>
          <w:bCs w:val="0"/>
          <w:color w:val="000000" w:themeColor="text1"/>
          <w:sz w:val="30"/>
          <w:szCs w:val="30"/>
        </w:rPr>
        <w:t xml:space="preserve">une baisse </w:t>
      </w:r>
      <w:r w:rsidR="00A44720" w:rsidRPr="009722C2">
        <w:rPr>
          <w:rFonts w:asciiTheme="majorHAnsi" w:hAnsiTheme="majorHAnsi"/>
          <w:b w:val="0"/>
          <w:bCs w:val="0"/>
          <w:color w:val="000000" w:themeColor="text1"/>
          <w:sz w:val="30"/>
          <w:szCs w:val="30"/>
        </w:rPr>
        <w:t>de 8,</w:t>
      </w:r>
      <w:r w:rsidR="006E1286">
        <w:rPr>
          <w:rFonts w:asciiTheme="majorHAnsi" w:hAnsiTheme="majorHAnsi"/>
          <w:b w:val="0"/>
          <w:bCs w:val="0"/>
          <w:color w:val="000000" w:themeColor="text1"/>
          <w:sz w:val="30"/>
          <w:szCs w:val="30"/>
        </w:rPr>
        <w:t>3</w:t>
      </w:r>
      <w:r w:rsidR="00A44720" w:rsidRPr="009722C2">
        <w:rPr>
          <w:rFonts w:asciiTheme="majorHAnsi" w:hAnsiTheme="majorHAnsi"/>
          <w:b w:val="0"/>
          <w:bCs w:val="0"/>
          <w:color w:val="000000" w:themeColor="text1"/>
          <w:sz w:val="30"/>
          <w:szCs w:val="30"/>
        </w:rPr>
        <w:t xml:space="preserve">% en 2017, </w:t>
      </w:r>
      <w:r w:rsidR="00735B9F" w:rsidRPr="009722C2">
        <w:rPr>
          <w:rFonts w:asciiTheme="majorHAnsi" w:hAnsiTheme="majorHAnsi"/>
          <w:color w:val="000000" w:themeColor="text1"/>
          <w:sz w:val="30"/>
          <w:szCs w:val="30"/>
        </w:rPr>
        <w:t>le secteur primaire</w:t>
      </w:r>
      <w:r w:rsidR="00735B9F" w:rsidRPr="009722C2">
        <w:rPr>
          <w:rFonts w:asciiTheme="majorHAnsi" w:hAnsiTheme="majorHAnsi"/>
          <w:b w:val="0"/>
          <w:bCs w:val="0"/>
          <w:color w:val="000000" w:themeColor="text1"/>
          <w:sz w:val="30"/>
          <w:szCs w:val="30"/>
        </w:rPr>
        <w:t xml:space="preserve"> </w:t>
      </w:r>
      <w:r w:rsidR="005C3534" w:rsidRPr="009722C2">
        <w:rPr>
          <w:rFonts w:asciiTheme="majorHAnsi" w:hAnsiTheme="majorHAnsi"/>
          <w:b w:val="0"/>
          <w:bCs w:val="0"/>
          <w:color w:val="000000" w:themeColor="text1"/>
          <w:sz w:val="30"/>
          <w:szCs w:val="30"/>
        </w:rPr>
        <w:t xml:space="preserve">aurait </w:t>
      </w:r>
      <w:r w:rsidR="00735B9F" w:rsidRPr="009722C2">
        <w:rPr>
          <w:rFonts w:asciiTheme="majorHAnsi" w:hAnsiTheme="majorHAnsi"/>
          <w:b w:val="0"/>
          <w:bCs w:val="0"/>
          <w:color w:val="000000" w:themeColor="text1"/>
          <w:sz w:val="30"/>
          <w:szCs w:val="30"/>
        </w:rPr>
        <w:t>dégag</w:t>
      </w:r>
      <w:r w:rsidR="005C3534" w:rsidRPr="009722C2">
        <w:rPr>
          <w:rFonts w:asciiTheme="majorHAnsi" w:hAnsiTheme="majorHAnsi"/>
          <w:b w:val="0"/>
          <w:bCs w:val="0"/>
          <w:color w:val="000000" w:themeColor="text1"/>
          <w:sz w:val="30"/>
          <w:szCs w:val="30"/>
        </w:rPr>
        <w:t>é</w:t>
      </w:r>
      <w:r w:rsidR="00735B9F" w:rsidRPr="009722C2">
        <w:rPr>
          <w:rFonts w:asciiTheme="majorHAnsi" w:hAnsiTheme="majorHAnsi"/>
          <w:b w:val="0"/>
          <w:bCs w:val="0"/>
          <w:color w:val="000000" w:themeColor="text1"/>
          <w:sz w:val="30"/>
          <w:szCs w:val="30"/>
        </w:rPr>
        <w:t xml:space="preserve"> une valeur ajoutée en hausse de </w:t>
      </w:r>
      <w:r w:rsidR="007742ED" w:rsidRPr="009722C2">
        <w:rPr>
          <w:rFonts w:asciiTheme="majorHAnsi" w:hAnsiTheme="majorHAnsi"/>
          <w:color w:val="000000" w:themeColor="text1"/>
          <w:sz w:val="30"/>
          <w:szCs w:val="30"/>
        </w:rPr>
        <w:t>3,8</w:t>
      </w:r>
      <w:r w:rsidR="00735B9F" w:rsidRPr="009722C2">
        <w:rPr>
          <w:rFonts w:asciiTheme="majorHAnsi" w:hAnsiTheme="majorHAnsi"/>
          <w:color w:val="000000" w:themeColor="text1"/>
          <w:sz w:val="30"/>
          <w:szCs w:val="30"/>
        </w:rPr>
        <w:t>%,</w:t>
      </w:r>
      <w:r w:rsidR="00735B9F" w:rsidRPr="009722C2">
        <w:rPr>
          <w:rFonts w:asciiTheme="majorHAnsi" w:hAnsiTheme="majorHAnsi"/>
          <w:b w:val="0"/>
          <w:bCs w:val="0"/>
          <w:color w:val="000000" w:themeColor="text1"/>
          <w:sz w:val="30"/>
          <w:szCs w:val="30"/>
        </w:rPr>
        <w:t xml:space="preserve"> contribuant ainsi, </w:t>
      </w:r>
      <w:r w:rsidR="00D864E0" w:rsidRPr="009722C2">
        <w:rPr>
          <w:rFonts w:asciiTheme="majorHAnsi" w:hAnsiTheme="majorHAnsi"/>
          <w:b w:val="0"/>
          <w:bCs w:val="0"/>
          <w:color w:val="000000" w:themeColor="text1"/>
          <w:sz w:val="30"/>
          <w:szCs w:val="30"/>
        </w:rPr>
        <w:t>de</w:t>
      </w:r>
      <w:r w:rsidR="00735B9F" w:rsidRPr="009722C2">
        <w:rPr>
          <w:rFonts w:asciiTheme="majorHAnsi" w:hAnsiTheme="majorHAnsi"/>
          <w:b w:val="0"/>
          <w:bCs w:val="0"/>
          <w:color w:val="000000" w:themeColor="text1"/>
          <w:sz w:val="30"/>
          <w:szCs w:val="30"/>
        </w:rPr>
        <w:t xml:space="preserve"> </w:t>
      </w:r>
      <w:r w:rsidR="00B61E28" w:rsidRPr="009722C2">
        <w:rPr>
          <w:rFonts w:asciiTheme="majorHAnsi" w:hAnsiTheme="majorHAnsi"/>
          <w:b w:val="0"/>
          <w:bCs w:val="0"/>
          <w:color w:val="000000" w:themeColor="text1"/>
          <w:sz w:val="30"/>
          <w:szCs w:val="30"/>
        </w:rPr>
        <w:t>0</w:t>
      </w:r>
      <w:r w:rsidR="00735B9F" w:rsidRPr="009722C2">
        <w:rPr>
          <w:rFonts w:asciiTheme="majorHAnsi" w:hAnsiTheme="majorHAnsi"/>
          <w:b w:val="0"/>
          <w:bCs w:val="0"/>
          <w:color w:val="000000" w:themeColor="text1"/>
          <w:sz w:val="30"/>
          <w:szCs w:val="30"/>
        </w:rPr>
        <w:t>,</w:t>
      </w:r>
      <w:r w:rsidR="006E1286">
        <w:rPr>
          <w:rFonts w:asciiTheme="majorHAnsi" w:hAnsiTheme="majorHAnsi"/>
          <w:b w:val="0"/>
          <w:bCs w:val="0"/>
          <w:color w:val="000000" w:themeColor="text1"/>
          <w:sz w:val="30"/>
          <w:szCs w:val="30"/>
        </w:rPr>
        <w:t>5</w:t>
      </w:r>
      <w:r w:rsidR="00735B9F" w:rsidRPr="009722C2">
        <w:rPr>
          <w:rFonts w:asciiTheme="majorHAnsi" w:hAnsiTheme="majorHAnsi"/>
          <w:b w:val="0"/>
          <w:bCs w:val="0"/>
          <w:color w:val="000000" w:themeColor="text1"/>
          <w:sz w:val="30"/>
          <w:szCs w:val="30"/>
        </w:rPr>
        <w:t xml:space="preserve"> point à la croissance du Produit Intérieur Brut en 201</w:t>
      </w:r>
      <w:r w:rsidR="00B61E28" w:rsidRPr="009722C2">
        <w:rPr>
          <w:rFonts w:asciiTheme="majorHAnsi" w:hAnsiTheme="majorHAnsi"/>
          <w:b w:val="0"/>
          <w:bCs w:val="0"/>
          <w:color w:val="000000" w:themeColor="text1"/>
          <w:sz w:val="30"/>
          <w:szCs w:val="30"/>
        </w:rPr>
        <w:t>8</w:t>
      </w:r>
      <w:r w:rsidR="00735B9F" w:rsidRPr="009722C2">
        <w:rPr>
          <w:rFonts w:asciiTheme="majorHAnsi" w:hAnsiTheme="majorHAnsi"/>
          <w:b w:val="0"/>
          <w:bCs w:val="0"/>
          <w:color w:val="000000" w:themeColor="text1"/>
          <w:sz w:val="30"/>
          <w:szCs w:val="30"/>
        </w:rPr>
        <w:t>.</w:t>
      </w:r>
    </w:p>
    <w:p w:rsidR="00735B9F" w:rsidRPr="009722C2" w:rsidRDefault="00735B9F" w:rsidP="00011C31">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482A65" w:rsidRDefault="00482A65" w:rsidP="00173AD1">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color w:val="000000" w:themeColor="text1"/>
          <w:sz w:val="30"/>
          <w:szCs w:val="30"/>
        </w:rPr>
        <w:t>L’activité hors agriculture</w:t>
      </w:r>
      <w:r w:rsidRPr="009722C2">
        <w:rPr>
          <w:rFonts w:asciiTheme="majorHAnsi" w:hAnsiTheme="majorHAnsi"/>
          <w:b w:val="0"/>
          <w:bCs w:val="0"/>
          <w:color w:val="000000" w:themeColor="text1"/>
          <w:sz w:val="30"/>
          <w:szCs w:val="30"/>
        </w:rPr>
        <w:t xml:space="preserve"> </w:t>
      </w:r>
      <w:r>
        <w:rPr>
          <w:rFonts w:asciiTheme="majorHAnsi" w:hAnsiTheme="majorHAnsi"/>
          <w:b w:val="0"/>
          <w:bCs w:val="0"/>
          <w:color w:val="000000" w:themeColor="text1"/>
          <w:sz w:val="30"/>
          <w:szCs w:val="30"/>
        </w:rPr>
        <w:t>se serait inscrite</w:t>
      </w:r>
      <w:r w:rsidR="00984AA5">
        <w:rPr>
          <w:rFonts w:asciiTheme="majorHAnsi" w:hAnsiTheme="majorHAnsi"/>
          <w:b w:val="0"/>
          <w:bCs w:val="0"/>
          <w:color w:val="000000" w:themeColor="text1"/>
          <w:sz w:val="30"/>
          <w:szCs w:val="30"/>
        </w:rPr>
        <w:t xml:space="preserve"> dans un sentier </w:t>
      </w:r>
      <w:r w:rsidRPr="009722C2">
        <w:rPr>
          <w:rFonts w:asciiTheme="majorHAnsi" w:hAnsiTheme="majorHAnsi"/>
          <w:b w:val="0"/>
          <w:bCs w:val="0"/>
          <w:color w:val="000000" w:themeColor="text1"/>
          <w:sz w:val="30"/>
          <w:szCs w:val="30"/>
        </w:rPr>
        <w:t>de croissance modéré en 2018</w:t>
      </w:r>
      <w:r>
        <w:rPr>
          <w:rFonts w:asciiTheme="majorHAnsi" w:hAnsiTheme="majorHAnsi"/>
          <w:b w:val="0"/>
          <w:bCs w:val="0"/>
          <w:color w:val="000000" w:themeColor="text1"/>
          <w:sz w:val="30"/>
          <w:szCs w:val="30"/>
        </w:rPr>
        <w:t>,</w:t>
      </w:r>
      <w:r w:rsidRPr="009722C2">
        <w:rPr>
          <w:rFonts w:asciiTheme="majorHAnsi" w:hAnsiTheme="majorHAnsi"/>
          <w:b w:val="0"/>
          <w:bCs w:val="0"/>
          <w:color w:val="000000" w:themeColor="text1"/>
          <w:sz w:val="30"/>
          <w:szCs w:val="30"/>
        </w:rPr>
        <w:t xml:space="preserve"> </w:t>
      </w:r>
      <w:r>
        <w:rPr>
          <w:rFonts w:asciiTheme="majorHAnsi" w:hAnsiTheme="majorHAnsi"/>
          <w:b w:val="0"/>
          <w:bCs w:val="0"/>
          <w:color w:val="000000" w:themeColor="text1"/>
          <w:sz w:val="30"/>
          <w:szCs w:val="30"/>
        </w:rPr>
        <w:t xml:space="preserve">sous l’effet du ralentissement </w:t>
      </w:r>
      <w:r w:rsidRPr="009722C2">
        <w:rPr>
          <w:rFonts w:asciiTheme="majorHAnsi" w:hAnsiTheme="majorHAnsi"/>
          <w:b w:val="0"/>
          <w:bCs w:val="0"/>
          <w:color w:val="000000" w:themeColor="text1"/>
          <w:sz w:val="30"/>
          <w:szCs w:val="30"/>
        </w:rPr>
        <w:t xml:space="preserve">du rythme de croissance du secteur secondaire à </w:t>
      </w:r>
      <w:r>
        <w:rPr>
          <w:rFonts w:asciiTheme="majorHAnsi" w:hAnsiTheme="majorHAnsi"/>
          <w:b w:val="0"/>
          <w:bCs w:val="0"/>
          <w:color w:val="000000" w:themeColor="text1"/>
          <w:sz w:val="30"/>
          <w:szCs w:val="30"/>
        </w:rPr>
        <w:t>2,8</w:t>
      </w:r>
      <w:r w:rsidRPr="009722C2">
        <w:rPr>
          <w:rFonts w:asciiTheme="majorHAnsi" w:hAnsiTheme="majorHAnsi"/>
          <w:b w:val="0"/>
          <w:bCs w:val="0"/>
          <w:color w:val="000000" w:themeColor="text1"/>
          <w:sz w:val="30"/>
          <w:szCs w:val="30"/>
        </w:rPr>
        <w:t>%</w:t>
      </w:r>
      <w:r>
        <w:rPr>
          <w:rFonts w:asciiTheme="majorHAnsi" w:hAnsiTheme="majorHAnsi"/>
          <w:b w:val="0"/>
          <w:bCs w:val="0"/>
          <w:color w:val="000000" w:themeColor="text1"/>
          <w:sz w:val="30"/>
          <w:szCs w:val="30"/>
        </w:rPr>
        <w:t xml:space="preserve"> </w:t>
      </w:r>
      <w:r w:rsidRPr="009722C2">
        <w:rPr>
          <w:rFonts w:asciiTheme="majorHAnsi" w:hAnsiTheme="majorHAnsi"/>
          <w:b w:val="0"/>
          <w:bCs w:val="0"/>
          <w:color w:val="000000" w:themeColor="text1"/>
          <w:sz w:val="30"/>
          <w:szCs w:val="30"/>
        </w:rPr>
        <w:t xml:space="preserve">et </w:t>
      </w:r>
      <w:r w:rsidR="00D8762F">
        <w:rPr>
          <w:rFonts w:asciiTheme="majorHAnsi" w:hAnsiTheme="majorHAnsi"/>
          <w:b w:val="0"/>
          <w:bCs w:val="0"/>
          <w:color w:val="000000" w:themeColor="text1"/>
          <w:sz w:val="30"/>
          <w:szCs w:val="30"/>
        </w:rPr>
        <w:t>d’une amélioration</w:t>
      </w:r>
      <w:r w:rsidRPr="009722C2">
        <w:rPr>
          <w:rFonts w:asciiTheme="majorHAnsi" w:hAnsiTheme="majorHAnsi"/>
          <w:b w:val="0"/>
          <w:bCs w:val="0"/>
          <w:color w:val="000000" w:themeColor="text1"/>
          <w:sz w:val="30"/>
          <w:szCs w:val="30"/>
        </w:rPr>
        <w:t xml:space="preserve"> </w:t>
      </w:r>
      <w:r w:rsidR="00D8762F" w:rsidRPr="009722C2">
        <w:rPr>
          <w:rFonts w:asciiTheme="majorHAnsi" w:hAnsiTheme="majorHAnsi"/>
          <w:b w:val="0"/>
          <w:bCs w:val="0"/>
          <w:color w:val="000000" w:themeColor="text1"/>
          <w:sz w:val="30"/>
          <w:szCs w:val="30"/>
        </w:rPr>
        <w:t>d</w:t>
      </w:r>
      <w:r w:rsidR="00D8762F">
        <w:rPr>
          <w:rFonts w:asciiTheme="majorHAnsi" w:hAnsiTheme="majorHAnsi"/>
          <w:b w:val="0"/>
          <w:bCs w:val="0"/>
          <w:color w:val="000000" w:themeColor="text1"/>
          <w:sz w:val="30"/>
          <w:szCs w:val="30"/>
        </w:rPr>
        <w:t xml:space="preserve">e </w:t>
      </w:r>
      <w:r w:rsidR="00173AD1">
        <w:rPr>
          <w:rFonts w:asciiTheme="majorHAnsi" w:hAnsiTheme="majorHAnsi"/>
          <w:b w:val="0"/>
          <w:bCs w:val="0"/>
          <w:color w:val="000000" w:themeColor="text1"/>
          <w:sz w:val="30"/>
          <w:szCs w:val="30"/>
        </w:rPr>
        <w:t>2,9</w:t>
      </w:r>
      <w:r w:rsidR="00D8762F">
        <w:rPr>
          <w:rFonts w:asciiTheme="majorHAnsi" w:hAnsiTheme="majorHAnsi"/>
          <w:b w:val="0"/>
          <w:bCs w:val="0"/>
          <w:color w:val="000000" w:themeColor="text1"/>
          <w:sz w:val="30"/>
          <w:szCs w:val="30"/>
        </w:rPr>
        <w:t>%</w:t>
      </w:r>
      <w:r w:rsidR="00D8762F" w:rsidRPr="009722C2">
        <w:rPr>
          <w:rFonts w:asciiTheme="majorHAnsi" w:hAnsiTheme="majorHAnsi"/>
          <w:b w:val="0"/>
          <w:bCs w:val="0"/>
          <w:color w:val="000000" w:themeColor="text1"/>
          <w:sz w:val="30"/>
          <w:szCs w:val="30"/>
        </w:rPr>
        <w:t xml:space="preserve"> </w:t>
      </w:r>
      <w:r w:rsidRPr="009722C2">
        <w:rPr>
          <w:rFonts w:asciiTheme="majorHAnsi" w:hAnsiTheme="majorHAnsi"/>
          <w:b w:val="0"/>
          <w:bCs w:val="0"/>
          <w:color w:val="000000" w:themeColor="text1"/>
          <w:sz w:val="30"/>
          <w:szCs w:val="30"/>
        </w:rPr>
        <w:t>des activités tertiaires</w:t>
      </w:r>
      <w:r w:rsidR="00D8762F">
        <w:rPr>
          <w:rFonts w:asciiTheme="majorHAnsi" w:hAnsiTheme="majorHAnsi"/>
          <w:b w:val="0"/>
          <w:bCs w:val="0"/>
          <w:color w:val="000000" w:themeColor="text1"/>
          <w:sz w:val="30"/>
          <w:szCs w:val="30"/>
        </w:rPr>
        <w:t>.</w:t>
      </w:r>
      <w:r>
        <w:rPr>
          <w:rFonts w:asciiTheme="majorHAnsi" w:hAnsiTheme="majorHAnsi"/>
          <w:b w:val="0"/>
          <w:bCs w:val="0"/>
          <w:color w:val="000000" w:themeColor="text1"/>
          <w:sz w:val="30"/>
          <w:szCs w:val="30"/>
        </w:rPr>
        <w:t xml:space="preserve"> </w:t>
      </w:r>
      <w:r w:rsidRPr="009722C2">
        <w:rPr>
          <w:rFonts w:asciiTheme="majorHAnsi" w:hAnsiTheme="majorHAnsi"/>
          <w:b w:val="0"/>
          <w:bCs w:val="0"/>
          <w:color w:val="000000" w:themeColor="text1"/>
          <w:sz w:val="30"/>
          <w:szCs w:val="30"/>
        </w:rPr>
        <w:t xml:space="preserve">La </w:t>
      </w:r>
      <w:r>
        <w:rPr>
          <w:rFonts w:asciiTheme="majorHAnsi" w:hAnsiTheme="majorHAnsi"/>
          <w:b w:val="0"/>
          <w:bCs w:val="0"/>
          <w:color w:val="000000" w:themeColor="text1"/>
          <w:sz w:val="30"/>
          <w:szCs w:val="30"/>
        </w:rPr>
        <w:t xml:space="preserve">croissance </w:t>
      </w:r>
      <w:r w:rsidR="00553948">
        <w:rPr>
          <w:rFonts w:asciiTheme="majorHAnsi" w:hAnsiTheme="majorHAnsi"/>
          <w:b w:val="0"/>
          <w:bCs w:val="0"/>
          <w:color w:val="000000" w:themeColor="text1"/>
          <w:sz w:val="30"/>
          <w:szCs w:val="30"/>
        </w:rPr>
        <w:t>de 3%</w:t>
      </w:r>
      <w:r w:rsidR="00553948" w:rsidRPr="009722C2">
        <w:rPr>
          <w:rFonts w:asciiTheme="majorHAnsi" w:hAnsiTheme="majorHAnsi"/>
          <w:b w:val="0"/>
          <w:bCs w:val="0"/>
          <w:color w:val="000000" w:themeColor="text1"/>
          <w:sz w:val="30"/>
          <w:szCs w:val="30"/>
        </w:rPr>
        <w:t xml:space="preserve"> </w:t>
      </w:r>
      <w:r w:rsidR="00553948">
        <w:rPr>
          <w:rFonts w:asciiTheme="majorHAnsi" w:hAnsiTheme="majorHAnsi"/>
          <w:b w:val="0"/>
          <w:bCs w:val="0"/>
          <w:color w:val="000000" w:themeColor="text1"/>
          <w:sz w:val="30"/>
          <w:szCs w:val="30"/>
        </w:rPr>
        <w:t>des activités</w:t>
      </w:r>
      <w:r w:rsidRPr="009722C2">
        <w:rPr>
          <w:rFonts w:asciiTheme="majorHAnsi" w:hAnsiTheme="majorHAnsi"/>
          <w:b w:val="0"/>
          <w:bCs w:val="0"/>
          <w:color w:val="000000" w:themeColor="text1"/>
          <w:sz w:val="30"/>
          <w:szCs w:val="30"/>
        </w:rPr>
        <w:t xml:space="preserve"> non agricole</w:t>
      </w:r>
      <w:r w:rsidR="00553948">
        <w:rPr>
          <w:rFonts w:asciiTheme="majorHAnsi" w:hAnsiTheme="majorHAnsi"/>
          <w:b w:val="0"/>
          <w:bCs w:val="0"/>
          <w:color w:val="000000" w:themeColor="text1"/>
          <w:sz w:val="30"/>
          <w:szCs w:val="30"/>
        </w:rPr>
        <w:t>s,</w:t>
      </w:r>
      <w:r w:rsidRPr="00C7429E">
        <w:rPr>
          <w:rFonts w:asciiTheme="majorHAnsi" w:hAnsiTheme="majorHAnsi"/>
          <w:b w:val="0"/>
          <w:bCs w:val="0"/>
          <w:color w:val="000000" w:themeColor="text1"/>
          <w:sz w:val="30"/>
          <w:szCs w:val="30"/>
        </w:rPr>
        <w:t xml:space="preserve"> </w:t>
      </w:r>
      <w:r w:rsidRPr="009722C2">
        <w:rPr>
          <w:rFonts w:asciiTheme="majorHAnsi" w:hAnsiTheme="majorHAnsi"/>
          <w:b w:val="0"/>
          <w:bCs w:val="0"/>
          <w:color w:val="000000" w:themeColor="text1"/>
          <w:sz w:val="30"/>
          <w:szCs w:val="30"/>
        </w:rPr>
        <w:t xml:space="preserve">en </w:t>
      </w:r>
      <w:r w:rsidRPr="00C7429E">
        <w:rPr>
          <w:rFonts w:asciiTheme="majorHAnsi" w:hAnsiTheme="majorHAnsi"/>
          <w:b w:val="0"/>
          <w:bCs w:val="0"/>
          <w:color w:val="000000" w:themeColor="text1"/>
          <w:sz w:val="30"/>
          <w:szCs w:val="30"/>
        </w:rPr>
        <w:t>légère</w:t>
      </w:r>
      <w:r w:rsidRPr="009722C2">
        <w:rPr>
          <w:rFonts w:asciiTheme="majorHAnsi" w:hAnsiTheme="majorHAnsi"/>
          <w:b w:val="0"/>
          <w:bCs w:val="0"/>
          <w:color w:val="000000" w:themeColor="text1"/>
          <w:sz w:val="30"/>
          <w:szCs w:val="30"/>
        </w:rPr>
        <w:t xml:space="preserve"> amélioration par rapport à 2,8% enregistré</w:t>
      </w:r>
      <w:r w:rsidR="00452177">
        <w:rPr>
          <w:rFonts w:asciiTheme="majorHAnsi" w:hAnsiTheme="majorHAnsi"/>
          <w:b w:val="0"/>
          <w:bCs w:val="0"/>
          <w:color w:val="000000" w:themeColor="text1"/>
          <w:sz w:val="30"/>
          <w:szCs w:val="30"/>
        </w:rPr>
        <w:t>e</w:t>
      </w:r>
      <w:r w:rsidRPr="009722C2">
        <w:rPr>
          <w:rFonts w:asciiTheme="majorHAnsi" w:hAnsiTheme="majorHAnsi"/>
          <w:b w:val="0"/>
          <w:bCs w:val="0"/>
          <w:color w:val="000000" w:themeColor="text1"/>
          <w:sz w:val="30"/>
          <w:szCs w:val="30"/>
        </w:rPr>
        <w:t xml:space="preserve"> en 2017</w:t>
      </w:r>
      <w:r>
        <w:rPr>
          <w:rFonts w:asciiTheme="majorHAnsi" w:hAnsiTheme="majorHAnsi"/>
          <w:b w:val="0"/>
          <w:bCs w:val="0"/>
          <w:color w:val="000000" w:themeColor="text1"/>
          <w:sz w:val="30"/>
          <w:szCs w:val="30"/>
        </w:rPr>
        <w:t xml:space="preserve"> et </w:t>
      </w:r>
      <w:r w:rsidR="00D8762F">
        <w:rPr>
          <w:rFonts w:asciiTheme="majorHAnsi" w:hAnsiTheme="majorHAnsi"/>
          <w:b w:val="0"/>
          <w:bCs w:val="0"/>
          <w:color w:val="000000" w:themeColor="text1"/>
          <w:sz w:val="30"/>
          <w:szCs w:val="30"/>
        </w:rPr>
        <w:t>à 2</w:t>
      </w:r>
      <w:r>
        <w:rPr>
          <w:rFonts w:asciiTheme="majorHAnsi" w:hAnsiTheme="majorHAnsi"/>
          <w:b w:val="0"/>
          <w:bCs w:val="0"/>
          <w:color w:val="000000" w:themeColor="text1"/>
          <w:sz w:val="30"/>
          <w:szCs w:val="30"/>
        </w:rPr>
        <w:t>% entre 2013 et 201</w:t>
      </w:r>
      <w:r w:rsidR="00D8762F">
        <w:rPr>
          <w:rFonts w:asciiTheme="majorHAnsi" w:hAnsiTheme="majorHAnsi"/>
          <w:b w:val="0"/>
          <w:bCs w:val="0"/>
          <w:color w:val="000000" w:themeColor="text1"/>
          <w:sz w:val="30"/>
          <w:szCs w:val="30"/>
        </w:rPr>
        <w:t>6</w:t>
      </w:r>
      <w:r w:rsidRPr="009722C2">
        <w:rPr>
          <w:rFonts w:asciiTheme="majorHAnsi" w:hAnsiTheme="majorHAnsi"/>
          <w:b w:val="0"/>
          <w:bCs w:val="0"/>
          <w:color w:val="000000" w:themeColor="text1"/>
          <w:sz w:val="30"/>
          <w:szCs w:val="30"/>
        </w:rPr>
        <w:t xml:space="preserve">, </w:t>
      </w:r>
      <w:r>
        <w:rPr>
          <w:rFonts w:asciiTheme="majorHAnsi" w:hAnsiTheme="majorHAnsi"/>
          <w:b w:val="0"/>
          <w:bCs w:val="0"/>
          <w:color w:val="000000" w:themeColor="text1"/>
          <w:sz w:val="30"/>
          <w:szCs w:val="30"/>
        </w:rPr>
        <w:t xml:space="preserve">se serait restée, </w:t>
      </w:r>
      <w:r w:rsidRPr="009722C2">
        <w:rPr>
          <w:rFonts w:asciiTheme="majorHAnsi" w:hAnsiTheme="majorHAnsi"/>
          <w:b w:val="0"/>
          <w:bCs w:val="0"/>
          <w:color w:val="000000" w:themeColor="text1"/>
          <w:sz w:val="30"/>
          <w:szCs w:val="30"/>
        </w:rPr>
        <w:t>cependant</w:t>
      </w:r>
      <w:r>
        <w:rPr>
          <w:rFonts w:asciiTheme="majorHAnsi" w:hAnsiTheme="majorHAnsi"/>
          <w:b w:val="0"/>
          <w:bCs w:val="0"/>
          <w:color w:val="000000" w:themeColor="text1"/>
          <w:sz w:val="30"/>
          <w:szCs w:val="30"/>
        </w:rPr>
        <w:t>,</w:t>
      </w:r>
      <w:r w:rsidR="00452177">
        <w:rPr>
          <w:rFonts w:asciiTheme="majorHAnsi" w:hAnsiTheme="majorHAnsi"/>
          <w:b w:val="0"/>
          <w:bCs w:val="0"/>
          <w:color w:val="000000" w:themeColor="text1"/>
          <w:sz w:val="30"/>
          <w:szCs w:val="30"/>
        </w:rPr>
        <w:t xml:space="preserve"> largement en deçà de</w:t>
      </w:r>
      <w:r w:rsidRPr="009722C2">
        <w:rPr>
          <w:rFonts w:asciiTheme="majorHAnsi" w:hAnsiTheme="majorHAnsi"/>
          <w:b w:val="0"/>
          <w:bCs w:val="0"/>
          <w:color w:val="000000" w:themeColor="text1"/>
          <w:sz w:val="30"/>
          <w:szCs w:val="30"/>
        </w:rPr>
        <w:t xml:space="preserve"> 4,2% </w:t>
      </w:r>
      <w:r w:rsidR="00452177">
        <w:rPr>
          <w:rFonts w:asciiTheme="majorHAnsi" w:hAnsiTheme="majorHAnsi"/>
          <w:b w:val="0"/>
          <w:bCs w:val="0"/>
          <w:color w:val="000000" w:themeColor="text1"/>
          <w:sz w:val="30"/>
          <w:szCs w:val="30"/>
        </w:rPr>
        <w:t>observée</w:t>
      </w:r>
      <w:r w:rsidRPr="009722C2">
        <w:rPr>
          <w:rFonts w:asciiTheme="majorHAnsi" w:hAnsiTheme="majorHAnsi"/>
          <w:b w:val="0"/>
          <w:bCs w:val="0"/>
          <w:color w:val="000000" w:themeColor="text1"/>
          <w:sz w:val="30"/>
          <w:szCs w:val="30"/>
        </w:rPr>
        <w:t xml:space="preserve"> durant </w:t>
      </w:r>
      <w:r>
        <w:rPr>
          <w:rFonts w:asciiTheme="majorHAnsi" w:hAnsiTheme="majorHAnsi"/>
          <w:b w:val="0"/>
          <w:bCs w:val="0"/>
          <w:color w:val="000000" w:themeColor="text1"/>
          <w:sz w:val="30"/>
          <w:szCs w:val="30"/>
        </w:rPr>
        <w:t>la période</w:t>
      </w:r>
      <w:r w:rsidRPr="009722C2">
        <w:rPr>
          <w:rFonts w:asciiTheme="majorHAnsi" w:hAnsiTheme="majorHAnsi"/>
          <w:b w:val="0"/>
          <w:bCs w:val="0"/>
          <w:color w:val="000000" w:themeColor="text1"/>
          <w:sz w:val="30"/>
          <w:szCs w:val="30"/>
        </w:rPr>
        <w:t xml:space="preserve"> 2008-2012. </w:t>
      </w:r>
    </w:p>
    <w:p w:rsidR="00482A65" w:rsidRPr="009722C2" w:rsidRDefault="00482A65" w:rsidP="00482A65">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AD78E3" w:rsidRPr="009722C2" w:rsidRDefault="00B740A7" w:rsidP="00F77F92">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lastRenderedPageBreak/>
        <w:t xml:space="preserve">Au niveau du </w:t>
      </w:r>
      <w:r w:rsidR="00AD78E3" w:rsidRPr="009722C2">
        <w:rPr>
          <w:rFonts w:asciiTheme="majorHAnsi" w:hAnsiTheme="majorHAnsi"/>
          <w:color w:val="000000" w:themeColor="text1"/>
          <w:sz w:val="30"/>
          <w:szCs w:val="30"/>
        </w:rPr>
        <w:t>secteur secondaire</w:t>
      </w:r>
      <w:r w:rsidR="00AD78E3" w:rsidRPr="009722C2">
        <w:rPr>
          <w:rFonts w:asciiTheme="majorHAnsi" w:hAnsiTheme="majorHAnsi"/>
          <w:b w:val="0"/>
          <w:bCs w:val="0"/>
          <w:color w:val="000000" w:themeColor="text1"/>
          <w:sz w:val="30"/>
          <w:szCs w:val="30"/>
        </w:rPr>
        <w:t xml:space="preserve">, </w:t>
      </w:r>
      <w:r w:rsidR="00815617" w:rsidRPr="009722C2">
        <w:rPr>
          <w:rFonts w:asciiTheme="majorHAnsi" w:hAnsiTheme="majorHAnsi"/>
          <w:b w:val="0"/>
          <w:bCs w:val="0"/>
          <w:color w:val="000000" w:themeColor="text1"/>
          <w:sz w:val="30"/>
          <w:szCs w:val="30"/>
        </w:rPr>
        <w:t>les</w:t>
      </w:r>
      <w:r w:rsidR="00AD78E3" w:rsidRPr="009722C2">
        <w:rPr>
          <w:rFonts w:asciiTheme="majorHAnsi" w:hAnsiTheme="majorHAnsi"/>
          <w:b w:val="0"/>
          <w:bCs w:val="0"/>
          <w:color w:val="000000" w:themeColor="text1"/>
          <w:sz w:val="30"/>
          <w:szCs w:val="30"/>
        </w:rPr>
        <w:t xml:space="preserve"> industries de transformation se seraient améliorées, dynamisées </w:t>
      </w:r>
      <w:r w:rsidR="00A44720" w:rsidRPr="009722C2">
        <w:rPr>
          <w:rFonts w:asciiTheme="majorHAnsi" w:hAnsiTheme="majorHAnsi"/>
          <w:b w:val="0"/>
          <w:bCs w:val="0"/>
          <w:color w:val="000000" w:themeColor="text1"/>
          <w:sz w:val="30"/>
          <w:szCs w:val="30"/>
        </w:rPr>
        <w:t xml:space="preserve">en particulier </w:t>
      </w:r>
      <w:r w:rsidR="00815617" w:rsidRPr="009722C2">
        <w:rPr>
          <w:rFonts w:asciiTheme="majorHAnsi" w:hAnsiTheme="majorHAnsi"/>
          <w:b w:val="0"/>
          <w:bCs w:val="0"/>
          <w:color w:val="000000" w:themeColor="text1"/>
          <w:sz w:val="30"/>
          <w:szCs w:val="30"/>
        </w:rPr>
        <w:t xml:space="preserve">par les activités </w:t>
      </w:r>
      <w:r w:rsidR="00AD78E3" w:rsidRPr="009722C2">
        <w:rPr>
          <w:rFonts w:asciiTheme="majorHAnsi" w:hAnsiTheme="majorHAnsi"/>
          <w:b w:val="0"/>
          <w:bCs w:val="0"/>
          <w:color w:val="000000" w:themeColor="text1"/>
          <w:sz w:val="30"/>
          <w:szCs w:val="30"/>
        </w:rPr>
        <w:t>chimique</w:t>
      </w:r>
      <w:r w:rsidR="006F1805" w:rsidRPr="009722C2">
        <w:rPr>
          <w:rFonts w:asciiTheme="majorHAnsi" w:hAnsiTheme="majorHAnsi"/>
          <w:b w:val="0"/>
          <w:bCs w:val="0"/>
          <w:color w:val="000000" w:themeColor="text1"/>
          <w:sz w:val="30"/>
          <w:szCs w:val="30"/>
        </w:rPr>
        <w:t>s</w:t>
      </w:r>
      <w:r w:rsidR="00AD78E3" w:rsidRPr="009722C2">
        <w:rPr>
          <w:rFonts w:asciiTheme="majorHAnsi" w:hAnsiTheme="majorHAnsi"/>
          <w:b w:val="0"/>
          <w:bCs w:val="0"/>
          <w:color w:val="000000" w:themeColor="text1"/>
          <w:sz w:val="30"/>
          <w:szCs w:val="30"/>
        </w:rPr>
        <w:t xml:space="preserve"> et </w:t>
      </w:r>
      <w:r w:rsidR="0051526E" w:rsidRPr="009722C2">
        <w:rPr>
          <w:rFonts w:asciiTheme="majorHAnsi" w:hAnsiTheme="majorHAnsi"/>
          <w:b w:val="0"/>
          <w:bCs w:val="0"/>
          <w:color w:val="000000" w:themeColor="text1"/>
          <w:sz w:val="30"/>
          <w:szCs w:val="30"/>
        </w:rPr>
        <w:t>para chimiques</w:t>
      </w:r>
      <w:r w:rsidR="00B73D8F" w:rsidRPr="009722C2">
        <w:rPr>
          <w:rFonts w:asciiTheme="majorHAnsi" w:hAnsiTheme="majorHAnsi"/>
          <w:b w:val="0"/>
          <w:bCs w:val="0"/>
          <w:color w:val="000000" w:themeColor="text1"/>
          <w:sz w:val="30"/>
          <w:szCs w:val="30"/>
        </w:rPr>
        <w:t xml:space="preserve"> et</w:t>
      </w:r>
      <w:r w:rsidR="00D54911" w:rsidRPr="009722C2">
        <w:rPr>
          <w:rFonts w:asciiTheme="majorHAnsi" w:hAnsiTheme="majorHAnsi"/>
          <w:b w:val="0"/>
          <w:bCs w:val="0"/>
          <w:color w:val="000000" w:themeColor="text1"/>
          <w:sz w:val="30"/>
          <w:szCs w:val="30"/>
        </w:rPr>
        <w:t xml:space="preserve"> les industries </w:t>
      </w:r>
      <w:r w:rsidR="00A575B9" w:rsidRPr="009722C2">
        <w:rPr>
          <w:rFonts w:asciiTheme="majorHAnsi" w:hAnsiTheme="majorHAnsi"/>
          <w:b w:val="0"/>
          <w:bCs w:val="0"/>
          <w:color w:val="000000" w:themeColor="text1"/>
          <w:sz w:val="30"/>
          <w:szCs w:val="30"/>
        </w:rPr>
        <w:t>mécaniques</w:t>
      </w:r>
      <w:r w:rsidR="00C03281" w:rsidRPr="009722C2">
        <w:rPr>
          <w:rFonts w:asciiTheme="majorHAnsi" w:hAnsiTheme="majorHAnsi"/>
          <w:b w:val="0"/>
          <w:bCs w:val="0"/>
          <w:color w:val="000000" w:themeColor="text1"/>
          <w:sz w:val="30"/>
          <w:szCs w:val="30"/>
        </w:rPr>
        <w:t>,</w:t>
      </w:r>
      <w:r w:rsidR="00D54911" w:rsidRPr="009722C2">
        <w:rPr>
          <w:rFonts w:asciiTheme="majorHAnsi" w:hAnsiTheme="majorHAnsi"/>
          <w:b w:val="0"/>
          <w:bCs w:val="0"/>
          <w:color w:val="000000" w:themeColor="text1"/>
          <w:sz w:val="30"/>
          <w:szCs w:val="30"/>
        </w:rPr>
        <w:t xml:space="preserve"> </w:t>
      </w:r>
      <w:r w:rsidR="00A575B9" w:rsidRPr="009722C2">
        <w:rPr>
          <w:rFonts w:asciiTheme="majorHAnsi" w:hAnsiTheme="majorHAnsi"/>
          <w:b w:val="0"/>
          <w:bCs w:val="0"/>
          <w:color w:val="000000" w:themeColor="text1"/>
          <w:sz w:val="30"/>
          <w:szCs w:val="30"/>
        </w:rPr>
        <w:t>métallurgiques</w:t>
      </w:r>
      <w:r w:rsidR="00D54911" w:rsidRPr="009722C2">
        <w:rPr>
          <w:rFonts w:asciiTheme="majorHAnsi" w:hAnsiTheme="majorHAnsi"/>
          <w:b w:val="0"/>
          <w:bCs w:val="0"/>
          <w:color w:val="000000" w:themeColor="text1"/>
          <w:sz w:val="30"/>
          <w:szCs w:val="30"/>
        </w:rPr>
        <w:t xml:space="preserve"> et </w:t>
      </w:r>
      <w:r w:rsidR="00A575B9" w:rsidRPr="009722C2">
        <w:rPr>
          <w:rFonts w:asciiTheme="majorHAnsi" w:hAnsiTheme="majorHAnsi"/>
          <w:b w:val="0"/>
          <w:bCs w:val="0"/>
          <w:color w:val="000000" w:themeColor="text1"/>
          <w:sz w:val="30"/>
          <w:szCs w:val="30"/>
        </w:rPr>
        <w:t>électriques</w:t>
      </w:r>
      <w:r w:rsidR="009B4FAA">
        <w:rPr>
          <w:rFonts w:asciiTheme="majorHAnsi" w:hAnsiTheme="majorHAnsi"/>
          <w:b w:val="0"/>
          <w:bCs w:val="0"/>
          <w:color w:val="000000" w:themeColor="text1"/>
          <w:sz w:val="30"/>
          <w:szCs w:val="30"/>
        </w:rPr>
        <w:t>.</w:t>
      </w:r>
      <w:r w:rsidR="00AD78E3" w:rsidRPr="009722C2">
        <w:rPr>
          <w:rFonts w:asciiTheme="majorHAnsi" w:hAnsiTheme="majorHAnsi"/>
          <w:b w:val="0"/>
          <w:bCs w:val="0"/>
          <w:color w:val="000000" w:themeColor="text1"/>
          <w:sz w:val="30"/>
          <w:szCs w:val="30"/>
        </w:rPr>
        <w:t xml:space="preserve"> </w:t>
      </w:r>
      <w:r w:rsidR="009B4FAA" w:rsidRPr="009B4FAA">
        <w:rPr>
          <w:rFonts w:asciiTheme="majorHAnsi" w:hAnsiTheme="majorHAnsi"/>
          <w:b w:val="0"/>
          <w:bCs w:val="0"/>
          <w:color w:val="000000" w:themeColor="text1"/>
          <w:sz w:val="30"/>
          <w:szCs w:val="30"/>
        </w:rPr>
        <w:t>En contrepartie, le soutien apporté par l’</w:t>
      </w:r>
      <w:r w:rsidR="00452177">
        <w:rPr>
          <w:rFonts w:asciiTheme="majorHAnsi" w:hAnsiTheme="majorHAnsi"/>
          <w:b w:val="0"/>
          <w:bCs w:val="0"/>
          <w:color w:val="000000" w:themeColor="text1"/>
          <w:sz w:val="30"/>
          <w:szCs w:val="30"/>
        </w:rPr>
        <w:t xml:space="preserve">industrie </w:t>
      </w:r>
      <w:r w:rsidR="009B4FAA" w:rsidRPr="009B4FAA">
        <w:rPr>
          <w:rFonts w:asciiTheme="majorHAnsi" w:hAnsiTheme="majorHAnsi"/>
          <w:b w:val="0"/>
          <w:bCs w:val="0"/>
          <w:color w:val="000000" w:themeColor="text1"/>
          <w:sz w:val="30"/>
          <w:szCs w:val="30"/>
        </w:rPr>
        <w:t xml:space="preserve">agroalimentaire, principal socle de l’activité industrielle, aurait été moins important en 2018, en raison notamment du ralentissement de la demande adressée aux industries des produits laitiers et des boissons. </w:t>
      </w:r>
      <w:r w:rsidR="009B4FAA">
        <w:rPr>
          <w:rFonts w:asciiTheme="majorHAnsi" w:hAnsiTheme="majorHAnsi"/>
          <w:b w:val="0"/>
          <w:bCs w:val="0"/>
          <w:color w:val="000000" w:themeColor="text1"/>
          <w:sz w:val="30"/>
          <w:szCs w:val="30"/>
        </w:rPr>
        <w:t xml:space="preserve">Les </w:t>
      </w:r>
      <w:r w:rsidR="00AD78E3" w:rsidRPr="009B4FAA">
        <w:rPr>
          <w:rFonts w:asciiTheme="majorHAnsi" w:hAnsiTheme="majorHAnsi"/>
          <w:b w:val="0"/>
          <w:bCs w:val="0"/>
          <w:color w:val="000000" w:themeColor="text1"/>
          <w:sz w:val="30"/>
          <w:szCs w:val="30"/>
        </w:rPr>
        <w:t xml:space="preserve">autres industries </w:t>
      </w:r>
      <w:r w:rsidR="00D54911" w:rsidRPr="009B4FAA">
        <w:rPr>
          <w:rFonts w:asciiTheme="majorHAnsi" w:hAnsiTheme="majorHAnsi"/>
          <w:b w:val="0"/>
          <w:bCs w:val="0"/>
          <w:color w:val="000000" w:themeColor="text1"/>
          <w:sz w:val="30"/>
          <w:szCs w:val="30"/>
        </w:rPr>
        <w:t>manufacturières</w:t>
      </w:r>
      <w:r w:rsidR="00260C46" w:rsidRPr="009722C2">
        <w:rPr>
          <w:rFonts w:asciiTheme="majorHAnsi" w:hAnsiTheme="majorHAnsi"/>
          <w:b w:val="0"/>
          <w:bCs w:val="0"/>
          <w:color w:val="000000" w:themeColor="text1"/>
          <w:sz w:val="30"/>
          <w:szCs w:val="30"/>
        </w:rPr>
        <w:t>,</w:t>
      </w:r>
      <w:r w:rsidR="004674FB" w:rsidRPr="009722C2">
        <w:rPr>
          <w:rFonts w:asciiTheme="majorHAnsi" w:hAnsiTheme="majorHAnsi"/>
          <w:b w:val="0"/>
          <w:bCs w:val="0"/>
          <w:color w:val="000000" w:themeColor="text1"/>
          <w:sz w:val="30"/>
          <w:szCs w:val="30"/>
        </w:rPr>
        <w:t xml:space="preserve"> </w:t>
      </w:r>
      <w:r w:rsidR="00D54911" w:rsidRPr="009722C2">
        <w:rPr>
          <w:rFonts w:asciiTheme="majorHAnsi" w:hAnsiTheme="majorHAnsi"/>
          <w:b w:val="0"/>
          <w:bCs w:val="0"/>
          <w:color w:val="000000" w:themeColor="text1"/>
          <w:sz w:val="30"/>
          <w:szCs w:val="30"/>
        </w:rPr>
        <w:t xml:space="preserve">impactées </w:t>
      </w:r>
      <w:r w:rsidR="00AD78E3" w:rsidRPr="009722C2">
        <w:rPr>
          <w:rFonts w:asciiTheme="majorHAnsi" w:hAnsiTheme="majorHAnsi"/>
          <w:b w:val="0"/>
          <w:bCs w:val="0"/>
          <w:color w:val="000000" w:themeColor="text1"/>
          <w:sz w:val="30"/>
          <w:szCs w:val="30"/>
        </w:rPr>
        <w:t xml:space="preserve">particulièrement par la situation </w:t>
      </w:r>
      <w:r w:rsidR="00F77F92">
        <w:rPr>
          <w:rFonts w:asciiTheme="majorHAnsi" w:hAnsiTheme="majorHAnsi"/>
          <w:b w:val="0"/>
          <w:bCs w:val="0"/>
          <w:color w:val="000000" w:themeColor="text1"/>
          <w:sz w:val="30"/>
          <w:szCs w:val="30"/>
        </w:rPr>
        <w:t>morose</w:t>
      </w:r>
      <w:r w:rsidR="00AD78E3" w:rsidRPr="009722C2">
        <w:rPr>
          <w:rFonts w:asciiTheme="majorHAnsi" w:hAnsiTheme="majorHAnsi"/>
          <w:b w:val="0"/>
          <w:bCs w:val="0"/>
          <w:color w:val="000000" w:themeColor="text1"/>
          <w:sz w:val="30"/>
          <w:szCs w:val="30"/>
        </w:rPr>
        <w:t xml:space="preserve"> </w:t>
      </w:r>
      <w:r w:rsidR="00AA529D" w:rsidRPr="009722C2">
        <w:rPr>
          <w:rFonts w:asciiTheme="majorHAnsi" w:hAnsiTheme="majorHAnsi"/>
          <w:b w:val="0"/>
          <w:bCs w:val="0"/>
          <w:color w:val="000000" w:themeColor="text1"/>
          <w:sz w:val="30"/>
          <w:szCs w:val="30"/>
        </w:rPr>
        <w:t>du</w:t>
      </w:r>
      <w:r w:rsidR="00AD78E3" w:rsidRPr="009722C2">
        <w:rPr>
          <w:rFonts w:asciiTheme="majorHAnsi" w:hAnsiTheme="majorHAnsi"/>
          <w:b w:val="0"/>
          <w:bCs w:val="0"/>
          <w:color w:val="000000" w:themeColor="text1"/>
          <w:sz w:val="30"/>
          <w:szCs w:val="30"/>
        </w:rPr>
        <w:t xml:space="preserve"> secteur du bâtiment</w:t>
      </w:r>
      <w:r w:rsidR="00010BCB">
        <w:rPr>
          <w:rFonts w:asciiTheme="majorHAnsi" w:hAnsiTheme="majorHAnsi"/>
          <w:b w:val="0"/>
          <w:bCs w:val="0"/>
          <w:color w:val="000000" w:themeColor="text1"/>
          <w:sz w:val="30"/>
          <w:szCs w:val="30"/>
        </w:rPr>
        <w:t>,</w:t>
      </w:r>
      <w:r w:rsidR="009B4FAA">
        <w:rPr>
          <w:rFonts w:asciiTheme="majorHAnsi" w:hAnsiTheme="majorHAnsi"/>
          <w:b w:val="0"/>
          <w:bCs w:val="0"/>
          <w:color w:val="000000" w:themeColor="text1"/>
          <w:sz w:val="30"/>
          <w:szCs w:val="30"/>
        </w:rPr>
        <w:t xml:space="preserve"> auraient enregistré une baisse de 1% en 2018.</w:t>
      </w:r>
    </w:p>
    <w:p w:rsidR="00B740A7" w:rsidRPr="009722C2" w:rsidRDefault="00B740A7" w:rsidP="00B740A7">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AD78E3" w:rsidRDefault="00553948" w:rsidP="009D4643">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Pr>
          <w:rFonts w:asciiTheme="majorHAnsi" w:hAnsiTheme="majorHAnsi"/>
          <w:b w:val="0"/>
          <w:bCs w:val="0"/>
          <w:color w:val="000000" w:themeColor="text1"/>
          <w:sz w:val="30"/>
          <w:szCs w:val="30"/>
        </w:rPr>
        <w:t xml:space="preserve">Quant au </w:t>
      </w:r>
      <w:r w:rsidR="00AD78E3" w:rsidRPr="009722C2">
        <w:rPr>
          <w:rFonts w:asciiTheme="majorHAnsi" w:hAnsiTheme="majorHAnsi"/>
          <w:color w:val="000000" w:themeColor="text1"/>
          <w:sz w:val="30"/>
          <w:szCs w:val="30"/>
        </w:rPr>
        <w:t>secteur minier</w:t>
      </w:r>
      <w:r>
        <w:rPr>
          <w:rFonts w:asciiTheme="majorHAnsi" w:hAnsiTheme="majorHAnsi"/>
          <w:color w:val="000000" w:themeColor="text1"/>
          <w:sz w:val="30"/>
          <w:szCs w:val="30"/>
        </w:rPr>
        <w:t xml:space="preserve">, </w:t>
      </w:r>
      <w:r w:rsidRPr="006D2A09">
        <w:rPr>
          <w:rFonts w:asciiTheme="majorHAnsi" w:hAnsiTheme="majorHAnsi"/>
          <w:b w:val="0"/>
          <w:color w:val="000000" w:themeColor="text1"/>
          <w:sz w:val="30"/>
          <w:szCs w:val="30"/>
        </w:rPr>
        <w:t>il</w:t>
      </w:r>
      <w:r w:rsidR="00D8762F">
        <w:rPr>
          <w:rFonts w:asciiTheme="majorHAnsi" w:hAnsiTheme="majorHAnsi"/>
          <w:color w:val="000000" w:themeColor="text1"/>
          <w:sz w:val="30"/>
          <w:szCs w:val="30"/>
        </w:rPr>
        <w:t xml:space="preserve"> </w:t>
      </w:r>
      <w:r w:rsidR="00D8762F">
        <w:rPr>
          <w:rFonts w:asciiTheme="majorHAnsi" w:hAnsiTheme="majorHAnsi"/>
          <w:b w:val="0"/>
          <w:bCs w:val="0"/>
          <w:color w:val="000000" w:themeColor="text1"/>
          <w:sz w:val="30"/>
          <w:szCs w:val="30"/>
        </w:rPr>
        <w:t>aurait</w:t>
      </w:r>
      <w:r w:rsidR="00B740A7" w:rsidRPr="009722C2">
        <w:rPr>
          <w:rFonts w:asciiTheme="majorHAnsi" w:hAnsiTheme="majorHAnsi"/>
          <w:b w:val="0"/>
          <w:bCs w:val="0"/>
          <w:color w:val="000000" w:themeColor="text1"/>
          <w:sz w:val="30"/>
          <w:szCs w:val="30"/>
        </w:rPr>
        <w:t xml:space="preserve"> enregistr</w:t>
      </w:r>
      <w:r w:rsidR="00D8762F">
        <w:rPr>
          <w:rFonts w:asciiTheme="majorHAnsi" w:hAnsiTheme="majorHAnsi"/>
          <w:b w:val="0"/>
          <w:bCs w:val="0"/>
          <w:color w:val="000000" w:themeColor="text1"/>
          <w:sz w:val="30"/>
          <w:szCs w:val="30"/>
        </w:rPr>
        <w:t>é</w:t>
      </w:r>
      <w:r w:rsidR="007363A5">
        <w:rPr>
          <w:rFonts w:asciiTheme="majorHAnsi" w:hAnsiTheme="majorHAnsi"/>
          <w:b w:val="0"/>
          <w:bCs w:val="0"/>
          <w:color w:val="000000" w:themeColor="text1"/>
          <w:sz w:val="30"/>
          <w:szCs w:val="30"/>
        </w:rPr>
        <w:t xml:space="preserve"> </w:t>
      </w:r>
      <w:r w:rsidR="00AD78E3" w:rsidRPr="009722C2">
        <w:rPr>
          <w:rFonts w:asciiTheme="majorHAnsi" w:hAnsiTheme="majorHAnsi"/>
          <w:b w:val="0"/>
          <w:bCs w:val="0"/>
          <w:color w:val="000000" w:themeColor="text1"/>
          <w:sz w:val="30"/>
          <w:szCs w:val="30"/>
        </w:rPr>
        <w:t xml:space="preserve"> </w:t>
      </w:r>
      <w:r w:rsidR="007363A5">
        <w:rPr>
          <w:rFonts w:asciiTheme="majorHAnsi" w:hAnsiTheme="majorHAnsi"/>
          <w:b w:val="0"/>
          <w:bCs w:val="0"/>
          <w:color w:val="000000" w:themeColor="text1"/>
          <w:sz w:val="30"/>
          <w:szCs w:val="30"/>
        </w:rPr>
        <w:t>une</w:t>
      </w:r>
      <w:r w:rsidR="00B740A7" w:rsidRPr="009722C2">
        <w:rPr>
          <w:rFonts w:asciiTheme="majorHAnsi" w:hAnsiTheme="majorHAnsi"/>
          <w:b w:val="0"/>
          <w:bCs w:val="0"/>
          <w:color w:val="000000" w:themeColor="text1"/>
          <w:sz w:val="30"/>
          <w:szCs w:val="30"/>
        </w:rPr>
        <w:t xml:space="preserve"> croissance de </w:t>
      </w:r>
      <w:r w:rsidR="00784BEB">
        <w:rPr>
          <w:rFonts w:asciiTheme="majorHAnsi" w:hAnsiTheme="majorHAnsi"/>
          <w:b w:val="0"/>
          <w:bCs w:val="0"/>
          <w:color w:val="000000" w:themeColor="text1"/>
          <w:sz w:val="30"/>
          <w:szCs w:val="30"/>
        </w:rPr>
        <w:t>5</w:t>
      </w:r>
      <w:r w:rsidR="00B740A7" w:rsidRPr="009722C2">
        <w:rPr>
          <w:rFonts w:asciiTheme="majorHAnsi" w:hAnsiTheme="majorHAnsi"/>
          <w:b w:val="0"/>
          <w:bCs w:val="0"/>
          <w:color w:val="000000" w:themeColor="text1"/>
          <w:sz w:val="30"/>
          <w:szCs w:val="30"/>
        </w:rPr>
        <w:t>,</w:t>
      </w:r>
      <w:r w:rsidR="00784BEB">
        <w:rPr>
          <w:rFonts w:asciiTheme="majorHAnsi" w:hAnsiTheme="majorHAnsi"/>
          <w:b w:val="0"/>
          <w:bCs w:val="0"/>
          <w:color w:val="000000" w:themeColor="text1"/>
          <w:sz w:val="30"/>
          <w:szCs w:val="30"/>
        </w:rPr>
        <w:t>2</w:t>
      </w:r>
      <w:r w:rsidR="00B740A7" w:rsidRPr="009722C2">
        <w:rPr>
          <w:rFonts w:asciiTheme="majorHAnsi" w:hAnsiTheme="majorHAnsi"/>
          <w:b w:val="0"/>
          <w:bCs w:val="0"/>
          <w:color w:val="000000" w:themeColor="text1"/>
          <w:sz w:val="30"/>
          <w:szCs w:val="30"/>
        </w:rPr>
        <w:t>%</w:t>
      </w:r>
      <w:r w:rsidR="00AD78E3" w:rsidRPr="009722C2">
        <w:rPr>
          <w:rFonts w:asciiTheme="majorHAnsi" w:hAnsiTheme="majorHAnsi"/>
          <w:b w:val="0"/>
          <w:bCs w:val="0"/>
          <w:color w:val="000000" w:themeColor="text1"/>
          <w:sz w:val="30"/>
          <w:szCs w:val="30"/>
        </w:rPr>
        <w:t xml:space="preserve"> en 2018, après un net </w:t>
      </w:r>
      <w:r w:rsidR="00072784" w:rsidRPr="009722C2">
        <w:rPr>
          <w:rFonts w:asciiTheme="majorHAnsi" w:hAnsiTheme="majorHAnsi"/>
          <w:b w:val="0"/>
          <w:bCs w:val="0"/>
          <w:color w:val="000000" w:themeColor="text1"/>
          <w:sz w:val="30"/>
          <w:szCs w:val="30"/>
        </w:rPr>
        <w:t>rebondissement de 16,5% en 2017</w:t>
      </w:r>
      <w:r w:rsidR="00A63FDD">
        <w:rPr>
          <w:rFonts w:asciiTheme="majorHAnsi" w:hAnsiTheme="majorHAnsi"/>
          <w:b w:val="0"/>
          <w:bCs w:val="0"/>
          <w:color w:val="000000" w:themeColor="text1"/>
          <w:sz w:val="30"/>
          <w:szCs w:val="30"/>
        </w:rPr>
        <w:t>.</w:t>
      </w:r>
      <w:r>
        <w:t xml:space="preserve"> </w:t>
      </w:r>
      <w:r w:rsidRPr="00553948">
        <w:rPr>
          <w:rFonts w:asciiTheme="majorHAnsi" w:hAnsiTheme="majorHAnsi"/>
          <w:b w:val="0"/>
          <w:bCs w:val="0"/>
          <w:color w:val="000000" w:themeColor="text1"/>
          <w:sz w:val="30"/>
          <w:szCs w:val="30"/>
        </w:rPr>
        <w:t>L’activité minière aurait été vigoureuse au début de l’année avant d’amorcer une phase de croissance volatile et moins soutenue à pa</w:t>
      </w:r>
      <w:r w:rsidR="00115B2F">
        <w:rPr>
          <w:rFonts w:asciiTheme="majorHAnsi" w:hAnsiTheme="majorHAnsi"/>
          <w:b w:val="0"/>
          <w:bCs w:val="0"/>
          <w:color w:val="000000" w:themeColor="text1"/>
          <w:sz w:val="30"/>
          <w:szCs w:val="30"/>
        </w:rPr>
        <w:t>rtir du deuxième trimestre 2018.</w:t>
      </w:r>
      <w:r w:rsidRPr="00553948">
        <w:rPr>
          <w:rFonts w:asciiTheme="majorHAnsi" w:hAnsiTheme="majorHAnsi"/>
          <w:b w:val="0"/>
          <w:bCs w:val="0"/>
          <w:color w:val="000000" w:themeColor="text1"/>
          <w:sz w:val="30"/>
          <w:szCs w:val="30"/>
        </w:rPr>
        <w:t xml:space="preserve"> La réduction des importations des pays de l’Amérique Latine et le modeste rétablissement de la demande sud-asiatique auraient conduit à une contraction de 2,3% du volume des exportations locales des dérivés phosphatées. En conséquence, les ventes du phosphate brut adressées aux industries de transformation se seraient sensiblement modérées</w:t>
      </w:r>
      <w:r w:rsidR="009D4643">
        <w:rPr>
          <w:rFonts w:asciiTheme="majorHAnsi" w:hAnsiTheme="majorHAnsi"/>
          <w:b w:val="0"/>
          <w:bCs w:val="0"/>
          <w:color w:val="000000" w:themeColor="text1"/>
          <w:sz w:val="30"/>
          <w:szCs w:val="30"/>
        </w:rPr>
        <w:t>.</w:t>
      </w:r>
      <w:r w:rsidRPr="00553948">
        <w:rPr>
          <w:rFonts w:asciiTheme="majorHAnsi" w:hAnsiTheme="majorHAnsi"/>
          <w:b w:val="0"/>
          <w:bCs w:val="0"/>
          <w:color w:val="000000" w:themeColor="text1"/>
          <w:sz w:val="30"/>
          <w:szCs w:val="30"/>
        </w:rPr>
        <w:t xml:space="preserve"> </w:t>
      </w:r>
    </w:p>
    <w:p w:rsidR="007363A5" w:rsidRPr="009722C2" w:rsidRDefault="007363A5" w:rsidP="00784BEB">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010BCB" w:rsidRDefault="00105F94" w:rsidP="00452177">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t xml:space="preserve">En revanche, les activités du </w:t>
      </w:r>
      <w:r w:rsidRPr="009722C2">
        <w:rPr>
          <w:rFonts w:asciiTheme="majorHAnsi" w:hAnsiTheme="majorHAnsi"/>
          <w:color w:val="000000" w:themeColor="text1"/>
          <w:sz w:val="30"/>
          <w:szCs w:val="30"/>
        </w:rPr>
        <w:t>secteur du bâtiment et travaux publics</w:t>
      </w:r>
      <w:r w:rsidR="00D8762F" w:rsidRPr="00D8762F">
        <w:rPr>
          <w:rFonts w:asciiTheme="majorHAnsi" w:hAnsiTheme="majorHAnsi"/>
          <w:b w:val="0"/>
          <w:bCs w:val="0"/>
          <w:color w:val="000000" w:themeColor="text1"/>
          <w:sz w:val="30"/>
          <w:szCs w:val="30"/>
        </w:rPr>
        <w:t xml:space="preserve"> </w:t>
      </w:r>
      <w:r w:rsidR="00D8762F">
        <w:rPr>
          <w:rFonts w:asciiTheme="majorHAnsi" w:hAnsiTheme="majorHAnsi"/>
          <w:b w:val="0"/>
          <w:bCs w:val="0"/>
          <w:color w:val="000000" w:themeColor="text1"/>
          <w:sz w:val="30"/>
          <w:szCs w:val="30"/>
        </w:rPr>
        <w:t>(BTP)</w:t>
      </w:r>
      <w:r w:rsidRPr="009722C2">
        <w:rPr>
          <w:rFonts w:asciiTheme="majorHAnsi" w:hAnsiTheme="majorHAnsi"/>
          <w:b w:val="0"/>
          <w:bCs w:val="0"/>
          <w:color w:val="000000" w:themeColor="text1"/>
          <w:sz w:val="30"/>
          <w:szCs w:val="30"/>
        </w:rPr>
        <w:t xml:space="preserve">, </w:t>
      </w:r>
      <w:r>
        <w:rPr>
          <w:rFonts w:asciiTheme="majorHAnsi" w:hAnsiTheme="majorHAnsi"/>
          <w:b w:val="0"/>
          <w:bCs w:val="0"/>
          <w:color w:val="000000" w:themeColor="text1"/>
          <w:sz w:val="30"/>
          <w:szCs w:val="30"/>
        </w:rPr>
        <w:t>auraient</w:t>
      </w:r>
      <w:r w:rsidRPr="009722C2">
        <w:rPr>
          <w:rFonts w:asciiTheme="majorHAnsi" w:hAnsiTheme="majorHAnsi"/>
          <w:b w:val="0"/>
          <w:bCs w:val="0"/>
          <w:color w:val="000000" w:themeColor="text1"/>
          <w:sz w:val="30"/>
          <w:szCs w:val="30"/>
        </w:rPr>
        <w:t xml:space="preserve"> </w:t>
      </w:r>
      <w:r>
        <w:rPr>
          <w:rFonts w:asciiTheme="majorHAnsi" w:hAnsiTheme="majorHAnsi"/>
          <w:b w:val="0"/>
          <w:bCs w:val="0"/>
          <w:color w:val="000000" w:themeColor="text1"/>
          <w:sz w:val="30"/>
          <w:szCs w:val="30"/>
        </w:rPr>
        <w:t>continué d’</w:t>
      </w:r>
      <w:r w:rsidRPr="009722C2">
        <w:rPr>
          <w:rFonts w:asciiTheme="majorHAnsi" w:hAnsiTheme="majorHAnsi"/>
          <w:b w:val="0"/>
          <w:bCs w:val="0"/>
          <w:color w:val="000000" w:themeColor="text1"/>
          <w:sz w:val="30"/>
          <w:szCs w:val="30"/>
        </w:rPr>
        <w:t>enreg</w:t>
      </w:r>
      <w:r>
        <w:rPr>
          <w:rFonts w:asciiTheme="majorHAnsi" w:hAnsiTheme="majorHAnsi"/>
          <w:b w:val="0"/>
          <w:bCs w:val="0"/>
          <w:color w:val="000000" w:themeColor="text1"/>
          <w:sz w:val="30"/>
          <w:szCs w:val="30"/>
        </w:rPr>
        <w:t>istrer</w:t>
      </w:r>
      <w:r w:rsidRPr="009722C2">
        <w:rPr>
          <w:rFonts w:asciiTheme="majorHAnsi" w:hAnsiTheme="majorHAnsi"/>
          <w:b w:val="0"/>
          <w:bCs w:val="0"/>
          <w:color w:val="000000" w:themeColor="text1"/>
          <w:sz w:val="30"/>
          <w:szCs w:val="30"/>
        </w:rPr>
        <w:t xml:space="preserve"> </w:t>
      </w:r>
      <w:r>
        <w:rPr>
          <w:rFonts w:asciiTheme="majorHAnsi" w:hAnsiTheme="majorHAnsi"/>
          <w:b w:val="0"/>
          <w:bCs w:val="0"/>
          <w:color w:val="000000" w:themeColor="text1"/>
          <w:sz w:val="30"/>
          <w:szCs w:val="30"/>
        </w:rPr>
        <w:t>de</w:t>
      </w:r>
      <w:r w:rsidRPr="009722C2">
        <w:rPr>
          <w:rFonts w:asciiTheme="majorHAnsi" w:hAnsiTheme="majorHAnsi"/>
          <w:b w:val="0"/>
          <w:bCs w:val="0"/>
          <w:color w:val="000000" w:themeColor="text1"/>
          <w:sz w:val="30"/>
          <w:szCs w:val="30"/>
        </w:rPr>
        <w:t xml:space="preserve"> </w:t>
      </w:r>
      <w:r>
        <w:rPr>
          <w:rFonts w:asciiTheme="majorHAnsi" w:hAnsiTheme="majorHAnsi"/>
          <w:b w:val="0"/>
          <w:bCs w:val="0"/>
          <w:color w:val="000000" w:themeColor="text1"/>
          <w:sz w:val="30"/>
          <w:szCs w:val="30"/>
        </w:rPr>
        <w:t>faible</w:t>
      </w:r>
      <w:r w:rsidR="00452177">
        <w:rPr>
          <w:rFonts w:asciiTheme="majorHAnsi" w:hAnsiTheme="majorHAnsi"/>
          <w:b w:val="0"/>
          <w:bCs w:val="0"/>
          <w:color w:val="000000" w:themeColor="text1"/>
          <w:sz w:val="30"/>
          <w:szCs w:val="30"/>
        </w:rPr>
        <w:t>s</w:t>
      </w:r>
      <w:r>
        <w:rPr>
          <w:rFonts w:asciiTheme="majorHAnsi" w:hAnsiTheme="majorHAnsi"/>
          <w:b w:val="0"/>
          <w:bCs w:val="0"/>
          <w:color w:val="000000" w:themeColor="text1"/>
          <w:sz w:val="30"/>
          <w:szCs w:val="30"/>
        </w:rPr>
        <w:t xml:space="preserve"> </w:t>
      </w:r>
      <w:r w:rsidRPr="009722C2">
        <w:rPr>
          <w:rFonts w:asciiTheme="majorHAnsi" w:hAnsiTheme="majorHAnsi"/>
          <w:b w:val="0"/>
          <w:bCs w:val="0"/>
          <w:color w:val="000000" w:themeColor="text1"/>
          <w:sz w:val="30"/>
          <w:szCs w:val="30"/>
        </w:rPr>
        <w:t>croissance</w:t>
      </w:r>
      <w:r w:rsidR="00452177">
        <w:rPr>
          <w:rFonts w:asciiTheme="majorHAnsi" w:hAnsiTheme="majorHAnsi"/>
          <w:b w:val="0"/>
          <w:bCs w:val="0"/>
          <w:color w:val="000000" w:themeColor="text1"/>
          <w:sz w:val="30"/>
          <w:szCs w:val="30"/>
        </w:rPr>
        <w:t>s</w:t>
      </w:r>
      <w:r>
        <w:rPr>
          <w:rFonts w:asciiTheme="majorHAnsi" w:hAnsiTheme="majorHAnsi"/>
          <w:b w:val="0"/>
          <w:bCs w:val="0"/>
          <w:color w:val="000000" w:themeColor="text1"/>
          <w:sz w:val="30"/>
          <w:szCs w:val="30"/>
        </w:rPr>
        <w:t xml:space="preserve">, </w:t>
      </w:r>
      <w:r w:rsidR="00452177">
        <w:rPr>
          <w:rFonts w:asciiTheme="majorHAnsi" w:hAnsiTheme="majorHAnsi"/>
          <w:b w:val="0"/>
          <w:bCs w:val="0"/>
          <w:color w:val="000000" w:themeColor="text1"/>
          <w:sz w:val="30"/>
          <w:szCs w:val="30"/>
        </w:rPr>
        <w:t xml:space="preserve">avec un taux </w:t>
      </w:r>
      <w:r>
        <w:rPr>
          <w:rFonts w:asciiTheme="majorHAnsi" w:hAnsiTheme="majorHAnsi"/>
          <w:b w:val="0"/>
          <w:bCs w:val="0"/>
          <w:color w:val="000000" w:themeColor="text1"/>
          <w:sz w:val="30"/>
          <w:szCs w:val="30"/>
        </w:rPr>
        <w:t>estimé à</w:t>
      </w:r>
      <w:r w:rsidRPr="009722C2">
        <w:rPr>
          <w:rFonts w:asciiTheme="majorHAnsi" w:hAnsiTheme="majorHAnsi"/>
          <w:b w:val="0"/>
          <w:bCs w:val="0"/>
          <w:color w:val="000000" w:themeColor="text1"/>
          <w:sz w:val="30"/>
          <w:szCs w:val="30"/>
        </w:rPr>
        <w:t xml:space="preserve"> 0,9</w:t>
      </w:r>
      <w:r>
        <w:rPr>
          <w:rFonts w:asciiTheme="majorHAnsi" w:hAnsiTheme="majorHAnsi"/>
          <w:b w:val="0"/>
          <w:bCs w:val="0"/>
          <w:color w:val="000000" w:themeColor="text1"/>
          <w:sz w:val="30"/>
          <w:szCs w:val="30"/>
        </w:rPr>
        <w:t>% en 2018 après 0,7%</w:t>
      </w:r>
      <w:r w:rsidRPr="009722C2">
        <w:rPr>
          <w:rFonts w:asciiTheme="majorHAnsi" w:hAnsiTheme="majorHAnsi"/>
          <w:b w:val="0"/>
          <w:bCs w:val="0"/>
          <w:color w:val="000000" w:themeColor="text1"/>
          <w:sz w:val="30"/>
          <w:szCs w:val="30"/>
        </w:rPr>
        <w:t xml:space="preserve"> en 2017. </w:t>
      </w:r>
      <w:r>
        <w:rPr>
          <w:rFonts w:asciiTheme="majorHAnsi" w:hAnsiTheme="majorHAnsi"/>
          <w:b w:val="0"/>
          <w:bCs w:val="0"/>
          <w:color w:val="000000" w:themeColor="text1"/>
          <w:sz w:val="30"/>
          <w:szCs w:val="30"/>
        </w:rPr>
        <w:t>L</w:t>
      </w:r>
      <w:r w:rsidRPr="009722C2">
        <w:rPr>
          <w:rFonts w:asciiTheme="majorHAnsi" w:hAnsiTheme="majorHAnsi"/>
          <w:b w:val="0"/>
          <w:bCs w:val="0"/>
          <w:color w:val="000000" w:themeColor="text1"/>
          <w:sz w:val="30"/>
          <w:szCs w:val="30"/>
        </w:rPr>
        <w:t>e secteur du bâtiment, avec un stock de produits toujours difficile à liquider, aurait continué d’être freiné par la persistance de plusieurs contraintes liées essentiellement au financement, au foncier et aux coûts élevés de construction.</w:t>
      </w:r>
      <w:r>
        <w:rPr>
          <w:rFonts w:asciiTheme="majorHAnsi" w:hAnsiTheme="majorHAnsi"/>
          <w:b w:val="0"/>
          <w:bCs w:val="0"/>
          <w:color w:val="000000" w:themeColor="text1"/>
          <w:sz w:val="30"/>
          <w:szCs w:val="30"/>
        </w:rPr>
        <w:t xml:space="preserve"> Il aurait </w:t>
      </w:r>
      <w:r w:rsidR="00EE11D1">
        <w:rPr>
          <w:rFonts w:asciiTheme="majorHAnsi" w:hAnsiTheme="majorHAnsi"/>
          <w:b w:val="0"/>
          <w:bCs w:val="0"/>
          <w:color w:val="000000" w:themeColor="text1"/>
          <w:sz w:val="30"/>
          <w:szCs w:val="30"/>
        </w:rPr>
        <w:t xml:space="preserve">ainsi limité l’effet positif de </w:t>
      </w:r>
      <w:r w:rsidRPr="009722C2">
        <w:rPr>
          <w:rFonts w:asciiTheme="majorHAnsi" w:hAnsiTheme="majorHAnsi"/>
          <w:b w:val="0"/>
          <w:bCs w:val="0"/>
          <w:color w:val="000000" w:themeColor="text1"/>
          <w:sz w:val="30"/>
          <w:szCs w:val="30"/>
        </w:rPr>
        <w:t>la réalisation de plusieurs projets d’urbanisation et d’infrastructures de base</w:t>
      </w:r>
      <w:r>
        <w:rPr>
          <w:rFonts w:asciiTheme="majorHAnsi" w:hAnsiTheme="majorHAnsi"/>
          <w:b w:val="0"/>
          <w:bCs w:val="0"/>
          <w:color w:val="000000" w:themeColor="text1"/>
          <w:sz w:val="30"/>
          <w:szCs w:val="30"/>
        </w:rPr>
        <w:t xml:space="preserve"> sur l’activité du BTP dans son ensemble.</w:t>
      </w:r>
    </w:p>
    <w:p w:rsidR="00010BCB" w:rsidRDefault="00010BCB" w:rsidP="00010BCB">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010BCB" w:rsidRPr="00010BCB" w:rsidRDefault="00CC7410" w:rsidP="00173AD1">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t>L</w:t>
      </w:r>
      <w:r w:rsidR="00AD78E3" w:rsidRPr="009722C2">
        <w:rPr>
          <w:rFonts w:asciiTheme="majorHAnsi" w:hAnsiTheme="majorHAnsi"/>
          <w:b w:val="0"/>
          <w:bCs w:val="0"/>
          <w:color w:val="000000" w:themeColor="text1"/>
          <w:sz w:val="30"/>
          <w:szCs w:val="30"/>
        </w:rPr>
        <w:t xml:space="preserve">es </w:t>
      </w:r>
      <w:r w:rsidR="00AD78E3" w:rsidRPr="009722C2">
        <w:rPr>
          <w:rFonts w:asciiTheme="majorHAnsi" w:hAnsiTheme="majorHAnsi"/>
          <w:color w:val="000000" w:themeColor="text1"/>
          <w:sz w:val="30"/>
          <w:szCs w:val="30"/>
        </w:rPr>
        <w:t>activités tertiaires</w:t>
      </w:r>
      <w:r w:rsidR="00FE0FA0" w:rsidRPr="00FE0FA0">
        <w:rPr>
          <w:rFonts w:asciiTheme="majorHAnsi" w:hAnsiTheme="majorHAnsi"/>
          <w:b w:val="0"/>
          <w:bCs w:val="0"/>
          <w:color w:val="000000" w:themeColor="text1"/>
          <w:sz w:val="30"/>
          <w:szCs w:val="30"/>
        </w:rPr>
        <w:t xml:space="preserve"> </w:t>
      </w:r>
      <w:r w:rsidR="00D4612C" w:rsidRPr="00D4612C">
        <w:rPr>
          <w:rFonts w:asciiTheme="majorHAnsi" w:hAnsiTheme="majorHAnsi"/>
          <w:b w:val="0"/>
          <w:bCs w:val="0"/>
          <w:color w:val="000000" w:themeColor="text1"/>
          <w:sz w:val="30"/>
          <w:szCs w:val="30"/>
        </w:rPr>
        <w:t xml:space="preserve">dont l’activité est </w:t>
      </w:r>
      <w:r w:rsidR="00D4612C">
        <w:rPr>
          <w:rFonts w:asciiTheme="majorHAnsi" w:hAnsiTheme="majorHAnsi"/>
          <w:b w:val="0"/>
          <w:bCs w:val="0"/>
          <w:color w:val="000000" w:themeColor="text1"/>
          <w:sz w:val="30"/>
          <w:szCs w:val="30"/>
        </w:rPr>
        <w:t>plus centrée</w:t>
      </w:r>
      <w:r w:rsidR="00D4612C" w:rsidRPr="00D4612C">
        <w:rPr>
          <w:rFonts w:asciiTheme="majorHAnsi" w:hAnsiTheme="majorHAnsi"/>
          <w:b w:val="0"/>
          <w:bCs w:val="0"/>
          <w:color w:val="000000" w:themeColor="text1"/>
          <w:sz w:val="30"/>
          <w:szCs w:val="30"/>
        </w:rPr>
        <w:t xml:space="preserve"> sur le marché intérieur</w:t>
      </w:r>
      <w:r w:rsidR="00AA465C">
        <w:rPr>
          <w:rFonts w:asciiTheme="majorHAnsi" w:hAnsiTheme="majorHAnsi"/>
          <w:b w:val="0"/>
          <w:bCs w:val="0"/>
          <w:color w:val="000000" w:themeColor="text1"/>
          <w:sz w:val="30"/>
          <w:szCs w:val="30"/>
        </w:rPr>
        <w:t>,</w:t>
      </w:r>
      <w:r w:rsidR="00D4612C" w:rsidRPr="00010BCB">
        <w:rPr>
          <w:rFonts w:asciiTheme="majorHAnsi" w:hAnsiTheme="majorHAnsi"/>
          <w:b w:val="0"/>
          <w:bCs w:val="0"/>
          <w:color w:val="000000" w:themeColor="text1"/>
          <w:sz w:val="30"/>
          <w:szCs w:val="30"/>
        </w:rPr>
        <w:t xml:space="preserve"> </w:t>
      </w:r>
      <w:r w:rsidR="00010BCB" w:rsidRPr="00010BCB">
        <w:rPr>
          <w:rFonts w:asciiTheme="majorHAnsi" w:hAnsiTheme="majorHAnsi"/>
          <w:b w:val="0"/>
          <w:bCs w:val="0"/>
          <w:color w:val="000000" w:themeColor="text1"/>
          <w:sz w:val="30"/>
          <w:szCs w:val="30"/>
        </w:rPr>
        <w:t>auraient conservé leur soutien à la croissance économique globale, affichant une progression de 3% en 2018, au lieu de 2,</w:t>
      </w:r>
      <w:r w:rsidR="00173AD1">
        <w:rPr>
          <w:rFonts w:asciiTheme="majorHAnsi" w:hAnsiTheme="majorHAnsi"/>
          <w:b w:val="0"/>
          <w:bCs w:val="0"/>
          <w:color w:val="000000" w:themeColor="text1"/>
          <w:sz w:val="30"/>
          <w:szCs w:val="30"/>
        </w:rPr>
        <w:t>7</w:t>
      </w:r>
      <w:r w:rsidR="00010BCB" w:rsidRPr="00010BCB">
        <w:rPr>
          <w:rFonts w:asciiTheme="majorHAnsi" w:hAnsiTheme="majorHAnsi"/>
          <w:b w:val="0"/>
          <w:bCs w:val="0"/>
          <w:color w:val="000000" w:themeColor="text1"/>
          <w:sz w:val="30"/>
          <w:szCs w:val="30"/>
        </w:rPr>
        <w:t xml:space="preserve">% une année plus tôt. La perte progressive de la dynamique des services rendus aux entreprises et des services financiers et sociaux qui assuraient à eux seuls la moitié de l’activité des branches tertiaires, aurait été compensée par la relance des activités commerciales et le maintien d’une croissance soutenue des transports et des services de l’hébergement et restauration. </w:t>
      </w:r>
    </w:p>
    <w:p w:rsidR="00010BCB" w:rsidRDefault="00010BCB" w:rsidP="00010BCB">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010BCB" w:rsidRDefault="00010BCB" w:rsidP="00010BCB">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3221E6" w:rsidRDefault="00AD78E3" w:rsidP="0059268B">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lastRenderedPageBreak/>
        <w:t>Dans ces conditions,</w:t>
      </w:r>
      <w:r w:rsidR="0059268B">
        <w:rPr>
          <w:rFonts w:asciiTheme="majorHAnsi" w:hAnsiTheme="majorHAnsi"/>
          <w:b w:val="0"/>
          <w:bCs w:val="0"/>
          <w:color w:val="000000" w:themeColor="text1"/>
          <w:sz w:val="30"/>
          <w:szCs w:val="30"/>
        </w:rPr>
        <w:t xml:space="preserve"> et </w:t>
      </w:r>
      <w:r w:rsidRPr="009722C2">
        <w:rPr>
          <w:rFonts w:asciiTheme="majorHAnsi" w:hAnsiTheme="majorHAnsi"/>
          <w:b w:val="0"/>
          <w:bCs w:val="0"/>
          <w:color w:val="000000" w:themeColor="text1"/>
          <w:sz w:val="30"/>
          <w:szCs w:val="30"/>
        </w:rPr>
        <w:t xml:space="preserve"> </w:t>
      </w:r>
      <w:r w:rsidR="0059268B" w:rsidRPr="009722C2">
        <w:rPr>
          <w:rFonts w:asciiTheme="majorHAnsi" w:hAnsiTheme="majorHAnsi"/>
          <w:b w:val="0"/>
          <w:bCs w:val="0"/>
          <w:color w:val="000000" w:themeColor="text1"/>
          <w:sz w:val="30"/>
          <w:szCs w:val="30"/>
        </w:rPr>
        <w:t xml:space="preserve">compte tenu de l’évolution </w:t>
      </w:r>
      <w:r w:rsidR="00284175" w:rsidRPr="009722C2">
        <w:rPr>
          <w:rFonts w:asciiTheme="majorHAnsi" w:hAnsiTheme="majorHAnsi"/>
          <w:b w:val="0"/>
          <w:bCs w:val="0"/>
          <w:color w:val="000000" w:themeColor="text1"/>
          <w:sz w:val="30"/>
          <w:szCs w:val="30"/>
        </w:rPr>
        <w:t>de 2,</w:t>
      </w:r>
      <w:r w:rsidR="00284175">
        <w:rPr>
          <w:rFonts w:asciiTheme="majorHAnsi" w:hAnsiTheme="majorHAnsi"/>
          <w:b w:val="0"/>
          <w:bCs w:val="0"/>
          <w:color w:val="000000" w:themeColor="text1"/>
          <w:sz w:val="30"/>
          <w:szCs w:val="30"/>
        </w:rPr>
        <w:t>4</w:t>
      </w:r>
      <w:r w:rsidR="00284175" w:rsidRPr="009722C2">
        <w:rPr>
          <w:rFonts w:asciiTheme="majorHAnsi" w:hAnsiTheme="majorHAnsi"/>
          <w:b w:val="0"/>
          <w:bCs w:val="0"/>
          <w:color w:val="000000" w:themeColor="text1"/>
          <w:sz w:val="30"/>
          <w:szCs w:val="30"/>
        </w:rPr>
        <w:t>%</w:t>
      </w:r>
      <w:r w:rsidR="00284175">
        <w:rPr>
          <w:rFonts w:asciiTheme="majorHAnsi" w:hAnsiTheme="majorHAnsi"/>
          <w:b w:val="0"/>
          <w:bCs w:val="0"/>
          <w:color w:val="000000" w:themeColor="text1"/>
          <w:sz w:val="30"/>
          <w:szCs w:val="30"/>
        </w:rPr>
        <w:t xml:space="preserve"> </w:t>
      </w:r>
      <w:r w:rsidR="0059268B" w:rsidRPr="009722C2">
        <w:rPr>
          <w:rFonts w:asciiTheme="majorHAnsi" w:hAnsiTheme="majorHAnsi"/>
          <w:b w:val="0"/>
          <w:bCs w:val="0"/>
          <w:color w:val="000000" w:themeColor="text1"/>
          <w:sz w:val="30"/>
          <w:szCs w:val="30"/>
        </w:rPr>
        <w:t xml:space="preserve">des impôts et taxes sur produits nets de subventions, </w:t>
      </w:r>
      <w:r w:rsidRPr="009722C2">
        <w:rPr>
          <w:rFonts w:asciiTheme="majorHAnsi" w:hAnsiTheme="majorHAnsi"/>
          <w:color w:val="000000" w:themeColor="text1"/>
          <w:sz w:val="30"/>
          <w:szCs w:val="30"/>
        </w:rPr>
        <w:t>le Produit Intérieur Brut</w:t>
      </w:r>
      <w:r w:rsidRPr="009722C2">
        <w:rPr>
          <w:rFonts w:asciiTheme="majorHAnsi" w:hAnsiTheme="majorHAnsi"/>
          <w:b w:val="0"/>
          <w:bCs w:val="0"/>
          <w:color w:val="000000" w:themeColor="text1"/>
          <w:sz w:val="30"/>
          <w:szCs w:val="30"/>
        </w:rPr>
        <w:t>, aurait enregistré un accroissement de 3% en 2018 au lieu de 4,1% en 2017.</w:t>
      </w:r>
      <w:r w:rsidR="00F46389" w:rsidRPr="009722C2">
        <w:rPr>
          <w:rFonts w:asciiTheme="majorHAnsi" w:hAnsiTheme="majorHAnsi"/>
          <w:b w:val="0"/>
          <w:bCs w:val="0"/>
          <w:color w:val="000000" w:themeColor="text1"/>
          <w:sz w:val="30"/>
          <w:szCs w:val="30"/>
        </w:rPr>
        <w:t xml:space="preserve"> </w:t>
      </w:r>
    </w:p>
    <w:p w:rsidR="003221E6" w:rsidRDefault="003221E6" w:rsidP="0059268B">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59268B" w:rsidRDefault="00F46389" w:rsidP="00452177">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color w:val="000000" w:themeColor="text1"/>
          <w:sz w:val="30"/>
          <w:szCs w:val="30"/>
        </w:rPr>
        <w:t>L</w:t>
      </w:r>
      <w:r w:rsidR="00AD78E3" w:rsidRPr="009722C2">
        <w:rPr>
          <w:rFonts w:asciiTheme="majorHAnsi" w:hAnsiTheme="majorHAnsi"/>
          <w:color w:val="000000" w:themeColor="text1"/>
          <w:sz w:val="30"/>
          <w:szCs w:val="30"/>
        </w:rPr>
        <w:t>’inflation</w:t>
      </w:r>
      <w:r w:rsidR="00AD78E3" w:rsidRPr="009722C2">
        <w:rPr>
          <w:rFonts w:asciiTheme="majorHAnsi" w:hAnsiTheme="majorHAnsi"/>
          <w:b w:val="0"/>
          <w:bCs w:val="0"/>
          <w:color w:val="000000" w:themeColor="text1"/>
          <w:sz w:val="30"/>
          <w:szCs w:val="30"/>
        </w:rPr>
        <w:t>,</w:t>
      </w:r>
      <w:r w:rsidRPr="009722C2">
        <w:rPr>
          <w:rFonts w:asciiTheme="majorHAnsi" w:hAnsiTheme="majorHAnsi"/>
          <w:b w:val="0"/>
          <w:bCs w:val="0"/>
          <w:color w:val="000000" w:themeColor="text1"/>
          <w:sz w:val="30"/>
          <w:szCs w:val="30"/>
        </w:rPr>
        <w:t xml:space="preserve"> exprimée par le niveau général des prix, aurait connu une hausse de 1,</w:t>
      </w:r>
      <w:r w:rsidR="003812E5">
        <w:rPr>
          <w:rFonts w:asciiTheme="majorHAnsi" w:hAnsiTheme="majorHAnsi"/>
          <w:b w:val="0"/>
          <w:bCs w:val="0"/>
          <w:color w:val="000000" w:themeColor="text1"/>
          <w:sz w:val="30"/>
          <w:szCs w:val="30"/>
        </w:rPr>
        <w:t>6</w:t>
      </w:r>
      <w:r w:rsidRPr="009722C2">
        <w:rPr>
          <w:rFonts w:asciiTheme="majorHAnsi" w:hAnsiTheme="majorHAnsi"/>
          <w:b w:val="0"/>
          <w:bCs w:val="0"/>
          <w:color w:val="000000" w:themeColor="text1"/>
          <w:sz w:val="30"/>
          <w:szCs w:val="30"/>
        </w:rPr>
        <w:t>% au lieu de 0,8% enregistré</w:t>
      </w:r>
      <w:r w:rsidR="00452177">
        <w:rPr>
          <w:rFonts w:asciiTheme="majorHAnsi" w:hAnsiTheme="majorHAnsi"/>
          <w:b w:val="0"/>
          <w:bCs w:val="0"/>
          <w:color w:val="000000" w:themeColor="text1"/>
          <w:sz w:val="30"/>
          <w:szCs w:val="30"/>
        </w:rPr>
        <w:t>e</w:t>
      </w:r>
      <w:r w:rsidRPr="009722C2">
        <w:rPr>
          <w:rFonts w:asciiTheme="majorHAnsi" w:hAnsiTheme="majorHAnsi"/>
          <w:b w:val="0"/>
          <w:bCs w:val="0"/>
          <w:color w:val="000000" w:themeColor="text1"/>
          <w:sz w:val="30"/>
          <w:szCs w:val="30"/>
        </w:rPr>
        <w:t xml:space="preserve"> en 2017</w:t>
      </w:r>
      <w:r w:rsidR="00284175">
        <w:rPr>
          <w:rFonts w:asciiTheme="majorHAnsi" w:hAnsiTheme="majorHAnsi"/>
          <w:b w:val="0"/>
          <w:bCs w:val="0"/>
          <w:color w:val="000000" w:themeColor="text1"/>
          <w:sz w:val="30"/>
          <w:szCs w:val="30"/>
        </w:rPr>
        <w:t xml:space="preserve"> suite à </w:t>
      </w:r>
      <w:r w:rsidR="00452177">
        <w:rPr>
          <w:rFonts w:asciiTheme="majorHAnsi" w:hAnsiTheme="majorHAnsi"/>
          <w:b w:val="0"/>
          <w:bCs w:val="0"/>
          <w:color w:val="000000" w:themeColor="text1"/>
          <w:sz w:val="30"/>
          <w:szCs w:val="30"/>
        </w:rPr>
        <w:t>l</w:t>
      </w:r>
      <w:r w:rsidRPr="009722C2">
        <w:rPr>
          <w:rFonts w:asciiTheme="majorHAnsi" w:hAnsiTheme="majorHAnsi"/>
          <w:b w:val="0"/>
          <w:bCs w:val="0"/>
          <w:color w:val="000000" w:themeColor="text1"/>
          <w:sz w:val="30"/>
          <w:szCs w:val="30"/>
        </w:rPr>
        <w:t>’augmentation des prix d</w:t>
      </w:r>
      <w:r w:rsidR="000512B8">
        <w:rPr>
          <w:rFonts w:asciiTheme="majorHAnsi" w:hAnsiTheme="majorHAnsi"/>
          <w:b w:val="0"/>
          <w:bCs w:val="0"/>
          <w:color w:val="000000" w:themeColor="text1"/>
          <w:sz w:val="30"/>
          <w:szCs w:val="30"/>
        </w:rPr>
        <w:t>es matières premières notamment c</w:t>
      </w:r>
      <w:r w:rsidRPr="009722C2">
        <w:rPr>
          <w:rFonts w:asciiTheme="majorHAnsi" w:hAnsiTheme="majorHAnsi"/>
          <w:b w:val="0"/>
          <w:bCs w:val="0"/>
          <w:color w:val="000000" w:themeColor="text1"/>
          <w:sz w:val="30"/>
          <w:szCs w:val="30"/>
        </w:rPr>
        <w:t>eux des produits énergétiques, contribu</w:t>
      </w:r>
      <w:r w:rsidR="00284175">
        <w:rPr>
          <w:rFonts w:asciiTheme="majorHAnsi" w:hAnsiTheme="majorHAnsi"/>
          <w:b w:val="0"/>
          <w:bCs w:val="0"/>
          <w:color w:val="000000" w:themeColor="text1"/>
          <w:sz w:val="30"/>
          <w:szCs w:val="30"/>
        </w:rPr>
        <w:t>ant ainsi</w:t>
      </w:r>
      <w:r w:rsidRPr="009722C2">
        <w:rPr>
          <w:rFonts w:asciiTheme="majorHAnsi" w:hAnsiTheme="majorHAnsi"/>
          <w:b w:val="0"/>
          <w:bCs w:val="0"/>
          <w:color w:val="000000" w:themeColor="text1"/>
          <w:sz w:val="30"/>
          <w:szCs w:val="30"/>
        </w:rPr>
        <w:t xml:space="preserve"> à la hausse de l’inflation importée. </w:t>
      </w:r>
    </w:p>
    <w:p w:rsidR="00EA384F" w:rsidRPr="009722C2" w:rsidRDefault="00EA384F" w:rsidP="00896DDD">
      <w:pPr>
        <w:pStyle w:val="Titre1"/>
        <w:tabs>
          <w:tab w:val="left" w:pos="426"/>
          <w:tab w:val="left" w:pos="709"/>
          <w:tab w:val="left" w:pos="993"/>
        </w:tabs>
        <w:spacing w:before="100" w:beforeAutospacing="1" w:after="100" w:afterAutospacing="1"/>
        <w:ind w:left="142"/>
        <w:contextualSpacing/>
        <w:rPr>
          <w:rFonts w:asciiTheme="majorHAnsi" w:hAnsiTheme="majorHAnsi"/>
          <w:color w:val="000000" w:themeColor="text1"/>
          <w:sz w:val="30"/>
          <w:szCs w:val="30"/>
          <w:u w:val="single"/>
        </w:rPr>
      </w:pPr>
      <w:r w:rsidRPr="009722C2">
        <w:rPr>
          <w:rFonts w:asciiTheme="majorHAnsi" w:hAnsiTheme="majorHAnsi"/>
          <w:color w:val="000000" w:themeColor="text1"/>
          <w:sz w:val="30"/>
          <w:szCs w:val="30"/>
          <w:u w:val="single"/>
        </w:rPr>
        <w:t xml:space="preserve">Une croissance économique tirée par la demande intérieure et </w:t>
      </w:r>
      <w:r w:rsidR="007D5DEE" w:rsidRPr="009722C2">
        <w:rPr>
          <w:rFonts w:asciiTheme="majorHAnsi" w:hAnsiTheme="majorHAnsi"/>
          <w:color w:val="000000" w:themeColor="text1"/>
          <w:sz w:val="30"/>
          <w:szCs w:val="30"/>
          <w:u w:val="single"/>
        </w:rPr>
        <w:t xml:space="preserve">atténuée </w:t>
      </w:r>
      <w:r w:rsidR="00647350" w:rsidRPr="009722C2">
        <w:rPr>
          <w:rFonts w:asciiTheme="majorHAnsi" w:hAnsiTheme="majorHAnsi"/>
          <w:color w:val="000000" w:themeColor="text1"/>
          <w:sz w:val="30"/>
          <w:szCs w:val="30"/>
          <w:u w:val="single"/>
        </w:rPr>
        <w:t xml:space="preserve">toutefois </w:t>
      </w:r>
      <w:r w:rsidRPr="009722C2">
        <w:rPr>
          <w:rFonts w:asciiTheme="majorHAnsi" w:hAnsiTheme="majorHAnsi"/>
          <w:color w:val="000000" w:themeColor="text1"/>
          <w:sz w:val="30"/>
          <w:szCs w:val="30"/>
          <w:u w:val="single"/>
        </w:rPr>
        <w:t xml:space="preserve"> par une </w:t>
      </w:r>
      <w:r w:rsidR="00647350" w:rsidRPr="009722C2">
        <w:rPr>
          <w:rFonts w:asciiTheme="majorHAnsi" w:hAnsiTheme="majorHAnsi"/>
          <w:color w:val="000000" w:themeColor="text1"/>
          <w:sz w:val="30"/>
          <w:szCs w:val="30"/>
          <w:u w:val="single"/>
        </w:rPr>
        <w:t xml:space="preserve">contribution négative de </w:t>
      </w:r>
      <w:r w:rsidR="00896DDD">
        <w:rPr>
          <w:rFonts w:asciiTheme="majorHAnsi" w:hAnsiTheme="majorHAnsi"/>
          <w:color w:val="000000" w:themeColor="text1"/>
          <w:sz w:val="30"/>
          <w:szCs w:val="30"/>
          <w:u w:val="single"/>
        </w:rPr>
        <w:t xml:space="preserve">la </w:t>
      </w:r>
      <w:r w:rsidRPr="009722C2">
        <w:rPr>
          <w:rFonts w:asciiTheme="majorHAnsi" w:hAnsiTheme="majorHAnsi"/>
          <w:color w:val="000000" w:themeColor="text1"/>
          <w:sz w:val="30"/>
          <w:szCs w:val="30"/>
          <w:u w:val="single"/>
        </w:rPr>
        <w:t xml:space="preserve">demande extérieure </w:t>
      </w:r>
    </w:p>
    <w:p w:rsidR="00735B9F" w:rsidRPr="009722C2" w:rsidRDefault="00735B9F" w:rsidP="00940C70">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color w:val="000000" w:themeColor="text1"/>
          <w:sz w:val="30"/>
          <w:szCs w:val="30"/>
        </w:rPr>
        <w:t>La demande intérieure</w:t>
      </w:r>
      <w:r w:rsidRPr="009722C2">
        <w:rPr>
          <w:rFonts w:asciiTheme="majorHAnsi" w:hAnsiTheme="majorHAnsi"/>
          <w:b w:val="0"/>
          <w:bCs w:val="0"/>
          <w:color w:val="000000" w:themeColor="text1"/>
          <w:sz w:val="30"/>
          <w:szCs w:val="30"/>
        </w:rPr>
        <w:t xml:space="preserve"> </w:t>
      </w:r>
      <w:r w:rsidR="005C0F05" w:rsidRPr="009722C2">
        <w:rPr>
          <w:rFonts w:asciiTheme="majorHAnsi" w:hAnsiTheme="majorHAnsi"/>
          <w:b w:val="0"/>
          <w:bCs w:val="0"/>
          <w:color w:val="000000" w:themeColor="text1"/>
          <w:sz w:val="30"/>
          <w:szCs w:val="30"/>
        </w:rPr>
        <w:t xml:space="preserve">aurait </w:t>
      </w:r>
      <w:r w:rsidRPr="009722C2">
        <w:rPr>
          <w:rFonts w:asciiTheme="majorHAnsi" w:hAnsiTheme="majorHAnsi"/>
          <w:b w:val="0"/>
          <w:bCs w:val="0"/>
          <w:color w:val="000000" w:themeColor="text1"/>
          <w:sz w:val="30"/>
          <w:szCs w:val="30"/>
        </w:rPr>
        <w:t>continu</w:t>
      </w:r>
      <w:r w:rsidR="005C0F05" w:rsidRPr="009722C2">
        <w:rPr>
          <w:rFonts w:asciiTheme="majorHAnsi" w:hAnsiTheme="majorHAnsi"/>
          <w:b w:val="0"/>
          <w:bCs w:val="0"/>
          <w:color w:val="000000" w:themeColor="text1"/>
          <w:sz w:val="30"/>
          <w:szCs w:val="30"/>
        </w:rPr>
        <w:t>é</w:t>
      </w:r>
      <w:r w:rsidRPr="009722C2">
        <w:rPr>
          <w:rFonts w:asciiTheme="majorHAnsi" w:hAnsiTheme="majorHAnsi"/>
          <w:b w:val="0"/>
          <w:bCs w:val="0"/>
          <w:color w:val="000000" w:themeColor="text1"/>
          <w:sz w:val="30"/>
          <w:szCs w:val="30"/>
        </w:rPr>
        <w:t xml:space="preserve"> de soutenir la croissance économique nationale</w:t>
      </w:r>
      <w:r w:rsidR="002F0549" w:rsidRPr="009722C2">
        <w:rPr>
          <w:rFonts w:asciiTheme="majorHAnsi" w:hAnsiTheme="majorHAnsi"/>
          <w:b w:val="0"/>
          <w:bCs w:val="0"/>
          <w:color w:val="000000" w:themeColor="text1"/>
          <w:sz w:val="30"/>
          <w:szCs w:val="30"/>
        </w:rPr>
        <w:t xml:space="preserve"> en 2018</w:t>
      </w:r>
      <w:r w:rsidRPr="009722C2">
        <w:rPr>
          <w:rFonts w:asciiTheme="majorHAnsi" w:hAnsiTheme="majorHAnsi"/>
          <w:b w:val="0"/>
          <w:bCs w:val="0"/>
          <w:color w:val="000000" w:themeColor="text1"/>
          <w:sz w:val="30"/>
          <w:szCs w:val="30"/>
        </w:rPr>
        <w:t xml:space="preserve">, avec une contribution </w:t>
      </w:r>
      <w:r w:rsidR="00E253B5" w:rsidRPr="009722C2">
        <w:rPr>
          <w:rFonts w:asciiTheme="majorHAnsi" w:hAnsiTheme="majorHAnsi"/>
          <w:b w:val="0"/>
          <w:bCs w:val="0"/>
          <w:color w:val="000000" w:themeColor="text1"/>
          <w:sz w:val="30"/>
          <w:szCs w:val="30"/>
        </w:rPr>
        <w:t>plus</w:t>
      </w:r>
      <w:r w:rsidRPr="009722C2">
        <w:rPr>
          <w:rFonts w:asciiTheme="majorHAnsi" w:hAnsiTheme="majorHAnsi"/>
          <w:b w:val="0"/>
          <w:bCs w:val="0"/>
          <w:color w:val="000000" w:themeColor="text1"/>
          <w:sz w:val="30"/>
          <w:szCs w:val="30"/>
        </w:rPr>
        <w:t xml:space="preserve"> importante qu’en 201</w:t>
      </w:r>
      <w:r w:rsidR="002F3497" w:rsidRPr="009722C2">
        <w:rPr>
          <w:rFonts w:asciiTheme="majorHAnsi" w:hAnsiTheme="majorHAnsi"/>
          <w:b w:val="0"/>
          <w:bCs w:val="0"/>
          <w:color w:val="000000" w:themeColor="text1"/>
          <w:sz w:val="30"/>
          <w:szCs w:val="30"/>
        </w:rPr>
        <w:t>7</w:t>
      </w:r>
      <w:r w:rsidR="00940C70">
        <w:rPr>
          <w:rFonts w:asciiTheme="majorHAnsi" w:hAnsiTheme="majorHAnsi"/>
          <w:b w:val="0"/>
          <w:bCs w:val="0"/>
          <w:color w:val="000000" w:themeColor="text1"/>
          <w:sz w:val="30"/>
          <w:szCs w:val="30"/>
        </w:rPr>
        <w:t>.</w:t>
      </w:r>
      <w:r w:rsidR="00862F83" w:rsidRPr="009722C2">
        <w:rPr>
          <w:rFonts w:asciiTheme="majorHAnsi" w:hAnsiTheme="majorHAnsi"/>
          <w:b w:val="0"/>
          <w:bCs w:val="0"/>
          <w:color w:val="000000" w:themeColor="text1"/>
          <w:sz w:val="30"/>
          <w:szCs w:val="30"/>
        </w:rPr>
        <w:t xml:space="preserve"> </w:t>
      </w:r>
      <w:r w:rsidR="00940C70">
        <w:rPr>
          <w:rFonts w:asciiTheme="majorHAnsi" w:hAnsiTheme="majorHAnsi"/>
          <w:b w:val="0"/>
          <w:bCs w:val="0"/>
          <w:color w:val="000000" w:themeColor="text1"/>
          <w:sz w:val="30"/>
          <w:szCs w:val="30"/>
        </w:rPr>
        <w:t>L</w:t>
      </w:r>
      <w:r w:rsidR="00862F83" w:rsidRPr="009722C2">
        <w:rPr>
          <w:rFonts w:asciiTheme="majorHAnsi" w:hAnsiTheme="majorHAnsi"/>
          <w:b w:val="0"/>
          <w:bCs w:val="0"/>
          <w:color w:val="000000" w:themeColor="text1"/>
          <w:sz w:val="30"/>
          <w:szCs w:val="30"/>
        </w:rPr>
        <w:t xml:space="preserve">a contribution de </w:t>
      </w:r>
      <w:r w:rsidRPr="009722C2">
        <w:rPr>
          <w:rFonts w:asciiTheme="majorHAnsi" w:hAnsiTheme="majorHAnsi"/>
          <w:b w:val="0"/>
          <w:bCs w:val="0"/>
          <w:color w:val="000000" w:themeColor="text1"/>
          <w:sz w:val="30"/>
          <w:szCs w:val="30"/>
        </w:rPr>
        <w:t>la demande extérieure nette</w:t>
      </w:r>
      <w:r w:rsidR="00862F83" w:rsidRPr="009722C2">
        <w:rPr>
          <w:rFonts w:asciiTheme="majorHAnsi" w:hAnsiTheme="majorHAnsi"/>
          <w:b w:val="0"/>
          <w:bCs w:val="0"/>
          <w:color w:val="000000" w:themeColor="text1"/>
          <w:sz w:val="30"/>
          <w:szCs w:val="30"/>
        </w:rPr>
        <w:t xml:space="preserve"> </w:t>
      </w:r>
      <w:r w:rsidR="00734E88" w:rsidRPr="009722C2">
        <w:rPr>
          <w:rFonts w:asciiTheme="majorHAnsi" w:hAnsiTheme="majorHAnsi"/>
          <w:b w:val="0"/>
          <w:bCs w:val="0"/>
          <w:color w:val="000000" w:themeColor="text1"/>
          <w:sz w:val="30"/>
          <w:szCs w:val="30"/>
        </w:rPr>
        <w:t>aurait été</w:t>
      </w:r>
      <w:r w:rsidRPr="009722C2">
        <w:rPr>
          <w:rFonts w:asciiTheme="majorHAnsi" w:hAnsiTheme="majorHAnsi"/>
          <w:b w:val="0"/>
          <w:bCs w:val="0"/>
          <w:color w:val="000000" w:themeColor="text1"/>
          <w:sz w:val="30"/>
          <w:szCs w:val="30"/>
        </w:rPr>
        <w:t xml:space="preserve"> </w:t>
      </w:r>
      <w:r w:rsidR="00940C70">
        <w:rPr>
          <w:rFonts w:asciiTheme="majorHAnsi" w:hAnsiTheme="majorHAnsi"/>
          <w:b w:val="0"/>
          <w:bCs w:val="0"/>
          <w:color w:val="000000" w:themeColor="text1"/>
          <w:sz w:val="30"/>
          <w:szCs w:val="30"/>
        </w:rPr>
        <w:t xml:space="preserve">toutefois </w:t>
      </w:r>
      <w:r w:rsidR="008E32DA" w:rsidRPr="009722C2">
        <w:rPr>
          <w:rFonts w:asciiTheme="majorHAnsi" w:hAnsiTheme="majorHAnsi"/>
          <w:b w:val="0"/>
          <w:bCs w:val="0"/>
          <w:color w:val="000000" w:themeColor="text1"/>
          <w:sz w:val="30"/>
          <w:szCs w:val="30"/>
        </w:rPr>
        <w:t>négative</w:t>
      </w:r>
      <w:r w:rsidR="00862F83" w:rsidRPr="009722C2">
        <w:rPr>
          <w:rFonts w:asciiTheme="majorHAnsi" w:hAnsiTheme="majorHAnsi"/>
          <w:b w:val="0"/>
          <w:bCs w:val="0"/>
          <w:color w:val="000000" w:themeColor="text1"/>
          <w:sz w:val="30"/>
          <w:szCs w:val="30"/>
        </w:rPr>
        <w:t xml:space="preserve">, </w:t>
      </w:r>
      <w:r w:rsidRPr="009722C2">
        <w:rPr>
          <w:rFonts w:asciiTheme="majorHAnsi" w:hAnsiTheme="majorHAnsi"/>
          <w:b w:val="0"/>
          <w:bCs w:val="0"/>
          <w:color w:val="000000" w:themeColor="text1"/>
          <w:sz w:val="30"/>
          <w:szCs w:val="30"/>
        </w:rPr>
        <w:t xml:space="preserve">suite à une augmentation des </w:t>
      </w:r>
      <w:r w:rsidR="00734E88" w:rsidRPr="009722C2">
        <w:rPr>
          <w:rFonts w:asciiTheme="majorHAnsi" w:hAnsiTheme="majorHAnsi"/>
          <w:b w:val="0"/>
          <w:bCs w:val="0"/>
          <w:color w:val="000000" w:themeColor="text1"/>
          <w:sz w:val="30"/>
          <w:szCs w:val="30"/>
        </w:rPr>
        <w:t xml:space="preserve">importations </w:t>
      </w:r>
      <w:r w:rsidRPr="009722C2">
        <w:rPr>
          <w:rFonts w:asciiTheme="majorHAnsi" w:hAnsiTheme="majorHAnsi"/>
          <w:b w:val="0"/>
          <w:bCs w:val="0"/>
          <w:color w:val="000000" w:themeColor="text1"/>
          <w:sz w:val="30"/>
          <w:szCs w:val="30"/>
        </w:rPr>
        <w:t>plus importante que celle des</w:t>
      </w:r>
      <w:r w:rsidR="00734E88" w:rsidRPr="009722C2">
        <w:rPr>
          <w:rFonts w:asciiTheme="majorHAnsi" w:hAnsiTheme="majorHAnsi"/>
          <w:b w:val="0"/>
          <w:bCs w:val="0"/>
          <w:color w:val="000000" w:themeColor="text1"/>
          <w:sz w:val="30"/>
          <w:szCs w:val="30"/>
        </w:rPr>
        <w:t xml:space="preserve"> exportations</w:t>
      </w:r>
      <w:r w:rsidRPr="009722C2">
        <w:rPr>
          <w:rFonts w:asciiTheme="majorHAnsi" w:hAnsiTheme="majorHAnsi"/>
          <w:b w:val="0"/>
          <w:bCs w:val="0"/>
          <w:color w:val="000000" w:themeColor="text1"/>
          <w:sz w:val="30"/>
          <w:szCs w:val="30"/>
        </w:rPr>
        <w:t>.</w:t>
      </w:r>
    </w:p>
    <w:p w:rsidR="00735B9F" w:rsidRPr="009722C2" w:rsidRDefault="00735B9F" w:rsidP="00011C31">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EA384F" w:rsidRPr="009722C2" w:rsidRDefault="00735B9F" w:rsidP="00563CE3">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bookmarkStart w:id="0" w:name="_Toc328056272"/>
      <w:bookmarkStart w:id="1" w:name="_Toc328056526"/>
      <w:bookmarkStart w:id="2" w:name="_Toc202419673"/>
      <w:r w:rsidRPr="009722C2">
        <w:rPr>
          <w:rFonts w:asciiTheme="majorHAnsi" w:hAnsiTheme="majorHAnsi"/>
          <w:b w:val="0"/>
          <w:bCs w:val="0"/>
          <w:color w:val="000000" w:themeColor="text1"/>
          <w:sz w:val="30"/>
          <w:szCs w:val="30"/>
        </w:rPr>
        <w:t xml:space="preserve">La </w:t>
      </w:r>
      <w:r w:rsidRPr="009722C2">
        <w:rPr>
          <w:rFonts w:asciiTheme="majorHAnsi" w:hAnsiTheme="majorHAnsi"/>
          <w:color w:val="000000" w:themeColor="text1"/>
          <w:sz w:val="30"/>
          <w:szCs w:val="30"/>
        </w:rPr>
        <w:t>consommation des ménages résidents</w:t>
      </w:r>
      <w:r w:rsidR="00AF341C" w:rsidRPr="009722C2">
        <w:rPr>
          <w:rFonts w:asciiTheme="majorHAnsi" w:hAnsiTheme="majorHAnsi"/>
          <w:b w:val="0"/>
          <w:bCs w:val="0"/>
          <w:color w:val="000000" w:themeColor="text1"/>
          <w:sz w:val="30"/>
          <w:szCs w:val="30"/>
        </w:rPr>
        <w:t xml:space="preserve">, bien qu’elle soit en ralentissement par rapport aux années précédentes, </w:t>
      </w:r>
      <w:r w:rsidR="002F48EE">
        <w:rPr>
          <w:rFonts w:asciiTheme="majorHAnsi" w:hAnsiTheme="majorHAnsi"/>
          <w:b w:val="0"/>
          <w:bCs w:val="0"/>
          <w:color w:val="000000" w:themeColor="text1"/>
          <w:sz w:val="30"/>
          <w:szCs w:val="30"/>
        </w:rPr>
        <w:t>serait</w:t>
      </w:r>
      <w:r w:rsidR="00AF341C" w:rsidRPr="009722C2">
        <w:rPr>
          <w:rFonts w:asciiTheme="majorHAnsi" w:hAnsiTheme="majorHAnsi"/>
          <w:b w:val="0"/>
          <w:bCs w:val="0"/>
          <w:color w:val="000000" w:themeColor="text1"/>
          <w:sz w:val="30"/>
          <w:szCs w:val="30"/>
        </w:rPr>
        <w:t xml:space="preserve"> </w:t>
      </w:r>
      <w:r w:rsidR="007D5DEE" w:rsidRPr="009722C2">
        <w:rPr>
          <w:rFonts w:asciiTheme="majorHAnsi" w:hAnsiTheme="majorHAnsi"/>
          <w:b w:val="0"/>
          <w:bCs w:val="0"/>
          <w:color w:val="000000" w:themeColor="text1"/>
          <w:sz w:val="30"/>
          <w:szCs w:val="30"/>
        </w:rPr>
        <w:t>rest</w:t>
      </w:r>
      <w:r w:rsidR="002F48EE">
        <w:rPr>
          <w:rFonts w:asciiTheme="majorHAnsi" w:hAnsiTheme="majorHAnsi"/>
          <w:b w:val="0"/>
          <w:bCs w:val="0"/>
          <w:color w:val="000000" w:themeColor="text1"/>
          <w:sz w:val="30"/>
          <w:szCs w:val="30"/>
        </w:rPr>
        <w:t>ée</w:t>
      </w:r>
      <w:r w:rsidR="007D5DEE" w:rsidRPr="009722C2">
        <w:rPr>
          <w:rFonts w:asciiTheme="majorHAnsi" w:hAnsiTheme="majorHAnsi"/>
          <w:b w:val="0"/>
          <w:bCs w:val="0"/>
          <w:color w:val="000000" w:themeColor="text1"/>
          <w:sz w:val="30"/>
          <w:szCs w:val="30"/>
        </w:rPr>
        <w:t xml:space="preserve"> </w:t>
      </w:r>
      <w:r w:rsidR="00854A40" w:rsidRPr="009722C2">
        <w:rPr>
          <w:rFonts w:asciiTheme="majorHAnsi" w:hAnsiTheme="majorHAnsi"/>
          <w:b w:val="0"/>
          <w:bCs w:val="0"/>
          <w:color w:val="000000" w:themeColor="text1"/>
          <w:sz w:val="30"/>
          <w:szCs w:val="30"/>
        </w:rPr>
        <w:t>l</w:t>
      </w:r>
      <w:r w:rsidR="00AF341C" w:rsidRPr="009722C2">
        <w:rPr>
          <w:rFonts w:asciiTheme="majorHAnsi" w:hAnsiTheme="majorHAnsi"/>
          <w:b w:val="0"/>
          <w:bCs w:val="0"/>
          <w:color w:val="000000" w:themeColor="text1"/>
          <w:sz w:val="30"/>
          <w:szCs w:val="30"/>
        </w:rPr>
        <w:t xml:space="preserve">e moteur de la croissance nationale avec  un rythme </w:t>
      </w:r>
      <w:r w:rsidR="00940C70">
        <w:rPr>
          <w:rFonts w:asciiTheme="majorHAnsi" w:hAnsiTheme="majorHAnsi"/>
          <w:b w:val="0"/>
          <w:bCs w:val="0"/>
          <w:color w:val="000000" w:themeColor="text1"/>
          <w:sz w:val="30"/>
          <w:szCs w:val="30"/>
        </w:rPr>
        <w:t xml:space="preserve">de </w:t>
      </w:r>
      <w:r w:rsidR="00AF341C" w:rsidRPr="004A34E9">
        <w:rPr>
          <w:rFonts w:asciiTheme="majorHAnsi" w:hAnsiTheme="majorHAnsi"/>
          <w:b w:val="0"/>
          <w:bCs w:val="0"/>
          <w:sz w:val="30"/>
          <w:szCs w:val="30"/>
        </w:rPr>
        <w:t>3,</w:t>
      </w:r>
      <w:r w:rsidR="00AF341C">
        <w:rPr>
          <w:rFonts w:asciiTheme="majorHAnsi" w:hAnsiTheme="majorHAnsi"/>
          <w:b w:val="0"/>
          <w:bCs w:val="0"/>
          <w:sz w:val="30"/>
          <w:szCs w:val="30"/>
        </w:rPr>
        <w:t>4</w:t>
      </w:r>
      <w:r w:rsidR="00AF341C" w:rsidRPr="004A34E9">
        <w:rPr>
          <w:rFonts w:asciiTheme="majorHAnsi" w:hAnsiTheme="majorHAnsi"/>
          <w:b w:val="0"/>
          <w:bCs w:val="0"/>
          <w:sz w:val="30"/>
          <w:szCs w:val="30"/>
        </w:rPr>
        <w:t>%</w:t>
      </w:r>
      <w:r w:rsidR="00AF341C">
        <w:rPr>
          <w:rFonts w:asciiTheme="majorHAnsi" w:hAnsiTheme="majorHAnsi"/>
          <w:b w:val="0"/>
          <w:bCs w:val="0"/>
          <w:sz w:val="30"/>
          <w:szCs w:val="30"/>
        </w:rPr>
        <w:t xml:space="preserve"> au lieu de 3,</w:t>
      </w:r>
      <w:r w:rsidR="00904109">
        <w:rPr>
          <w:rFonts w:asciiTheme="majorHAnsi" w:hAnsiTheme="majorHAnsi"/>
          <w:b w:val="0"/>
          <w:bCs w:val="0"/>
          <w:sz w:val="30"/>
          <w:szCs w:val="30"/>
        </w:rPr>
        <w:t>5</w:t>
      </w:r>
      <w:r w:rsidR="00AF341C">
        <w:rPr>
          <w:rFonts w:asciiTheme="majorHAnsi" w:hAnsiTheme="majorHAnsi"/>
          <w:b w:val="0"/>
          <w:bCs w:val="0"/>
          <w:sz w:val="30"/>
          <w:szCs w:val="30"/>
        </w:rPr>
        <w:t>% en</w:t>
      </w:r>
      <w:r w:rsidR="00832BBA">
        <w:rPr>
          <w:rFonts w:asciiTheme="majorHAnsi" w:hAnsiTheme="majorHAnsi"/>
          <w:b w:val="0"/>
          <w:bCs w:val="0"/>
          <w:sz w:val="30"/>
          <w:szCs w:val="30"/>
        </w:rPr>
        <w:t xml:space="preserve"> 2017</w:t>
      </w:r>
      <w:r w:rsidR="00AF341C" w:rsidRPr="004A34E9">
        <w:rPr>
          <w:rFonts w:asciiTheme="majorHAnsi" w:hAnsiTheme="majorHAnsi"/>
          <w:b w:val="0"/>
          <w:bCs w:val="0"/>
          <w:sz w:val="30"/>
          <w:szCs w:val="30"/>
        </w:rPr>
        <w:t xml:space="preserve">. Cette évolution s’explique </w:t>
      </w:r>
      <w:r w:rsidR="00D8762F">
        <w:rPr>
          <w:rFonts w:asciiTheme="majorHAnsi" w:hAnsiTheme="majorHAnsi"/>
          <w:b w:val="0"/>
          <w:bCs w:val="0"/>
          <w:sz w:val="30"/>
          <w:szCs w:val="30"/>
        </w:rPr>
        <w:t xml:space="preserve">notamment </w:t>
      </w:r>
      <w:r w:rsidR="00AF341C" w:rsidRPr="004A34E9">
        <w:rPr>
          <w:rFonts w:asciiTheme="majorHAnsi" w:hAnsiTheme="majorHAnsi"/>
          <w:b w:val="0"/>
          <w:bCs w:val="0"/>
          <w:sz w:val="30"/>
          <w:szCs w:val="30"/>
        </w:rPr>
        <w:t>par la progression des revenus ruraux,</w:t>
      </w:r>
      <w:r w:rsidR="00D8762F">
        <w:rPr>
          <w:rFonts w:asciiTheme="majorHAnsi" w:hAnsiTheme="majorHAnsi"/>
          <w:b w:val="0"/>
          <w:bCs w:val="0"/>
          <w:sz w:val="30"/>
          <w:szCs w:val="30"/>
        </w:rPr>
        <w:t xml:space="preserve"> </w:t>
      </w:r>
      <w:r w:rsidR="00AF341C" w:rsidRPr="009722C2">
        <w:rPr>
          <w:rFonts w:asciiTheme="majorHAnsi" w:hAnsiTheme="majorHAnsi"/>
          <w:b w:val="0"/>
          <w:bCs w:val="0"/>
          <w:color w:val="000000" w:themeColor="text1"/>
          <w:sz w:val="30"/>
          <w:szCs w:val="30"/>
        </w:rPr>
        <w:t xml:space="preserve">atténuée toutefois par la baisse </w:t>
      </w:r>
      <w:r w:rsidR="00904109">
        <w:rPr>
          <w:rFonts w:asciiTheme="majorHAnsi" w:hAnsiTheme="majorHAnsi"/>
          <w:b w:val="0"/>
          <w:bCs w:val="0"/>
          <w:color w:val="000000" w:themeColor="text1"/>
          <w:sz w:val="30"/>
          <w:szCs w:val="30"/>
        </w:rPr>
        <w:t xml:space="preserve">en 2018 </w:t>
      </w:r>
      <w:r w:rsidR="00AF341C" w:rsidRPr="009722C2">
        <w:rPr>
          <w:rFonts w:asciiTheme="majorHAnsi" w:hAnsiTheme="majorHAnsi"/>
          <w:b w:val="0"/>
          <w:bCs w:val="0"/>
          <w:color w:val="000000" w:themeColor="text1"/>
          <w:sz w:val="30"/>
          <w:szCs w:val="30"/>
        </w:rPr>
        <w:t xml:space="preserve">des </w:t>
      </w:r>
      <w:r w:rsidR="00832BBA" w:rsidRPr="009722C2">
        <w:rPr>
          <w:rFonts w:asciiTheme="majorHAnsi" w:hAnsiTheme="majorHAnsi"/>
          <w:b w:val="0"/>
          <w:bCs w:val="0"/>
          <w:color w:val="000000" w:themeColor="text1"/>
          <w:sz w:val="30"/>
          <w:szCs w:val="30"/>
        </w:rPr>
        <w:t>transferts des</w:t>
      </w:r>
      <w:r w:rsidR="00AF341C" w:rsidRPr="009722C2">
        <w:rPr>
          <w:rFonts w:asciiTheme="majorHAnsi" w:hAnsiTheme="majorHAnsi"/>
          <w:b w:val="0"/>
          <w:bCs w:val="0"/>
          <w:color w:val="000000" w:themeColor="text1"/>
          <w:sz w:val="30"/>
          <w:szCs w:val="30"/>
        </w:rPr>
        <w:t xml:space="preserve"> </w:t>
      </w:r>
      <w:r w:rsidR="00832BBA" w:rsidRPr="009722C2">
        <w:rPr>
          <w:rFonts w:asciiTheme="majorHAnsi" w:hAnsiTheme="majorHAnsi"/>
          <w:b w:val="0"/>
          <w:bCs w:val="0"/>
          <w:color w:val="000000" w:themeColor="text1"/>
          <w:sz w:val="30"/>
          <w:szCs w:val="30"/>
        </w:rPr>
        <w:t xml:space="preserve">marocains résidents à </w:t>
      </w:r>
      <w:r w:rsidR="00270649" w:rsidRPr="009722C2">
        <w:rPr>
          <w:rFonts w:asciiTheme="majorHAnsi" w:hAnsiTheme="majorHAnsi"/>
          <w:b w:val="0"/>
          <w:bCs w:val="0"/>
          <w:color w:val="000000" w:themeColor="text1"/>
          <w:sz w:val="30"/>
          <w:szCs w:val="30"/>
        </w:rPr>
        <w:t>l’étranger</w:t>
      </w:r>
      <w:r w:rsidR="00940C70" w:rsidRPr="009722C2">
        <w:rPr>
          <w:rFonts w:asciiTheme="majorHAnsi" w:hAnsiTheme="majorHAnsi"/>
          <w:b w:val="0"/>
          <w:bCs w:val="0"/>
          <w:color w:val="000000" w:themeColor="text1"/>
          <w:sz w:val="30"/>
          <w:szCs w:val="30"/>
        </w:rPr>
        <w:t>.</w:t>
      </w:r>
      <w:r w:rsidR="00940C70">
        <w:rPr>
          <w:rFonts w:asciiTheme="majorHAnsi" w:hAnsiTheme="majorHAnsi"/>
          <w:b w:val="0"/>
          <w:bCs w:val="0"/>
          <w:color w:val="000000" w:themeColor="text1"/>
          <w:sz w:val="30"/>
          <w:szCs w:val="30"/>
        </w:rPr>
        <w:t xml:space="preserve"> Sa contribution à </w:t>
      </w:r>
      <w:r w:rsidR="00940C70" w:rsidRPr="009722C2">
        <w:rPr>
          <w:rFonts w:asciiTheme="majorHAnsi" w:hAnsiTheme="majorHAnsi"/>
          <w:b w:val="0"/>
          <w:bCs w:val="0"/>
          <w:color w:val="000000" w:themeColor="text1"/>
          <w:sz w:val="30"/>
          <w:szCs w:val="30"/>
        </w:rPr>
        <w:t xml:space="preserve">la croissance </w:t>
      </w:r>
      <w:r w:rsidR="00940C70">
        <w:rPr>
          <w:rFonts w:asciiTheme="majorHAnsi" w:hAnsiTheme="majorHAnsi"/>
          <w:b w:val="0"/>
          <w:bCs w:val="0"/>
          <w:color w:val="000000" w:themeColor="text1"/>
          <w:sz w:val="30"/>
          <w:szCs w:val="30"/>
        </w:rPr>
        <w:t xml:space="preserve">économique </w:t>
      </w:r>
      <w:r w:rsidR="00940C70" w:rsidRPr="009722C2">
        <w:rPr>
          <w:rFonts w:asciiTheme="majorHAnsi" w:hAnsiTheme="majorHAnsi"/>
          <w:b w:val="0"/>
          <w:bCs w:val="0"/>
          <w:color w:val="000000" w:themeColor="text1"/>
          <w:sz w:val="30"/>
          <w:szCs w:val="30"/>
        </w:rPr>
        <w:t>nationale</w:t>
      </w:r>
      <w:r w:rsidR="00940C70">
        <w:rPr>
          <w:rFonts w:asciiTheme="majorHAnsi" w:hAnsiTheme="majorHAnsi"/>
          <w:b w:val="0"/>
          <w:bCs w:val="0"/>
          <w:color w:val="000000" w:themeColor="text1"/>
          <w:sz w:val="30"/>
          <w:szCs w:val="30"/>
        </w:rPr>
        <w:t xml:space="preserve"> serait maintenue à 2 points</w:t>
      </w:r>
      <w:r w:rsidR="00D8762F">
        <w:rPr>
          <w:rFonts w:asciiTheme="majorHAnsi" w:hAnsiTheme="majorHAnsi"/>
          <w:b w:val="0"/>
          <w:bCs w:val="0"/>
          <w:color w:val="000000" w:themeColor="text1"/>
          <w:sz w:val="30"/>
          <w:szCs w:val="30"/>
        </w:rPr>
        <w:t>.</w:t>
      </w:r>
      <w:r w:rsidR="00563CE3">
        <w:rPr>
          <w:rFonts w:asciiTheme="majorHAnsi" w:hAnsiTheme="majorHAnsi"/>
          <w:b w:val="0"/>
          <w:bCs w:val="0"/>
          <w:color w:val="000000" w:themeColor="text1"/>
          <w:sz w:val="30"/>
          <w:szCs w:val="30"/>
        </w:rPr>
        <w:t xml:space="preserve"> L</w:t>
      </w:r>
      <w:r w:rsidRPr="009722C2">
        <w:rPr>
          <w:rFonts w:asciiTheme="majorHAnsi" w:hAnsiTheme="majorHAnsi"/>
          <w:b w:val="0"/>
          <w:bCs w:val="0"/>
          <w:color w:val="000000" w:themeColor="text1"/>
          <w:sz w:val="30"/>
          <w:szCs w:val="30"/>
        </w:rPr>
        <w:t xml:space="preserve">a </w:t>
      </w:r>
      <w:r w:rsidRPr="009722C2">
        <w:rPr>
          <w:rFonts w:asciiTheme="majorHAnsi" w:hAnsiTheme="majorHAnsi"/>
          <w:color w:val="000000" w:themeColor="text1"/>
          <w:sz w:val="30"/>
          <w:szCs w:val="30"/>
        </w:rPr>
        <w:t>consommation publique</w:t>
      </w:r>
      <w:r w:rsidR="00EA384F" w:rsidRPr="009722C2">
        <w:rPr>
          <w:rFonts w:asciiTheme="majorHAnsi" w:hAnsiTheme="majorHAnsi"/>
          <w:b w:val="0"/>
          <w:bCs w:val="0"/>
          <w:color w:val="000000" w:themeColor="text1"/>
          <w:sz w:val="30"/>
          <w:szCs w:val="30"/>
        </w:rPr>
        <w:t>, quant à elle,</w:t>
      </w:r>
      <w:r w:rsidRPr="009722C2">
        <w:rPr>
          <w:rFonts w:asciiTheme="majorHAnsi" w:hAnsiTheme="majorHAnsi"/>
          <w:b w:val="0"/>
          <w:bCs w:val="0"/>
          <w:color w:val="000000" w:themeColor="text1"/>
          <w:sz w:val="30"/>
          <w:szCs w:val="30"/>
        </w:rPr>
        <w:t xml:space="preserve"> se serait sensiblement </w:t>
      </w:r>
      <w:r w:rsidR="00BE72BB" w:rsidRPr="009722C2">
        <w:rPr>
          <w:rFonts w:asciiTheme="majorHAnsi" w:hAnsiTheme="majorHAnsi"/>
          <w:b w:val="0"/>
          <w:bCs w:val="0"/>
          <w:color w:val="000000" w:themeColor="text1"/>
          <w:sz w:val="30"/>
          <w:szCs w:val="30"/>
        </w:rPr>
        <w:t>améliorée</w:t>
      </w:r>
      <w:r w:rsidRPr="009722C2">
        <w:rPr>
          <w:rFonts w:asciiTheme="majorHAnsi" w:hAnsiTheme="majorHAnsi"/>
          <w:b w:val="0"/>
          <w:bCs w:val="0"/>
          <w:color w:val="000000" w:themeColor="text1"/>
          <w:sz w:val="30"/>
          <w:szCs w:val="30"/>
        </w:rPr>
        <w:t xml:space="preserve"> de </w:t>
      </w:r>
      <w:r w:rsidR="006F32B6" w:rsidRPr="009722C2">
        <w:rPr>
          <w:rFonts w:asciiTheme="majorHAnsi" w:hAnsiTheme="majorHAnsi"/>
          <w:b w:val="0"/>
          <w:bCs w:val="0"/>
          <w:color w:val="000000" w:themeColor="text1"/>
          <w:sz w:val="30"/>
          <w:szCs w:val="30"/>
        </w:rPr>
        <w:t>2</w:t>
      </w:r>
      <w:r w:rsidRPr="009722C2">
        <w:rPr>
          <w:rFonts w:asciiTheme="majorHAnsi" w:hAnsiTheme="majorHAnsi"/>
          <w:b w:val="0"/>
          <w:bCs w:val="0"/>
          <w:color w:val="000000" w:themeColor="text1"/>
          <w:sz w:val="30"/>
          <w:szCs w:val="30"/>
        </w:rPr>
        <w:t>,</w:t>
      </w:r>
      <w:r w:rsidR="00896DDD">
        <w:rPr>
          <w:rFonts w:asciiTheme="majorHAnsi" w:hAnsiTheme="majorHAnsi"/>
          <w:b w:val="0"/>
          <w:bCs w:val="0"/>
          <w:color w:val="000000" w:themeColor="text1"/>
          <w:sz w:val="30"/>
          <w:szCs w:val="30"/>
        </w:rPr>
        <w:t>2</w:t>
      </w:r>
      <w:r w:rsidRPr="009722C2">
        <w:rPr>
          <w:rFonts w:asciiTheme="majorHAnsi" w:hAnsiTheme="majorHAnsi"/>
          <w:b w:val="0"/>
          <w:bCs w:val="0"/>
          <w:color w:val="000000" w:themeColor="text1"/>
          <w:sz w:val="30"/>
          <w:szCs w:val="30"/>
        </w:rPr>
        <w:t xml:space="preserve">% au lieu de </w:t>
      </w:r>
      <w:r w:rsidR="0038234A" w:rsidRPr="009722C2">
        <w:rPr>
          <w:rFonts w:asciiTheme="majorHAnsi" w:hAnsiTheme="majorHAnsi"/>
          <w:b w:val="0"/>
          <w:bCs w:val="0"/>
          <w:color w:val="000000" w:themeColor="text1"/>
          <w:sz w:val="30"/>
          <w:szCs w:val="30"/>
        </w:rPr>
        <w:t>1</w:t>
      </w:r>
      <w:r w:rsidRPr="009722C2">
        <w:rPr>
          <w:rFonts w:asciiTheme="majorHAnsi" w:hAnsiTheme="majorHAnsi"/>
          <w:b w:val="0"/>
          <w:bCs w:val="0"/>
          <w:color w:val="000000" w:themeColor="text1"/>
          <w:sz w:val="30"/>
          <w:szCs w:val="30"/>
        </w:rPr>
        <w:t>,</w:t>
      </w:r>
      <w:r w:rsidR="006F32B6" w:rsidRPr="009722C2">
        <w:rPr>
          <w:rFonts w:asciiTheme="majorHAnsi" w:hAnsiTheme="majorHAnsi"/>
          <w:b w:val="0"/>
          <w:bCs w:val="0"/>
          <w:color w:val="000000" w:themeColor="text1"/>
          <w:sz w:val="30"/>
          <w:szCs w:val="30"/>
        </w:rPr>
        <w:t>5</w:t>
      </w:r>
      <w:r w:rsidRPr="009722C2">
        <w:rPr>
          <w:rFonts w:asciiTheme="majorHAnsi" w:hAnsiTheme="majorHAnsi"/>
          <w:b w:val="0"/>
          <w:bCs w:val="0"/>
          <w:color w:val="000000" w:themeColor="text1"/>
          <w:sz w:val="30"/>
          <w:szCs w:val="30"/>
        </w:rPr>
        <w:t>% en 201</w:t>
      </w:r>
      <w:r w:rsidR="009B474E" w:rsidRPr="009722C2">
        <w:rPr>
          <w:rFonts w:asciiTheme="majorHAnsi" w:hAnsiTheme="majorHAnsi"/>
          <w:b w:val="0"/>
          <w:bCs w:val="0"/>
          <w:color w:val="000000" w:themeColor="text1"/>
          <w:sz w:val="30"/>
          <w:szCs w:val="30"/>
        </w:rPr>
        <w:t>7</w:t>
      </w:r>
      <w:r w:rsidR="008E1CBE">
        <w:rPr>
          <w:rFonts w:asciiTheme="majorHAnsi" w:hAnsiTheme="majorHAnsi"/>
          <w:b w:val="0"/>
          <w:bCs w:val="0"/>
          <w:color w:val="000000" w:themeColor="text1"/>
          <w:sz w:val="30"/>
          <w:szCs w:val="30"/>
        </w:rPr>
        <w:t>,</w:t>
      </w:r>
      <w:r w:rsidR="00AE3A45" w:rsidRPr="009722C2">
        <w:rPr>
          <w:rFonts w:asciiTheme="majorHAnsi" w:hAnsiTheme="majorHAnsi"/>
          <w:b w:val="0"/>
          <w:bCs w:val="0"/>
          <w:color w:val="000000" w:themeColor="text1"/>
          <w:sz w:val="30"/>
          <w:szCs w:val="30"/>
        </w:rPr>
        <w:t xml:space="preserve"> </w:t>
      </w:r>
      <w:r w:rsidR="008E1CBE">
        <w:rPr>
          <w:rFonts w:asciiTheme="majorHAnsi" w:hAnsiTheme="majorHAnsi"/>
          <w:b w:val="0"/>
          <w:bCs w:val="0"/>
          <w:color w:val="000000" w:themeColor="text1"/>
          <w:sz w:val="30"/>
          <w:szCs w:val="30"/>
        </w:rPr>
        <w:t xml:space="preserve"> </w:t>
      </w:r>
      <w:r w:rsidR="00563CE3">
        <w:rPr>
          <w:rFonts w:asciiTheme="majorHAnsi" w:hAnsiTheme="majorHAnsi"/>
          <w:b w:val="0"/>
          <w:bCs w:val="0"/>
          <w:color w:val="000000" w:themeColor="text1"/>
          <w:sz w:val="30"/>
          <w:szCs w:val="30"/>
        </w:rPr>
        <w:t>contribuant</w:t>
      </w:r>
      <w:r w:rsidR="00173AD1">
        <w:rPr>
          <w:rFonts w:asciiTheme="majorHAnsi" w:hAnsiTheme="majorHAnsi"/>
          <w:b w:val="0"/>
          <w:bCs w:val="0"/>
          <w:color w:val="000000" w:themeColor="text1"/>
          <w:sz w:val="30"/>
          <w:szCs w:val="30"/>
        </w:rPr>
        <w:t xml:space="preserve"> à la </w:t>
      </w:r>
      <w:r w:rsidR="008E1CBE">
        <w:rPr>
          <w:rFonts w:asciiTheme="majorHAnsi" w:hAnsiTheme="majorHAnsi"/>
          <w:b w:val="0"/>
          <w:bCs w:val="0"/>
          <w:color w:val="000000" w:themeColor="text1"/>
          <w:sz w:val="30"/>
          <w:szCs w:val="30"/>
        </w:rPr>
        <w:t xml:space="preserve">croissance </w:t>
      </w:r>
      <w:r w:rsidR="00563CE3">
        <w:rPr>
          <w:rFonts w:asciiTheme="majorHAnsi" w:hAnsiTheme="majorHAnsi"/>
          <w:b w:val="0"/>
          <w:bCs w:val="0"/>
          <w:color w:val="000000" w:themeColor="text1"/>
          <w:sz w:val="30"/>
          <w:szCs w:val="30"/>
        </w:rPr>
        <w:t xml:space="preserve">de </w:t>
      </w:r>
      <w:r w:rsidR="008E1CBE" w:rsidRPr="009722C2">
        <w:rPr>
          <w:rFonts w:asciiTheme="majorHAnsi" w:hAnsiTheme="majorHAnsi"/>
          <w:b w:val="0"/>
          <w:bCs w:val="0"/>
          <w:color w:val="000000" w:themeColor="text1"/>
          <w:sz w:val="30"/>
          <w:szCs w:val="30"/>
        </w:rPr>
        <w:t>0,4 point</w:t>
      </w:r>
      <w:r w:rsidR="00563CE3">
        <w:rPr>
          <w:rFonts w:asciiTheme="majorHAnsi" w:hAnsiTheme="majorHAnsi"/>
          <w:b w:val="0"/>
          <w:bCs w:val="0"/>
          <w:color w:val="000000" w:themeColor="text1"/>
          <w:sz w:val="30"/>
          <w:szCs w:val="30"/>
        </w:rPr>
        <w:t>.</w:t>
      </w:r>
    </w:p>
    <w:p w:rsidR="00563CE3" w:rsidRDefault="00563CE3" w:rsidP="00C64A9C">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9C7D66" w:rsidRDefault="009C7D66" w:rsidP="00BA1454">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t xml:space="preserve">Globalement, </w:t>
      </w:r>
      <w:r w:rsidRPr="009722C2">
        <w:rPr>
          <w:rFonts w:asciiTheme="majorHAnsi" w:hAnsiTheme="majorHAnsi"/>
          <w:color w:val="000000" w:themeColor="text1"/>
          <w:sz w:val="30"/>
          <w:szCs w:val="30"/>
        </w:rPr>
        <w:t>la consommation finale nationale</w:t>
      </w:r>
      <w:r>
        <w:rPr>
          <w:rFonts w:asciiTheme="majorHAnsi" w:hAnsiTheme="majorHAnsi"/>
          <w:color w:val="000000" w:themeColor="text1"/>
          <w:sz w:val="30"/>
          <w:szCs w:val="30"/>
        </w:rPr>
        <w:t>,</w:t>
      </w:r>
      <w:r w:rsidRPr="009722C2">
        <w:rPr>
          <w:rFonts w:asciiTheme="majorHAnsi" w:hAnsiTheme="majorHAnsi"/>
          <w:b w:val="0"/>
          <w:bCs w:val="0"/>
          <w:color w:val="000000" w:themeColor="text1"/>
          <w:sz w:val="30"/>
          <w:szCs w:val="30"/>
        </w:rPr>
        <w:t xml:space="preserve"> </w:t>
      </w:r>
      <w:r>
        <w:rPr>
          <w:rFonts w:asciiTheme="majorHAnsi" w:hAnsiTheme="majorHAnsi"/>
          <w:b w:val="0"/>
          <w:bCs w:val="0"/>
          <w:color w:val="000000" w:themeColor="text1"/>
          <w:sz w:val="30"/>
          <w:szCs w:val="30"/>
        </w:rPr>
        <w:t xml:space="preserve">qui représente 70% de la demande intérieure, </w:t>
      </w:r>
      <w:r w:rsidRPr="009722C2">
        <w:rPr>
          <w:rFonts w:asciiTheme="majorHAnsi" w:hAnsiTheme="majorHAnsi"/>
          <w:b w:val="0"/>
          <w:bCs w:val="0"/>
          <w:color w:val="000000" w:themeColor="text1"/>
          <w:sz w:val="30"/>
          <w:szCs w:val="30"/>
        </w:rPr>
        <w:t>aurait progressé de 3,1%, </w:t>
      </w:r>
      <w:r>
        <w:rPr>
          <w:rFonts w:asciiTheme="majorHAnsi" w:hAnsiTheme="majorHAnsi"/>
          <w:b w:val="0"/>
          <w:bCs w:val="0"/>
          <w:color w:val="000000" w:themeColor="text1"/>
          <w:sz w:val="30"/>
          <w:szCs w:val="30"/>
        </w:rPr>
        <w:t xml:space="preserve">maintenant sa </w:t>
      </w:r>
      <w:r w:rsidRPr="009722C2">
        <w:rPr>
          <w:rFonts w:asciiTheme="majorHAnsi" w:hAnsiTheme="majorHAnsi"/>
          <w:b w:val="0"/>
          <w:bCs w:val="0"/>
          <w:color w:val="000000" w:themeColor="text1"/>
          <w:sz w:val="30"/>
          <w:szCs w:val="30"/>
        </w:rPr>
        <w:t>contribu</w:t>
      </w:r>
      <w:r>
        <w:rPr>
          <w:rFonts w:asciiTheme="majorHAnsi" w:hAnsiTheme="majorHAnsi"/>
          <w:b w:val="0"/>
          <w:bCs w:val="0"/>
          <w:color w:val="000000" w:themeColor="text1"/>
          <w:sz w:val="30"/>
          <w:szCs w:val="30"/>
        </w:rPr>
        <w:t xml:space="preserve">tion </w:t>
      </w:r>
      <w:r w:rsidR="00BA1454" w:rsidRPr="009722C2">
        <w:rPr>
          <w:rFonts w:asciiTheme="majorHAnsi" w:hAnsiTheme="majorHAnsi"/>
          <w:b w:val="0"/>
          <w:bCs w:val="0"/>
          <w:color w:val="000000" w:themeColor="text1"/>
          <w:sz w:val="30"/>
          <w:szCs w:val="30"/>
        </w:rPr>
        <w:t xml:space="preserve">à la croissance  </w:t>
      </w:r>
      <w:r>
        <w:rPr>
          <w:rFonts w:asciiTheme="majorHAnsi" w:hAnsiTheme="majorHAnsi"/>
          <w:b w:val="0"/>
          <w:bCs w:val="0"/>
          <w:color w:val="000000" w:themeColor="text1"/>
          <w:sz w:val="30"/>
          <w:szCs w:val="30"/>
        </w:rPr>
        <w:t>à</w:t>
      </w:r>
      <w:r w:rsidRPr="009722C2">
        <w:rPr>
          <w:rFonts w:asciiTheme="majorHAnsi" w:hAnsiTheme="majorHAnsi"/>
          <w:b w:val="0"/>
          <w:bCs w:val="0"/>
          <w:color w:val="000000" w:themeColor="text1"/>
          <w:sz w:val="30"/>
          <w:szCs w:val="30"/>
        </w:rPr>
        <w:t xml:space="preserve"> 2,</w:t>
      </w:r>
      <w:r>
        <w:rPr>
          <w:rFonts w:asciiTheme="majorHAnsi" w:hAnsiTheme="majorHAnsi"/>
          <w:b w:val="0"/>
          <w:bCs w:val="0"/>
          <w:color w:val="000000" w:themeColor="text1"/>
          <w:sz w:val="30"/>
          <w:szCs w:val="30"/>
        </w:rPr>
        <w:t>4</w:t>
      </w:r>
      <w:r w:rsidRPr="009722C2">
        <w:rPr>
          <w:rFonts w:asciiTheme="majorHAnsi" w:hAnsiTheme="majorHAnsi"/>
          <w:b w:val="0"/>
          <w:bCs w:val="0"/>
          <w:color w:val="000000" w:themeColor="text1"/>
          <w:sz w:val="30"/>
          <w:szCs w:val="30"/>
        </w:rPr>
        <w:t xml:space="preserve"> points en 2018</w:t>
      </w:r>
      <w:r>
        <w:rPr>
          <w:rFonts w:asciiTheme="majorHAnsi" w:hAnsiTheme="majorHAnsi"/>
          <w:b w:val="0"/>
          <w:bCs w:val="0"/>
          <w:color w:val="000000" w:themeColor="text1"/>
          <w:sz w:val="30"/>
          <w:szCs w:val="30"/>
        </w:rPr>
        <w:t>.</w:t>
      </w:r>
    </w:p>
    <w:p w:rsidR="009C7D66" w:rsidRDefault="009C7D66" w:rsidP="00C64A9C">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741A70" w:rsidRDefault="009C7D66" w:rsidP="00173AD1">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t xml:space="preserve">Pour sa part, la </w:t>
      </w:r>
      <w:r w:rsidRPr="009722C2">
        <w:rPr>
          <w:rFonts w:asciiTheme="majorHAnsi" w:hAnsiTheme="majorHAnsi"/>
          <w:color w:val="000000" w:themeColor="text1"/>
          <w:sz w:val="30"/>
          <w:szCs w:val="30"/>
        </w:rPr>
        <w:t>Formation Brute du Capital Fixe</w:t>
      </w:r>
      <w:r w:rsidRPr="009722C2">
        <w:rPr>
          <w:rFonts w:asciiTheme="majorHAnsi" w:hAnsiTheme="majorHAnsi"/>
          <w:b w:val="0"/>
          <w:bCs w:val="0"/>
          <w:color w:val="000000" w:themeColor="text1"/>
          <w:sz w:val="30"/>
          <w:szCs w:val="30"/>
        </w:rPr>
        <w:t xml:space="preserve">, qui a connu une baisse de 0,8% en 2017, aurait enregistré une progression de </w:t>
      </w:r>
      <w:r>
        <w:rPr>
          <w:rFonts w:asciiTheme="majorHAnsi" w:hAnsiTheme="majorHAnsi"/>
          <w:b w:val="0"/>
          <w:bCs w:val="0"/>
          <w:color w:val="000000" w:themeColor="text1"/>
          <w:sz w:val="30"/>
          <w:szCs w:val="30"/>
        </w:rPr>
        <w:t>2</w:t>
      </w:r>
      <w:r w:rsidRPr="009722C2">
        <w:rPr>
          <w:rFonts w:asciiTheme="majorHAnsi" w:hAnsiTheme="majorHAnsi"/>
          <w:b w:val="0"/>
          <w:bCs w:val="0"/>
          <w:color w:val="000000" w:themeColor="text1"/>
          <w:sz w:val="30"/>
          <w:szCs w:val="30"/>
        </w:rPr>
        <w:t>,</w:t>
      </w:r>
      <w:r>
        <w:rPr>
          <w:rFonts w:asciiTheme="majorHAnsi" w:hAnsiTheme="majorHAnsi"/>
          <w:b w:val="0"/>
          <w:bCs w:val="0"/>
          <w:color w:val="000000" w:themeColor="text1"/>
          <w:sz w:val="30"/>
          <w:szCs w:val="30"/>
        </w:rPr>
        <w:t>9</w:t>
      </w:r>
      <w:r w:rsidRPr="009722C2">
        <w:rPr>
          <w:rFonts w:asciiTheme="majorHAnsi" w:hAnsiTheme="majorHAnsi"/>
          <w:b w:val="0"/>
          <w:bCs w:val="0"/>
          <w:color w:val="000000" w:themeColor="text1"/>
          <w:sz w:val="30"/>
          <w:szCs w:val="30"/>
        </w:rPr>
        <w:t>% en 2018. Sa contribution à la croissance aurait été de 0,</w:t>
      </w:r>
      <w:r>
        <w:rPr>
          <w:rFonts w:asciiTheme="majorHAnsi" w:hAnsiTheme="majorHAnsi"/>
          <w:b w:val="0"/>
          <w:bCs w:val="0"/>
          <w:color w:val="000000" w:themeColor="text1"/>
          <w:sz w:val="30"/>
          <w:szCs w:val="30"/>
        </w:rPr>
        <w:t>8</w:t>
      </w:r>
      <w:r w:rsidRPr="009722C2">
        <w:rPr>
          <w:rFonts w:asciiTheme="majorHAnsi" w:hAnsiTheme="majorHAnsi"/>
          <w:b w:val="0"/>
          <w:bCs w:val="0"/>
          <w:color w:val="000000" w:themeColor="text1"/>
          <w:sz w:val="30"/>
          <w:szCs w:val="30"/>
        </w:rPr>
        <w:t xml:space="preserve"> point au lieu d’une contribution négative de 0,2 point en 2017. </w:t>
      </w:r>
      <w:r>
        <w:rPr>
          <w:rFonts w:asciiTheme="majorHAnsi" w:hAnsiTheme="majorHAnsi"/>
          <w:b w:val="0"/>
          <w:bCs w:val="0"/>
          <w:color w:val="000000" w:themeColor="text1"/>
          <w:sz w:val="30"/>
          <w:szCs w:val="30"/>
        </w:rPr>
        <w:t xml:space="preserve">En prenant en considération la variation de stocks, l’investissement brut </w:t>
      </w:r>
      <w:r w:rsidR="00BA2CD9">
        <w:rPr>
          <w:rFonts w:asciiTheme="majorHAnsi" w:hAnsiTheme="majorHAnsi"/>
          <w:b w:val="0"/>
          <w:bCs w:val="0"/>
          <w:color w:val="000000" w:themeColor="text1"/>
          <w:sz w:val="30"/>
          <w:szCs w:val="30"/>
        </w:rPr>
        <w:t>aurait connu</w:t>
      </w:r>
      <w:r>
        <w:rPr>
          <w:rFonts w:asciiTheme="majorHAnsi" w:hAnsiTheme="majorHAnsi"/>
          <w:b w:val="0"/>
          <w:bCs w:val="0"/>
          <w:color w:val="000000" w:themeColor="text1"/>
          <w:sz w:val="30"/>
          <w:szCs w:val="30"/>
        </w:rPr>
        <w:t xml:space="preserve"> un rythme de croissance  plus élevé </w:t>
      </w:r>
      <w:r w:rsidRPr="009722C2">
        <w:rPr>
          <w:rFonts w:asciiTheme="majorHAnsi" w:hAnsiTheme="majorHAnsi"/>
          <w:b w:val="0"/>
          <w:bCs w:val="0"/>
          <w:color w:val="000000" w:themeColor="text1"/>
          <w:sz w:val="30"/>
          <w:szCs w:val="30"/>
        </w:rPr>
        <w:t>d’environ 4,</w:t>
      </w:r>
      <w:r w:rsidR="00173AD1">
        <w:rPr>
          <w:rFonts w:asciiTheme="majorHAnsi" w:hAnsiTheme="majorHAnsi"/>
          <w:b w:val="0"/>
          <w:bCs w:val="0"/>
          <w:color w:val="000000" w:themeColor="text1"/>
          <w:sz w:val="30"/>
          <w:szCs w:val="30"/>
        </w:rPr>
        <w:t>8</w:t>
      </w:r>
      <w:r w:rsidRPr="009722C2">
        <w:rPr>
          <w:rFonts w:asciiTheme="majorHAnsi" w:hAnsiTheme="majorHAnsi"/>
          <w:b w:val="0"/>
          <w:bCs w:val="0"/>
          <w:color w:val="000000" w:themeColor="text1"/>
          <w:sz w:val="30"/>
          <w:szCs w:val="30"/>
        </w:rPr>
        <w:t>%</w:t>
      </w:r>
      <w:r w:rsidR="00BA2CD9">
        <w:rPr>
          <w:rFonts w:asciiTheme="majorHAnsi" w:hAnsiTheme="majorHAnsi"/>
          <w:b w:val="0"/>
          <w:bCs w:val="0"/>
          <w:color w:val="000000" w:themeColor="text1"/>
          <w:sz w:val="30"/>
          <w:szCs w:val="30"/>
        </w:rPr>
        <w:t>, ramenant ainsi s</w:t>
      </w:r>
      <w:r>
        <w:rPr>
          <w:rFonts w:asciiTheme="majorHAnsi" w:hAnsiTheme="majorHAnsi"/>
          <w:b w:val="0"/>
          <w:bCs w:val="0"/>
          <w:color w:val="000000" w:themeColor="text1"/>
          <w:sz w:val="30"/>
          <w:szCs w:val="30"/>
        </w:rPr>
        <w:t>a contribution à la croissance à 1,</w:t>
      </w:r>
      <w:r w:rsidR="00173AD1">
        <w:rPr>
          <w:rFonts w:asciiTheme="majorHAnsi" w:hAnsiTheme="majorHAnsi"/>
          <w:b w:val="0"/>
          <w:bCs w:val="0"/>
          <w:color w:val="000000" w:themeColor="text1"/>
          <w:sz w:val="30"/>
          <w:szCs w:val="30"/>
        </w:rPr>
        <w:t>6</w:t>
      </w:r>
      <w:r>
        <w:rPr>
          <w:rFonts w:asciiTheme="majorHAnsi" w:hAnsiTheme="majorHAnsi"/>
          <w:b w:val="0"/>
          <w:bCs w:val="0"/>
          <w:color w:val="000000" w:themeColor="text1"/>
          <w:sz w:val="30"/>
          <w:szCs w:val="30"/>
        </w:rPr>
        <w:t xml:space="preserve"> point en 2018</w:t>
      </w:r>
      <w:r w:rsidR="00BA2CD9">
        <w:rPr>
          <w:rFonts w:asciiTheme="majorHAnsi" w:hAnsiTheme="majorHAnsi"/>
          <w:b w:val="0"/>
          <w:bCs w:val="0"/>
          <w:color w:val="000000" w:themeColor="text1"/>
          <w:sz w:val="30"/>
          <w:szCs w:val="30"/>
        </w:rPr>
        <w:t xml:space="preserve">. </w:t>
      </w:r>
    </w:p>
    <w:p w:rsidR="009C7D66" w:rsidRPr="009722C2" w:rsidRDefault="00BA2CD9" w:rsidP="00173AD1">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Pr>
          <w:rFonts w:asciiTheme="majorHAnsi" w:hAnsiTheme="majorHAnsi"/>
          <w:b w:val="0"/>
          <w:bCs w:val="0"/>
          <w:color w:val="000000" w:themeColor="text1"/>
          <w:sz w:val="30"/>
          <w:szCs w:val="30"/>
        </w:rPr>
        <w:lastRenderedPageBreak/>
        <w:t>La</w:t>
      </w:r>
      <w:r w:rsidR="009C7D66" w:rsidRPr="009722C2">
        <w:rPr>
          <w:rFonts w:asciiTheme="majorHAnsi" w:hAnsiTheme="majorHAnsi"/>
          <w:b w:val="0"/>
          <w:bCs w:val="0"/>
          <w:color w:val="000000" w:themeColor="text1"/>
          <w:sz w:val="30"/>
          <w:szCs w:val="30"/>
        </w:rPr>
        <w:t xml:space="preserve"> variation des stocks</w:t>
      </w:r>
      <w:r w:rsidR="009C7D66">
        <w:rPr>
          <w:rFonts w:asciiTheme="majorHAnsi" w:hAnsiTheme="majorHAnsi"/>
          <w:b w:val="0"/>
          <w:bCs w:val="0"/>
          <w:color w:val="000000" w:themeColor="text1"/>
          <w:sz w:val="30"/>
          <w:szCs w:val="30"/>
        </w:rPr>
        <w:t>,</w:t>
      </w:r>
      <w:r w:rsidR="009C7D66" w:rsidRPr="009722C2">
        <w:rPr>
          <w:rFonts w:asciiTheme="majorHAnsi" w:hAnsiTheme="majorHAnsi"/>
          <w:b w:val="0"/>
          <w:bCs w:val="0"/>
          <w:color w:val="000000" w:themeColor="text1"/>
          <w:sz w:val="30"/>
          <w:szCs w:val="30"/>
        </w:rPr>
        <w:t xml:space="preserve"> </w:t>
      </w:r>
      <w:r>
        <w:rPr>
          <w:rFonts w:asciiTheme="majorHAnsi" w:hAnsiTheme="majorHAnsi"/>
          <w:b w:val="0"/>
          <w:bCs w:val="0"/>
          <w:color w:val="000000" w:themeColor="text1"/>
          <w:sz w:val="30"/>
          <w:szCs w:val="30"/>
        </w:rPr>
        <w:t>représentant</w:t>
      </w:r>
      <w:r w:rsidR="009C7D66">
        <w:rPr>
          <w:rFonts w:asciiTheme="majorHAnsi" w:hAnsiTheme="majorHAnsi"/>
          <w:b w:val="0"/>
          <w:bCs w:val="0"/>
          <w:color w:val="000000" w:themeColor="text1"/>
          <w:sz w:val="30"/>
          <w:szCs w:val="30"/>
        </w:rPr>
        <w:t xml:space="preserve"> 13% de l’investissement brut, </w:t>
      </w:r>
      <w:r w:rsidR="009C7D66" w:rsidRPr="009722C2">
        <w:rPr>
          <w:rFonts w:asciiTheme="majorHAnsi" w:hAnsiTheme="majorHAnsi"/>
          <w:b w:val="0"/>
          <w:bCs w:val="0"/>
          <w:color w:val="000000" w:themeColor="text1"/>
          <w:sz w:val="30"/>
          <w:szCs w:val="30"/>
        </w:rPr>
        <w:t>aurait affiché une contribution</w:t>
      </w:r>
      <w:r w:rsidR="009C7D66">
        <w:rPr>
          <w:rFonts w:asciiTheme="majorHAnsi" w:hAnsiTheme="majorHAnsi"/>
          <w:b w:val="0"/>
          <w:bCs w:val="0"/>
          <w:color w:val="000000" w:themeColor="text1"/>
          <w:sz w:val="30"/>
          <w:szCs w:val="30"/>
        </w:rPr>
        <w:t xml:space="preserve"> </w:t>
      </w:r>
      <w:r w:rsidR="009C7D66" w:rsidRPr="009722C2">
        <w:rPr>
          <w:rFonts w:asciiTheme="majorHAnsi" w:hAnsiTheme="majorHAnsi"/>
          <w:b w:val="0"/>
          <w:bCs w:val="0"/>
          <w:color w:val="000000" w:themeColor="text1"/>
          <w:sz w:val="30"/>
          <w:szCs w:val="30"/>
        </w:rPr>
        <w:t>de 0,</w:t>
      </w:r>
      <w:r w:rsidR="00173AD1">
        <w:rPr>
          <w:rFonts w:asciiTheme="majorHAnsi" w:hAnsiTheme="majorHAnsi"/>
          <w:b w:val="0"/>
          <w:bCs w:val="0"/>
          <w:color w:val="000000" w:themeColor="text1"/>
          <w:sz w:val="30"/>
          <w:szCs w:val="30"/>
        </w:rPr>
        <w:t>7</w:t>
      </w:r>
      <w:r w:rsidR="009C7D66" w:rsidRPr="009722C2">
        <w:rPr>
          <w:rFonts w:asciiTheme="majorHAnsi" w:hAnsiTheme="majorHAnsi"/>
          <w:b w:val="0"/>
          <w:bCs w:val="0"/>
          <w:color w:val="000000" w:themeColor="text1"/>
          <w:sz w:val="30"/>
          <w:szCs w:val="30"/>
        </w:rPr>
        <w:t xml:space="preserve"> point après 1,5 point en 2017</w:t>
      </w:r>
      <w:r w:rsidR="009C7D66">
        <w:rPr>
          <w:rFonts w:asciiTheme="majorHAnsi" w:hAnsiTheme="majorHAnsi"/>
          <w:b w:val="0"/>
          <w:bCs w:val="0"/>
          <w:color w:val="000000" w:themeColor="text1"/>
          <w:sz w:val="30"/>
          <w:szCs w:val="30"/>
        </w:rPr>
        <w:t>.</w:t>
      </w:r>
    </w:p>
    <w:p w:rsidR="00735B9F" w:rsidRPr="009722C2" w:rsidRDefault="00735B9F" w:rsidP="00011C31">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E754A6" w:rsidRDefault="009C7D66" w:rsidP="00173AD1">
      <w:pPr>
        <w:widowControl w:val="0"/>
        <w:autoSpaceDE w:val="0"/>
        <w:autoSpaceDN w:val="0"/>
        <w:adjustRightInd w:val="0"/>
        <w:ind w:left="-426" w:firstLine="709"/>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t xml:space="preserve">Au total, la </w:t>
      </w:r>
      <w:r w:rsidRPr="009722C2">
        <w:rPr>
          <w:rFonts w:asciiTheme="majorHAnsi" w:hAnsiTheme="majorHAnsi"/>
          <w:color w:val="000000" w:themeColor="text1"/>
          <w:sz w:val="30"/>
          <w:szCs w:val="30"/>
        </w:rPr>
        <w:t>demande intérieure</w:t>
      </w:r>
      <w:r w:rsidRPr="009722C2">
        <w:rPr>
          <w:rFonts w:asciiTheme="majorHAnsi" w:hAnsiTheme="majorHAnsi"/>
          <w:b w:val="0"/>
          <w:bCs w:val="0"/>
          <w:color w:val="000000" w:themeColor="text1"/>
          <w:sz w:val="30"/>
          <w:szCs w:val="30"/>
        </w:rPr>
        <w:t xml:space="preserve"> aurait augmenté de 3,</w:t>
      </w:r>
      <w:r w:rsidR="00173AD1">
        <w:rPr>
          <w:rFonts w:asciiTheme="majorHAnsi" w:hAnsiTheme="majorHAnsi"/>
          <w:b w:val="0"/>
          <w:bCs w:val="0"/>
          <w:color w:val="000000" w:themeColor="text1"/>
          <w:sz w:val="30"/>
          <w:szCs w:val="30"/>
        </w:rPr>
        <w:t>6</w:t>
      </w:r>
      <w:r w:rsidRPr="009722C2">
        <w:rPr>
          <w:rFonts w:asciiTheme="majorHAnsi" w:hAnsiTheme="majorHAnsi"/>
          <w:b w:val="0"/>
          <w:bCs w:val="0"/>
          <w:color w:val="000000" w:themeColor="text1"/>
          <w:sz w:val="30"/>
          <w:szCs w:val="30"/>
        </w:rPr>
        <w:t xml:space="preserve">% au lieu de 3,3%  en 2017. Sa contribution à la croissance se serait ainsi améliorée passant à </w:t>
      </w:r>
      <w:r w:rsidR="00173AD1">
        <w:rPr>
          <w:rFonts w:asciiTheme="majorHAnsi" w:hAnsiTheme="majorHAnsi"/>
          <w:b w:val="0"/>
          <w:bCs w:val="0"/>
          <w:color w:val="000000" w:themeColor="text1"/>
          <w:sz w:val="30"/>
          <w:szCs w:val="30"/>
        </w:rPr>
        <w:t>4</w:t>
      </w:r>
      <w:r w:rsidRPr="009722C2">
        <w:rPr>
          <w:rFonts w:asciiTheme="majorHAnsi" w:hAnsiTheme="majorHAnsi"/>
          <w:b w:val="0"/>
          <w:bCs w:val="0"/>
          <w:color w:val="000000" w:themeColor="text1"/>
          <w:sz w:val="30"/>
          <w:szCs w:val="30"/>
        </w:rPr>
        <w:t xml:space="preserve"> points, au lieu de 3,6 points en 2017</w:t>
      </w:r>
      <w:r w:rsidR="00E754A6">
        <w:rPr>
          <w:rFonts w:asciiTheme="majorHAnsi" w:hAnsiTheme="majorHAnsi"/>
          <w:b w:val="0"/>
          <w:bCs w:val="0"/>
          <w:color w:val="000000" w:themeColor="text1"/>
          <w:sz w:val="30"/>
          <w:szCs w:val="30"/>
        </w:rPr>
        <w:t>.</w:t>
      </w:r>
    </w:p>
    <w:p w:rsidR="00E754A6" w:rsidRDefault="00E754A6" w:rsidP="009C7D66">
      <w:pPr>
        <w:widowControl w:val="0"/>
        <w:autoSpaceDE w:val="0"/>
        <w:autoSpaceDN w:val="0"/>
        <w:adjustRightInd w:val="0"/>
        <w:ind w:left="-426" w:firstLine="709"/>
        <w:jc w:val="both"/>
        <w:rPr>
          <w:rFonts w:asciiTheme="majorHAnsi" w:hAnsiTheme="majorHAnsi"/>
          <w:b w:val="0"/>
          <w:bCs w:val="0"/>
          <w:color w:val="000000" w:themeColor="text1"/>
          <w:sz w:val="30"/>
          <w:szCs w:val="30"/>
        </w:rPr>
      </w:pPr>
    </w:p>
    <w:p w:rsidR="005958CD" w:rsidRPr="009722C2" w:rsidRDefault="00E754A6" w:rsidP="00173AD1">
      <w:pPr>
        <w:widowControl w:val="0"/>
        <w:autoSpaceDE w:val="0"/>
        <w:autoSpaceDN w:val="0"/>
        <w:adjustRightInd w:val="0"/>
        <w:ind w:left="-426" w:firstLine="709"/>
        <w:jc w:val="both"/>
        <w:rPr>
          <w:rFonts w:asciiTheme="majorHAnsi" w:hAnsiTheme="majorHAnsi"/>
          <w:b w:val="0"/>
          <w:bCs w:val="0"/>
          <w:color w:val="000000" w:themeColor="text1"/>
          <w:sz w:val="30"/>
          <w:szCs w:val="30"/>
        </w:rPr>
      </w:pPr>
      <w:r>
        <w:rPr>
          <w:rFonts w:asciiTheme="majorHAnsi" w:hAnsiTheme="majorHAnsi"/>
          <w:b w:val="0"/>
          <w:bCs w:val="0"/>
          <w:color w:val="000000" w:themeColor="text1"/>
          <w:sz w:val="30"/>
          <w:szCs w:val="30"/>
        </w:rPr>
        <w:t xml:space="preserve"> La croissance  économique nationale aurait été </w:t>
      </w:r>
      <w:r w:rsidR="009C7D66" w:rsidRPr="009722C2">
        <w:rPr>
          <w:rFonts w:asciiTheme="majorHAnsi" w:hAnsiTheme="majorHAnsi"/>
          <w:b w:val="0"/>
          <w:bCs w:val="0"/>
          <w:color w:val="000000" w:themeColor="text1"/>
          <w:sz w:val="30"/>
          <w:szCs w:val="30"/>
        </w:rPr>
        <w:t>atténuée</w:t>
      </w:r>
      <w:r w:rsidR="009C7D66">
        <w:rPr>
          <w:rFonts w:asciiTheme="majorHAnsi" w:hAnsiTheme="majorHAnsi"/>
          <w:b w:val="0"/>
          <w:bCs w:val="0"/>
          <w:color w:val="000000" w:themeColor="text1"/>
          <w:sz w:val="30"/>
          <w:szCs w:val="30"/>
        </w:rPr>
        <w:t>,</w:t>
      </w:r>
      <w:r w:rsidR="009C7D66" w:rsidRPr="009722C2">
        <w:rPr>
          <w:rFonts w:asciiTheme="majorHAnsi" w:hAnsiTheme="majorHAnsi"/>
          <w:b w:val="0"/>
          <w:bCs w:val="0"/>
          <w:color w:val="000000" w:themeColor="text1"/>
          <w:sz w:val="30"/>
          <w:szCs w:val="30"/>
        </w:rPr>
        <w:t xml:space="preserve"> toutefois</w:t>
      </w:r>
      <w:r w:rsidR="009C7D66">
        <w:rPr>
          <w:rFonts w:asciiTheme="majorHAnsi" w:hAnsiTheme="majorHAnsi"/>
          <w:b w:val="0"/>
          <w:bCs w:val="0"/>
          <w:color w:val="000000" w:themeColor="text1"/>
          <w:sz w:val="30"/>
          <w:szCs w:val="30"/>
        </w:rPr>
        <w:t>,</w:t>
      </w:r>
      <w:r w:rsidR="009C7D66" w:rsidRPr="009722C2">
        <w:rPr>
          <w:rFonts w:asciiTheme="majorHAnsi" w:hAnsiTheme="majorHAnsi"/>
          <w:b w:val="0"/>
          <w:bCs w:val="0"/>
          <w:color w:val="000000" w:themeColor="text1"/>
          <w:sz w:val="30"/>
          <w:szCs w:val="30"/>
        </w:rPr>
        <w:t xml:space="preserve"> par  la contribution négative </w:t>
      </w:r>
      <w:r w:rsidR="00904109">
        <w:rPr>
          <w:rFonts w:asciiTheme="majorHAnsi" w:hAnsiTheme="majorHAnsi"/>
          <w:b w:val="0"/>
          <w:bCs w:val="0"/>
          <w:color w:val="000000" w:themeColor="text1"/>
          <w:sz w:val="30"/>
          <w:szCs w:val="30"/>
        </w:rPr>
        <w:t>d’un</w:t>
      </w:r>
      <w:r w:rsidR="00904109" w:rsidRPr="009722C2">
        <w:rPr>
          <w:rFonts w:asciiTheme="majorHAnsi" w:hAnsiTheme="majorHAnsi"/>
          <w:b w:val="0"/>
          <w:bCs w:val="0"/>
          <w:color w:val="000000" w:themeColor="text1"/>
          <w:sz w:val="30"/>
          <w:szCs w:val="30"/>
        </w:rPr>
        <w:t xml:space="preserve"> point </w:t>
      </w:r>
      <w:r w:rsidR="009C7D66" w:rsidRPr="009722C2">
        <w:rPr>
          <w:rFonts w:asciiTheme="majorHAnsi" w:hAnsiTheme="majorHAnsi"/>
          <w:b w:val="0"/>
          <w:bCs w:val="0"/>
          <w:color w:val="000000" w:themeColor="text1"/>
          <w:sz w:val="30"/>
          <w:szCs w:val="30"/>
        </w:rPr>
        <w:t>de la demande extérieure nette</w:t>
      </w:r>
      <w:bookmarkEnd w:id="0"/>
      <w:bookmarkEnd w:id="1"/>
      <w:bookmarkEnd w:id="2"/>
      <w:r>
        <w:rPr>
          <w:rFonts w:asciiTheme="majorHAnsi" w:hAnsiTheme="majorHAnsi"/>
          <w:b w:val="0"/>
          <w:bCs w:val="0"/>
          <w:color w:val="000000" w:themeColor="text1"/>
          <w:sz w:val="30"/>
          <w:szCs w:val="30"/>
        </w:rPr>
        <w:t xml:space="preserve"> </w:t>
      </w:r>
      <w:r w:rsidR="005958CD" w:rsidRPr="009722C2">
        <w:rPr>
          <w:rFonts w:asciiTheme="majorHAnsi" w:hAnsiTheme="majorHAnsi"/>
          <w:b w:val="0"/>
          <w:bCs w:val="0"/>
          <w:color w:val="000000" w:themeColor="text1"/>
          <w:sz w:val="30"/>
          <w:szCs w:val="30"/>
        </w:rPr>
        <w:t>au lieu</w:t>
      </w:r>
      <w:r w:rsidR="005958CD">
        <w:rPr>
          <w:rFonts w:asciiTheme="majorHAnsi" w:hAnsiTheme="majorHAnsi"/>
          <w:b w:val="0"/>
          <w:bCs w:val="0"/>
          <w:color w:val="000000" w:themeColor="text1"/>
          <w:sz w:val="30"/>
          <w:szCs w:val="30"/>
        </w:rPr>
        <w:t xml:space="preserve"> d’une contribution positive de</w:t>
      </w:r>
      <w:r w:rsidR="005958CD" w:rsidRPr="009722C2">
        <w:rPr>
          <w:rFonts w:asciiTheme="majorHAnsi" w:hAnsiTheme="majorHAnsi"/>
          <w:b w:val="0"/>
          <w:bCs w:val="0"/>
          <w:color w:val="000000" w:themeColor="text1"/>
          <w:sz w:val="30"/>
          <w:szCs w:val="30"/>
        </w:rPr>
        <w:t xml:space="preserve"> 0,5 point en 2017.</w:t>
      </w:r>
      <w:r w:rsidR="005958CD">
        <w:rPr>
          <w:rFonts w:asciiTheme="majorHAnsi" w:hAnsiTheme="majorHAnsi"/>
          <w:b w:val="0"/>
          <w:bCs w:val="0"/>
          <w:color w:val="000000" w:themeColor="text1"/>
          <w:sz w:val="30"/>
          <w:szCs w:val="30"/>
        </w:rPr>
        <w:t xml:space="preserve"> L</w:t>
      </w:r>
      <w:r w:rsidR="005958CD" w:rsidRPr="009722C2">
        <w:rPr>
          <w:rFonts w:asciiTheme="majorHAnsi" w:hAnsiTheme="majorHAnsi"/>
          <w:b w:val="0"/>
          <w:bCs w:val="0"/>
          <w:color w:val="000000" w:themeColor="text1"/>
          <w:sz w:val="30"/>
          <w:szCs w:val="30"/>
        </w:rPr>
        <w:t xml:space="preserve">es exportations de biens et services </w:t>
      </w:r>
      <w:r w:rsidR="003F4D4A" w:rsidRPr="009722C2">
        <w:rPr>
          <w:rFonts w:asciiTheme="majorHAnsi" w:hAnsiTheme="majorHAnsi"/>
          <w:b w:val="0"/>
          <w:bCs w:val="0"/>
          <w:color w:val="000000" w:themeColor="text1"/>
          <w:sz w:val="30"/>
          <w:szCs w:val="30"/>
        </w:rPr>
        <w:t xml:space="preserve">en volume </w:t>
      </w:r>
      <w:r w:rsidR="005958CD" w:rsidRPr="009722C2">
        <w:rPr>
          <w:rFonts w:asciiTheme="majorHAnsi" w:hAnsiTheme="majorHAnsi"/>
          <w:b w:val="0"/>
          <w:bCs w:val="0"/>
          <w:color w:val="000000" w:themeColor="text1"/>
          <w:sz w:val="30"/>
          <w:szCs w:val="30"/>
        </w:rPr>
        <w:t>se seraient accrues de 4,9%, alors que les importations auraient connu une hausse de 6,</w:t>
      </w:r>
      <w:r w:rsidR="00173AD1">
        <w:rPr>
          <w:rFonts w:asciiTheme="majorHAnsi" w:hAnsiTheme="majorHAnsi"/>
          <w:b w:val="0"/>
          <w:bCs w:val="0"/>
          <w:color w:val="000000" w:themeColor="text1"/>
          <w:sz w:val="30"/>
          <w:szCs w:val="30"/>
        </w:rPr>
        <w:t>1</w:t>
      </w:r>
      <w:r w:rsidR="005958CD" w:rsidRPr="009722C2">
        <w:rPr>
          <w:rFonts w:asciiTheme="majorHAnsi" w:hAnsiTheme="majorHAnsi"/>
          <w:b w:val="0"/>
          <w:bCs w:val="0"/>
          <w:color w:val="000000" w:themeColor="text1"/>
          <w:sz w:val="30"/>
          <w:szCs w:val="30"/>
        </w:rPr>
        <w:t xml:space="preserve">%. </w:t>
      </w:r>
    </w:p>
    <w:p w:rsidR="00A91772" w:rsidRPr="009722C2" w:rsidRDefault="00A91772" w:rsidP="00A91772">
      <w:pPr>
        <w:pStyle w:val="Titre1"/>
        <w:tabs>
          <w:tab w:val="left" w:pos="426"/>
          <w:tab w:val="left" w:pos="709"/>
          <w:tab w:val="left" w:pos="993"/>
        </w:tabs>
        <w:spacing w:before="100" w:beforeAutospacing="1" w:after="100" w:afterAutospacing="1"/>
        <w:ind w:left="284"/>
        <w:contextualSpacing/>
        <w:rPr>
          <w:rFonts w:asciiTheme="majorHAnsi" w:hAnsiTheme="majorHAnsi"/>
          <w:color w:val="000000" w:themeColor="text1"/>
          <w:sz w:val="30"/>
          <w:szCs w:val="30"/>
        </w:rPr>
      </w:pPr>
      <w:r>
        <w:rPr>
          <w:rFonts w:asciiTheme="majorHAnsi" w:hAnsiTheme="majorHAnsi"/>
          <w:color w:val="000000" w:themeColor="text1"/>
          <w:sz w:val="30"/>
          <w:szCs w:val="30"/>
          <w:u w:val="single"/>
        </w:rPr>
        <w:t>A</w:t>
      </w:r>
      <w:r w:rsidRPr="009722C2">
        <w:rPr>
          <w:rFonts w:asciiTheme="majorHAnsi" w:hAnsiTheme="majorHAnsi"/>
          <w:color w:val="000000" w:themeColor="text1"/>
          <w:sz w:val="30"/>
          <w:szCs w:val="30"/>
          <w:u w:val="single"/>
        </w:rPr>
        <w:t xml:space="preserve">ccentuation </w:t>
      </w:r>
      <w:r>
        <w:rPr>
          <w:rFonts w:asciiTheme="majorHAnsi" w:hAnsiTheme="majorHAnsi"/>
          <w:color w:val="000000" w:themeColor="text1"/>
          <w:sz w:val="30"/>
          <w:szCs w:val="30"/>
          <w:u w:val="single"/>
        </w:rPr>
        <w:t>d</w:t>
      </w:r>
      <w:r w:rsidRPr="009722C2">
        <w:rPr>
          <w:rFonts w:asciiTheme="majorHAnsi" w:hAnsiTheme="majorHAnsi"/>
          <w:color w:val="000000" w:themeColor="text1"/>
          <w:sz w:val="30"/>
          <w:szCs w:val="30"/>
          <w:u w:val="single"/>
        </w:rPr>
        <w:t xml:space="preserve">es </w:t>
      </w:r>
      <w:r>
        <w:rPr>
          <w:rFonts w:asciiTheme="majorHAnsi" w:hAnsiTheme="majorHAnsi"/>
          <w:color w:val="000000" w:themeColor="text1"/>
          <w:sz w:val="30"/>
          <w:szCs w:val="30"/>
          <w:u w:val="single"/>
        </w:rPr>
        <w:t xml:space="preserve">besoins de financement de l’économie </w:t>
      </w:r>
    </w:p>
    <w:p w:rsidR="00A91772" w:rsidRPr="009722C2" w:rsidRDefault="00A91772" w:rsidP="00316C86">
      <w:pPr>
        <w:spacing w:before="100" w:beforeAutospacing="1" w:after="100" w:afterAutospacing="1"/>
        <w:ind w:left="-426" w:firstLine="425"/>
        <w:jc w:val="both"/>
        <w:rPr>
          <w:rFonts w:asciiTheme="majorHAnsi" w:hAnsiTheme="majorHAnsi"/>
          <w:b w:val="0"/>
          <w:bCs w:val="0"/>
          <w:color w:val="000000" w:themeColor="text1"/>
          <w:sz w:val="30"/>
          <w:szCs w:val="30"/>
        </w:rPr>
      </w:pPr>
      <w:r>
        <w:rPr>
          <w:rFonts w:asciiTheme="majorHAnsi" w:hAnsiTheme="majorHAnsi"/>
          <w:b w:val="0"/>
          <w:bCs w:val="0"/>
          <w:color w:val="000000" w:themeColor="text1"/>
          <w:sz w:val="30"/>
          <w:szCs w:val="30"/>
        </w:rPr>
        <w:t>A</w:t>
      </w:r>
      <w:r w:rsidRPr="009722C2">
        <w:rPr>
          <w:rFonts w:asciiTheme="majorHAnsi" w:hAnsiTheme="majorHAnsi"/>
          <w:b w:val="0"/>
          <w:bCs w:val="0"/>
          <w:color w:val="000000" w:themeColor="text1"/>
          <w:sz w:val="30"/>
          <w:szCs w:val="30"/>
        </w:rPr>
        <w:t xml:space="preserve">près </w:t>
      </w:r>
      <w:r>
        <w:rPr>
          <w:rFonts w:asciiTheme="majorHAnsi" w:hAnsiTheme="majorHAnsi"/>
          <w:b w:val="0"/>
          <w:bCs w:val="0"/>
          <w:color w:val="000000" w:themeColor="text1"/>
          <w:sz w:val="30"/>
          <w:szCs w:val="30"/>
        </w:rPr>
        <w:t xml:space="preserve">l’effort </w:t>
      </w:r>
      <w:r w:rsidRPr="009722C2">
        <w:rPr>
          <w:rFonts w:asciiTheme="majorHAnsi" w:hAnsiTheme="majorHAnsi"/>
          <w:b w:val="0"/>
          <w:bCs w:val="0"/>
          <w:color w:val="000000" w:themeColor="text1"/>
          <w:sz w:val="30"/>
          <w:szCs w:val="30"/>
        </w:rPr>
        <w:t xml:space="preserve">de rééquilibrage </w:t>
      </w:r>
      <w:r>
        <w:rPr>
          <w:rFonts w:asciiTheme="majorHAnsi" w:hAnsiTheme="majorHAnsi"/>
          <w:b w:val="0"/>
          <w:bCs w:val="0"/>
          <w:color w:val="000000" w:themeColor="text1"/>
          <w:sz w:val="30"/>
          <w:szCs w:val="30"/>
        </w:rPr>
        <w:t>allégeant l</w:t>
      </w:r>
      <w:r w:rsidRPr="009722C2">
        <w:rPr>
          <w:rFonts w:asciiTheme="majorHAnsi" w:hAnsiTheme="majorHAnsi"/>
          <w:b w:val="0"/>
          <w:bCs w:val="0"/>
          <w:color w:val="000000" w:themeColor="text1"/>
          <w:sz w:val="30"/>
          <w:szCs w:val="30"/>
        </w:rPr>
        <w:t xml:space="preserve">e déficit </w:t>
      </w:r>
      <w:r>
        <w:rPr>
          <w:rFonts w:asciiTheme="majorHAnsi" w:hAnsiTheme="majorHAnsi"/>
          <w:b w:val="0"/>
          <w:bCs w:val="0"/>
          <w:color w:val="000000" w:themeColor="text1"/>
          <w:sz w:val="30"/>
          <w:szCs w:val="30"/>
        </w:rPr>
        <w:t xml:space="preserve">budgétaire </w:t>
      </w:r>
      <w:r w:rsidRPr="009722C2">
        <w:rPr>
          <w:rFonts w:asciiTheme="majorHAnsi" w:hAnsiTheme="majorHAnsi"/>
          <w:b w:val="0"/>
          <w:bCs w:val="0"/>
          <w:color w:val="000000" w:themeColor="text1"/>
          <w:sz w:val="30"/>
          <w:szCs w:val="30"/>
        </w:rPr>
        <w:t>de 5,1% du PIB en 2013 à 3,6% en 2017</w:t>
      </w:r>
      <w:r>
        <w:rPr>
          <w:rFonts w:asciiTheme="majorHAnsi" w:hAnsiTheme="majorHAnsi"/>
          <w:b w:val="0"/>
          <w:bCs w:val="0"/>
          <w:color w:val="000000" w:themeColor="text1"/>
          <w:sz w:val="30"/>
          <w:szCs w:val="30"/>
        </w:rPr>
        <w:t xml:space="preserve">, </w:t>
      </w:r>
      <w:r w:rsidRPr="00DE7C66">
        <w:rPr>
          <w:rFonts w:asciiTheme="majorHAnsi" w:hAnsiTheme="majorHAnsi"/>
          <w:b w:val="0"/>
          <w:color w:val="000000" w:themeColor="text1"/>
          <w:sz w:val="30"/>
          <w:szCs w:val="30"/>
        </w:rPr>
        <w:t>celui-ci</w:t>
      </w:r>
      <w:r>
        <w:rPr>
          <w:rFonts w:asciiTheme="majorHAnsi" w:hAnsiTheme="majorHAnsi"/>
          <w:color w:val="000000" w:themeColor="text1"/>
          <w:sz w:val="30"/>
          <w:szCs w:val="30"/>
        </w:rPr>
        <w:t xml:space="preserve"> </w:t>
      </w:r>
      <w:r>
        <w:rPr>
          <w:rFonts w:asciiTheme="majorHAnsi" w:hAnsiTheme="majorHAnsi"/>
          <w:b w:val="0"/>
          <w:color w:val="000000" w:themeColor="text1"/>
          <w:sz w:val="30"/>
          <w:szCs w:val="30"/>
        </w:rPr>
        <w:t>aurai</w:t>
      </w:r>
      <w:r w:rsidRPr="00DE7C66">
        <w:rPr>
          <w:rFonts w:asciiTheme="majorHAnsi" w:hAnsiTheme="majorHAnsi"/>
          <w:b w:val="0"/>
          <w:color w:val="000000" w:themeColor="text1"/>
          <w:sz w:val="30"/>
          <w:szCs w:val="30"/>
        </w:rPr>
        <w:t>t</w:t>
      </w:r>
      <w:r>
        <w:rPr>
          <w:rFonts w:asciiTheme="majorHAnsi" w:hAnsiTheme="majorHAnsi"/>
          <w:color w:val="000000" w:themeColor="text1"/>
          <w:sz w:val="30"/>
          <w:szCs w:val="30"/>
        </w:rPr>
        <w:t xml:space="preserve"> </w:t>
      </w:r>
      <w:r>
        <w:rPr>
          <w:rFonts w:asciiTheme="majorHAnsi" w:hAnsiTheme="majorHAnsi"/>
          <w:b w:val="0"/>
          <w:bCs w:val="0"/>
          <w:color w:val="000000" w:themeColor="text1"/>
          <w:sz w:val="30"/>
          <w:szCs w:val="30"/>
        </w:rPr>
        <w:t>enregistré</w:t>
      </w:r>
      <w:r w:rsidRPr="009722C2">
        <w:rPr>
          <w:rFonts w:asciiTheme="majorHAnsi" w:hAnsiTheme="majorHAnsi"/>
          <w:b w:val="0"/>
          <w:bCs w:val="0"/>
          <w:color w:val="000000" w:themeColor="text1"/>
          <w:sz w:val="30"/>
          <w:szCs w:val="30"/>
        </w:rPr>
        <w:t xml:space="preserve"> un</w:t>
      </w:r>
      <w:r>
        <w:rPr>
          <w:rFonts w:asciiTheme="majorHAnsi" w:hAnsiTheme="majorHAnsi"/>
          <w:b w:val="0"/>
          <w:bCs w:val="0"/>
          <w:color w:val="000000" w:themeColor="text1"/>
          <w:sz w:val="30"/>
          <w:szCs w:val="30"/>
        </w:rPr>
        <w:t>e légère  hausse en 2018</w:t>
      </w:r>
      <w:r w:rsidRPr="009722C2">
        <w:rPr>
          <w:rFonts w:asciiTheme="majorHAnsi" w:hAnsiTheme="majorHAnsi"/>
          <w:b w:val="0"/>
          <w:bCs w:val="0"/>
          <w:color w:val="000000" w:themeColor="text1"/>
          <w:sz w:val="30"/>
          <w:szCs w:val="30"/>
        </w:rPr>
        <w:t>. Ce</w:t>
      </w:r>
      <w:r w:rsidR="00316C86">
        <w:rPr>
          <w:rFonts w:asciiTheme="majorHAnsi" w:hAnsiTheme="majorHAnsi"/>
          <w:b w:val="0"/>
          <w:bCs w:val="0"/>
          <w:color w:val="000000" w:themeColor="text1"/>
          <w:sz w:val="30"/>
          <w:szCs w:val="30"/>
        </w:rPr>
        <w:t xml:space="preserve"> </w:t>
      </w:r>
      <w:r>
        <w:rPr>
          <w:rFonts w:asciiTheme="majorHAnsi" w:hAnsiTheme="majorHAnsi"/>
          <w:b w:val="0"/>
          <w:bCs w:val="0"/>
          <w:color w:val="000000" w:themeColor="text1"/>
          <w:sz w:val="30"/>
          <w:szCs w:val="30"/>
        </w:rPr>
        <w:t xml:space="preserve">résultat </w:t>
      </w:r>
      <w:r w:rsidR="00316C86">
        <w:rPr>
          <w:rFonts w:asciiTheme="majorHAnsi" w:hAnsiTheme="majorHAnsi"/>
          <w:b w:val="0"/>
          <w:bCs w:val="0"/>
          <w:color w:val="000000" w:themeColor="text1"/>
          <w:sz w:val="30"/>
          <w:szCs w:val="30"/>
        </w:rPr>
        <w:t>s’explique par</w:t>
      </w:r>
      <w:r w:rsidR="00C6197C">
        <w:rPr>
          <w:rFonts w:asciiTheme="majorHAnsi" w:hAnsiTheme="majorHAnsi"/>
          <w:b w:val="0"/>
          <w:bCs w:val="0"/>
          <w:color w:val="000000" w:themeColor="text1"/>
          <w:sz w:val="30"/>
          <w:szCs w:val="30"/>
        </w:rPr>
        <w:t xml:space="preserve"> le</w:t>
      </w:r>
      <w:r w:rsidRPr="009722C2">
        <w:rPr>
          <w:rFonts w:asciiTheme="majorHAnsi" w:hAnsiTheme="majorHAnsi"/>
          <w:b w:val="0"/>
          <w:bCs w:val="0"/>
          <w:color w:val="000000" w:themeColor="text1"/>
          <w:sz w:val="30"/>
          <w:szCs w:val="30"/>
        </w:rPr>
        <w:t xml:space="preserve"> recul du rythme d’accroissement des recettes ordinaires</w:t>
      </w:r>
      <w:r>
        <w:rPr>
          <w:rFonts w:asciiTheme="majorHAnsi" w:hAnsiTheme="majorHAnsi"/>
          <w:b w:val="0"/>
          <w:bCs w:val="0"/>
          <w:color w:val="000000" w:themeColor="text1"/>
          <w:sz w:val="30"/>
          <w:szCs w:val="30"/>
        </w:rPr>
        <w:t>,</w:t>
      </w:r>
      <w:r w:rsidRPr="009722C2">
        <w:rPr>
          <w:rFonts w:asciiTheme="majorHAnsi" w:hAnsiTheme="majorHAnsi"/>
          <w:b w:val="0"/>
          <w:bCs w:val="0"/>
          <w:color w:val="000000" w:themeColor="text1"/>
          <w:sz w:val="30"/>
          <w:szCs w:val="30"/>
        </w:rPr>
        <w:t xml:space="preserve"> </w:t>
      </w:r>
      <w:r>
        <w:rPr>
          <w:rFonts w:asciiTheme="majorHAnsi" w:hAnsiTheme="majorHAnsi"/>
          <w:b w:val="0"/>
          <w:bCs w:val="0"/>
          <w:color w:val="000000" w:themeColor="text1"/>
          <w:sz w:val="30"/>
          <w:szCs w:val="30"/>
        </w:rPr>
        <w:t>conjugué</w:t>
      </w:r>
      <w:r w:rsidRPr="009722C2">
        <w:rPr>
          <w:rFonts w:asciiTheme="majorHAnsi" w:hAnsiTheme="majorHAnsi"/>
          <w:b w:val="0"/>
          <w:bCs w:val="0"/>
          <w:color w:val="000000" w:themeColor="text1"/>
          <w:sz w:val="30"/>
          <w:szCs w:val="30"/>
        </w:rPr>
        <w:t xml:space="preserve"> à </w:t>
      </w:r>
      <w:r>
        <w:rPr>
          <w:rFonts w:asciiTheme="majorHAnsi" w:hAnsiTheme="majorHAnsi"/>
          <w:b w:val="0"/>
          <w:bCs w:val="0"/>
          <w:color w:val="000000" w:themeColor="text1"/>
          <w:sz w:val="30"/>
          <w:szCs w:val="30"/>
        </w:rPr>
        <w:t>une</w:t>
      </w:r>
      <w:r w:rsidRPr="009722C2">
        <w:rPr>
          <w:rFonts w:asciiTheme="majorHAnsi" w:hAnsiTheme="majorHAnsi"/>
          <w:b w:val="0"/>
          <w:bCs w:val="0"/>
          <w:color w:val="000000" w:themeColor="text1"/>
          <w:sz w:val="30"/>
          <w:szCs w:val="30"/>
        </w:rPr>
        <w:t xml:space="preserve"> progression plus marquée des dépenses courantes notamment celles de la compensation et de la masse salariale. </w:t>
      </w:r>
    </w:p>
    <w:p w:rsidR="00A91772" w:rsidRPr="009722C2" w:rsidRDefault="00A91772" w:rsidP="00173AD1">
      <w:pPr>
        <w:spacing w:before="100" w:beforeAutospacing="1" w:after="100" w:afterAutospacing="1"/>
        <w:ind w:left="-426" w:firstLine="425"/>
        <w:jc w:val="both"/>
        <w:rPr>
          <w:rFonts w:asciiTheme="majorHAnsi" w:hAnsiTheme="majorHAnsi"/>
          <w:b w:val="0"/>
          <w:bCs w:val="0"/>
          <w:color w:val="000000" w:themeColor="text1"/>
          <w:sz w:val="30"/>
          <w:szCs w:val="30"/>
        </w:rPr>
      </w:pPr>
      <w:r>
        <w:rPr>
          <w:rFonts w:asciiTheme="majorHAnsi" w:hAnsiTheme="majorHAnsi"/>
          <w:b w:val="0"/>
          <w:bCs w:val="0"/>
          <w:color w:val="000000" w:themeColor="text1"/>
          <w:sz w:val="30"/>
          <w:szCs w:val="30"/>
        </w:rPr>
        <w:t>L</w:t>
      </w:r>
      <w:r w:rsidRPr="009722C2">
        <w:rPr>
          <w:rFonts w:asciiTheme="majorHAnsi" w:hAnsiTheme="majorHAnsi"/>
          <w:b w:val="0"/>
          <w:bCs w:val="0"/>
          <w:color w:val="000000" w:themeColor="text1"/>
          <w:sz w:val="30"/>
          <w:szCs w:val="30"/>
        </w:rPr>
        <w:t>es recettes ordinaires auraient été limitées à 20,</w:t>
      </w:r>
      <w:r w:rsidR="00173AD1">
        <w:rPr>
          <w:rFonts w:asciiTheme="majorHAnsi" w:hAnsiTheme="majorHAnsi"/>
          <w:b w:val="0"/>
          <w:bCs w:val="0"/>
          <w:color w:val="000000" w:themeColor="text1"/>
          <w:sz w:val="30"/>
          <w:szCs w:val="30"/>
        </w:rPr>
        <w:t>7</w:t>
      </w:r>
      <w:r w:rsidRPr="009722C2">
        <w:rPr>
          <w:rFonts w:asciiTheme="majorHAnsi" w:hAnsiTheme="majorHAnsi"/>
          <w:b w:val="0"/>
          <w:bCs w:val="0"/>
          <w:color w:val="000000" w:themeColor="text1"/>
          <w:sz w:val="30"/>
          <w:szCs w:val="30"/>
        </w:rPr>
        <w:t>% du PIB en 2018, au lieu d’une moyenne de 22% entre 2010 et 2017. Ceci aurait été le résultat essentiellement d’une légère hausse des recettes fiscales qui auraient atteint 18,</w:t>
      </w:r>
      <w:r w:rsidR="00173AD1">
        <w:rPr>
          <w:rFonts w:asciiTheme="majorHAnsi" w:hAnsiTheme="majorHAnsi"/>
          <w:b w:val="0"/>
          <w:bCs w:val="0"/>
          <w:color w:val="000000" w:themeColor="text1"/>
          <w:sz w:val="30"/>
          <w:szCs w:val="30"/>
        </w:rPr>
        <w:t>8</w:t>
      </w:r>
      <w:r w:rsidRPr="009722C2">
        <w:rPr>
          <w:rFonts w:asciiTheme="majorHAnsi" w:hAnsiTheme="majorHAnsi"/>
          <w:b w:val="0"/>
          <w:bCs w:val="0"/>
          <w:color w:val="000000" w:themeColor="text1"/>
          <w:sz w:val="30"/>
          <w:szCs w:val="30"/>
        </w:rPr>
        <w:t>% du PIB.  Quant  aux recettes non fiscales, elles  auraient continué d’évoluer sur une tendance baissière pour atteindre 1,6% du PIB en 2018 au lieu d'une moyenne de 2,</w:t>
      </w:r>
      <w:r w:rsidR="00173AD1">
        <w:rPr>
          <w:rFonts w:asciiTheme="majorHAnsi" w:hAnsiTheme="majorHAnsi"/>
          <w:b w:val="0"/>
          <w:bCs w:val="0"/>
          <w:color w:val="000000" w:themeColor="text1"/>
          <w:sz w:val="30"/>
          <w:szCs w:val="30"/>
        </w:rPr>
        <w:t>7</w:t>
      </w:r>
      <w:r w:rsidRPr="009722C2">
        <w:rPr>
          <w:rFonts w:asciiTheme="majorHAnsi" w:hAnsiTheme="majorHAnsi"/>
          <w:b w:val="0"/>
          <w:bCs w:val="0"/>
          <w:color w:val="000000" w:themeColor="text1"/>
          <w:sz w:val="30"/>
          <w:szCs w:val="30"/>
        </w:rPr>
        <w:t xml:space="preserve">% du PIB durant la période 2010-2017. La baisse des recettes non fiscales aurait été attribuable, notamment, au </w:t>
      </w:r>
      <w:r w:rsidR="00A963AE">
        <w:rPr>
          <w:rFonts w:asciiTheme="majorHAnsi" w:hAnsiTheme="majorHAnsi"/>
          <w:b w:val="0"/>
          <w:bCs w:val="0"/>
          <w:color w:val="000000" w:themeColor="text1"/>
          <w:sz w:val="30"/>
          <w:szCs w:val="30"/>
        </w:rPr>
        <w:t xml:space="preserve">recul </w:t>
      </w:r>
      <w:r w:rsidRPr="009722C2">
        <w:rPr>
          <w:rFonts w:asciiTheme="majorHAnsi" w:hAnsiTheme="majorHAnsi"/>
          <w:b w:val="0"/>
          <w:bCs w:val="0"/>
          <w:color w:val="000000" w:themeColor="text1"/>
          <w:sz w:val="30"/>
          <w:szCs w:val="30"/>
        </w:rPr>
        <w:t xml:space="preserve">des dons reçus des pays du </w:t>
      </w:r>
      <w:r w:rsidR="00FD4569">
        <w:rPr>
          <w:rFonts w:asciiTheme="majorHAnsi" w:hAnsiTheme="majorHAnsi"/>
          <w:b w:val="0"/>
          <w:bCs w:val="0"/>
          <w:color w:val="000000" w:themeColor="text1"/>
          <w:sz w:val="30"/>
          <w:szCs w:val="30"/>
        </w:rPr>
        <w:t>Conseil de Coopération du Golfe</w:t>
      </w:r>
      <w:r w:rsidR="00A963AE">
        <w:rPr>
          <w:rFonts w:asciiTheme="majorHAnsi" w:hAnsiTheme="majorHAnsi"/>
          <w:b w:val="0"/>
          <w:bCs w:val="0"/>
          <w:color w:val="000000" w:themeColor="text1"/>
          <w:sz w:val="30"/>
          <w:szCs w:val="30"/>
        </w:rPr>
        <w:t>.</w:t>
      </w:r>
      <w:r w:rsidRPr="009722C2">
        <w:rPr>
          <w:rFonts w:asciiTheme="majorHAnsi" w:hAnsiTheme="majorHAnsi"/>
          <w:b w:val="0"/>
          <w:bCs w:val="0"/>
          <w:color w:val="000000" w:themeColor="text1"/>
          <w:sz w:val="30"/>
          <w:szCs w:val="30"/>
        </w:rPr>
        <w:t xml:space="preserve"> </w:t>
      </w:r>
    </w:p>
    <w:p w:rsidR="00A91772" w:rsidRPr="009722C2" w:rsidRDefault="00A91772" w:rsidP="007D4A6D">
      <w:pPr>
        <w:spacing w:before="100" w:beforeAutospacing="1" w:after="100" w:afterAutospacing="1"/>
        <w:ind w:left="-426" w:firstLine="425"/>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t>Au niveau des dépenses courantes, le renchérissement en 2018 des cours des matières premières au niveau mondial</w:t>
      </w:r>
      <w:r>
        <w:rPr>
          <w:rFonts w:asciiTheme="majorHAnsi" w:hAnsiTheme="majorHAnsi"/>
          <w:b w:val="0"/>
          <w:bCs w:val="0"/>
          <w:color w:val="000000" w:themeColor="text1"/>
          <w:sz w:val="30"/>
          <w:szCs w:val="30"/>
        </w:rPr>
        <w:t>,</w:t>
      </w:r>
      <w:r w:rsidRPr="009722C2">
        <w:rPr>
          <w:rFonts w:asciiTheme="majorHAnsi" w:hAnsiTheme="majorHAnsi"/>
          <w:b w:val="0"/>
          <w:bCs w:val="0"/>
          <w:color w:val="000000" w:themeColor="text1"/>
          <w:sz w:val="30"/>
          <w:szCs w:val="30"/>
        </w:rPr>
        <w:t xml:space="preserve"> et notamment le gaz butane</w:t>
      </w:r>
      <w:r>
        <w:rPr>
          <w:rFonts w:asciiTheme="majorHAnsi" w:hAnsiTheme="majorHAnsi"/>
          <w:b w:val="0"/>
          <w:bCs w:val="0"/>
          <w:color w:val="000000" w:themeColor="text1"/>
          <w:sz w:val="30"/>
          <w:szCs w:val="30"/>
        </w:rPr>
        <w:t>,</w:t>
      </w:r>
      <w:r w:rsidRPr="009722C2">
        <w:rPr>
          <w:rFonts w:asciiTheme="majorHAnsi" w:hAnsiTheme="majorHAnsi"/>
          <w:b w:val="0"/>
          <w:bCs w:val="0"/>
          <w:color w:val="000000" w:themeColor="text1"/>
          <w:sz w:val="30"/>
          <w:szCs w:val="30"/>
        </w:rPr>
        <w:t xml:space="preserve"> aurait </w:t>
      </w:r>
      <w:r>
        <w:rPr>
          <w:rFonts w:asciiTheme="majorHAnsi" w:hAnsiTheme="majorHAnsi"/>
          <w:b w:val="0"/>
          <w:bCs w:val="0"/>
          <w:color w:val="000000" w:themeColor="text1"/>
          <w:sz w:val="30"/>
          <w:szCs w:val="30"/>
        </w:rPr>
        <w:t>induit</w:t>
      </w:r>
      <w:r w:rsidRPr="009722C2">
        <w:rPr>
          <w:rFonts w:asciiTheme="majorHAnsi" w:hAnsiTheme="majorHAnsi"/>
          <w:b w:val="0"/>
          <w:bCs w:val="0"/>
          <w:color w:val="000000" w:themeColor="text1"/>
          <w:sz w:val="30"/>
          <w:szCs w:val="30"/>
        </w:rPr>
        <w:t xml:space="preserve"> une hausse des dépenses de compensation </w:t>
      </w:r>
      <w:r>
        <w:rPr>
          <w:rFonts w:asciiTheme="majorHAnsi" w:hAnsiTheme="majorHAnsi"/>
          <w:b w:val="0"/>
          <w:bCs w:val="0"/>
          <w:color w:val="000000" w:themeColor="text1"/>
          <w:sz w:val="30"/>
          <w:szCs w:val="30"/>
        </w:rPr>
        <w:t>à</w:t>
      </w:r>
      <w:r w:rsidRPr="009722C2">
        <w:rPr>
          <w:rFonts w:asciiTheme="majorHAnsi" w:hAnsiTheme="majorHAnsi"/>
          <w:b w:val="0"/>
          <w:bCs w:val="0"/>
          <w:color w:val="000000" w:themeColor="text1"/>
          <w:sz w:val="30"/>
          <w:szCs w:val="30"/>
        </w:rPr>
        <w:t xml:space="preserve"> </w:t>
      </w:r>
      <w:r w:rsidR="00173AD1">
        <w:rPr>
          <w:rFonts w:asciiTheme="majorHAnsi" w:hAnsiTheme="majorHAnsi"/>
          <w:b w:val="0"/>
          <w:bCs w:val="0"/>
          <w:color w:val="000000" w:themeColor="text1"/>
          <w:sz w:val="30"/>
          <w:szCs w:val="30"/>
        </w:rPr>
        <w:t xml:space="preserve">près de </w:t>
      </w:r>
      <w:r w:rsidRPr="009722C2">
        <w:rPr>
          <w:rFonts w:asciiTheme="majorHAnsi" w:hAnsiTheme="majorHAnsi"/>
          <w:b w:val="0"/>
          <w:bCs w:val="0"/>
          <w:color w:val="000000" w:themeColor="text1"/>
          <w:sz w:val="30"/>
          <w:szCs w:val="30"/>
        </w:rPr>
        <w:t>17,</w:t>
      </w:r>
      <w:r w:rsidR="00173AD1">
        <w:rPr>
          <w:rFonts w:asciiTheme="majorHAnsi" w:hAnsiTheme="majorHAnsi"/>
          <w:b w:val="0"/>
          <w:bCs w:val="0"/>
          <w:color w:val="000000" w:themeColor="text1"/>
          <w:sz w:val="30"/>
          <w:szCs w:val="30"/>
        </w:rPr>
        <w:t>8</w:t>
      </w:r>
      <w:r w:rsidRPr="009722C2">
        <w:rPr>
          <w:rFonts w:asciiTheme="majorHAnsi" w:hAnsiTheme="majorHAnsi"/>
          <w:b w:val="0"/>
          <w:bCs w:val="0"/>
          <w:color w:val="000000" w:themeColor="text1"/>
          <w:sz w:val="30"/>
          <w:szCs w:val="30"/>
        </w:rPr>
        <w:t xml:space="preserve"> MMDH à fin 2018, en accroissement de près de 16% par rapport à leur niveau enregistré en 2017. Les dépenses de fonctionnement, </w:t>
      </w:r>
      <w:r w:rsidR="00C6197C">
        <w:rPr>
          <w:rFonts w:asciiTheme="majorHAnsi" w:hAnsiTheme="majorHAnsi"/>
          <w:b w:val="0"/>
          <w:bCs w:val="0"/>
          <w:color w:val="000000" w:themeColor="text1"/>
          <w:sz w:val="30"/>
          <w:szCs w:val="30"/>
        </w:rPr>
        <w:t>quoiqu’</w:t>
      </w:r>
      <w:r w:rsidR="00316C86">
        <w:rPr>
          <w:rFonts w:asciiTheme="majorHAnsi" w:hAnsiTheme="majorHAnsi"/>
          <w:b w:val="0"/>
          <w:bCs w:val="0"/>
          <w:color w:val="000000" w:themeColor="text1"/>
          <w:sz w:val="30"/>
          <w:szCs w:val="30"/>
        </w:rPr>
        <w:t xml:space="preserve">elles </w:t>
      </w:r>
      <w:r w:rsidRPr="009722C2">
        <w:rPr>
          <w:rFonts w:asciiTheme="majorHAnsi" w:hAnsiTheme="majorHAnsi"/>
          <w:b w:val="0"/>
          <w:bCs w:val="0"/>
          <w:color w:val="000000" w:themeColor="text1"/>
          <w:sz w:val="30"/>
          <w:szCs w:val="30"/>
        </w:rPr>
        <w:t xml:space="preserve">représentent près de 79,4% des dépenses courantes, auraient continué d’emprunter une tendance haussière, </w:t>
      </w:r>
      <w:r>
        <w:rPr>
          <w:rFonts w:asciiTheme="majorHAnsi" w:hAnsiTheme="majorHAnsi"/>
          <w:b w:val="0"/>
          <w:bCs w:val="0"/>
          <w:color w:val="000000" w:themeColor="text1"/>
          <w:sz w:val="30"/>
          <w:szCs w:val="30"/>
        </w:rPr>
        <w:t>pour se situer</w:t>
      </w:r>
      <w:r w:rsidRPr="009722C2">
        <w:rPr>
          <w:rFonts w:asciiTheme="majorHAnsi" w:hAnsiTheme="majorHAnsi"/>
          <w:b w:val="0"/>
          <w:bCs w:val="0"/>
          <w:color w:val="000000" w:themeColor="text1"/>
          <w:sz w:val="30"/>
          <w:szCs w:val="30"/>
        </w:rPr>
        <w:t xml:space="preserve"> à près de 15,</w:t>
      </w:r>
      <w:r w:rsidR="007D4A6D">
        <w:rPr>
          <w:rFonts w:asciiTheme="majorHAnsi" w:hAnsiTheme="majorHAnsi"/>
          <w:b w:val="0"/>
          <w:bCs w:val="0"/>
          <w:color w:val="000000" w:themeColor="text1"/>
          <w:sz w:val="30"/>
          <w:szCs w:val="30"/>
        </w:rPr>
        <w:t>2</w:t>
      </w:r>
      <w:r w:rsidRPr="009722C2">
        <w:rPr>
          <w:rFonts w:asciiTheme="majorHAnsi" w:hAnsiTheme="majorHAnsi"/>
          <w:b w:val="0"/>
          <w:bCs w:val="0"/>
          <w:color w:val="000000" w:themeColor="text1"/>
          <w:sz w:val="30"/>
          <w:szCs w:val="30"/>
        </w:rPr>
        <w:t xml:space="preserve">% du PIB en 2018. </w:t>
      </w:r>
    </w:p>
    <w:p w:rsidR="00A91772" w:rsidRPr="009722C2" w:rsidRDefault="00A91772" w:rsidP="007D4A6D">
      <w:pPr>
        <w:spacing w:before="100" w:beforeAutospacing="1" w:after="100" w:afterAutospacing="1"/>
        <w:ind w:left="-426" w:firstLine="425"/>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lastRenderedPageBreak/>
        <w:t xml:space="preserve">En </w:t>
      </w:r>
      <w:r>
        <w:rPr>
          <w:rFonts w:asciiTheme="majorHAnsi" w:hAnsiTheme="majorHAnsi"/>
          <w:b w:val="0"/>
          <w:bCs w:val="0"/>
          <w:color w:val="000000" w:themeColor="text1"/>
          <w:sz w:val="30"/>
          <w:szCs w:val="30"/>
        </w:rPr>
        <w:t>prenant en considération</w:t>
      </w:r>
      <w:r w:rsidRPr="009722C2">
        <w:rPr>
          <w:rFonts w:asciiTheme="majorHAnsi" w:hAnsiTheme="majorHAnsi"/>
          <w:b w:val="0"/>
          <w:bCs w:val="0"/>
          <w:color w:val="000000" w:themeColor="text1"/>
          <w:sz w:val="30"/>
          <w:szCs w:val="30"/>
        </w:rPr>
        <w:t xml:space="preserve"> </w:t>
      </w:r>
      <w:r>
        <w:rPr>
          <w:rFonts w:asciiTheme="majorHAnsi" w:hAnsiTheme="majorHAnsi"/>
          <w:b w:val="0"/>
          <w:bCs w:val="0"/>
          <w:color w:val="000000" w:themeColor="text1"/>
          <w:sz w:val="30"/>
          <w:szCs w:val="30"/>
        </w:rPr>
        <w:t>les</w:t>
      </w:r>
      <w:r w:rsidRPr="009722C2">
        <w:rPr>
          <w:rFonts w:asciiTheme="majorHAnsi" w:hAnsiTheme="majorHAnsi"/>
          <w:b w:val="0"/>
          <w:bCs w:val="0"/>
          <w:color w:val="000000" w:themeColor="text1"/>
          <w:sz w:val="30"/>
          <w:szCs w:val="30"/>
        </w:rPr>
        <w:t xml:space="preserve"> dépenses </w:t>
      </w:r>
      <w:r>
        <w:rPr>
          <w:rFonts w:asciiTheme="majorHAnsi" w:hAnsiTheme="majorHAnsi"/>
          <w:b w:val="0"/>
          <w:bCs w:val="0"/>
          <w:color w:val="000000" w:themeColor="text1"/>
          <w:sz w:val="30"/>
          <w:szCs w:val="30"/>
        </w:rPr>
        <w:t xml:space="preserve">budgétaires </w:t>
      </w:r>
      <w:r w:rsidRPr="009722C2">
        <w:rPr>
          <w:rFonts w:asciiTheme="majorHAnsi" w:hAnsiTheme="majorHAnsi"/>
          <w:b w:val="0"/>
          <w:bCs w:val="0"/>
          <w:color w:val="000000" w:themeColor="text1"/>
          <w:sz w:val="30"/>
          <w:szCs w:val="30"/>
        </w:rPr>
        <w:t xml:space="preserve">d’investissement </w:t>
      </w:r>
      <w:r>
        <w:rPr>
          <w:rFonts w:asciiTheme="majorHAnsi" w:hAnsiTheme="majorHAnsi"/>
          <w:b w:val="0"/>
          <w:bCs w:val="0"/>
          <w:color w:val="000000" w:themeColor="text1"/>
          <w:sz w:val="30"/>
          <w:szCs w:val="30"/>
        </w:rPr>
        <w:t>qui auraient représenté</w:t>
      </w:r>
      <w:r w:rsidRPr="009722C2">
        <w:rPr>
          <w:rFonts w:asciiTheme="majorHAnsi" w:hAnsiTheme="majorHAnsi"/>
          <w:b w:val="0"/>
          <w:bCs w:val="0"/>
          <w:color w:val="000000" w:themeColor="text1"/>
          <w:sz w:val="30"/>
          <w:szCs w:val="30"/>
        </w:rPr>
        <w:t xml:space="preserve"> </w:t>
      </w:r>
      <w:r w:rsidR="007D4A6D">
        <w:rPr>
          <w:rFonts w:asciiTheme="majorHAnsi" w:hAnsiTheme="majorHAnsi"/>
          <w:b w:val="0"/>
          <w:bCs w:val="0"/>
          <w:color w:val="000000" w:themeColor="text1"/>
          <w:sz w:val="30"/>
          <w:szCs w:val="30"/>
        </w:rPr>
        <w:t>5</w:t>
      </w:r>
      <w:r w:rsidRPr="009722C2">
        <w:rPr>
          <w:rFonts w:asciiTheme="majorHAnsi" w:hAnsiTheme="majorHAnsi"/>
          <w:b w:val="0"/>
          <w:bCs w:val="0"/>
          <w:color w:val="000000" w:themeColor="text1"/>
          <w:sz w:val="30"/>
          <w:szCs w:val="30"/>
        </w:rPr>
        <w:t>,</w:t>
      </w:r>
      <w:r w:rsidR="007D4A6D">
        <w:rPr>
          <w:rFonts w:asciiTheme="majorHAnsi" w:hAnsiTheme="majorHAnsi"/>
          <w:b w:val="0"/>
          <w:bCs w:val="0"/>
          <w:color w:val="000000" w:themeColor="text1"/>
          <w:sz w:val="30"/>
          <w:szCs w:val="30"/>
        </w:rPr>
        <w:t>7</w:t>
      </w:r>
      <w:r w:rsidRPr="009722C2">
        <w:rPr>
          <w:rFonts w:asciiTheme="majorHAnsi" w:hAnsiTheme="majorHAnsi"/>
          <w:b w:val="0"/>
          <w:bCs w:val="0"/>
          <w:color w:val="000000" w:themeColor="text1"/>
          <w:sz w:val="30"/>
          <w:szCs w:val="30"/>
        </w:rPr>
        <w:t xml:space="preserve">% du PIB, </w:t>
      </w:r>
      <w:r w:rsidRPr="009722C2">
        <w:rPr>
          <w:rFonts w:asciiTheme="majorHAnsi" w:hAnsiTheme="majorHAnsi"/>
          <w:color w:val="000000" w:themeColor="text1"/>
          <w:sz w:val="30"/>
          <w:szCs w:val="30"/>
        </w:rPr>
        <w:t>le déficit budgétaire</w:t>
      </w:r>
      <w:r w:rsidRPr="009722C2">
        <w:rPr>
          <w:rFonts w:asciiTheme="majorHAnsi" w:hAnsiTheme="majorHAnsi"/>
          <w:b w:val="0"/>
          <w:bCs w:val="0"/>
          <w:color w:val="000000" w:themeColor="text1"/>
          <w:sz w:val="30"/>
          <w:szCs w:val="30"/>
        </w:rPr>
        <w:t xml:space="preserve"> aurait connu en 2018 un creusement pour atteindre 3,9% du PIB en 2018, après 3,6% en 2017. </w:t>
      </w:r>
    </w:p>
    <w:p w:rsidR="00A91772" w:rsidRPr="009722C2" w:rsidRDefault="00A91772" w:rsidP="00C6197C">
      <w:pPr>
        <w:spacing w:before="100" w:beforeAutospacing="1" w:after="100" w:afterAutospacing="1"/>
        <w:ind w:left="-426" w:firstLine="425"/>
        <w:jc w:val="both"/>
        <w:rPr>
          <w:rFonts w:asciiTheme="majorHAnsi" w:hAnsiTheme="majorHAnsi"/>
          <w:b w:val="0"/>
          <w:bCs w:val="0"/>
          <w:color w:val="000000" w:themeColor="text1"/>
          <w:sz w:val="30"/>
          <w:szCs w:val="30"/>
        </w:rPr>
      </w:pPr>
      <w:r>
        <w:rPr>
          <w:rFonts w:asciiTheme="majorHAnsi" w:hAnsiTheme="majorHAnsi"/>
          <w:b w:val="0"/>
          <w:bCs w:val="0"/>
          <w:color w:val="000000" w:themeColor="text1"/>
          <w:sz w:val="30"/>
          <w:szCs w:val="30"/>
        </w:rPr>
        <w:t>Le recours de</w:t>
      </w:r>
      <w:r w:rsidRPr="009722C2">
        <w:rPr>
          <w:rFonts w:asciiTheme="majorHAnsi" w:hAnsiTheme="majorHAnsi"/>
          <w:b w:val="0"/>
          <w:bCs w:val="0"/>
          <w:color w:val="000000" w:themeColor="text1"/>
          <w:sz w:val="30"/>
          <w:szCs w:val="30"/>
        </w:rPr>
        <w:t xml:space="preserve"> l’Etat </w:t>
      </w:r>
      <w:r>
        <w:rPr>
          <w:rFonts w:asciiTheme="majorHAnsi" w:hAnsiTheme="majorHAnsi"/>
          <w:b w:val="0"/>
          <w:bCs w:val="0"/>
          <w:color w:val="000000" w:themeColor="text1"/>
          <w:sz w:val="30"/>
          <w:szCs w:val="30"/>
        </w:rPr>
        <w:t>aux emprunts, pour couvrir son besoin de financement, aurait induit une hausse de</w:t>
      </w:r>
      <w:r w:rsidRPr="009722C2">
        <w:rPr>
          <w:rFonts w:asciiTheme="majorHAnsi" w:hAnsiTheme="majorHAnsi"/>
          <w:b w:val="0"/>
          <w:bCs w:val="0"/>
          <w:color w:val="000000" w:themeColor="text1"/>
          <w:sz w:val="30"/>
          <w:szCs w:val="30"/>
        </w:rPr>
        <w:t xml:space="preserve"> la dette du trésor </w:t>
      </w:r>
      <w:r w:rsidR="00316C86">
        <w:rPr>
          <w:rFonts w:asciiTheme="majorHAnsi" w:hAnsiTheme="majorHAnsi"/>
          <w:b w:val="0"/>
          <w:bCs w:val="0"/>
          <w:color w:val="000000" w:themeColor="text1"/>
          <w:sz w:val="30"/>
          <w:szCs w:val="30"/>
        </w:rPr>
        <w:t>à</w:t>
      </w:r>
      <w:r w:rsidRPr="009722C2">
        <w:rPr>
          <w:rFonts w:asciiTheme="majorHAnsi" w:hAnsiTheme="majorHAnsi"/>
          <w:b w:val="0"/>
          <w:bCs w:val="0"/>
          <w:color w:val="000000" w:themeColor="text1"/>
          <w:sz w:val="30"/>
          <w:szCs w:val="30"/>
        </w:rPr>
        <w:t xml:space="preserve"> 6</w:t>
      </w:r>
      <w:r>
        <w:rPr>
          <w:rFonts w:asciiTheme="majorHAnsi" w:hAnsiTheme="majorHAnsi"/>
          <w:b w:val="0"/>
          <w:bCs w:val="0"/>
          <w:color w:val="000000" w:themeColor="text1"/>
          <w:sz w:val="30"/>
          <w:szCs w:val="30"/>
        </w:rPr>
        <w:t>5,8</w:t>
      </w:r>
      <w:r w:rsidRPr="009722C2">
        <w:rPr>
          <w:rFonts w:asciiTheme="majorHAnsi" w:hAnsiTheme="majorHAnsi"/>
          <w:b w:val="0"/>
          <w:bCs w:val="0"/>
          <w:color w:val="000000" w:themeColor="text1"/>
          <w:sz w:val="30"/>
          <w:szCs w:val="30"/>
        </w:rPr>
        <w:t>% du PIB au lieu de 65,1% en 2017 et d’une moyenne de 59,1% du PIB entre 2010</w:t>
      </w:r>
      <w:r w:rsidR="00C6197C">
        <w:rPr>
          <w:rFonts w:asciiTheme="majorHAnsi" w:hAnsiTheme="majorHAnsi"/>
          <w:b w:val="0"/>
          <w:bCs w:val="0"/>
          <w:color w:val="000000" w:themeColor="text1"/>
          <w:sz w:val="30"/>
          <w:szCs w:val="30"/>
        </w:rPr>
        <w:t xml:space="preserve"> et </w:t>
      </w:r>
      <w:r w:rsidRPr="009722C2">
        <w:rPr>
          <w:rFonts w:asciiTheme="majorHAnsi" w:hAnsiTheme="majorHAnsi"/>
          <w:b w:val="0"/>
          <w:bCs w:val="0"/>
          <w:color w:val="000000" w:themeColor="text1"/>
          <w:sz w:val="30"/>
          <w:szCs w:val="30"/>
        </w:rPr>
        <w:t xml:space="preserve">2016. </w:t>
      </w:r>
      <w:r>
        <w:rPr>
          <w:rFonts w:asciiTheme="majorHAnsi" w:hAnsiTheme="majorHAnsi"/>
          <w:b w:val="0"/>
          <w:bCs w:val="0"/>
          <w:color w:val="000000" w:themeColor="text1"/>
          <w:sz w:val="30"/>
          <w:szCs w:val="30"/>
        </w:rPr>
        <w:t>La</w:t>
      </w:r>
      <w:r w:rsidRPr="009722C2">
        <w:rPr>
          <w:rFonts w:asciiTheme="majorHAnsi" w:hAnsiTheme="majorHAnsi"/>
          <w:b w:val="0"/>
          <w:bCs w:val="0"/>
          <w:color w:val="000000" w:themeColor="text1"/>
          <w:sz w:val="30"/>
          <w:szCs w:val="30"/>
        </w:rPr>
        <w:t xml:space="preserve"> dette </w:t>
      </w:r>
      <w:r>
        <w:rPr>
          <w:rFonts w:asciiTheme="majorHAnsi" w:hAnsiTheme="majorHAnsi"/>
          <w:b w:val="0"/>
          <w:bCs w:val="0"/>
          <w:color w:val="000000" w:themeColor="text1"/>
          <w:sz w:val="30"/>
          <w:szCs w:val="30"/>
        </w:rPr>
        <w:t>intérieure</w:t>
      </w:r>
      <w:r w:rsidRPr="009722C2">
        <w:rPr>
          <w:rFonts w:asciiTheme="majorHAnsi" w:hAnsiTheme="majorHAnsi"/>
          <w:b w:val="0"/>
          <w:bCs w:val="0"/>
          <w:color w:val="000000" w:themeColor="text1"/>
          <w:sz w:val="30"/>
          <w:szCs w:val="30"/>
        </w:rPr>
        <w:t xml:space="preserve"> </w:t>
      </w:r>
      <w:r w:rsidR="007D4A6D">
        <w:rPr>
          <w:rFonts w:asciiTheme="majorHAnsi" w:hAnsiTheme="majorHAnsi"/>
          <w:b w:val="0"/>
          <w:bCs w:val="0"/>
          <w:color w:val="000000" w:themeColor="text1"/>
          <w:sz w:val="30"/>
          <w:szCs w:val="30"/>
        </w:rPr>
        <w:t xml:space="preserve">du trésor </w:t>
      </w:r>
      <w:r w:rsidRPr="009722C2">
        <w:rPr>
          <w:rFonts w:asciiTheme="majorHAnsi" w:hAnsiTheme="majorHAnsi"/>
          <w:b w:val="0"/>
          <w:bCs w:val="0"/>
          <w:color w:val="000000" w:themeColor="text1"/>
          <w:sz w:val="30"/>
          <w:szCs w:val="30"/>
        </w:rPr>
        <w:t xml:space="preserve">aurait </w:t>
      </w:r>
      <w:r>
        <w:rPr>
          <w:rFonts w:asciiTheme="majorHAnsi" w:hAnsiTheme="majorHAnsi"/>
          <w:b w:val="0"/>
          <w:bCs w:val="0"/>
          <w:color w:val="000000" w:themeColor="text1"/>
          <w:sz w:val="30"/>
          <w:szCs w:val="30"/>
        </w:rPr>
        <w:t>atteint</w:t>
      </w:r>
      <w:r w:rsidRPr="009722C2">
        <w:rPr>
          <w:rFonts w:asciiTheme="majorHAnsi" w:hAnsiTheme="majorHAnsi"/>
          <w:b w:val="0"/>
          <w:bCs w:val="0"/>
          <w:color w:val="000000" w:themeColor="text1"/>
          <w:sz w:val="30"/>
          <w:szCs w:val="30"/>
        </w:rPr>
        <w:t xml:space="preserve"> 52,</w:t>
      </w:r>
      <w:r w:rsidR="005C4406">
        <w:rPr>
          <w:rFonts w:asciiTheme="majorHAnsi" w:hAnsiTheme="majorHAnsi"/>
          <w:b w:val="0"/>
          <w:bCs w:val="0"/>
          <w:color w:val="000000" w:themeColor="text1"/>
          <w:sz w:val="30"/>
          <w:szCs w:val="30"/>
        </w:rPr>
        <w:t>6</w:t>
      </w:r>
      <w:r w:rsidRPr="009722C2">
        <w:rPr>
          <w:rFonts w:asciiTheme="majorHAnsi" w:hAnsiTheme="majorHAnsi"/>
          <w:b w:val="0"/>
          <w:bCs w:val="0"/>
          <w:color w:val="000000" w:themeColor="text1"/>
          <w:sz w:val="30"/>
          <w:szCs w:val="30"/>
        </w:rPr>
        <w:t>% du PIB contre 50,7% en 2017, alors que la dette extérieure aurait reculé pour se situer à 13,</w:t>
      </w:r>
      <w:r w:rsidR="005C4406">
        <w:rPr>
          <w:rFonts w:asciiTheme="majorHAnsi" w:hAnsiTheme="majorHAnsi"/>
          <w:b w:val="0"/>
          <w:bCs w:val="0"/>
          <w:color w:val="000000" w:themeColor="text1"/>
          <w:sz w:val="30"/>
          <w:szCs w:val="30"/>
        </w:rPr>
        <w:t>1</w:t>
      </w:r>
      <w:r w:rsidRPr="009722C2">
        <w:rPr>
          <w:rFonts w:asciiTheme="majorHAnsi" w:hAnsiTheme="majorHAnsi"/>
          <w:b w:val="0"/>
          <w:bCs w:val="0"/>
          <w:color w:val="000000" w:themeColor="text1"/>
          <w:sz w:val="30"/>
          <w:szCs w:val="30"/>
        </w:rPr>
        <w:t>% du PIB au lieu de 14,4% en 2017.</w:t>
      </w:r>
    </w:p>
    <w:p w:rsidR="00A91772" w:rsidRPr="009722C2" w:rsidRDefault="00A91772" w:rsidP="00C6197C">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Pr>
          <w:rFonts w:asciiTheme="majorHAnsi" w:hAnsiTheme="majorHAnsi"/>
          <w:b w:val="0"/>
          <w:bCs w:val="0"/>
          <w:color w:val="000000" w:themeColor="text1"/>
          <w:sz w:val="30"/>
          <w:szCs w:val="30"/>
        </w:rPr>
        <w:t>Par ailleurs, l</w:t>
      </w:r>
      <w:r w:rsidRPr="009722C2">
        <w:rPr>
          <w:rFonts w:asciiTheme="majorHAnsi" w:hAnsiTheme="majorHAnsi"/>
          <w:b w:val="0"/>
          <w:bCs w:val="0"/>
          <w:color w:val="000000" w:themeColor="text1"/>
          <w:sz w:val="30"/>
          <w:szCs w:val="30"/>
        </w:rPr>
        <w:t xml:space="preserve">a dette </w:t>
      </w:r>
      <w:r w:rsidRPr="009722C2">
        <w:rPr>
          <w:rFonts w:asciiTheme="majorHAnsi" w:hAnsiTheme="majorHAnsi"/>
          <w:color w:val="000000" w:themeColor="text1"/>
          <w:sz w:val="30"/>
          <w:szCs w:val="30"/>
        </w:rPr>
        <w:t>extérieure des établissements et entreprises publiques</w:t>
      </w:r>
      <w:r w:rsidRPr="009722C2">
        <w:rPr>
          <w:rFonts w:asciiTheme="majorHAnsi" w:hAnsiTheme="majorHAnsi"/>
          <w:b w:val="0"/>
          <w:bCs w:val="0"/>
          <w:color w:val="000000" w:themeColor="text1"/>
          <w:sz w:val="30"/>
          <w:szCs w:val="30"/>
        </w:rPr>
        <w:t xml:space="preserve"> </w:t>
      </w:r>
      <w:r>
        <w:rPr>
          <w:rFonts w:asciiTheme="majorHAnsi" w:hAnsiTheme="majorHAnsi"/>
          <w:b w:val="0"/>
          <w:bCs w:val="0"/>
          <w:color w:val="000000" w:themeColor="text1"/>
          <w:sz w:val="30"/>
          <w:szCs w:val="30"/>
        </w:rPr>
        <w:t>garantie</w:t>
      </w:r>
      <w:r w:rsidRPr="009722C2">
        <w:rPr>
          <w:rFonts w:asciiTheme="majorHAnsi" w:hAnsiTheme="majorHAnsi"/>
          <w:b w:val="0"/>
          <w:bCs w:val="0"/>
          <w:color w:val="000000" w:themeColor="text1"/>
          <w:sz w:val="30"/>
          <w:szCs w:val="30"/>
        </w:rPr>
        <w:t xml:space="preserve"> par l’Etat aurait atteint près de 16,</w:t>
      </w:r>
      <w:r w:rsidR="005C4406">
        <w:rPr>
          <w:rFonts w:asciiTheme="majorHAnsi" w:hAnsiTheme="majorHAnsi"/>
          <w:b w:val="0"/>
          <w:bCs w:val="0"/>
          <w:color w:val="000000" w:themeColor="text1"/>
          <w:sz w:val="30"/>
          <w:szCs w:val="30"/>
        </w:rPr>
        <w:t>4</w:t>
      </w:r>
      <w:r w:rsidRPr="009722C2">
        <w:rPr>
          <w:rFonts w:asciiTheme="majorHAnsi" w:hAnsiTheme="majorHAnsi"/>
          <w:b w:val="0"/>
          <w:bCs w:val="0"/>
          <w:color w:val="000000" w:themeColor="text1"/>
          <w:sz w:val="30"/>
          <w:szCs w:val="30"/>
        </w:rPr>
        <w:t>% du PIB en 2018 au lieu de 13,6% entre 2010</w:t>
      </w:r>
      <w:r w:rsidR="00C6197C">
        <w:rPr>
          <w:rFonts w:asciiTheme="majorHAnsi" w:hAnsiTheme="majorHAnsi"/>
          <w:b w:val="0"/>
          <w:bCs w:val="0"/>
          <w:color w:val="000000" w:themeColor="text1"/>
          <w:sz w:val="30"/>
          <w:szCs w:val="30"/>
        </w:rPr>
        <w:t xml:space="preserve"> et </w:t>
      </w:r>
      <w:r w:rsidRPr="009722C2">
        <w:rPr>
          <w:rFonts w:asciiTheme="majorHAnsi" w:hAnsiTheme="majorHAnsi"/>
          <w:b w:val="0"/>
          <w:bCs w:val="0"/>
          <w:color w:val="000000" w:themeColor="text1"/>
          <w:sz w:val="30"/>
          <w:szCs w:val="30"/>
        </w:rPr>
        <w:t xml:space="preserve">2017, dépassant largement, depuis l’année 2015, la dette extérieure du trésor. Dans ces conditions, </w:t>
      </w:r>
      <w:r w:rsidRPr="009722C2">
        <w:rPr>
          <w:rFonts w:asciiTheme="majorHAnsi" w:hAnsiTheme="majorHAnsi"/>
          <w:color w:val="000000" w:themeColor="text1"/>
          <w:sz w:val="30"/>
          <w:szCs w:val="30"/>
        </w:rPr>
        <w:t>le taux d’endettement public global</w:t>
      </w:r>
      <w:r w:rsidRPr="009722C2">
        <w:rPr>
          <w:rFonts w:asciiTheme="majorHAnsi" w:hAnsiTheme="majorHAnsi"/>
          <w:b w:val="0"/>
          <w:bCs w:val="0"/>
          <w:color w:val="000000" w:themeColor="text1"/>
          <w:sz w:val="30"/>
          <w:szCs w:val="30"/>
        </w:rPr>
        <w:t xml:space="preserve"> aurait atteint 82,</w:t>
      </w:r>
      <w:r w:rsidR="007D4A6D">
        <w:rPr>
          <w:rFonts w:asciiTheme="majorHAnsi" w:hAnsiTheme="majorHAnsi"/>
          <w:b w:val="0"/>
          <w:bCs w:val="0"/>
          <w:color w:val="000000" w:themeColor="text1"/>
          <w:sz w:val="30"/>
          <w:szCs w:val="30"/>
        </w:rPr>
        <w:t>2</w:t>
      </w:r>
      <w:r w:rsidRPr="009722C2">
        <w:rPr>
          <w:rFonts w:asciiTheme="majorHAnsi" w:hAnsiTheme="majorHAnsi"/>
          <w:b w:val="0"/>
          <w:bCs w:val="0"/>
          <w:color w:val="000000" w:themeColor="text1"/>
          <w:sz w:val="30"/>
          <w:szCs w:val="30"/>
        </w:rPr>
        <w:t>% du PIB en 2018 au lieu de 82% en 2017.</w:t>
      </w:r>
    </w:p>
    <w:p w:rsidR="00A91772" w:rsidRDefault="00A91772" w:rsidP="00A91772">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A91772" w:rsidRPr="009722C2" w:rsidRDefault="00A91772" w:rsidP="00D4612C">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Pr>
          <w:rFonts w:asciiTheme="majorHAnsi" w:hAnsiTheme="majorHAnsi"/>
          <w:b w:val="0"/>
          <w:bCs w:val="0"/>
          <w:color w:val="000000" w:themeColor="text1"/>
          <w:sz w:val="30"/>
          <w:szCs w:val="30"/>
        </w:rPr>
        <w:t xml:space="preserve">Au plan des </w:t>
      </w:r>
      <w:r w:rsidRPr="008F3B8D">
        <w:rPr>
          <w:rFonts w:asciiTheme="majorHAnsi" w:hAnsiTheme="majorHAnsi"/>
          <w:bCs w:val="0"/>
          <w:color w:val="000000" w:themeColor="text1"/>
          <w:sz w:val="30"/>
          <w:szCs w:val="30"/>
        </w:rPr>
        <w:t>finances extérieures</w:t>
      </w:r>
      <w:r>
        <w:rPr>
          <w:rFonts w:asciiTheme="majorHAnsi" w:hAnsiTheme="majorHAnsi"/>
          <w:b w:val="0"/>
          <w:bCs w:val="0"/>
          <w:color w:val="000000" w:themeColor="text1"/>
          <w:sz w:val="30"/>
          <w:szCs w:val="30"/>
        </w:rPr>
        <w:t xml:space="preserve">, </w:t>
      </w:r>
      <w:r w:rsidRPr="009722C2">
        <w:rPr>
          <w:rFonts w:asciiTheme="majorHAnsi" w:hAnsiTheme="majorHAnsi"/>
          <w:b w:val="0"/>
          <w:bCs w:val="0"/>
          <w:color w:val="000000" w:themeColor="text1"/>
          <w:sz w:val="30"/>
          <w:szCs w:val="30"/>
        </w:rPr>
        <w:t xml:space="preserve">la balance commerciale </w:t>
      </w:r>
      <w:r w:rsidR="00FD4569">
        <w:rPr>
          <w:rFonts w:asciiTheme="majorHAnsi" w:hAnsiTheme="majorHAnsi"/>
          <w:b w:val="0"/>
          <w:bCs w:val="0"/>
          <w:color w:val="000000" w:themeColor="text1"/>
          <w:sz w:val="30"/>
          <w:szCs w:val="30"/>
        </w:rPr>
        <w:t xml:space="preserve">en 2018 aurait </w:t>
      </w:r>
      <w:r w:rsidRPr="009722C2">
        <w:rPr>
          <w:rFonts w:asciiTheme="majorHAnsi" w:hAnsiTheme="majorHAnsi"/>
          <w:b w:val="0"/>
          <w:bCs w:val="0"/>
          <w:color w:val="000000" w:themeColor="text1"/>
          <w:sz w:val="30"/>
          <w:szCs w:val="30"/>
        </w:rPr>
        <w:t>con</w:t>
      </w:r>
      <w:r>
        <w:rPr>
          <w:rFonts w:asciiTheme="majorHAnsi" w:hAnsiTheme="majorHAnsi"/>
          <w:b w:val="0"/>
          <w:bCs w:val="0"/>
          <w:color w:val="000000" w:themeColor="text1"/>
          <w:sz w:val="30"/>
          <w:szCs w:val="30"/>
        </w:rPr>
        <w:t>tinu</w:t>
      </w:r>
      <w:r w:rsidR="00FD4569">
        <w:rPr>
          <w:rFonts w:asciiTheme="majorHAnsi" w:hAnsiTheme="majorHAnsi"/>
          <w:b w:val="0"/>
          <w:bCs w:val="0"/>
          <w:color w:val="000000" w:themeColor="text1"/>
          <w:sz w:val="30"/>
          <w:szCs w:val="30"/>
        </w:rPr>
        <w:t>é</w:t>
      </w:r>
      <w:r>
        <w:rPr>
          <w:rFonts w:asciiTheme="majorHAnsi" w:hAnsiTheme="majorHAnsi"/>
          <w:b w:val="0"/>
          <w:bCs w:val="0"/>
          <w:color w:val="000000" w:themeColor="text1"/>
          <w:sz w:val="30"/>
          <w:szCs w:val="30"/>
        </w:rPr>
        <w:t xml:space="preserve"> de dégager un déficit en accentuation </w:t>
      </w:r>
      <w:r w:rsidR="00F142D5">
        <w:rPr>
          <w:rFonts w:asciiTheme="majorHAnsi" w:hAnsiTheme="majorHAnsi"/>
          <w:b w:val="0"/>
          <w:bCs w:val="0"/>
          <w:color w:val="000000" w:themeColor="text1"/>
          <w:sz w:val="30"/>
          <w:szCs w:val="30"/>
        </w:rPr>
        <w:t xml:space="preserve">structurelle </w:t>
      </w:r>
      <w:r w:rsidR="00FD4569">
        <w:rPr>
          <w:rFonts w:asciiTheme="majorHAnsi" w:hAnsiTheme="majorHAnsi"/>
          <w:b w:val="0"/>
          <w:bCs w:val="0"/>
          <w:color w:val="000000" w:themeColor="text1"/>
          <w:sz w:val="30"/>
          <w:szCs w:val="30"/>
        </w:rPr>
        <w:t>pour atte</w:t>
      </w:r>
      <w:r w:rsidR="00C6197C">
        <w:rPr>
          <w:rFonts w:asciiTheme="majorHAnsi" w:hAnsiTheme="majorHAnsi"/>
          <w:b w:val="0"/>
          <w:bCs w:val="0"/>
          <w:color w:val="000000" w:themeColor="text1"/>
          <w:sz w:val="30"/>
          <w:szCs w:val="30"/>
        </w:rPr>
        <w:t>i</w:t>
      </w:r>
      <w:r w:rsidR="00FD4569">
        <w:rPr>
          <w:rFonts w:asciiTheme="majorHAnsi" w:hAnsiTheme="majorHAnsi"/>
          <w:b w:val="0"/>
          <w:bCs w:val="0"/>
          <w:color w:val="000000" w:themeColor="text1"/>
          <w:sz w:val="30"/>
          <w:szCs w:val="30"/>
        </w:rPr>
        <w:t>ndre</w:t>
      </w:r>
      <w:r>
        <w:rPr>
          <w:rFonts w:asciiTheme="majorHAnsi" w:hAnsiTheme="majorHAnsi"/>
          <w:b w:val="0"/>
          <w:bCs w:val="0"/>
          <w:color w:val="000000" w:themeColor="text1"/>
          <w:sz w:val="30"/>
          <w:szCs w:val="30"/>
        </w:rPr>
        <w:t xml:space="preserve"> </w:t>
      </w:r>
      <w:r w:rsidRPr="009722C2">
        <w:rPr>
          <w:rFonts w:asciiTheme="majorHAnsi" w:hAnsiTheme="majorHAnsi"/>
          <w:b w:val="0"/>
          <w:bCs w:val="0"/>
          <w:color w:val="000000" w:themeColor="text1"/>
          <w:sz w:val="30"/>
          <w:szCs w:val="30"/>
        </w:rPr>
        <w:t xml:space="preserve">18,3% du PIB </w:t>
      </w:r>
      <w:r>
        <w:rPr>
          <w:rFonts w:asciiTheme="majorHAnsi" w:hAnsiTheme="majorHAnsi"/>
          <w:b w:val="0"/>
          <w:bCs w:val="0"/>
          <w:color w:val="000000" w:themeColor="text1"/>
          <w:sz w:val="30"/>
          <w:szCs w:val="30"/>
        </w:rPr>
        <w:t xml:space="preserve">au lieu de </w:t>
      </w:r>
      <w:r w:rsidRPr="009722C2">
        <w:rPr>
          <w:rFonts w:asciiTheme="majorHAnsi" w:hAnsiTheme="majorHAnsi"/>
          <w:b w:val="0"/>
          <w:bCs w:val="0"/>
          <w:color w:val="000000" w:themeColor="text1"/>
          <w:sz w:val="30"/>
          <w:szCs w:val="30"/>
        </w:rPr>
        <w:t>17,8% en 2017</w:t>
      </w:r>
      <w:r w:rsidR="00D4612C">
        <w:rPr>
          <w:rFonts w:asciiTheme="majorHAnsi" w:hAnsiTheme="majorHAnsi"/>
          <w:b w:val="0"/>
          <w:bCs w:val="0"/>
          <w:color w:val="000000" w:themeColor="text1"/>
          <w:sz w:val="30"/>
          <w:szCs w:val="30"/>
        </w:rPr>
        <w:t>. Ce résultat s’explique par</w:t>
      </w:r>
      <w:r w:rsidRPr="009722C2">
        <w:rPr>
          <w:rFonts w:asciiTheme="majorHAnsi" w:hAnsiTheme="majorHAnsi"/>
          <w:b w:val="0"/>
          <w:bCs w:val="0"/>
          <w:color w:val="000000" w:themeColor="text1"/>
          <w:sz w:val="30"/>
          <w:szCs w:val="30"/>
        </w:rPr>
        <w:t xml:space="preserve"> l’effet conjugué de la hausse importante des prix des matières premières au niveau international et de l’augmentation du volume des importations, suite aux besoins permanents </w:t>
      </w:r>
      <w:r w:rsidR="005C4406">
        <w:rPr>
          <w:rFonts w:asciiTheme="majorHAnsi" w:hAnsiTheme="majorHAnsi"/>
          <w:b w:val="0"/>
          <w:bCs w:val="0"/>
          <w:color w:val="000000" w:themeColor="text1"/>
          <w:sz w:val="30"/>
          <w:szCs w:val="30"/>
        </w:rPr>
        <w:t xml:space="preserve">du pays </w:t>
      </w:r>
      <w:r w:rsidRPr="009722C2">
        <w:rPr>
          <w:rFonts w:asciiTheme="majorHAnsi" w:hAnsiTheme="majorHAnsi"/>
          <w:b w:val="0"/>
          <w:bCs w:val="0"/>
          <w:color w:val="000000" w:themeColor="text1"/>
          <w:sz w:val="30"/>
          <w:szCs w:val="30"/>
        </w:rPr>
        <w:t xml:space="preserve">en produits importés. </w:t>
      </w:r>
    </w:p>
    <w:p w:rsidR="00A91772" w:rsidRPr="009722C2" w:rsidRDefault="00A91772" w:rsidP="00A91772">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A91772" w:rsidRPr="009722C2" w:rsidRDefault="00A91772" w:rsidP="007D4A6D">
      <w:pPr>
        <w:ind w:left="-426" w:hanging="426"/>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t xml:space="preserve">L     </w:t>
      </w:r>
      <w:r w:rsidRPr="009722C2">
        <w:rPr>
          <w:rFonts w:asciiTheme="majorHAnsi" w:hAnsiTheme="majorHAnsi"/>
          <w:b w:val="0"/>
          <w:bCs w:val="0"/>
          <w:color w:val="000000" w:themeColor="text1"/>
          <w:sz w:val="30"/>
          <w:szCs w:val="30"/>
        </w:rPr>
        <w:tab/>
      </w:r>
      <w:r>
        <w:rPr>
          <w:rFonts w:asciiTheme="majorHAnsi" w:hAnsiTheme="majorHAnsi"/>
          <w:b w:val="0"/>
          <w:bCs w:val="0"/>
          <w:color w:val="000000" w:themeColor="text1"/>
          <w:sz w:val="30"/>
          <w:szCs w:val="30"/>
        </w:rPr>
        <w:t xml:space="preserve"> </w:t>
      </w:r>
      <w:r w:rsidR="007D4A6D">
        <w:rPr>
          <w:rFonts w:asciiTheme="majorHAnsi" w:hAnsiTheme="majorHAnsi"/>
          <w:b w:val="0"/>
          <w:bCs w:val="0"/>
          <w:color w:val="000000" w:themeColor="text1"/>
          <w:sz w:val="30"/>
          <w:szCs w:val="30"/>
        </w:rPr>
        <w:t>L</w:t>
      </w:r>
      <w:r w:rsidRPr="009722C2">
        <w:rPr>
          <w:rFonts w:asciiTheme="majorHAnsi" w:hAnsiTheme="majorHAnsi"/>
          <w:b w:val="0"/>
          <w:bCs w:val="0"/>
          <w:color w:val="000000" w:themeColor="text1"/>
          <w:sz w:val="30"/>
          <w:szCs w:val="30"/>
        </w:rPr>
        <w:t xml:space="preserve">a balance des services </w:t>
      </w:r>
      <w:r w:rsidR="00D576ED">
        <w:rPr>
          <w:rFonts w:asciiTheme="majorHAnsi" w:hAnsiTheme="majorHAnsi"/>
          <w:b w:val="0"/>
          <w:bCs w:val="0"/>
          <w:color w:val="000000" w:themeColor="text1"/>
          <w:sz w:val="30"/>
          <w:szCs w:val="30"/>
        </w:rPr>
        <w:t xml:space="preserve">qui </w:t>
      </w:r>
      <w:r w:rsidRPr="009722C2">
        <w:rPr>
          <w:rFonts w:asciiTheme="majorHAnsi" w:hAnsiTheme="majorHAnsi"/>
          <w:b w:val="0"/>
          <w:bCs w:val="0"/>
          <w:color w:val="000000" w:themeColor="text1"/>
          <w:sz w:val="30"/>
          <w:szCs w:val="30"/>
        </w:rPr>
        <w:t>aurait continué d’être excédentaire</w:t>
      </w:r>
      <w:r>
        <w:rPr>
          <w:rFonts w:asciiTheme="majorHAnsi" w:hAnsiTheme="majorHAnsi"/>
          <w:b w:val="0"/>
          <w:bCs w:val="0"/>
          <w:color w:val="000000" w:themeColor="text1"/>
          <w:sz w:val="30"/>
          <w:szCs w:val="30"/>
        </w:rPr>
        <w:t xml:space="preserve"> pour représenter 7% du PIB</w:t>
      </w:r>
      <w:r w:rsidR="00D576ED">
        <w:rPr>
          <w:rFonts w:asciiTheme="majorHAnsi" w:hAnsiTheme="majorHAnsi"/>
          <w:b w:val="0"/>
          <w:bCs w:val="0"/>
          <w:color w:val="000000" w:themeColor="text1"/>
          <w:sz w:val="30"/>
          <w:szCs w:val="30"/>
        </w:rPr>
        <w:t xml:space="preserve">, n’aurait pas pu atténuer </w:t>
      </w:r>
      <w:r w:rsidRPr="009722C2">
        <w:rPr>
          <w:rFonts w:asciiTheme="majorHAnsi" w:hAnsiTheme="majorHAnsi"/>
          <w:b w:val="0"/>
          <w:bCs w:val="0"/>
          <w:color w:val="000000" w:themeColor="text1"/>
          <w:sz w:val="30"/>
          <w:szCs w:val="30"/>
        </w:rPr>
        <w:t xml:space="preserve">le déficit en ressources </w:t>
      </w:r>
      <w:r w:rsidR="00D576ED">
        <w:rPr>
          <w:rFonts w:asciiTheme="majorHAnsi" w:hAnsiTheme="majorHAnsi"/>
          <w:b w:val="0"/>
          <w:bCs w:val="0"/>
          <w:color w:val="000000" w:themeColor="text1"/>
          <w:sz w:val="30"/>
          <w:szCs w:val="30"/>
        </w:rPr>
        <w:t xml:space="preserve">qui </w:t>
      </w:r>
      <w:r w:rsidRPr="009722C2">
        <w:rPr>
          <w:rFonts w:asciiTheme="majorHAnsi" w:hAnsiTheme="majorHAnsi"/>
          <w:b w:val="0"/>
          <w:bCs w:val="0"/>
          <w:color w:val="000000" w:themeColor="text1"/>
          <w:sz w:val="30"/>
          <w:szCs w:val="30"/>
        </w:rPr>
        <w:t>se serait inscrit en hausse pour atte</w:t>
      </w:r>
      <w:r>
        <w:rPr>
          <w:rFonts w:asciiTheme="majorHAnsi" w:hAnsiTheme="majorHAnsi"/>
          <w:b w:val="0"/>
          <w:bCs w:val="0"/>
          <w:color w:val="000000" w:themeColor="text1"/>
          <w:sz w:val="30"/>
          <w:szCs w:val="30"/>
        </w:rPr>
        <w:t xml:space="preserve">indre </w:t>
      </w:r>
      <w:r w:rsidRPr="009722C2">
        <w:rPr>
          <w:rFonts w:asciiTheme="majorHAnsi" w:hAnsiTheme="majorHAnsi"/>
          <w:b w:val="0"/>
          <w:bCs w:val="0"/>
          <w:color w:val="000000" w:themeColor="text1"/>
          <w:sz w:val="30"/>
          <w:szCs w:val="30"/>
        </w:rPr>
        <w:t>11</w:t>
      </w:r>
      <w:r>
        <w:rPr>
          <w:rFonts w:asciiTheme="majorHAnsi" w:hAnsiTheme="majorHAnsi"/>
          <w:b w:val="0"/>
          <w:bCs w:val="0"/>
          <w:color w:val="000000" w:themeColor="text1"/>
          <w:sz w:val="30"/>
          <w:szCs w:val="30"/>
        </w:rPr>
        <w:t xml:space="preserve">,4% du PIB au lieu de </w:t>
      </w:r>
      <w:r w:rsidRPr="009722C2">
        <w:rPr>
          <w:rFonts w:asciiTheme="majorHAnsi" w:hAnsiTheme="majorHAnsi"/>
          <w:b w:val="0"/>
          <w:bCs w:val="0"/>
          <w:color w:val="000000" w:themeColor="text1"/>
          <w:sz w:val="30"/>
          <w:szCs w:val="30"/>
        </w:rPr>
        <w:t xml:space="preserve">10,9% </w:t>
      </w:r>
      <w:r>
        <w:rPr>
          <w:rFonts w:asciiTheme="majorHAnsi" w:hAnsiTheme="majorHAnsi"/>
          <w:b w:val="0"/>
          <w:bCs w:val="0"/>
          <w:color w:val="000000" w:themeColor="text1"/>
          <w:sz w:val="30"/>
          <w:szCs w:val="30"/>
        </w:rPr>
        <w:t>en 2017.</w:t>
      </w:r>
    </w:p>
    <w:p w:rsidR="00F6021C" w:rsidRPr="009722C2" w:rsidRDefault="00F6021C" w:rsidP="00A91772">
      <w:pPr>
        <w:spacing w:before="100" w:beforeAutospacing="1" w:after="100" w:afterAutospacing="1"/>
        <w:contextualSpacing/>
        <w:jc w:val="both"/>
        <w:rPr>
          <w:rFonts w:asciiTheme="majorHAnsi" w:hAnsiTheme="majorHAnsi"/>
          <w:b w:val="0"/>
          <w:bCs w:val="0"/>
          <w:color w:val="000000" w:themeColor="text1"/>
          <w:sz w:val="30"/>
          <w:szCs w:val="30"/>
        </w:rPr>
      </w:pPr>
    </w:p>
    <w:p w:rsidR="00A91772" w:rsidRPr="009722C2" w:rsidRDefault="00A91772" w:rsidP="00EC76B9">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A9712D">
        <w:rPr>
          <w:rFonts w:asciiTheme="majorHAnsi" w:hAnsiTheme="majorHAnsi"/>
          <w:b w:val="0"/>
          <w:bCs w:val="0"/>
          <w:color w:val="000000" w:themeColor="text1"/>
          <w:sz w:val="30"/>
          <w:szCs w:val="30"/>
        </w:rPr>
        <w:t xml:space="preserve"> </w:t>
      </w:r>
      <w:r w:rsidRPr="008F3B8D">
        <w:rPr>
          <w:rFonts w:asciiTheme="majorHAnsi" w:hAnsiTheme="majorHAnsi"/>
          <w:color w:val="000000" w:themeColor="text1"/>
          <w:sz w:val="30"/>
          <w:szCs w:val="30"/>
        </w:rPr>
        <w:t>Dans l’ensemble</w:t>
      </w:r>
      <w:r w:rsidRPr="00A9712D">
        <w:rPr>
          <w:rFonts w:asciiTheme="majorHAnsi" w:hAnsiTheme="majorHAnsi"/>
          <w:b w:val="0"/>
          <w:color w:val="000000" w:themeColor="text1"/>
          <w:sz w:val="30"/>
          <w:szCs w:val="30"/>
        </w:rPr>
        <w:t>,</w:t>
      </w:r>
      <w:r w:rsidRPr="009722C2">
        <w:rPr>
          <w:rFonts w:asciiTheme="majorHAnsi" w:hAnsiTheme="majorHAnsi"/>
          <w:color w:val="000000" w:themeColor="text1"/>
          <w:sz w:val="30"/>
          <w:szCs w:val="30"/>
        </w:rPr>
        <w:t xml:space="preserve"> </w:t>
      </w:r>
      <w:r w:rsidRPr="009722C2">
        <w:rPr>
          <w:rFonts w:asciiTheme="majorHAnsi" w:hAnsiTheme="majorHAnsi"/>
          <w:b w:val="0"/>
          <w:bCs w:val="0"/>
          <w:color w:val="000000" w:themeColor="text1"/>
          <w:sz w:val="30"/>
          <w:szCs w:val="30"/>
        </w:rPr>
        <w:t>l</w:t>
      </w:r>
      <w:r>
        <w:rPr>
          <w:rFonts w:asciiTheme="majorHAnsi" w:hAnsiTheme="majorHAnsi"/>
          <w:b w:val="0"/>
          <w:bCs w:val="0"/>
          <w:color w:val="000000" w:themeColor="text1"/>
          <w:sz w:val="30"/>
          <w:szCs w:val="30"/>
        </w:rPr>
        <w:t>’économie nationale aurait connu une baisse du</w:t>
      </w:r>
      <w:r w:rsidRPr="009722C2">
        <w:rPr>
          <w:rFonts w:asciiTheme="majorHAnsi" w:hAnsiTheme="majorHAnsi"/>
          <w:b w:val="0"/>
          <w:bCs w:val="0"/>
          <w:color w:val="000000" w:themeColor="text1"/>
          <w:sz w:val="30"/>
          <w:szCs w:val="30"/>
        </w:rPr>
        <w:t xml:space="preserve"> </w:t>
      </w:r>
      <w:r w:rsidRPr="009722C2">
        <w:rPr>
          <w:rFonts w:asciiTheme="majorHAnsi" w:hAnsiTheme="majorHAnsi"/>
          <w:color w:val="000000" w:themeColor="text1"/>
          <w:sz w:val="30"/>
          <w:szCs w:val="30"/>
        </w:rPr>
        <w:t>taux d’épargne intérieure</w:t>
      </w:r>
      <w:r w:rsidRPr="009722C2">
        <w:rPr>
          <w:rFonts w:asciiTheme="majorHAnsi" w:hAnsiTheme="majorHAnsi"/>
          <w:b w:val="0"/>
          <w:bCs w:val="0"/>
          <w:color w:val="000000" w:themeColor="text1"/>
          <w:sz w:val="30"/>
          <w:szCs w:val="30"/>
        </w:rPr>
        <w:t xml:space="preserve"> de 23,1% du PIB en 2017 à 22,5% en 2018, en raison d’un rythme de croissance </w:t>
      </w:r>
      <w:r>
        <w:rPr>
          <w:rFonts w:asciiTheme="majorHAnsi" w:hAnsiTheme="majorHAnsi"/>
          <w:b w:val="0"/>
          <w:bCs w:val="0"/>
          <w:color w:val="000000" w:themeColor="text1"/>
          <w:sz w:val="30"/>
          <w:szCs w:val="30"/>
        </w:rPr>
        <w:t xml:space="preserve">aux prix courants </w:t>
      </w:r>
      <w:r w:rsidRPr="009722C2">
        <w:rPr>
          <w:rFonts w:asciiTheme="majorHAnsi" w:hAnsiTheme="majorHAnsi"/>
          <w:b w:val="0"/>
          <w:bCs w:val="0"/>
          <w:color w:val="000000" w:themeColor="text1"/>
          <w:sz w:val="30"/>
          <w:szCs w:val="30"/>
        </w:rPr>
        <w:t>de 5,5% de la consommation finale nationale</w:t>
      </w:r>
      <w:r>
        <w:rPr>
          <w:rFonts w:asciiTheme="majorHAnsi" w:hAnsiTheme="majorHAnsi"/>
          <w:b w:val="0"/>
          <w:bCs w:val="0"/>
          <w:color w:val="000000" w:themeColor="text1"/>
          <w:sz w:val="30"/>
          <w:szCs w:val="30"/>
        </w:rPr>
        <w:t xml:space="preserve">, </w:t>
      </w:r>
      <w:r w:rsidRPr="009722C2">
        <w:rPr>
          <w:rFonts w:asciiTheme="majorHAnsi" w:hAnsiTheme="majorHAnsi"/>
          <w:b w:val="0"/>
          <w:bCs w:val="0"/>
          <w:color w:val="000000" w:themeColor="text1"/>
          <w:sz w:val="30"/>
          <w:szCs w:val="30"/>
        </w:rPr>
        <w:t>plus élevé</w:t>
      </w:r>
      <w:r>
        <w:rPr>
          <w:rFonts w:asciiTheme="majorHAnsi" w:hAnsiTheme="majorHAnsi"/>
          <w:b w:val="0"/>
          <w:bCs w:val="0"/>
          <w:color w:val="000000" w:themeColor="text1"/>
          <w:sz w:val="30"/>
          <w:szCs w:val="30"/>
        </w:rPr>
        <w:t xml:space="preserve"> que celui </w:t>
      </w:r>
      <w:r w:rsidRPr="009722C2">
        <w:rPr>
          <w:rFonts w:asciiTheme="majorHAnsi" w:hAnsiTheme="majorHAnsi"/>
          <w:b w:val="0"/>
          <w:bCs w:val="0"/>
          <w:color w:val="000000" w:themeColor="text1"/>
          <w:sz w:val="30"/>
          <w:szCs w:val="30"/>
        </w:rPr>
        <w:t xml:space="preserve"> de 4,</w:t>
      </w:r>
      <w:r w:rsidR="00F25FC6">
        <w:rPr>
          <w:rFonts w:asciiTheme="majorHAnsi" w:hAnsiTheme="majorHAnsi"/>
          <w:b w:val="0"/>
          <w:bCs w:val="0"/>
          <w:color w:val="000000" w:themeColor="text1"/>
          <w:sz w:val="30"/>
          <w:szCs w:val="30"/>
        </w:rPr>
        <w:t>6</w:t>
      </w:r>
      <w:r w:rsidRPr="009722C2">
        <w:rPr>
          <w:rFonts w:asciiTheme="majorHAnsi" w:hAnsiTheme="majorHAnsi"/>
          <w:b w:val="0"/>
          <w:bCs w:val="0"/>
          <w:color w:val="000000" w:themeColor="text1"/>
          <w:sz w:val="30"/>
          <w:szCs w:val="30"/>
        </w:rPr>
        <w:t>%</w:t>
      </w:r>
      <w:r>
        <w:rPr>
          <w:rFonts w:asciiTheme="majorHAnsi" w:hAnsiTheme="majorHAnsi"/>
          <w:b w:val="0"/>
          <w:bCs w:val="0"/>
          <w:color w:val="000000" w:themeColor="text1"/>
          <w:sz w:val="30"/>
          <w:szCs w:val="30"/>
        </w:rPr>
        <w:t xml:space="preserve"> du PIB nominal</w:t>
      </w:r>
      <w:r w:rsidRPr="009722C2">
        <w:rPr>
          <w:rFonts w:asciiTheme="majorHAnsi" w:hAnsiTheme="majorHAnsi"/>
          <w:b w:val="0"/>
          <w:bCs w:val="0"/>
          <w:color w:val="000000" w:themeColor="text1"/>
          <w:sz w:val="30"/>
          <w:szCs w:val="30"/>
        </w:rPr>
        <w:t xml:space="preserve">. Tenant compte de la baisse de la part des revenus nets en provenance du reste du monde par rapport au PIB de 5,8% en 2017 à 5,5% en 2018, </w:t>
      </w:r>
      <w:r w:rsidRPr="009722C2">
        <w:rPr>
          <w:rFonts w:asciiTheme="majorHAnsi" w:hAnsiTheme="majorHAnsi"/>
          <w:color w:val="000000" w:themeColor="text1"/>
          <w:sz w:val="30"/>
          <w:szCs w:val="30"/>
        </w:rPr>
        <w:t>l’épargne nationale</w:t>
      </w:r>
      <w:r w:rsidRPr="009722C2">
        <w:rPr>
          <w:rFonts w:asciiTheme="majorHAnsi" w:hAnsiTheme="majorHAnsi"/>
          <w:b w:val="0"/>
          <w:bCs w:val="0"/>
          <w:color w:val="000000" w:themeColor="text1"/>
          <w:sz w:val="30"/>
          <w:szCs w:val="30"/>
        </w:rPr>
        <w:t xml:space="preserve"> </w:t>
      </w:r>
      <w:r>
        <w:rPr>
          <w:rFonts w:asciiTheme="majorHAnsi" w:hAnsiTheme="majorHAnsi"/>
          <w:b w:val="0"/>
          <w:bCs w:val="0"/>
          <w:color w:val="000000" w:themeColor="text1"/>
          <w:sz w:val="30"/>
          <w:szCs w:val="30"/>
        </w:rPr>
        <w:t>se serait située à</w:t>
      </w:r>
      <w:r w:rsidRPr="009722C2">
        <w:rPr>
          <w:rFonts w:asciiTheme="majorHAnsi" w:hAnsiTheme="majorHAnsi"/>
          <w:b w:val="0"/>
          <w:bCs w:val="0"/>
          <w:color w:val="000000" w:themeColor="text1"/>
          <w:sz w:val="30"/>
          <w:szCs w:val="30"/>
        </w:rPr>
        <w:t xml:space="preserve"> 2</w:t>
      </w:r>
      <w:r w:rsidR="00F25FC6">
        <w:rPr>
          <w:rFonts w:asciiTheme="majorHAnsi" w:hAnsiTheme="majorHAnsi"/>
          <w:b w:val="0"/>
          <w:bCs w:val="0"/>
          <w:color w:val="000000" w:themeColor="text1"/>
          <w:sz w:val="30"/>
          <w:szCs w:val="30"/>
        </w:rPr>
        <w:t>7</w:t>
      </w:r>
      <w:r w:rsidR="00EC76B9">
        <w:rPr>
          <w:rFonts w:asciiTheme="majorHAnsi" w:hAnsiTheme="majorHAnsi"/>
          <w:b w:val="0"/>
          <w:bCs w:val="0"/>
          <w:color w:val="000000" w:themeColor="text1"/>
          <w:sz w:val="30"/>
          <w:szCs w:val="30"/>
        </w:rPr>
        <w:t>,</w:t>
      </w:r>
      <w:r w:rsidR="00F25FC6">
        <w:rPr>
          <w:rFonts w:asciiTheme="majorHAnsi" w:hAnsiTheme="majorHAnsi"/>
          <w:b w:val="0"/>
          <w:bCs w:val="0"/>
          <w:color w:val="000000" w:themeColor="text1"/>
          <w:sz w:val="30"/>
          <w:szCs w:val="30"/>
        </w:rPr>
        <w:t>9</w:t>
      </w:r>
      <w:r w:rsidRPr="009722C2">
        <w:rPr>
          <w:rFonts w:asciiTheme="majorHAnsi" w:hAnsiTheme="majorHAnsi"/>
          <w:b w:val="0"/>
          <w:bCs w:val="0"/>
          <w:color w:val="000000" w:themeColor="text1"/>
          <w:sz w:val="30"/>
          <w:szCs w:val="30"/>
        </w:rPr>
        <w:t xml:space="preserve">% du PIB en 2018, en baisse par rapport à 28,9% enregistré en 2017. </w:t>
      </w:r>
    </w:p>
    <w:p w:rsidR="00A91772" w:rsidRPr="009722C2" w:rsidRDefault="00A91772" w:rsidP="00A91772">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6F1CBF" w:rsidRDefault="006F1CBF" w:rsidP="00C6197C">
      <w:pPr>
        <w:spacing w:before="100" w:beforeAutospacing="1" w:after="100" w:afterAutospacing="1"/>
        <w:ind w:left="-426" w:firstLine="425"/>
        <w:jc w:val="both"/>
        <w:rPr>
          <w:rFonts w:asciiTheme="majorHAnsi" w:hAnsiTheme="majorHAnsi"/>
          <w:b w:val="0"/>
          <w:bCs w:val="0"/>
          <w:color w:val="000000" w:themeColor="text1"/>
          <w:sz w:val="30"/>
          <w:szCs w:val="30"/>
        </w:rPr>
      </w:pPr>
    </w:p>
    <w:p w:rsidR="00A91772" w:rsidRPr="009722C2" w:rsidRDefault="00C6197C" w:rsidP="00C6197C">
      <w:pPr>
        <w:spacing w:before="100" w:beforeAutospacing="1" w:after="100" w:afterAutospacing="1"/>
        <w:ind w:left="-426" w:firstLine="425"/>
        <w:jc w:val="both"/>
        <w:rPr>
          <w:rFonts w:asciiTheme="majorHAnsi" w:hAnsiTheme="majorHAnsi"/>
          <w:b w:val="0"/>
          <w:bCs w:val="0"/>
          <w:color w:val="000000" w:themeColor="text1"/>
          <w:sz w:val="30"/>
          <w:szCs w:val="30"/>
        </w:rPr>
      </w:pPr>
      <w:r>
        <w:rPr>
          <w:rFonts w:asciiTheme="majorHAnsi" w:hAnsiTheme="majorHAnsi"/>
          <w:b w:val="0"/>
          <w:bCs w:val="0"/>
          <w:color w:val="000000" w:themeColor="text1"/>
          <w:sz w:val="30"/>
          <w:szCs w:val="30"/>
        </w:rPr>
        <w:lastRenderedPageBreak/>
        <w:t xml:space="preserve">Compte tenu </w:t>
      </w:r>
      <w:r w:rsidR="00C45801">
        <w:rPr>
          <w:rFonts w:asciiTheme="majorHAnsi" w:hAnsiTheme="majorHAnsi"/>
          <w:b w:val="0"/>
          <w:bCs w:val="0"/>
          <w:color w:val="000000" w:themeColor="text1"/>
          <w:sz w:val="30"/>
          <w:szCs w:val="30"/>
        </w:rPr>
        <w:t xml:space="preserve">d’un </w:t>
      </w:r>
      <w:r w:rsidR="00A91772">
        <w:rPr>
          <w:rFonts w:asciiTheme="majorHAnsi" w:hAnsiTheme="majorHAnsi"/>
          <w:b w:val="0"/>
          <w:bCs w:val="0"/>
          <w:color w:val="000000" w:themeColor="text1"/>
          <w:sz w:val="30"/>
          <w:szCs w:val="30"/>
        </w:rPr>
        <w:t xml:space="preserve">niveau </w:t>
      </w:r>
      <w:r w:rsidR="00C45801">
        <w:rPr>
          <w:rFonts w:asciiTheme="majorHAnsi" w:hAnsiTheme="majorHAnsi"/>
          <w:b w:val="0"/>
          <w:bCs w:val="0"/>
          <w:color w:val="000000" w:themeColor="text1"/>
          <w:sz w:val="30"/>
          <w:szCs w:val="30"/>
        </w:rPr>
        <w:t>d</w:t>
      </w:r>
      <w:r w:rsidR="00A91772" w:rsidRPr="009722C2">
        <w:rPr>
          <w:rFonts w:asciiTheme="majorHAnsi" w:hAnsiTheme="majorHAnsi"/>
          <w:b w:val="0"/>
          <w:bCs w:val="0"/>
          <w:color w:val="000000" w:themeColor="text1"/>
          <w:sz w:val="30"/>
          <w:szCs w:val="30"/>
        </w:rPr>
        <w:t xml:space="preserve">’investissement </w:t>
      </w:r>
      <w:r w:rsidR="00C45801">
        <w:rPr>
          <w:rFonts w:asciiTheme="majorHAnsi" w:hAnsiTheme="majorHAnsi"/>
          <w:b w:val="0"/>
          <w:bCs w:val="0"/>
          <w:color w:val="000000" w:themeColor="text1"/>
          <w:sz w:val="30"/>
          <w:szCs w:val="30"/>
        </w:rPr>
        <w:t xml:space="preserve">brut en baisse </w:t>
      </w:r>
      <w:r w:rsidR="00C45801" w:rsidRPr="009722C2">
        <w:rPr>
          <w:rFonts w:asciiTheme="majorHAnsi" w:hAnsiTheme="majorHAnsi"/>
          <w:b w:val="0"/>
          <w:bCs w:val="0"/>
          <w:color w:val="000000" w:themeColor="text1"/>
          <w:sz w:val="30"/>
          <w:szCs w:val="30"/>
        </w:rPr>
        <w:t xml:space="preserve">par rapport </w:t>
      </w:r>
      <w:r w:rsidR="00C45801">
        <w:rPr>
          <w:rFonts w:asciiTheme="majorHAnsi" w:hAnsiTheme="majorHAnsi"/>
          <w:b w:val="0"/>
          <w:bCs w:val="0"/>
          <w:color w:val="000000" w:themeColor="text1"/>
          <w:sz w:val="30"/>
          <w:szCs w:val="30"/>
        </w:rPr>
        <w:t xml:space="preserve">au PIB à </w:t>
      </w:r>
      <w:r w:rsidR="00C45801" w:rsidRPr="009722C2">
        <w:rPr>
          <w:rFonts w:asciiTheme="majorHAnsi" w:hAnsiTheme="majorHAnsi"/>
          <w:b w:val="0"/>
          <w:bCs w:val="0"/>
          <w:color w:val="000000" w:themeColor="text1"/>
          <w:sz w:val="30"/>
          <w:szCs w:val="30"/>
        </w:rPr>
        <w:t>32,</w:t>
      </w:r>
      <w:r w:rsidR="003C5AFE">
        <w:rPr>
          <w:rFonts w:asciiTheme="majorHAnsi" w:hAnsiTheme="majorHAnsi"/>
          <w:b w:val="0"/>
          <w:bCs w:val="0"/>
          <w:color w:val="000000" w:themeColor="text1"/>
          <w:sz w:val="30"/>
          <w:szCs w:val="30"/>
        </w:rPr>
        <w:t>4</w:t>
      </w:r>
      <w:r w:rsidR="00C45801" w:rsidRPr="009722C2">
        <w:rPr>
          <w:rFonts w:asciiTheme="majorHAnsi" w:hAnsiTheme="majorHAnsi"/>
          <w:b w:val="0"/>
          <w:bCs w:val="0"/>
          <w:color w:val="000000" w:themeColor="text1"/>
          <w:sz w:val="30"/>
          <w:szCs w:val="30"/>
        </w:rPr>
        <w:t xml:space="preserve">% </w:t>
      </w:r>
      <w:r w:rsidR="00C45801">
        <w:rPr>
          <w:rFonts w:asciiTheme="majorHAnsi" w:hAnsiTheme="majorHAnsi"/>
          <w:b w:val="0"/>
          <w:bCs w:val="0"/>
          <w:color w:val="000000" w:themeColor="text1"/>
          <w:sz w:val="30"/>
          <w:szCs w:val="30"/>
        </w:rPr>
        <w:t xml:space="preserve">en </w:t>
      </w:r>
      <w:r w:rsidR="00C45801" w:rsidRPr="009722C2">
        <w:rPr>
          <w:rFonts w:asciiTheme="majorHAnsi" w:hAnsiTheme="majorHAnsi"/>
          <w:b w:val="0"/>
          <w:bCs w:val="0"/>
          <w:color w:val="000000" w:themeColor="text1"/>
          <w:sz w:val="30"/>
          <w:szCs w:val="30"/>
        </w:rPr>
        <w:t>2018</w:t>
      </w:r>
      <w:r w:rsidR="00C45801">
        <w:rPr>
          <w:rFonts w:asciiTheme="majorHAnsi" w:hAnsiTheme="majorHAnsi"/>
          <w:b w:val="0"/>
          <w:bCs w:val="0"/>
          <w:color w:val="000000" w:themeColor="text1"/>
          <w:sz w:val="30"/>
          <w:szCs w:val="30"/>
        </w:rPr>
        <w:t xml:space="preserve"> au lieu de 32,7%</w:t>
      </w:r>
      <w:r w:rsidR="00A91772" w:rsidRPr="009722C2">
        <w:rPr>
          <w:rFonts w:asciiTheme="majorHAnsi" w:hAnsiTheme="majorHAnsi"/>
          <w:b w:val="0"/>
          <w:bCs w:val="0"/>
          <w:color w:val="000000" w:themeColor="text1"/>
          <w:sz w:val="30"/>
          <w:szCs w:val="30"/>
        </w:rPr>
        <w:t xml:space="preserve">, les </w:t>
      </w:r>
      <w:r w:rsidR="00A91772" w:rsidRPr="009722C2">
        <w:rPr>
          <w:rFonts w:asciiTheme="majorHAnsi" w:hAnsiTheme="majorHAnsi"/>
          <w:color w:val="000000" w:themeColor="text1"/>
          <w:sz w:val="30"/>
          <w:szCs w:val="30"/>
        </w:rPr>
        <w:t xml:space="preserve">besoins de financement de l’économie nationale </w:t>
      </w:r>
      <w:r w:rsidR="00A91772" w:rsidRPr="009722C2">
        <w:rPr>
          <w:rFonts w:asciiTheme="majorHAnsi" w:hAnsiTheme="majorHAnsi"/>
          <w:b w:val="0"/>
          <w:bCs w:val="0"/>
          <w:color w:val="000000" w:themeColor="text1"/>
          <w:sz w:val="30"/>
          <w:szCs w:val="30"/>
        </w:rPr>
        <w:t>auraient connu une aggravation à 4,5% du PIB en 2018</w:t>
      </w:r>
      <w:r w:rsidR="00A91772">
        <w:rPr>
          <w:rFonts w:asciiTheme="majorHAnsi" w:hAnsiTheme="majorHAnsi"/>
          <w:b w:val="0"/>
          <w:bCs w:val="0"/>
          <w:color w:val="000000" w:themeColor="text1"/>
          <w:sz w:val="30"/>
          <w:szCs w:val="30"/>
        </w:rPr>
        <w:t xml:space="preserve"> au lieu </w:t>
      </w:r>
      <w:r w:rsidR="00A91772" w:rsidRPr="009722C2">
        <w:rPr>
          <w:rFonts w:asciiTheme="majorHAnsi" w:hAnsiTheme="majorHAnsi"/>
          <w:b w:val="0"/>
          <w:bCs w:val="0"/>
          <w:color w:val="000000" w:themeColor="text1"/>
          <w:sz w:val="30"/>
          <w:szCs w:val="30"/>
        </w:rPr>
        <w:t>de 3,7% en 2017.</w:t>
      </w:r>
    </w:p>
    <w:p w:rsidR="00A91772" w:rsidRPr="009722C2" w:rsidRDefault="00A91772" w:rsidP="00C55652">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t xml:space="preserve">Le </w:t>
      </w:r>
      <w:r w:rsidRPr="009722C2">
        <w:rPr>
          <w:rFonts w:asciiTheme="majorHAnsi" w:hAnsiTheme="majorHAnsi"/>
          <w:color w:val="000000" w:themeColor="text1"/>
          <w:sz w:val="30"/>
          <w:szCs w:val="30"/>
        </w:rPr>
        <w:t>marché monétaire</w:t>
      </w:r>
      <w:r w:rsidRPr="009722C2">
        <w:rPr>
          <w:rFonts w:asciiTheme="majorHAnsi" w:hAnsiTheme="majorHAnsi"/>
          <w:b w:val="0"/>
          <w:bCs w:val="0"/>
          <w:color w:val="000000" w:themeColor="text1"/>
          <w:sz w:val="30"/>
          <w:szCs w:val="30"/>
        </w:rPr>
        <w:t xml:space="preserve">, </w:t>
      </w:r>
      <w:r w:rsidR="003E3CD5">
        <w:rPr>
          <w:rFonts w:asciiTheme="majorHAnsi" w:hAnsiTheme="majorHAnsi"/>
          <w:b w:val="0"/>
          <w:bCs w:val="0"/>
          <w:color w:val="000000" w:themeColor="text1"/>
          <w:sz w:val="30"/>
          <w:szCs w:val="30"/>
        </w:rPr>
        <w:t>de son côté, aurait été affecté</w:t>
      </w:r>
      <w:r w:rsidRPr="009722C2">
        <w:rPr>
          <w:rFonts w:asciiTheme="majorHAnsi" w:hAnsiTheme="majorHAnsi"/>
          <w:b w:val="0"/>
          <w:bCs w:val="0"/>
          <w:color w:val="000000" w:themeColor="text1"/>
          <w:sz w:val="30"/>
          <w:szCs w:val="30"/>
        </w:rPr>
        <w:t xml:space="preserve"> en 2018 par </w:t>
      </w:r>
      <w:r w:rsidR="00C55652">
        <w:rPr>
          <w:rFonts w:asciiTheme="majorHAnsi" w:hAnsiTheme="majorHAnsi"/>
          <w:b w:val="0"/>
          <w:bCs w:val="0"/>
          <w:color w:val="000000" w:themeColor="text1"/>
          <w:sz w:val="30"/>
          <w:szCs w:val="30"/>
        </w:rPr>
        <w:t>une</w:t>
      </w:r>
      <w:r w:rsidRPr="009722C2">
        <w:rPr>
          <w:rFonts w:asciiTheme="majorHAnsi" w:hAnsiTheme="majorHAnsi"/>
          <w:b w:val="0"/>
          <w:bCs w:val="0"/>
          <w:color w:val="000000" w:themeColor="text1"/>
          <w:sz w:val="30"/>
          <w:szCs w:val="30"/>
        </w:rPr>
        <w:t xml:space="preserve"> situation de sous liquidité bancaire </w:t>
      </w:r>
      <w:r>
        <w:rPr>
          <w:rFonts w:asciiTheme="majorHAnsi" w:hAnsiTheme="majorHAnsi"/>
          <w:b w:val="0"/>
          <w:bCs w:val="0"/>
          <w:color w:val="000000" w:themeColor="text1"/>
          <w:sz w:val="30"/>
          <w:szCs w:val="30"/>
        </w:rPr>
        <w:t>induite</w:t>
      </w:r>
      <w:r w:rsidRPr="009722C2">
        <w:rPr>
          <w:rFonts w:asciiTheme="majorHAnsi" w:hAnsiTheme="majorHAnsi"/>
          <w:b w:val="0"/>
          <w:bCs w:val="0"/>
          <w:color w:val="000000" w:themeColor="text1"/>
          <w:sz w:val="30"/>
          <w:szCs w:val="30"/>
        </w:rPr>
        <w:t xml:space="preserve"> par la </w:t>
      </w:r>
      <w:r>
        <w:rPr>
          <w:rFonts w:asciiTheme="majorHAnsi" w:hAnsiTheme="majorHAnsi"/>
          <w:b w:val="0"/>
          <w:bCs w:val="0"/>
          <w:color w:val="000000" w:themeColor="text1"/>
          <w:sz w:val="30"/>
          <w:szCs w:val="30"/>
        </w:rPr>
        <w:t>tendance à</w:t>
      </w:r>
      <w:r w:rsidRPr="009722C2">
        <w:rPr>
          <w:rFonts w:asciiTheme="majorHAnsi" w:hAnsiTheme="majorHAnsi"/>
          <w:b w:val="0"/>
          <w:bCs w:val="0"/>
          <w:color w:val="000000" w:themeColor="text1"/>
          <w:sz w:val="30"/>
          <w:szCs w:val="30"/>
        </w:rPr>
        <w:t xml:space="preserve"> la baisse du niveau de disponibilité en réserves internationales entamée en 2017</w:t>
      </w:r>
      <w:r>
        <w:rPr>
          <w:rFonts w:asciiTheme="majorHAnsi" w:hAnsiTheme="majorHAnsi"/>
          <w:b w:val="0"/>
          <w:bCs w:val="0"/>
          <w:color w:val="000000" w:themeColor="text1"/>
          <w:sz w:val="30"/>
          <w:szCs w:val="30"/>
        </w:rPr>
        <w:t xml:space="preserve"> sous l’effet, notamment, de l’accentuation du déficit courant des finances extérieures</w:t>
      </w:r>
      <w:r w:rsidRPr="009722C2">
        <w:rPr>
          <w:rFonts w:asciiTheme="majorHAnsi" w:hAnsiTheme="majorHAnsi"/>
          <w:b w:val="0"/>
          <w:bCs w:val="0"/>
          <w:color w:val="000000" w:themeColor="text1"/>
          <w:sz w:val="30"/>
          <w:szCs w:val="30"/>
        </w:rPr>
        <w:t xml:space="preserve">. Ces </w:t>
      </w:r>
      <w:r w:rsidR="00C55652">
        <w:rPr>
          <w:rFonts w:asciiTheme="majorHAnsi" w:hAnsiTheme="majorHAnsi"/>
          <w:b w:val="0"/>
          <w:bCs w:val="0"/>
          <w:color w:val="000000" w:themeColor="text1"/>
          <w:sz w:val="30"/>
          <w:szCs w:val="30"/>
        </w:rPr>
        <w:t>réserves</w:t>
      </w:r>
      <w:r w:rsidRPr="009722C2">
        <w:rPr>
          <w:rFonts w:asciiTheme="majorHAnsi" w:hAnsiTheme="majorHAnsi"/>
          <w:b w:val="0"/>
          <w:bCs w:val="0"/>
          <w:color w:val="000000" w:themeColor="text1"/>
          <w:sz w:val="30"/>
          <w:szCs w:val="30"/>
        </w:rPr>
        <w:t xml:space="preserve"> auraient atteint près de 230 MMDH en 2018 au lieu de 241 MMDH en 2017, ce qui aurait assuré la couverture de près de 4,8 mois d’importations des biens et services en 2018 au lieu de 5,4 mois en 2017. </w:t>
      </w:r>
    </w:p>
    <w:p w:rsidR="00A91772" w:rsidRPr="009722C2" w:rsidRDefault="00A91772" w:rsidP="00A91772">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A91772" w:rsidRPr="009722C2" w:rsidRDefault="00A91772" w:rsidP="00C6197C">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t>Par ailleurs, les crédits bancaires, après l'évolution positive à deux chiffres enregistrée durant la période 2008-2012, ils auraient entamé une série de décélérations. Leur rythme d’accroissement</w:t>
      </w:r>
      <w:r>
        <w:rPr>
          <w:rFonts w:asciiTheme="majorHAnsi" w:hAnsiTheme="majorHAnsi"/>
          <w:b w:val="0"/>
          <w:bCs w:val="0"/>
          <w:color w:val="000000" w:themeColor="text1"/>
          <w:sz w:val="30"/>
          <w:szCs w:val="30"/>
        </w:rPr>
        <w:t>,</w:t>
      </w:r>
      <w:r w:rsidRPr="009722C2">
        <w:rPr>
          <w:rFonts w:asciiTheme="majorHAnsi" w:hAnsiTheme="majorHAnsi"/>
          <w:b w:val="0"/>
          <w:bCs w:val="0"/>
          <w:color w:val="000000" w:themeColor="text1"/>
          <w:sz w:val="30"/>
          <w:szCs w:val="30"/>
        </w:rPr>
        <w:t xml:space="preserve"> qui est passé à 3,2% entre 2013</w:t>
      </w:r>
      <w:r w:rsidR="00C6197C">
        <w:rPr>
          <w:rFonts w:asciiTheme="majorHAnsi" w:hAnsiTheme="majorHAnsi"/>
          <w:b w:val="0"/>
          <w:bCs w:val="0"/>
          <w:color w:val="000000" w:themeColor="text1"/>
          <w:sz w:val="30"/>
          <w:szCs w:val="30"/>
        </w:rPr>
        <w:t xml:space="preserve"> et </w:t>
      </w:r>
      <w:r w:rsidRPr="009722C2">
        <w:rPr>
          <w:rFonts w:asciiTheme="majorHAnsi" w:hAnsiTheme="majorHAnsi"/>
          <w:b w:val="0"/>
          <w:bCs w:val="0"/>
          <w:color w:val="000000" w:themeColor="text1"/>
          <w:sz w:val="30"/>
          <w:szCs w:val="30"/>
        </w:rPr>
        <w:t>2017</w:t>
      </w:r>
      <w:r>
        <w:rPr>
          <w:rFonts w:asciiTheme="majorHAnsi" w:hAnsiTheme="majorHAnsi"/>
          <w:b w:val="0"/>
          <w:bCs w:val="0"/>
          <w:color w:val="000000" w:themeColor="text1"/>
          <w:sz w:val="30"/>
          <w:szCs w:val="30"/>
        </w:rPr>
        <w:t>,</w:t>
      </w:r>
      <w:r w:rsidRPr="009722C2">
        <w:rPr>
          <w:rFonts w:asciiTheme="majorHAnsi" w:hAnsiTheme="majorHAnsi"/>
          <w:b w:val="0"/>
          <w:bCs w:val="0"/>
          <w:color w:val="000000" w:themeColor="text1"/>
          <w:sz w:val="30"/>
          <w:szCs w:val="30"/>
        </w:rPr>
        <w:t xml:space="preserve"> n’aurait pas dépassé </w:t>
      </w:r>
      <w:r w:rsidR="007D4A6D">
        <w:rPr>
          <w:rFonts w:asciiTheme="majorHAnsi" w:hAnsiTheme="majorHAnsi"/>
          <w:b w:val="0"/>
          <w:bCs w:val="0"/>
          <w:color w:val="000000" w:themeColor="text1"/>
          <w:sz w:val="30"/>
          <w:szCs w:val="30"/>
        </w:rPr>
        <w:t>2</w:t>
      </w:r>
      <w:r w:rsidRPr="009722C2">
        <w:rPr>
          <w:rFonts w:asciiTheme="majorHAnsi" w:hAnsiTheme="majorHAnsi"/>
          <w:b w:val="0"/>
          <w:bCs w:val="0"/>
          <w:color w:val="000000" w:themeColor="text1"/>
          <w:sz w:val="30"/>
          <w:szCs w:val="30"/>
        </w:rPr>
        <w:t>% en 2018. Cette évolution aurait été attribuable à une amélioration timide des principales composantes des crédits, notamment ceux destinés à l’immobilier et à l’équipement.</w:t>
      </w:r>
    </w:p>
    <w:p w:rsidR="00A91772" w:rsidRPr="009722C2" w:rsidRDefault="00A91772" w:rsidP="00A91772">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A91772" w:rsidRPr="009722C2" w:rsidRDefault="00A91772" w:rsidP="00C6197C">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t>Toutefois, la création monétaire en 2018 aurait bénéficié partiellement de l'expansion des créances nettes sur l'</w:t>
      </w:r>
      <w:r w:rsidR="00C6197C">
        <w:rPr>
          <w:rFonts w:asciiTheme="majorHAnsi" w:hAnsiTheme="majorHAnsi"/>
          <w:b w:val="0"/>
          <w:bCs w:val="0"/>
          <w:color w:val="000000" w:themeColor="text1"/>
          <w:sz w:val="30"/>
          <w:szCs w:val="30"/>
        </w:rPr>
        <w:t>a</w:t>
      </w:r>
      <w:r w:rsidRPr="009722C2">
        <w:rPr>
          <w:rFonts w:asciiTheme="majorHAnsi" w:hAnsiTheme="majorHAnsi"/>
          <w:b w:val="0"/>
          <w:bCs w:val="0"/>
          <w:color w:val="000000" w:themeColor="text1"/>
          <w:sz w:val="30"/>
          <w:szCs w:val="30"/>
        </w:rPr>
        <w:t>dministration centrale qui aurait affiché un accroissement dépassant 22% au lieu de 17,8% en 2017. Dans ces conditions et compte tenu des prévisions retenues pour la croissance économique nationale en 2018 et l’évolution du niveau général des prix, la masse monétaire aurait connu une hausse de près de 3,5%, en ralentissement par rapport à 5,5% enregistré</w:t>
      </w:r>
      <w:r w:rsidR="00C6197C">
        <w:rPr>
          <w:rFonts w:asciiTheme="majorHAnsi" w:hAnsiTheme="majorHAnsi"/>
          <w:b w:val="0"/>
          <w:bCs w:val="0"/>
          <w:color w:val="000000" w:themeColor="text1"/>
          <w:sz w:val="30"/>
          <w:szCs w:val="30"/>
        </w:rPr>
        <w:t>e</w:t>
      </w:r>
      <w:r w:rsidRPr="009722C2">
        <w:rPr>
          <w:rFonts w:asciiTheme="majorHAnsi" w:hAnsiTheme="majorHAnsi"/>
          <w:b w:val="0"/>
          <w:bCs w:val="0"/>
          <w:color w:val="000000" w:themeColor="text1"/>
          <w:sz w:val="30"/>
          <w:szCs w:val="30"/>
        </w:rPr>
        <w:t xml:space="preserve"> en 2017 et 5,1% entre 2011</w:t>
      </w:r>
      <w:r w:rsidR="00C6197C">
        <w:rPr>
          <w:rFonts w:asciiTheme="majorHAnsi" w:hAnsiTheme="majorHAnsi"/>
          <w:b w:val="0"/>
          <w:bCs w:val="0"/>
          <w:color w:val="000000" w:themeColor="text1"/>
          <w:sz w:val="30"/>
          <w:szCs w:val="30"/>
        </w:rPr>
        <w:t xml:space="preserve"> et </w:t>
      </w:r>
      <w:r w:rsidRPr="009722C2">
        <w:rPr>
          <w:rFonts w:asciiTheme="majorHAnsi" w:hAnsiTheme="majorHAnsi"/>
          <w:b w:val="0"/>
          <w:bCs w:val="0"/>
          <w:color w:val="000000" w:themeColor="text1"/>
          <w:sz w:val="30"/>
          <w:szCs w:val="30"/>
        </w:rPr>
        <w:t xml:space="preserve">2016. </w:t>
      </w:r>
    </w:p>
    <w:p w:rsidR="00A91772" w:rsidRDefault="00A91772" w:rsidP="00A91772">
      <w:pPr>
        <w:spacing w:before="100" w:beforeAutospacing="1" w:after="100" w:afterAutospacing="1"/>
        <w:contextualSpacing/>
        <w:jc w:val="both"/>
        <w:rPr>
          <w:rFonts w:asciiTheme="majorHAnsi" w:hAnsiTheme="majorHAnsi"/>
          <w:caps/>
          <w:shadow/>
          <w:color w:val="000000" w:themeColor="text1"/>
          <w:kern w:val="16"/>
          <w:sz w:val="30"/>
          <w:szCs w:val="30"/>
          <w:u w:val="single"/>
        </w:rPr>
      </w:pPr>
    </w:p>
    <w:p w:rsidR="006A3949" w:rsidRDefault="006A3949" w:rsidP="00A91772">
      <w:pPr>
        <w:spacing w:before="100" w:beforeAutospacing="1" w:after="100" w:afterAutospacing="1"/>
        <w:contextualSpacing/>
        <w:jc w:val="both"/>
        <w:rPr>
          <w:rFonts w:asciiTheme="majorHAnsi" w:hAnsiTheme="majorHAnsi"/>
          <w:caps/>
          <w:shadow/>
          <w:color w:val="000000" w:themeColor="text1"/>
          <w:kern w:val="16"/>
          <w:sz w:val="30"/>
          <w:szCs w:val="30"/>
          <w:u w:val="single"/>
        </w:rPr>
      </w:pPr>
    </w:p>
    <w:p w:rsidR="0069012A" w:rsidRDefault="0069012A" w:rsidP="00A91772">
      <w:pPr>
        <w:spacing w:before="100" w:beforeAutospacing="1" w:after="100" w:afterAutospacing="1"/>
        <w:contextualSpacing/>
        <w:jc w:val="both"/>
        <w:rPr>
          <w:rFonts w:asciiTheme="majorHAnsi" w:hAnsiTheme="majorHAnsi"/>
          <w:caps/>
          <w:shadow/>
          <w:color w:val="000000" w:themeColor="text1"/>
          <w:kern w:val="16"/>
          <w:sz w:val="30"/>
          <w:szCs w:val="30"/>
          <w:u w:val="single"/>
        </w:rPr>
      </w:pPr>
    </w:p>
    <w:p w:rsidR="00AA616C" w:rsidRDefault="00AA616C" w:rsidP="00A91772">
      <w:pPr>
        <w:spacing w:before="100" w:beforeAutospacing="1" w:after="100" w:afterAutospacing="1"/>
        <w:contextualSpacing/>
        <w:jc w:val="both"/>
        <w:rPr>
          <w:rFonts w:asciiTheme="majorHAnsi" w:hAnsiTheme="majorHAnsi"/>
          <w:caps/>
          <w:shadow/>
          <w:color w:val="000000" w:themeColor="text1"/>
          <w:kern w:val="16"/>
          <w:sz w:val="30"/>
          <w:szCs w:val="30"/>
          <w:u w:val="single"/>
        </w:rPr>
      </w:pPr>
    </w:p>
    <w:p w:rsidR="00AA616C" w:rsidRDefault="00AA616C" w:rsidP="00A91772">
      <w:pPr>
        <w:spacing w:before="100" w:beforeAutospacing="1" w:after="100" w:afterAutospacing="1"/>
        <w:contextualSpacing/>
        <w:jc w:val="both"/>
        <w:rPr>
          <w:rFonts w:asciiTheme="majorHAnsi" w:hAnsiTheme="majorHAnsi"/>
          <w:caps/>
          <w:shadow/>
          <w:color w:val="000000" w:themeColor="text1"/>
          <w:kern w:val="16"/>
          <w:sz w:val="30"/>
          <w:szCs w:val="30"/>
          <w:u w:val="single"/>
        </w:rPr>
      </w:pPr>
    </w:p>
    <w:p w:rsidR="00AA616C" w:rsidRDefault="00AA616C" w:rsidP="00A91772">
      <w:pPr>
        <w:spacing w:before="100" w:beforeAutospacing="1" w:after="100" w:afterAutospacing="1"/>
        <w:contextualSpacing/>
        <w:jc w:val="both"/>
        <w:rPr>
          <w:rFonts w:asciiTheme="majorHAnsi" w:hAnsiTheme="majorHAnsi"/>
          <w:caps/>
          <w:shadow/>
          <w:color w:val="000000" w:themeColor="text1"/>
          <w:kern w:val="16"/>
          <w:sz w:val="30"/>
          <w:szCs w:val="30"/>
          <w:u w:val="single"/>
        </w:rPr>
      </w:pPr>
    </w:p>
    <w:p w:rsidR="0069012A" w:rsidRDefault="0069012A" w:rsidP="00A91772">
      <w:pPr>
        <w:spacing w:before="100" w:beforeAutospacing="1" w:after="100" w:afterAutospacing="1"/>
        <w:contextualSpacing/>
        <w:jc w:val="both"/>
        <w:rPr>
          <w:rFonts w:asciiTheme="majorHAnsi" w:hAnsiTheme="majorHAnsi"/>
          <w:caps/>
          <w:shadow/>
          <w:color w:val="000000" w:themeColor="text1"/>
          <w:kern w:val="16"/>
          <w:sz w:val="30"/>
          <w:szCs w:val="30"/>
          <w:u w:val="single"/>
        </w:rPr>
      </w:pPr>
    </w:p>
    <w:p w:rsidR="0069012A" w:rsidRDefault="0069012A" w:rsidP="00A91772">
      <w:pPr>
        <w:spacing w:before="100" w:beforeAutospacing="1" w:after="100" w:afterAutospacing="1"/>
        <w:contextualSpacing/>
        <w:jc w:val="both"/>
        <w:rPr>
          <w:rFonts w:asciiTheme="majorHAnsi" w:hAnsiTheme="majorHAnsi"/>
          <w:caps/>
          <w:shadow/>
          <w:color w:val="000000" w:themeColor="text1"/>
          <w:kern w:val="16"/>
          <w:sz w:val="30"/>
          <w:szCs w:val="30"/>
          <w:u w:val="single"/>
        </w:rPr>
      </w:pPr>
    </w:p>
    <w:p w:rsidR="0069012A" w:rsidRDefault="0069012A" w:rsidP="00A91772">
      <w:pPr>
        <w:spacing w:before="100" w:beforeAutospacing="1" w:after="100" w:afterAutospacing="1"/>
        <w:contextualSpacing/>
        <w:jc w:val="both"/>
        <w:rPr>
          <w:rFonts w:asciiTheme="majorHAnsi" w:hAnsiTheme="majorHAnsi"/>
          <w:caps/>
          <w:shadow/>
          <w:color w:val="000000" w:themeColor="text1"/>
          <w:kern w:val="16"/>
          <w:sz w:val="30"/>
          <w:szCs w:val="30"/>
          <w:u w:val="single"/>
        </w:rPr>
      </w:pPr>
    </w:p>
    <w:p w:rsidR="003B3DE2" w:rsidRDefault="003B3DE2" w:rsidP="00A91772">
      <w:pPr>
        <w:spacing w:before="100" w:beforeAutospacing="1" w:after="100" w:afterAutospacing="1"/>
        <w:contextualSpacing/>
        <w:jc w:val="both"/>
        <w:rPr>
          <w:rFonts w:asciiTheme="majorHAnsi" w:hAnsiTheme="majorHAnsi"/>
          <w:caps/>
          <w:shadow/>
          <w:color w:val="000000" w:themeColor="text1"/>
          <w:kern w:val="16"/>
          <w:sz w:val="30"/>
          <w:szCs w:val="30"/>
          <w:u w:val="single"/>
        </w:rPr>
      </w:pPr>
    </w:p>
    <w:p w:rsidR="003B3DE2" w:rsidRDefault="003B3DE2" w:rsidP="00A91772">
      <w:pPr>
        <w:spacing w:before="100" w:beforeAutospacing="1" w:after="100" w:afterAutospacing="1"/>
        <w:contextualSpacing/>
        <w:jc w:val="both"/>
        <w:rPr>
          <w:rFonts w:asciiTheme="majorHAnsi" w:hAnsiTheme="majorHAnsi"/>
          <w:caps/>
          <w:shadow/>
          <w:color w:val="000000" w:themeColor="text1"/>
          <w:kern w:val="16"/>
          <w:sz w:val="30"/>
          <w:szCs w:val="30"/>
          <w:u w:val="single"/>
        </w:rPr>
      </w:pPr>
    </w:p>
    <w:p w:rsidR="003B3DE2" w:rsidRDefault="003B3DE2" w:rsidP="00A91772">
      <w:pPr>
        <w:spacing w:before="100" w:beforeAutospacing="1" w:after="100" w:afterAutospacing="1"/>
        <w:contextualSpacing/>
        <w:jc w:val="both"/>
        <w:rPr>
          <w:rFonts w:asciiTheme="majorHAnsi" w:hAnsiTheme="majorHAnsi"/>
          <w:caps/>
          <w:shadow/>
          <w:color w:val="000000" w:themeColor="text1"/>
          <w:kern w:val="16"/>
          <w:sz w:val="30"/>
          <w:szCs w:val="30"/>
          <w:u w:val="single"/>
        </w:rPr>
      </w:pPr>
    </w:p>
    <w:p w:rsidR="00FE5BAD" w:rsidRPr="009722C2" w:rsidRDefault="004C4D45" w:rsidP="00EA2344">
      <w:pPr>
        <w:pStyle w:val="Titre"/>
        <w:numPr>
          <w:ilvl w:val="0"/>
          <w:numId w:val="2"/>
        </w:numPr>
        <w:tabs>
          <w:tab w:val="left" w:pos="993"/>
        </w:tabs>
        <w:spacing w:before="100" w:beforeAutospacing="1" w:after="100" w:afterAutospacing="1"/>
        <w:ind w:left="0" w:firstLine="284"/>
        <w:contextualSpacing/>
        <w:jc w:val="left"/>
        <w:rPr>
          <w:rFonts w:asciiTheme="majorHAnsi" w:hAnsiTheme="majorHAnsi"/>
          <w:caps/>
          <w:shadow/>
          <w:color w:val="000000" w:themeColor="text1"/>
          <w:kern w:val="16"/>
          <w:sz w:val="30"/>
          <w:szCs w:val="30"/>
          <w:u w:val="single"/>
        </w:rPr>
      </w:pPr>
      <w:r w:rsidRPr="009722C2">
        <w:rPr>
          <w:rFonts w:asciiTheme="majorHAnsi" w:hAnsiTheme="majorHAnsi"/>
          <w:caps/>
          <w:shadow/>
          <w:color w:val="000000" w:themeColor="text1"/>
          <w:kern w:val="16"/>
          <w:sz w:val="30"/>
          <w:szCs w:val="30"/>
          <w:u w:val="single"/>
        </w:rPr>
        <w:lastRenderedPageBreak/>
        <w:t>Perspectives</w:t>
      </w:r>
      <w:r w:rsidR="00FE5BAD" w:rsidRPr="009722C2">
        <w:rPr>
          <w:rFonts w:asciiTheme="majorHAnsi" w:hAnsiTheme="majorHAnsi"/>
          <w:caps/>
          <w:shadow/>
          <w:color w:val="000000" w:themeColor="text1"/>
          <w:kern w:val="16"/>
          <w:sz w:val="30"/>
          <w:szCs w:val="30"/>
          <w:u w:val="single"/>
        </w:rPr>
        <w:t xml:space="preserve"> économique</w:t>
      </w:r>
      <w:r w:rsidRPr="009722C2">
        <w:rPr>
          <w:rFonts w:asciiTheme="majorHAnsi" w:hAnsiTheme="majorHAnsi"/>
          <w:caps/>
          <w:shadow/>
          <w:color w:val="000000" w:themeColor="text1"/>
          <w:kern w:val="16"/>
          <w:sz w:val="30"/>
          <w:szCs w:val="30"/>
          <w:u w:val="single"/>
        </w:rPr>
        <w:t>s</w:t>
      </w:r>
      <w:r w:rsidR="00FE5BAD" w:rsidRPr="009722C2">
        <w:rPr>
          <w:rFonts w:asciiTheme="majorHAnsi" w:hAnsiTheme="majorHAnsi"/>
          <w:caps/>
          <w:shadow/>
          <w:color w:val="000000" w:themeColor="text1"/>
          <w:kern w:val="16"/>
          <w:sz w:val="30"/>
          <w:szCs w:val="30"/>
          <w:u w:val="single"/>
        </w:rPr>
        <w:t xml:space="preserve"> en 201</w:t>
      </w:r>
      <w:r w:rsidR="000101A5" w:rsidRPr="009722C2">
        <w:rPr>
          <w:rFonts w:asciiTheme="majorHAnsi" w:hAnsiTheme="majorHAnsi"/>
          <w:caps/>
          <w:shadow/>
          <w:color w:val="000000" w:themeColor="text1"/>
          <w:kern w:val="16"/>
          <w:sz w:val="30"/>
          <w:szCs w:val="30"/>
          <w:u w:val="single"/>
        </w:rPr>
        <w:t>9</w:t>
      </w:r>
    </w:p>
    <w:p w:rsidR="004C541B" w:rsidRPr="009722C2" w:rsidRDefault="004C541B" w:rsidP="00EA2344">
      <w:pPr>
        <w:pStyle w:val="Paragraphedeliste"/>
        <w:keepNext/>
        <w:keepLines/>
        <w:numPr>
          <w:ilvl w:val="0"/>
          <w:numId w:val="3"/>
        </w:numPr>
        <w:spacing w:before="100" w:beforeAutospacing="1" w:after="100" w:afterAutospacing="1" w:line="240" w:lineRule="auto"/>
        <w:ind w:left="0" w:firstLine="284"/>
        <w:outlineLvl w:val="1"/>
        <w:rPr>
          <w:rFonts w:asciiTheme="majorHAnsi" w:eastAsiaTheme="majorEastAsia" w:hAnsiTheme="majorHAnsi" w:cstheme="majorBidi"/>
          <w:vanish/>
          <w:color w:val="000000" w:themeColor="text1"/>
          <w:sz w:val="30"/>
          <w:szCs w:val="30"/>
          <w:lang w:eastAsia="fr-FR" w:bidi="ar-SA"/>
        </w:rPr>
      </w:pPr>
    </w:p>
    <w:p w:rsidR="004C541B" w:rsidRPr="009722C2" w:rsidRDefault="004C541B" w:rsidP="00EA2344">
      <w:pPr>
        <w:pStyle w:val="Paragraphedeliste"/>
        <w:keepNext/>
        <w:keepLines/>
        <w:numPr>
          <w:ilvl w:val="0"/>
          <w:numId w:val="3"/>
        </w:numPr>
        <w:spacing w:before="100" w:beforeAutospacing="1" w:after="100" w:afterAutospacing="1" w:line="240" w:lineRule="auto"/>
        <w:ind w:left="0" w:firstLine="284"/>
        <w:outlineLvl w:val="1"/>
        <w:rPr>
          <w:rFonts w:asciiTheme="majorHAnsi" w:eastAsiaTheme="majorEastAsia" w:hAnsiTheme="majorHAnsi" w:cstheme="majorBidi"/>
          <w:vanish/>
          <w:color w:val="000000" w:themeColor="text1"/>
          <w:sz w:val="30"/>
          <w:szCs w:val="30"/>
          <w:lang w:eastAsia="fr-FR" w:bidi="ar-SA"/>
        </w:rPr>
      </w:pPr>
    </w:p>
    <w:p w:rsidR="004C541B" w:rsidRPr="009722C2" w:rsidRDefault="004C541B" w:rsidP="00EA2344">
      <w:pPr>
        <w:pStyle w:val="Paragraphedeliste"/>
        <w:keepNext/>
        <w:keepLines/>
        <w:numPr>
          <w:ilvl w:val="0"/>
          <w:numId w:val="3"/>
        </w:numPr>
        <w:spacing w:before="100" w:beforeAutospacing="1" w:after="100" w:afterAutospacing="1" w:line="240" w:lineRule="auto"/>
        <w:ind w:left="0" w:firstLine="284"/>
        <w:outlineLvl w:val="1"/>
        <w:rPr>
          <w:rFonts w:asciiTheme="majorHAnsi" w:eastAsiaTheme="majorEastAsia" w:hAnsiTheme="majorHAnsi" w:cstheme="majorBidi"/>
          <w:vanish/>
          <w:color w:val="000000" w:themeColor="text1"/>
          <w:sz w:val="30"/>
          <w:szCs w:val="30"/>
          <w:lang w:eastAsia="fr-FR" w:bidi="ar-SA"/>
        </w:rPr>
      </w:pPr>
    </w:p>
    <w:p w:rsidR="00A542BF" w:rsidRPr="009722C2" w:rsidRDefault="00A542BF" w:rsidP="0009032B">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t>Les perspectives économiques nationales pour l’année 201</w:t>
      </w:r>
      <w:r w:rsidR="0009032B" w:rsidRPr="009722C2">
        <w:rPr>
          <w:rFonts w:asciiTheme="majorHAnsi" w:hAnsiTheme="majorHAnsi"/>
          <w:b w:val="0"/>
          <w:bCs w:val="0"/>
          <w:color w:val="000000" w:themeColor="text1"/>
          <w:sz w:val="30"/>
          <w:szCs w:val="30"/>
        </w:rPr>
        <w:t>9</w:t>
      </w:r>
      <w:r w:rsidRPr="009722C2">
        <w:rPr>
          <w:rFonts w:asciiTheme="majorHAnsi" w:hAnsiTheme="majorHAnsi"/>
          <w:b w:val="0"/>
          <w:bCs w:val="0"/>
          <w:color w:val="000000" w:themeColor="text1"/>
          <w:sz w:val="30"/>
          <w:szCs w:val="30"/>
        </w:rPr>
        <w:t xml:space="preserve"> prennent en considération, en plus des nouv</w:t>
      </w:r>
      <w:r w:rsidR="00A77C28">
        <w:rPr>
          <w:rFonts w:asciiTheme="majorHAnsi" w:hAnsiTheme="majorHAnsi"/>
          <w:b w:val="0"/>
          <w:bCs w:val="0"/>
          <w:color w:val="000000" w:themeColor="text1"/>
          <w:sz w:val="30"/>
          <w:szCs w:val="30"/>
        </w:rPr>
        <w:t>elles dispositions de la loi de</w:t>
      </w:r>
      <w:r w:rsidRPr="009722C2">
        <w:rPr>
          <w:rFonts w:asciiTheme="majorHAnsi" w:hAnsiTheme="majorHAnsi"/>
          <w:b w:val="0"/>
          <w:bCs w:val="0"/>
          <w:color w:val="000000" w:themeColor="text1"/>
          <w:sz w:val="30"/>
          <w:szCs w:val="30"/>
        </w:rPr>
        <w:t xml:space="preserve"> finances 2019, en matière de dépenses d’investissement, de fonctionnement et de compensation, les hypothèses afférentes aux nouvelles tendances de l’environnement national et international.</w:t>
      </w:r>
    </w:p>
    <w:p w:rsidR="00A542BF" w:rsidRPr="009722C2" w:rsidRDefault="00A542BF" w:rsidP="00A542BF">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B15C66" w:rsidRPr="009722C2" w:rsidRDefault="00B15C66" w:rsidP="00B15C66">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t>Ces prévisions se basent également sur la réalisation d’une production céréalière moyenne durant la campagne agricole 2018-2019 et une consolidation des activités des autres cultures et celles de l’</w:t>
      </w:r>
      <w:r>
        <w:rPr>
          <w:rFonts w:asciiTheme="majorHAnsi" w:hAnsiTheme="majorHAnsi"/>
          <w:b w:val="0"/>
          <w:bCs w:val="0"/>
          <w:color w:val="000000" w:themeColor="text1"/>
          <w:sz w:val="30"/>
          <w:szCs w:val="30"/>
        </w:rPr>
        <w:t xml:space="preserve">élevage. Elles  supposent une hausse de </w:t>
      </w:r>
      <w:r w:rsidRPr="009722C2">
        <w:rPr>
          <w:rFonts w:asciiTheme="majorHAnsi" w:hAnsiTheme="majorHAnsi"/>
          <w:b w:val="0"/>
          <w:bCs w:val="0"/>
          <w:color w:val="000000" w:themeColor="text1"/>
          <w:sz w:val="30"/>
          <w:szCs w:val="30"/>
        </w:rPr>
        <w:t>3,6% en 2019</w:t>
      </w:r>
      <w:r>
        <w:rPr>
          <w:rFonts w:asciiTheme="majorHAnsi" w:hAnsiTheme="majorHAnsi"/>
          <w:b w:val="0"/>
          <w:bCs w:val="0"/>
          <w:color w:val="000000" w:themeColor="text1"/>
          <w:sz w:val="30"/>
          <w:szCs w:val="30"/>
        </w:rPr>
        <w:t xml:space="preserve"> </w:t>
      </w:r>
      <w:r w:rsidRPr="009722C2">
        <w:rPr>
          <w:rFonts w:asciiTheme="majorHAnsi" w:hAnsiTheme="majorHAnsi"/>
          <w:b w:val="0"/>
          <w:bCs w:val="0"/>
          <w:color w:val="000000" w:themeColor="text1"/>
          <w:sz w:val="30"/>
          <w:szCs w:val="30"/>
        </w:rPr>
        <w:t>de la demande mondiale adressée au Maroc,  d</w:t>
      </w:r>
      <w:r>
        <w:rPr>
          <w:rFonts w:asciiTheme="majorHAnsi" w:hAnsiTheme="majorHAnsi"/>
          <w:b w:val="0"/>
          <w:bCs w:val="0"/>
          <w:color w:val="000000" w:themeColor="text1"/>
          <w:sz w:val="30"/>
          <w:szCs w:val="30"/>
        </w:rPr>
        <w:t>’</w:t>
      </w:r>
      <w:r w:rsidRPr="009722C2">
        <w:rPr>
          <w:rFonts w:asciiTheme="majorHAnsi" w:hAnsiTheme="majorHAnsi"/>
          <w:b w:val="0"/>
          <w:bCs w:val="0"/>
          <w:color w:val="000000" w:themeColor="text1"/>
          <w:sz w:val="30"/>
          <w:szCs w:val="30"/>
        </w:rPr>
        <w:t>u</w:t>
      </w:r>
      <w:r>
        <w:rPr>
          <w:rFonts w:asciiTheme="majorHAnsi" w:hAnsiTheme="majorHAnsi"/>
          <w:b w:val="0"/>
          <w:bCs w:val="0"/>
          <w:color w:val="000000" w:themeColor="text1"/>
          <w:sz w:val="30"/>
          <w:szCs w:val="30"/>
        </w:rPr>
        <w:t>n</w:t>
      </w:r>
      <w:r w:rsidRPr="009722C2">
        <w:rPr>
          <w:rFonts w:asciiTheme="majorHAnsi" w:hAnsiTheme="majorHAnsi"/>
          <w:b w:val="0"/>
          <w:bCs w:val="0"/>
          <w:color w:val="000000" w:themeColor="text1"/>
          <w:sz w:val="30"/>
          <w:szCs w:val="30"/>
        </w:rPr>
        <w:t xml:space="preserve"> redressement de près </w:t>
      </w:r>
      <w:r>
        <w:rPr>
          <w:rFonts w:asciiTheme="majorHAnsi" w:hAnsiTheme="majorHAnsi"/>
          <w:b w:val="0"/>
          <w:bCs w:val="0"/>
          <w:color w:val="000000" w:themeColor="text1"/>
          <w:sz w:val="30"/>
          <w:szCs w:val="30"/>
        </w:rPr>
        <w:t>de 3%</w:t>
      </w:r>
      <w:r w:rsidRPr="009722C2">
        <w:rPr>
          <w:rFonts w:asciiTheme="majorHAnsi" w:hAnsiTheme="majorHAnsi"/>
          <w:b w:val="0"/>
          <w:bCs w:val="0"/>
          <w:color w:val="000000" w:themeColor="text1"/>
          <w:sz w:val="30"/>
          <w:szCs w:val="30"/>
        </w:rPr>
        <w:t xml:space="preserve"> </w:t>
      </w:r>
      <w:r>
        <w:rPr>
          <w:rFonts w:asciiTheme="majorHAnsi" w:hAnsiTheme="majorHAnsi"/>
          <w:b w:val="0"/>
          <w:bCs w:val="0"/>
          <w:color w:val="000000" w:themeColor="text1"/>
          <w:sz w:val="30"/>
          <w:szCs w:val="30"/>
        </w:rPr>
        <w:t xml:space="preserve">des transferts des MRE, </w:t>
      </w:r>
      <w:r w:rsidRPr="009722C2">
        <w:rPr>
          <w:rFonts w:asciiTheme="majorHAnsi" w:hAnsiTheme="majorHAnsi"/>
          <w:b w:val="0"/>
          <w:bCs w:val="0"/>
          <w:color w:val="000000" w:themeColor="text1"/>
          <w:sz w:val="30"/>
          <w:szCs w:val="30"/>
        </w:rPr>
        <w:t>de la progression de 4%</w:t>
      </w:r>
      <w:r>
        <w:rPr>
          <w:rFonts w:asciiTheme="majorHAnsi" w:hAnsiTheme="majorHAnsi"/>
          <w:b w:val="0"/>
          <w:bCs w:val="0"/>
          <w:color w:val="000000" w:themeColor="text1"/>
          <w:sz w:val="30"/>
          <w:szCs w:val="30"/>
        </w:rPr>
        <w:t xml:space="preserve"> </w:t>
      </w:r>
      <w:r w:rsidRPr="009722C2">
        <w:rPr>
          <w:rFonts w:asciiTheme="majorHAnsi" w:hAnsiTheme="majorHAnsi"/>
          <w:b w:val="0"/>
          <w:bCs w:val="0"/>
          <w:color w:val="000000" w:themeColor="text1"/>
          <w:sz w:val="30"/>
          <w:szCs w:val="30"/>
        </w:rPr>
        <w:t>des recettes touristiques</w:t>
      </w:r>
      <w:r>
        <w:rPr>
          <w:rFonts w:asciiTheme="majorHAnsi" w:hAnsiTheme="majorHAnsi"/>
          <w:b w:val="0"/>
          <w:bCs w:val="0"/>
          <w:color w:val="000000" w:themeColor="text1"/>
          <w:sz w:val="30"/>
          <w:szCs w:val="30"/>
        </w:rPr>
        <w:t xml:space="preserve"> </w:t>
      </w:r>
      <w:r w:rsidRPr="009722C2">
        <w:rPr>
          <w:rFonts w:asciiTheme="majorHAnsi" w:hAnsiTheme="majorHAnsi"/>
          <w:b w:val="0"/>
          <w:bCs w:val="0"/>
          <w:color w:val="000000" w:themeColor="text1"/>
          <w:sz w:val="30"/>
          <w:szCs w:val="30"/>
        </w:rPr>
        <w:t>et de la consolidation du rythme d’accroissement des investissements directs étrangers de 10%.</w:t>
      </w:r>
    </w:p>
    <w:p w:rsidR="00C0271A" w:rsidRPr="009722C2" w:rsidRDefault="00C0271A" w:rsidP="007A5779">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DE494B" w:rsidRPr="009722C2" w:rsidRDefault="00D72884" w:rsidP="00B15C66">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t>Dans ce</w:t>
      </w:r>
      <w:r w:rsidR="00B15C66">
        <w:rPr>
          <w:rFonts w:asciiTheme="majorHAnsi" w:hAnsiTheme="majorHAnsi"/>
          <w:b w:val="0"/>
          <w:bCs w:val="0"/>
          <w:color w:val="000000" w:themeColor="text1"/>
          <w:sz w:val="30"/>
          <w:szCs w:val="30"/>
        </w:rPr>
        <w:t>s</w:t>
      </w:r>
      <w:r w:rsidRPr="009722C2">
        <w:rPr>
          <w:rFonts w:asciiTheme="majorHAnsi" w:hAnsiTheme="majorHAnsi"/>
          <w:b w:val="0"/>
          <w:bCs w:val="0"/>
          <w:color w:val="000000" w:themeColor="text1"/>
          <w:sz w:val="30"/>
          <w:szCs w:val="30"/>
        </w:rPr>
        <w:t xml:space="preserve"> </w:t>
      </w:r>
      <w:r w:rsidR="00B15C66">
        <w:rPr>
          <w:rFonts w:asciiTheme="majorHAnsi" w:hAnsiTheme="majorHAnsi"/>
          <w:b w:val="0"/>
          <w:bCs w:val="0"/>
          <w:color w:val="000000" w:themeColor="text1"/>
          <w:sz w:val="30"/>
          <w:szCs w:val="30"/>
        </w:rPr>
        <w:t>conditions</w:t>
      </w:r>
      <w:r w:rsidR="00DE494B" w:rsidRPr="009722C2">
        <w:rPr>
          <w:rFonts w:asciiTheme="majorHAnsi" w:hAnsiTheme="majorHAnsi"/>
          <w:b w:val="0"/>
          <w:bCs w:val="0"/>
          <w:color w:val="000000" w:themeColor="text1"/>
          <w:sz w:val="30"/>
          <w:szCs w:val="30"/>
        </w:rPr>
        <w:t xml:space="preserve">, </w:t>
      </w:r>
      <w:r w:rsidRPr="009722C2">
        <w:rPr>
          <w:rFonts w:asciiTheme="majorHAnsi" w:hAnsiTheme="majorHAnsi"/>
          <w:b w:val="0"/>
          <w:bCs w:val="0"/>
          <w:color w:val="000000" w:themeColor="text1"/>
          <w:sz w:val="30"/>
          <w:szCs w:val="30"/>
        </w:rPr>
        <w:t>l</w:t>
      </w:r>
      <w:r w:rsidR="00DE494B" w:rsidRPr="009722C2">
        <w:rPr>
          <w:rFonts w:asciiTheme="majorHAnsi" w:hAnsiTheme="majorHAnsi"/>
          <w:b w:val="0"/>
          <w:bCs w:val="0"/>
          <w:color w:val="000000" w:themeColor="text1"/>
          <w:sz w:val="30"/>
          <w:szCs w:val="30"/>
        </w:rPr>
        <w:t xml:space="preserve">a valeur ajoutée du </w:t>
      </w:r>
      <w:r w:rsidR="00DE494B" w:rsidRPr="009722C2">
        <w:rPr>
          <w:rFonts w:asciiTheme="majorHAnsi" w:hAnsiTheme="majorHAnsi"/>
          <w:color w:val="000000" w:themeColor="text1"/>
          <w:sz w:val="30"/>
          <w:szCs w:val="30"/>
        </w:rPr>
        <w:t>secteur primaire</w:t>
      </w:r>
      <w:r w:rsidR="00DE494B" w:rsidRPr="009722C2">
        <w:rPr>
          <w:rFonts w:asciiTheme="majorHAnsi" w:hAnsiTheme="majorHAnsi"/>
          <w:b w:val="0"/>
          <w:bCs w:val="0"/>
          <w:color w:val="000000" w:themeColor="text1"/>
          <w:sz w:val="30"/>
          <w:szCs w:val="30"/>
        </w:rPr>
        <w:t xml:space="preserve"> devrait </w:t>
      </w:r>
      <w:r w:rsidR="00E25ECF">
        <w:rPr>
          <w:rFonts w:asciiTheme="majorHAnsi" w:hAnsiTheme="majorHAnsi"/>
          <w:b w:val="0"/>
          <w:bCs w:val="0"/>
          <w:color w:val="000000" w:themeColor="text1"/>
          <w:sz w:val="30"/>
          <w:szCs w:val="30"/>
        </w:rPr>
        <w:t>ralentir à</w:t>
      </w:r>
      <w:r w:rsidR="00DE494B" w:rsidRPr="009722C2">
        <w:rPr>
          <w:rFonts w:asciiTheme="majorHAnsi" w:hAnsiTheme="majorHAnsi"/>
          <w:b w:val="0"/>
          <w:bCs w:val="0"/>
          <w:color w:val="000000" w:themeColor="text1"/>
          <w:sz w:val="30"/>
          <w:szCs w:val="30"/>
        </w:rPr>
        <w:t xml:space="preserve"> </w:t>
      </w:r>
      <w:r w:rsidR="00A06951" w:rsidRPr="009722C2">
        <w:rPr>
          <w:rFonts w:asciiTheme="majorHAnsi" w:hAnsiTheme="majorHAnsi"/>
          <w:b w:val="0"/>
          <w:bCs w:val="0"/>
          <w:color w:val="000000" w:themeColor="text1"/>
          <w:sz w:val="30"/>
          <w:szCs w:val="30"/>
        </w:rPr>
        <w:t>0,</w:t>
      </w:r>
      <w:r w:rsidR="007A5779" w:rsidRPr="009722C2">
        <w:rPr>
          <w:rFonts w:asciiTheme="majorHAnsi" w:hAnsiTheme="majorHAnsi"/>
          <w:b w:val="0"/>
          <w:bCs w:val="0"/>
          <w:color w:val="000000" w:themeColor="text1"/>
          <w:sz w:val="30"/>
          <w:szCs w:val="30"/>
        </w:rPr>
        <w:t>1</w:t>
      </w:r>
      <w:r w:rsidR="00DE494B" w:rsidRPr="009722C2">
        <w:rPr>
          <w:rFonts w:asciiTheme="majorHAnsi" w:hAnsiTheme="majorHAnsi"/>
          <w:b w:val="0"/>
          <w:bCs w:val="0"/>
          <w:color w:val="000000" w:themeColor="text1"/>
          <w:sz w:val="30"/>
          <w:szCs w:val="30"/>
        </w:rPr>
        <w:t xml:space="preserve">% après </w:t>
      </w:r>
      <w:r w:rsidR="00A06951" w:rsidRPr="009722C2">
        <w:rPr>
          <w:rFonts w:asciiTheme="majorHAnsi" w:hAnsiTheme="majorHAnsi"/>
          <w:b w:val="0"/>
          <w:bCs w:val="0"/>
          <w:color w:val="000000" w:themeColor="text1"/>
          <w:sz w:val="30"/>
          <w:szCs w:val="30"/>
        </w:rPr>
        <w:t>3,8</w:t>
      </w:r>
      <w:r w:rsidR="00DE494B" w:rsidRPr="009722C2">
        <w:rPr>
          <w:rFonts w:asciiTheme="majorHAnsi" w:hAnsiTheme="majorHAnsi"/>
          <w:b w:val="0"/>
          <w:bCs w:val="0"/>
          <w:color w:val="000000" w:themeColor="text1"/>
          <w:sz w:val="30"/>
          <w:szCs w:val="30"/>
        </w:rPr>
        <w:t>% en 201</w:t>
      </w:r>
      <w:r w:rsidR="000101A5" w:rsidRPr="009722C2">
        <w:rPr>
          <w:rFonts w:asciiTheme="majorHAnsi" w:hAnsiTheme="majorHAnsi"/>
          <w:b w:val="0"/>
          <w:bCs w:val="0"/>
          <w:color w:val="000000" w:themeColor="text1"/>
          <w:sz w:val="30"/>
          <w:szCs w:val="30"/>
        </w:rPr>
        <w:t>8</w:t>
      </w:r>
      <w:r w:rsidR="00DE494B" w:rsidRPr="009722C2">
        <w:rPr>
          <w:rFonts w:asciiTheme="majorHAnsi" w:hAnsiTheme="majorHAnsi"/>
          <w:b w:val="0"/>
          <w:bCs w:val="0"/>
          <w:color w:val="000000" w:themeColor="text1"/>
          <w:sz w:val="30"/>
          <w:szCs w:val="30"/>
        </w:rPr>
        <w:t>. Les activités non agricoles</w:t>
      </w:r>
      <w:r w:rsidR="00E25ECF">
        <w:rPr>
          <w:rFonts w:asciiTheme="majorHAnsi" w:hAnsiTheme="majorHAnsi"/>
          <w:b w:val="0"/>
          <w:bCs w:val="0"/>
          <w:color w:val="000000" w:themeColor="text1"/>
          <w:sz w:val="30"/>
          <w:szCs w:val="30"/>
        </w:rPr>
        <w:t>,</w:t>
      </w:r>
      <w:r w:rsidR="000442B6" w:rsidRPr="000442B6">
        <w:rPr>
          <w:rFonts w:asciiTheme="majorHAnsi" w:hAnsiTheme="majorHAnsi"/>
          <w:b w:val="0"/>
          <w:bCs w:val="0"/>
          <w:color w:val="000000" w:themeColor="text1"/>
          <w:sz w:val="30"/>
          <w:szCs w:val="30"/>
        </w:rPr>
        <w:t xml:space="preserve"> </w:t>
      </w:r>
      <w:r w:rsidR="00E25ECF">
        <w:rPr>
          <w:rFonts w:asciiTheme="majorHAnsi" w:hAnsiTheme="majorHAnsi"/>
          <w:b w:val="0"/>
          <w:bCs w:val="0"/>
          <w:color w:val="000000" w:themeColor="text1"/>
          <w:sz w:val="30"/>
          <w:szCs w:val="30"/>
        </w:rPr>
        <w:t>e</w:t>
      </w:r>
      <w:r w:rsidR="00E25ECF" w:rsidRPr="000442B6">
        <w:rPr>
          <w:rFonts w:asciiTheme="majorHAnsi" w:hAnsiTheme="majorHAnsi"/>
          <w:b w:val="0"/>
          <w:bCs w:val="0"/>
          <w:color w:val="000000" w:themeColor="text1"/>
          <w:sz w:val="30"/>
          <w:szCs w:val="30"/>
        </w:rPr>
        <w:t xml:space="preserve">n l’absence d’impulsions permettant l’enclenchement d’une reprise soutenue de la demande </w:t>
      </w:r>
      <w:bookmarkStart w:id="3" w:name="_GoBack"/>
      <w:bookmarkEnd w:id="3"/>
      <w:r w:rsidR="00E25ECF" w:rsidRPr="000442B6">
        <w:rPr>
          <w:rFonts w:asciiTheme="majorHAnsi" w:hAnsiTheme="majorHAnsi"/>
          <w:b w:val="0"/>
          <w:bCs w:val="0"/>
          <w:color w:val="000000" w:themeColor="text1"/>
          <w:sz w:val="30"/>
          <w:szCs w:val="30"/>
        </w:rPr>
        <w:t>qui concernerait davantage la production locale et non pas les importations</w:t>
      </w:r>
      <w:r w:rsidR="00E25ECF">
        <w:rPr>
          <w:rFonts w:asciiTheme="majorHAnsi" w:hAnsiTheme="majorHAnsi"/>
          <w:b w:val="0"/>
          <w:bCs w:val="0"/>
          <w:color w:val="000000" w:themeColor="text1"/>
          <w:sz w:val="30"/>
          <w:szCs w:val="30"/>
        </w:rPr>
        <w:t xml:space="preserve">, </w:t>
      </w:r>
      <w:r w:rsidR="00E25ECF" w:rsidRPr="000442B6">
        <w:rPr>
          <w:rFonts w:asciiTheme="majorHAnsi" w:hAnsiTheme="majorHAnsi"/>
          <w:b w:val="0"/>
          <w:bCs w:val="0"/>
          <w:color w:val="000000" w:themeColor="text1"/>
          <w:sz w:val="30"/>
          <w:szCs w:val="30"/>
        </w:rPr>
        <w:t>devraien</w:t>
      </w:r>
      <w:r w:rsidR="00E25ECF">
        <w:rPr>
          <w:rFonts w:asciiTheme="majorHAnsi" w:hAnsiTheme="majorHAnsi"/>
          <w:b w:val="0"/>
          <w:bCs w:val="0"/>
          <w:color w:val="000000" w:themeColor="text1"/>
          <w:sz w:val="30"/>
          <w:szCs w:val="30"/>
        </w:rPr>
        <w:t xml:space="preserve">t </w:t>
      </w:r>
      <w:r w:rsidR="000442B6" w:rsidRPr="000442B6">
        <w:rPr>
          <w:rFonts w:asciiTheme="majorHAnsi" w:hAnsiTheme="majorHAnsi"/>
          <w:b w:val="0"/>
          <w:bCs w:val="0"/>
          <w:color w:val="000000" w:themeColor="text1"/>
          <w:sz w:val="30"/>
          <w:szCs w:val="30"/>
        </w:rPr>
        <w:t>poursuivre leur amélioration à petits pas en 2019</w:t>
      </w:r>
      <w:r w:rsidR="00E25ECF">
        <w:rPr>
          <w:rFonts w:asciiTheme="majorHAnsi" w:hAnsiTheme="majorHAnsi"/>
          <w:b w:val="0"/>
          <w:bCs w:val="0"/>
          <w:color w:val="000000" w:themeColor="text1"/>
          <w:sz w:val="30"/>
          <w:szCs w:val="30"/>
        </w:rPr>
        <w:t>.</w:t>
      </w:r>
      <w:r w:rsidR="000442B6" w:rsidRPr="000442B6">
        <w:rPr>
          <w:rFonts w:asciiTheme="majorHAnsi" w:hAnsiTheme="majorHAnsi"/>
          <w:b w:val="0"/>
          <w:bCs w:val="0"/>
          <w:color w:val="000000" w:themeColor="text1"/>
          <w:sz w:val="30"/>
          <w:szCs w:val="30"/>
        </w:rPr>
        <w:t xml:space="preserve"> </w:t>
      </w:r>
      <w:r w:rsidR="000442B6">
        <w:rPr>
          <w:rFonts w:asciiTheme="majorHAnsi" w:hAnsiTheme="majorHAnsi"/>
          <w:b w:val="0"/>
          <w:bCs w:val="0"/>
          <w:color w:val="000000" w:themeColor="text1"/>
          <w:sz w:val="30"/>
          <w:szCs w:val="30"/>
        </w:rPr>
        <w:t>Elles</w:t>
      </w:r>
      <w:r w:rsidR="000442B6" w:rsidRPr="000442B6">
        <w:rPr>
          <w:rFonts w:asciiTheme="majorHAnsi" w:hAnsiTheme="majorHAnsi"/>
          <w:b w:val="0"/>
          <w:bCs w:val="0"/>
          <w:color w:val="000000" w:themeColor="text1"/>
          <w:sz w:val="30"/>
          <w:szCs w:val="30"/>
        </w:rPr>
        <w:t xml:space="preserve"> </w:t>
      </w:r>
      <w:r w:rsidR="00DE494B" w:rsidRPr="009722C2">
        <w:rPr>
          <w:rFonts w:asciiTheme="majorHAnsi" w:hAnsiTheme="majorHAnsi"/>
          <w:b w:val="0"/>
          <w:bCs w:val="0"/>
          <w:color w:val="000000" w:themeColor="text1"/>
          <w:sz w:val="30"/>
          <w:szCs w:val="30"/>
        </w:rPr>
        <w:t xml:space="preserve">s’accroitraient </w:t>
      </w:r>
      <w:r w:rsidR="00E25ECF">
        <w:rPr>
          <w:rFonts w:asciiTheme="majorHAnsi" w:hAnsiTheme="majorHAnsi"/>
          <w:b w:val="0"/>
          <w:bCs w:val="0"/>
          <w:color w:val="000000" w:themeColor="text1"/>
          <w:sz w:val="30"/>
          <w:szCs w:val="30"/>
        </w:rPr>
        <w:t xml:space="preserve">ainsi </w:t>
      </w:r>
      <w:r w:rsidR="00DE494B" w:rsidRPr="009722C2">
        <w:rPr>
          <w:rFonts w:asciiTheme="majorHAnsi" w:hAnsiTheme="majorHAnsi"/>
          <w:b w:val="0"/>
          <w:bCs w:val="0"/>
          <w:color w:val="000000" w:themeColor="text1"/>
          <w:sz w:val="30"/>
          <w:szCs w:val="30"/>
        </w:rPr>
        <w:t xml:space="preserve">de </w:t>
      </w:r>
      <w:r w:rsidR="000101A5" w:rsidRPr="009722C2">
        <w:rPr>
          <w:rFonts w:asciiTheme="majorHAnsi" w:hAnsiTheme="majorHAnsi"/>
          <w:b w:val="0"/>
          <w:bCs w:val="0"/>
          <w:color w:val="000000" w:themeColor="text1"/>
          <w:sz w:val="30"/>
          <w:szCs w:val="30"/>
        </w:rPr>
        <w:t>3</w:t>
      </w:r>
      <w:r w:rsidR="00DE494B" w:rsidRPr="009722C2">
        <w:rPr>
          <w:rFonts w:asciiTheme="majorHAnsi" w:hAnsiTheme="majorHAnsi"/>
          <w:b w:val="0"/>
          <w:bCs w:val="0"/>
          <w:color w:val="000000" w:themeColor="text1"/>
          <w:sz w:val="30"/>
          <w:szCs w:val="30"/>
        </w:rPr>
        <w:t xml:space="preserve">,1% au lieu de </w:t>
      </w:r>
      <w:r w:rsidR="000101A5" w:rsidRPr="009722C2">
        <w:rPr>
          <w:rFonts w:asciiTheme="majorHAnsi" w:hAnsiTheme="majorHAnsi"/>
          <w:b w:val="0"/>
          <w:bCs w:val="0"/>
          <w:color w:val="000000" w:themeColor="text1"/>
          <w:sz w:val="30"/>
          <w:szCs w:val="30"/>
        </w:rPr>
        <w:t>2</w:t>
      </w:r>
      <w:r w:rsidR="00DE494B" w:rsidRPr="009722C2">
        <w:rPr>
          <w:rFonts w:asciiTheme="majorHAnsi" w:hAnsiTheme="majorHAnsi"/>
          <w:b w:val="0"/>
          <w:bCs w:val="0"/>
          <w:color w:val="000000" w:themeColor="text1"/>
          <w:sz w:val="30"/>
          <w:szCs w:val="30"/>
        </w:rPr>
        <w:t>,</w:t>
      </w:r>
      <w:r w:rsidR="000101A5" w:rsidRPr="009722C2">
        <w:rPr>
          <w:rFonts w:asciiTheme="majorHAnsi" w:hAnsiTheme="majorHAnsi"/>
          <w:b w:val="0"/>
          <w:bCs w:val="0"/>
          <w:color w:val="000000" w:themeColor="text1"/>
          <w:sz w:val="30"/>
          <w:szCs w:val="30"/>
        </w:rPr>
        <w:t>9</w:t>
      </w:r>
      <w:r w:rsidR="00DE494B" w:rsidRPr="009722C2">
        <w:rPr>
          <w:rFonts w:asciiTheme="majorHAnsi" w:hAnsiTheme="majorHAnsi"/>
          <w:b w:val="0"/>
          <w:bCs w:val="0"/>
          <w:color w:val="000000" w:themeColor="text1"/>
          <w:sz w:val="30"/>
          <w:szCs w:val="30"/>
        </w:rPr>
        <w:t>% estimé pour 201</w:t>
      </w:r>
      <w:r w:rsidR="000101A5" w:rsidRPr="009722C2">
        <w:rPr>
          <w:rFonts w:asciiTheme="majorHAnsi" w:hAnsiTheme="majorHAnsi"/>
          <w:b w:val="0"/>
          <w:bCs w:val="0"/>
          <w:color w:val="000000" w:themeColor="text1"/>
          <w:sz w:val="30"/>
          <w:szCs w:val="30"/>
        </w:rPr>
        <w:t>8</w:t>
      </w:r>
      <w:r w:rsidR="000442B6">
        <w:rPr>
          <w:rFonts w:asciiTheme="majorHAnsi" w:hAnsiTheme="majorHAnsi"/>
          <w:b w:val="0"/>
          <w:bCs w:val="0"/>
          <w:color w:val="000000" w:themeColor="text1"/>
          <w:sz w:val="30"/>
          <w:szCs w:val="30"/>
        </w:rPr>
        <w:t xml:space="preserve"> </w:t>
      </w:r>
      <w:r w:rsidR="00E25ECF">
        <w:rPr>
          <w:rFonts w:asciiTheme="majorHAnsi" w:hAnsiTheme="majorHAnsi"/>
          <w:b w:val="0"/>
          <w:bCs w:val="0"/>
          <w:color w:val="000000" w:themeColor="text1"/>
          <w:sz w:val="30"/>
          <w:szCs w:val="30"/>
        </w:rPr>
        <w:t>attribuable</w:t>
      </w:r>
      <w:r w:rsidR="000442B6">
        <w:rPr>
          <w:rFonts w:asciiTheme="majorHAnsi" w:hAnsiTheme="majorHAnsi"/>
          <w:b w:val="0"/>
          <w:bCs w:val="0"/>
          <w:color w:val="000000" w:themeColor="text1"/>
          <w:sz w:val="30"/>
          <w:szCs w:val="30"/>
        </w:rPr>
        <w:t xml:space="preserve">  à </w:t>
      </w:r>
      <w:r w:rsidR="00DE494B" w:rsidRPr="009722C2">
        <w:rPr>
          <w:rFonts w:asciiTheme="majorHAnsi" w:hAnsiTheme="majorHAnsi"/>
          <w:b w:val="0"/>
          <w:bCs w:val="0"/>
          <w:color w:val="000000" w:themeColor="text1"/>
          <w:sz w:val="30"/>
          <w:szCs w:val="30"/>
        </w:rPr>
        <w:t xml:space="preserve">l’amélioration </w:t>
      </w:r>
      <w:r w:rsidR="00E25ECF">
        <w:rPr>
          <w:rFonts w:asciiTheme="majorHAnsi" w:hAnsiTheme="majorHAnsi"/>
          <w:b w:val="0"/>
          <w:bCs w:val="0"/>
          <w:color w:val="000000" w:themeColor="text1"/>
          <w:sz w:val="30"/>
          <w:szCs w:val="30"/>
        </w:rPr>
        <w:t xml:space="preserve">prévue </w:t>
      </w:r>
      <w:r w:rsidR="00FA16B2" w:rsidRPr="009722C2">
        <w:rPr>
          <w:rFonts w:asciiTheme="majorHAnsi" w:hAnsiTheme="majorHAnsi"/>
          <w:b w:val="0"/>
          <w:bCs w:val="0"/>
          <w:color w:val="000000" w:themeColor="text1"/>
          <w:sz w:val="30"/>
          <w:szCs w:val="30"/>
        </w:rPr>
        <w:t>de 3</w:t>
      </w:r>
      <w:r w:rsidR="008C03E1">
        <w:rPr>
          <w:rFonts w:asciiTheme="majorHAnsi" w:hAnsiTheme="majorHAnsi"/>
          <w:b w:val="0"/>
          <w:bCs w:val="0"/>
          <w:color w:val="000000" w:themeColor="text1"/>
          <w:sz w:val="30"/>
          <w:szCs w:val="30"/>
        </w:rPr>
        <w:t>,1</w:t>
      </w:r>
      <w:r w:rsidRPr="009722C2">
        <w:rPr>
          <w:rFonts w:asciiTheme="majorHAnsi" w:hAnsiTheme="majorHAnsi"/>
          <w:b w:val="0"/>
          <w:bCs w:val="0"/>
          <w:color w:val="000000" w:themeColor="text1"/>
          <w:sz w:val="30"/>
          <w:szCs w:val="30"/>
        </w:rPr>
        <w:t xml:space="preserve">% </w:t>
      </w:r>
      <w:r w:rsidR="000442B6">
        <w:rPr>
          <w:rFonts w:asciiTheme="majorHAnsi" w:hAnsiTheme="majorHAnsi"/>
          <w:b w:val="0"/>
          <w:bCs w:val="0"/>
          <w:color w:val="000000" w:themeColor="text1"/>
          <w:sz w:val="30"/>
          <w:szCs w:val="30"/>
        </w:rPr>
        <w:t>du secteur secondaire et</w:t>
      </w:r>
      <w:r w:rsidR="00DE494B" w:rsidRPr="009722C2">
        <w:rPr>
          <w:rFonts w:asciiTheme="majorHAnsi" w:hAnsiTheme="majorHAnsi"/>
          <w:b w:val="0"/>
          <w:bCs w:val="0"/>
          <w:color w:val="000000" w:themeColor="text1"/>
          <w:sz w:val="30"/>
          <w:szCs w:val="30"/>
        </w:rPr>
        <w:t xml:space="preserve"> </w:t>
      </w:r>
      <w:r w:rsidR="000442B6" w:rsidRPr="009722C2">
        <w:rPr>
          <w:rFonts w:asciiTheme="majorHAnsi" w:hAnsiTheme="majorHAnsi"/>
          <w:b w:val="0"/>
          <w:bCs w:val="0"/>
          <w:color w:val="000000" w:themeColor="text1"/>
          <w:sz w:val="30"/>
          <w:szCs w:val="30"/>
        </w:rPr>
        <w:t xml:space="preserve">de 3,2% </w:t>
      </w:r>
      <w:r w:rsidR="00DE494B" w:rsidRPr="009722C2">
        <w:rPr>
          <w:rFonts w:asciiTheme="majorHAnsi" w:hAnsiTheme="majorHAnsi"/>
          <w:b w:val="0"/>
          <w:bCs w:val="0"/>
          <w:color w:val="000000" w:themeColor="text1"/>
          <w:sz w:val="30"/>
          <w:szCs w:val="30"/>
        </w:rPr>
        <w:t>des activités tertiaire</w:t>
      </w:r>
      <w:r w:rsidR="00E25ECF">
        <w:rPr>
          <w:rFonts w:asciiTheme="majorHAnsi" w:hAnsiTheme="majorHAnsi"/>
          <w:b w:val="0"/>
          <w:bCs w:val="0"/>
          <w:color w:val="000000" w:themeColor="text1"/>
          <w:sz w:val="30"/>
          <w:szCs w:val="30"/>
        </w:rPr>
        <w:t>s</w:t>
      </w:r>
      <w:r w:rsidR="000442B6">
        <w:rPr>
          <w:rFonts w:asciiTheme="majorHAnsi" w:hAnsiTheme="majorHAnsi"/>
          <w:b w:val="0"/>
          <w:bCs w:val="0"/>
          <w:color w:val="000000" w:themeColor="text1"/>
          <w:sz w:val="30"/>
          <w:szCs w:val="30"/>
        </w:rPr>
        <w:t>.</w:t>
      </w:r>
      <w:r w:rsidR="00DE494B" w:rsidRPr="009722C2">
        <w:rPr>
          <w:rFonts w:asciiTheme="majorHAnsi" w:hAnsiTheme="majorHAnsi"/>
          <w:b w:val="0"/>
          <w:bCs w:val="0"/>
          <w:color w:val="000000" w:themeColor="text1"/>
          <w:sz w:val="30"/>
          <w:szCs w:val="30"/>
        </w:rPr>
        <w:t xml:space="preserve"> </w:t>
      </w:r>
    </w:p>
    <w:p w:rsidR="00CD5BCE" w:rsidRPr="009722C2" w:rsidRDefault="00CD5BCE" w:rsidP="00043538">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69012A" w:rsidRDefault="00844CA7" w:rsidP="00A77C28">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t xml:space="preserve">Compte tenu de ces </w:t>
      </w:r>
      <w:r w:rsidR="00260F51" w:rsidRPr="009722C2">
        <w:rPr>
          <w:rFonts w:asciiTheme="majorHAnsi" w:hAnsiTheme="majorHAnsi"/>
          <w:b w:val="0"/>
          <w:bCs w:val="0"/>
          <w:color w:val="000000" w:themeColor="text1"/>
          <w:sz w:val="30"/>
          <w:szCs w:val="30"/>
        </w:rPr>
        <w:t>évolutions et d</w:t>
      </w:r>
      <w:r w:rsidR="00DD59F4" w:rsidRPr="009722C2">
        <w:rPr>
          <w:rFonts w:asciiTheme="majorHAnsi" w:hAnsiTheme="majorHAnsi"/>
          <w:b w:val="0"/>
          <w:bCs w:val="0"/>
          <w:color w:val="000000" w:themeColor="text1"/>
          <w:sz w:val="30"/>
          <w:szCs w:val="30"/>
        </w:rPr>
        <w:t xml:space="preserve">’une augmentation prévue de </w:t>
      </w:r>
      <w:r w:rsidR="00D8172D" w:rsidRPr="009722C2">
        <w:rPr>
          <w:rFonts w:asciiTheme="majorHAnsi" w:hAnsiTheme="majorHAnsi"/>
          <w:b w:val="0"/>
          <w:bCs w:val="0"/>
          <w:color w:val="000000" w:themeColor="text1"/>
          <w:sz w:val="30"/>
          <w:szCs w:val="30"/>
        </w:rPr>
        <w:t>4,5</w:t>
      </w:r>
      <w:r w:rsidR="00DD59F4" w:rsidRPr="009722C2">
        <w:rPr>
          <w:rFonts w:asciiTheme="majorHAnsi" w:hAnsiTheme="majorHAnsi"/>
          <w:b w:val="0"/>
          <w:bCs w:val="0"/>
          <w:color w:val="000000" w:themeColor="text1"/>
          <w:sz w:val="30"/>
          <w:szCs w:val="30"/>
        </w:rPr>
        <w:t xml:space="preserve">% </w:t>
      </w:r>
      <w:r w:rsidR="00260F51" w:rsidRPr="009722C2">
        <w:rPr>
          <w:rFonts w:asciiTheme="majorHAnsi" w:hAnsiTheme="majorHAnsi"/>
          <w:b w:val="0"/>
          <w:bCs w:val="0"/>
          <w:color w:val="000000" w:themeColor="text1"/>
          <w:sz w:val="30"/>
          <w:szCs w:val="30"/>
        </w:rPr>
        <w:t xml:space="preserve">des impôts et taxes sur produits nets de subventions, </w:t>
      </w:r>
      <w:r w:rsidRPr="009722C2">
        <w:rPr>
          <w:rFonts w:asciiTheme="majorHAnsi" w:hAnsiTheme="majorHAnsi"/>
          <w:b w:val="0"/>
          <w:bCs w:val="0"/>
          <w:color w:val="000000" w:themeColor="text1"/>
          <w:sz w:val="30"/>
          <w:szCs w:val="30"/>
        </w:rPr>
        <w:t>l</w:t>
      </w:r>
      <w:r w:rsidR="00DE494B" w:rsidRPr="009722C2">
        <w:rPr>
          <w:rFonts w:asciiTheme="majorHAnsi" w:hAnsiTheme="majorHAnsi"/>
          <w:b w:val="0"/>
          <w:bCs w:val="0"/>
          <w:color w:val="000000" w:themeColor="text1"/>
          <w:sz w:val="30"/>
          <w:szCs w:val="30"/>
        </w:rPr>
        <w:t>e</w:t>
      </w:r>
      <w:r w:rsidR="00DE494B" w:rsidRPr="009722C2">
        <w:rPr>
          <w:rFonts w:asciiTheme="majorHAnsi" w:hAnsiTheme="majorHAnsi"/>
          <w:color w:val="000000" w:themeColor="text1"/>
          <w:sz w:val="30"/>
          <w:szCs w:val="30"/>
        </w:rPr>
        <w:t xml:space="preserve"> produit intérieur brut</w:t>
      </w:r>
      <w:r w:rsidR="00DE494B" w:rsidRPr="009722C2">
        <w:rPr>
          <w:rFonts w:asciiTheme="majorHAnsi" w:hAnsiTheme="majorHAnsi"/>
          <w:b w:val="0"/>
          <w:bCs w:val="0"/>
          <w:color w:val="000000" w:themeColor="text1"/>
          <w:sz w:val="30"/>
          <w:szCs w:val="30"/>
        </w:rPr>
        <w:t xml:space="preserve"> devrait s’accroitre de </w:t>
      </w:r>
      <w:r w:rsidR="000101A5" w:rsidRPr="009722C2">
        <w:rPr>
          <w:rFonts w:asciiTheme="majorHAnsi" w:hAnsiTheme="majorHAnsi"/>
          <w:b w:val="0"/>
          <w:bCs w:val="0"/>
          <w:color w:val="000000" w:themeColor="text1"/>
          <w:sz w:val="30"/>
          <w:szCs w:val="30"/>
        </w:rPr>
        <w:t>2</w:t>
      </w:r>
      <w:r w:rsidR="00DE494B" w:rsidRPr="009722C2">
        <w:rPr>
          <w:rFonts w:asciiTheme="majorHAnsi" w:hAnsiTheme="majorHAnsi"/>
          <w:b w:val="0"/>
          <w:bCs w:val="0"/>
          <w:color w:val="000000" w:themeColor="text1"/>
          <w:sz w:val="30"/>
          <w:szCs w:val="30"/>
        </w:rPr>
        <w:t>,</w:t>
      </w:r>
      <w:r w:rsidR="000101A5" w:rsidRPr="009722C2">
        <w:rPr>
          <w:rFonts w:asciiTheme="majorHAnsi" w:hAnsiTheme="majorHAnsi"/>
          <w:b w:val="0"/>
          <w:bCs w:val="0"/>
          <w:color w:val="000000" w:themeColor="text1"/>
          <w:sz w:val="30"/>
          <w:szCs w:val="30"/>
        </w:rPr>
        <w:t>9</w:t>
      </w:r>
      <w:r w:rsidR="00DE494B" w:rsidRPr="009722C2">
        <w:rPr>
          <w:rFonts w:asciiTheme="majorHAnsi" w:hAnsiTheme="majorHAnsi"/>
          <w:b w:val="0"/>
          <w:bCs w:val="0"/>
          <w:color w:val="000000" w:themeColor="text1"/>
          <w:sz w:val="30"/>
          <w:szCs w:val="30"/>
        </w:rPr>
        <w:t>% en 201</w:t>
      </w:r>
      <w:r w:rsidR="000101A5" w:rsidRPr="009722C2">
        <w:rPr>
          <w:rFonts w:asciiTheme="majorHAnsi" w:hAnsiTheme="majorHAnsi"/>
          <w:b w:val="0"/>
          <w:bCs w:val="0"/>
          <w:color w:val="000000" w:themeColor="text1"/>
          <w:sz w:val="30"/>
          <w:szCs w:val="30"/>
        </w:rPr>
        <w:t>9</w:t>
      </w:r>
      <w:r w:rsidR="00DE494B" w:rsidRPr="009722C2">
        <w:rPr>
          <w:rFonts w:asciiTheme="majorHAnsi" w:hAnsiTheme="majorHAnsi"/>
          <w:b w:val="0"/>
          <w:bCs w:val="0"/>
          <w:color w:val="000000" w:themeColor="text1"/>
          <w:sz w:val="30"/>
          <w:szCs w:val="30"/>
        </w:rPr>
        <w:t xml:space="preserve"> au lieu de </w:t>
      </w:r>
      <w:r w:rsidR="000101A5" w:rsidRPr="009722C2">
        <w:rPr>
          <w:rFonts w:asciiTheme="majorHAnsi" w:hAnsiTheme="majorHAnsi"/>
          <w:b w:val="0"/>
          <w:bCs w:val="0"/>
          <w:color w:val="000000" w:themeColor="text1"/>
          <w:sz w:val="30"/>
          <w:szCs w:val="30"/>
        </w:rPr>
        <w:t>3</w:t>
      </w:r>
      <w:r w:rsidR="00DE494B" w:rsidRPr="009722C2">
        <w:rPr>
          <w:rFonts w:asciiTheme="majorHAnsi" w:hAnsiTheme="majorHAnsi"/>
          <w:b w:val="0"/>
          <w:bCs w:val="0"/>
          <w:color w:val="000000" w:themeColor="text1"/>
          <w:sz w:val="30"/>
          <w:szCs w:val="30"/>
        </w:rPr>
        <w:t>% en 201</w:t>
      </w:r>
      <w:r w:rsidR="00E25ECF">
        <w:rPr>
          <w:rFonts w:asciiTheme="majorHAnsi" w:hAnsiTheme="majorHAnsi"/>
          <w:b w:val="0"/>
          <w:bCs w:val="0"/>
          <w:color w:val="000000" w:themeColor="text1"/>
          <w:sz w:val="30"/>
          <w:szCs w:val="30"/>
        </w:rPr>
        <w:t xml:space="preserve">8 </w:t>
      </w:r>
      <w:r w:rsidR="00AC4363">
        <w:rPr>
          <w:rFonts w:asciiTheme="majorHAnsi" w:hAnsiTheme="majorHAnsi"/>
          <w:b w:val="0"/>
          <w:bCs w:val="0"/>
          <w:color w:val="000000" w:themeColor="text1"/>
          <w:sz w:val="30"/>
          <w:szCs w:val="30"/>
        </w:rPr>
        <w:t>avec un niveau d</w:t>
      </w:r>
      <w:r w:rsidR="00A77C28">
        <w:rPr>
          <w:rFonts w:asciiTheme="majorHAnsi" w:hAnsiTheme="majorHAnsi"/>
          <w:b w:val="0"/>
          <w:bCs w:val="0"/>
          <w:color w:val="000000" w:themeColor="text1"/>
          <w:sz w:val="30"/>
          <w:szCs w:val="30"/>
        </w:rPr>
        <w:t>’</w:t>
      </w:r>
      <w:r w:rsidR="00CA4121" w:rsidRPr="009722C2">
        <w:rPr>
          <w:rFonts w:asciiTheme="majorHAnsi" w:hAnsiTheme="majorHAnsi"/>
          <w:color w:val="000000" w:themeColor="text1"/>
          <w:sz w:val="30"/>
          <w:szCs w:val="30"/>
        </w:rPr>
        <w:t>inflation</w:t>
      </w:r>
      <w:r w:rsidR="00CA4121" w:rsidRPr="009722C2">
        <w:rPr>
          <w:rFonts w:asciiTheme="majorHAnsi" w:hAnsiTheme="majorHAnsi"/>
          <w:b w:val="0"/>
          <w:bCs w:val="0"/>
          <w:color w:val="000000" w:themeColor="text1"/>
          <w:sz w:val="30"/>
          <w:szCs w:val="30"/>
        </w:rPr>
        <w:t xml:space="preserve">, </w:t>
      </w:r>
      <w:r w:rsidR="00AC4363">
        <w:rPr>
          <w:rFonts w:asciiTheme="majorHAnsi" w:hAnsiTheme="majorHAnsi"/>
          <w:b w:val="0"/>
          <w:bCs w:val="0"/>
          <w:color w:val="000000" w:themeColor="text1"/>
          <w:sz w:val="30"/>
          <w:szCs w:val="30"/>
        </w:rPr>
        <w:t xml:space="preserve">en baisse </w:t>
      </w:r>
      <w:r w:rsidR="00CA4121" w:rsidRPr="009722C2">
        <w:rPr>
          <w:rFonts w:asciiTheme="majorHAnsi" w:hAnsiTheme="majorHAnsi"/>
          <w:b w:val="0"/>
          <w:bCs w:val="0"/>
          <w:color w:val="000000" w:themeColor="text1"/>
          <w:sz w:val="30"/>
          <w:szCs w:val="30"/>
        </w:rPr>
        <w:t xml:space="preserve"> </w:t>
      </w:r>
      <w:r w:rsidR="00AC4363">
        <w:rPr>
          <w:rFonts w:asciiTheme="majorHAnsi" w:hAnsiTheme="majorHAnsi"/>
          <w:b w:val="0"/>
          <w:bCs w:val="0"/>
          <w:color w:val="000000" w:themeColor="text1"/>
          <w:sz w:val="30"/>
          <w:szCs w:val="30"/>
        </w:rPr>
        <w:t xml:space="preserve">situé à </w:t>
      </w:r>
      <w:r w:rsidR="00CA4121" w:rsidRPr="009722C2">
        <w:rPr>
          <w:rFonts w:asciiTheme="majorHAnsi" w:hAnsiTheme="majorHAnsi"/>
          <w:b w:val="0"/>
          <w:bCs w:val="0"/>
          <w:color w:val="000000" w:themeColor="text1"/>
          <w:sz w:val="30"/>
          <w:szCs w:val="30"/>
        </w:rPr>
        <w:t>1,</w:t>
      </w:r>
      <w:r w:rsidR="00587E4C" w:rsidRPr="009722C2">
        <w:rPr>
          <w:rFonts w:asciiTheme="majorHAnsi" w:hAnsiTheme="majorHAnsi"/>
          <w:b w:val="0"/>
          <w:bCs w:val="0"/>
          <w:color w:val="000000" w:themeColor="text1"/>
          <w:sz w:val="30"/>
          <w:szCs w:val="30"/>
        </w:rPr>
        <w:t>2</w:t>
      </w:r>
      <w:r w:rsidR="00CA4121" w:rsidRPr="009722C2">
        <w:rPr>
          <w:rFonts w:asciiTheme="majorHAnsi" w:hAnsiTheme="majorHAnsi"/>
          <w:b w:val="0"/>
          <w:bCs w:val="0"/>
          <w:color w:val="000000" w:themeColor="text1"/>
          <w:sz w:val="30"/>
          <w:szCs w:val="30"/>
        </w:rPr>
        <w:t>% en 2019 au lieu de 1,</w:t>
      </w:r>
      <w:r w:rsidR="008C03E1">
        <w:rPr>
          <w:rFonts w:asciiTheme="majorHAnsi" w:hAnsiTheme="majorHAnsi"/>
          <w:b w:val="0"/>
          <w:bCs w:val="0"/>
          <w:color w:val="000000" w:themeColor="text1"/>
          <w:sz w:val="30"/>
          <w:szCs w:val="30"/>
        </w:rPr>
        <w:t>6</w:t>
      </w:r>
      <w:r w:rsidR="00CA4121" w:rsidRPr="009722C2">
        <w:rPr>
          <w:rFonts w:asciiTheme="majorHAnsi" w:hAnsiTheme="majorHAnsi"/>
          <w:b w:val="0"/>
          <w:bCs w:val="0"/>
          <w:color w:val="000000" w:themeColor="text1"/>
          <w:sz w:val="30"/>
          <w:szCs w:val="30"/>
        </w:rPr>
        <w:t>% en 2018</w:t>
      </w:r>
      <w:r w:rsidR="00C0271A" w:rsidRPr="009722C2">
        <w:rPr>
          <w:rFonts w:asciiTheme="majorHAnsi" w:hAnsiTheme="majorHAnsi"/>
          <w:b w:val="0"/>
          <w:bCs w:val="0"/>
          <w:color w:val="000000" w:themeColor="text1"/>
          <w:sz w:val="30"/>
          <w:szCs w:val="30"/>
        </w:rPr>
        <w:t>.</w:t>
      </w:r>
      <w:r w:rsidR="00CA4121" w:rsidRPr="009722C2">
        <w:rPr>
          <w:rFonts w:asciiTheme="majorHAnsi" w:hAnsiTheme="majorHAnsi"/>
          <w:b w:val="0"/>
          <w:bCs w:val="0"/>
          <w:color w:val="000000" w:themeColor="text1"/>
          <w:sz w:val="30"/>
          <w:szCs w:val="30"/>
        </w:rPr>
        <w:t xml:space="preserve"> </w:t>
      </w:r>
    </w:p>
    <w:p w:rsidR="0069012A" w:rsidRDefault="0069012A" w:rsidP="0069012A">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69012A" w:rsidRPr="0059268B" w:rsidRDefault="0069012A" w:rsidP="007D4A6D">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59268B">
        <w:rPr>
          <w:rFonts w:asciiTheme="majorHAnsi" w:hAnsiTheme="majorHAnsi"/>
          <w:b w:val="0"/>
          <w:bCs w:val="0"/>
          <w:color w:val="000000" w:themeColor="text1"/>
          <w:sz w:val="30"/>
          <w:szCs w:val="30"/>
        </w:rPr>
        <w:t xml:space="preserve">Le ralentissement de la croissance économique </w:t>
      </w:r>
      <w:r>
        <w:rPr>
          <w:rFonts w:asciiTheme="majorHAnsi" w:hAnsiTheme="majorHAnsi"/>
          <w:b w:val="0"/>
          <w:bCs w:val="0"/>
          <w:color w:val="000000" w:themeColor="text1"/>
          <w:sz w:val="30"/>
          <w:szCs w:val="30"/>
        </w:rPr>
        <w:t xml:space="preserve">en 2019 devrait se </w:t>
      </w:r>
      <w:r w:rsidRPr="0059268B">
        <w:rPr>
          <w:rFonts w:asciiTheme="majorHAnsi" w:hAnsiTheme="majorHAnsi"/>
          <w:b w:val="0"/>
          <w:bCs w:val="0"/>
          <w:color w:val="000000" w:themeColor="text1"/>
          <w:sz w:val="30"/>
          <w:szCs w:val="30"/>
        </w:rPr>
        <w:t>tradui</w:t>
      </w:r>
      <w:r>
        <w:rPr>
          <w:rFonts w:asciiTheme="majorHAnsi" w:hAnsiTheme="majorHAnsi"/>
          <w:b w:val="0"/>
          <w:bCs w:val="0"/>
          <w:color w:val="000000" w:themeColor="text1"/>
          <w:sz w:val="30"/>
          <w:szCs w:val="30"/>
        </w:rPr>
        <w:t>re</w:t>
      </w:r>
      <w:r w:rsidRPr="0059268B">
        <w:rPr>
          <w:rFonts w:asciiTheme="majorHAnsi" w:hAnsiTheme="majorHAnsi"/>
          <w:b w:val="0"/>
          <w:bCs w:val="0"/>
          <w:color w:val="000000" w:themeColor="text1"/>
          <w:sz w:val="30"/>
          <w:szCs w:val="30"/>
        </w:rPr>
        <w:t xml:space="preserve"> par de faibles créations nettes d’emploi. Néanmoins, avec une légère baisse du taux d’activité, le taux de chômage </w:t>
      </w:r>
      <w:r>
        <w:rPr>
          <w:rFonts w:asciiTheme="majorHAnsi" w:hAnsiTheme="majorHAnsi"/>
          <w:b w:val="0"/>
          <w:bCs w:val="0"/>
          <w:color w:val="000000" w:themeColor="text1"/>
          <w:sz w:val="30"/>
          <w:szCs w:val="30"/>
        </w:rPr>
        <w:t>atteindrait</w:t>
      </w:r>
      <w:r w:rsidRPr="0059268B">
        <w:rPr>
          <w:rFonts w:asciiTheme="majorHAnsi" w:hAnsiTheme="majorHAnsi"/>
          <w:b w:val="0"/>
          <w:bCs w:val="0"/>
          <w:color w:val="000000" w:themeColor="text1"/>
          <w:sz w:val="30"/>
          <w:szCs w:val="30"/>
        </w:rPr>
        <w:t xml:space="preserve"> </w:t>
      </w:r>
      <w:r>
        <w:rPr>
          <w:rFonts w:asciiTheme="majorHAnsi" w:hAnsiTheme="majorHAnsi"/>
          <w:b w:val="0"/>
          <w:bCs w:val="0"/>
          <w:color w:val="000000" w:themeColor="text1"/>
          <w:sz w:val="30"/>
          <w:szCs w:val="30"/>
        </w:rPr>
        <w:t xml:space="preserve"> 10,1% au lieu de </w:t>
      </w:r>
      <w:r w:rsidR="007D4A6D">
        <w:rPr>
          <w:rFonts w:asciiTheme="majorHAnsi" w:hAnsiTheme="majorHAnsi"/>
          <w:b w:val="0"/>
          <w:bCs w:val="0"/>
          <w:color w:val="000000" w:themeColor="text1"/>
          <w:sz w:val="30"/>
          <w:szCs w:val="30"/>
        </w:rPr>
        <w:t>10</w:t>
      </w:r>
      <w:r>
        <w:rPr>
          <w:rFonts w:asciiTheme="majorHAnsi" w:hAnsiTheme="majorHAnsi"/>
          <w:b w:val="0"/>
          <w:bCs w:val="0"/>
          <w:color w:val="000000" w:themeColor="text1"/>
          <w:sz w:val="30"/>
          <w:szCs w:val="30"/>
        </w:rPr>
        <w:t>%</w:t>
      </w:r>
      <w:r w:rsidRPr="0059268B">
        <w:rPr>
          <w:rFonts w:asciiTheme="majorHAnsi" w:hAnsiTheme="majorHAnsi"/>
          <w:b w:val="0"/>
          <w:bCs w:val="0"/>
          <w:color w:val="000000" w:themeColor="text1"/>
          <w:sz w:val="30"/>
          <w:szCs w:val="30"/>
        </w:rPr>
        <w:t xml:space="preserve"> </w:t>
      </w:r>
      <w:r w:rsidR="00DE439A">
        <w:rPr>
          <w:rFonts w:asciiTheme="majorHAnsi" w:hAnsiTheme="majorHAnsi"/>
          <w:b w:val="0"/>
          <w:bCs w:val="0"/>
          <w:color w:val="000000" w:themeColor="text1"/>
          <w:sz w:val="30"/>
          <w:szCs w:val="30"/>
        </w:rPr>
        <w:t xml:space="preserve"> en 2018 et</w:t>
      </w:r>
      <w:r w:rsidRPr="0059268B">
        <w:rPr>
          <w:rFonts w:asciiTheme="majorHAnsi" w:hAnsiTheme="majorHAnsi"/>
          <w:b w:val="0"/>
          <w:bCs w:val="0"/>
          <w:color w:val="000000" w:themeColor="text1"/>
          <w:sz w:val="30"/>
          <w:szCs w:val="30"/>
        </w:rPr>
        <w:t xml:space="preserve"> </w:t>
      </w:r>
      <w:r w:rsidRPr="00666948">
        <w:rPr>
          <w:rFonts w:asciiTheme="majorHAnsi" w:hAnsiTheme="majorHAnsi"/>
          <w:b w:val="0"/>
          <w:bCs w:val="0"/>
          <w:color w:val="000000" w:themeColor="text1"/>
          <w:sz w:val="30"/>
          <w:szCs w:val="30"/>
        </w:rPr>
        <w:t>10,2</w:t>
      </w:r>
      <w:r w:rsidRPr="0059268B">
        <w:rPr>
          <w:rFonts w:asciiTheme="majorHAnsi" w:hAnsiTheme="majorHAnsi"/>
          <w:b w:val="0"/>
          <w:bCs w:val="0"/>
          <w:color w:val="000000" w:themeColor="text1"/>
          <w:sz w:val="30"/>
          <w:szCs w:val="30"/>
        </w:rPr>
        <w:t>% enregistré en 2017.</w:t>
      </w:r>
    </w:p>
    <w:p w:rsidR="0069012A" w:rsidRPr="009722C2" w:rsidRDefault="0069012A" w:rsidP="0069012A">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B763AF" w:rsidRDefault="007B1A7E" w:rsidP="00B763AF">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Pr>
          <w:rFonts w:asciiTheme="majorHAnsi" w:hAnsiTheme="majorHAnsi"/>
          <w:b w:val="0"/>
          <w:bCs w:val="0"/>
          <w:color w:val="000000" w:themeColor="text1"/>
          <w:sz w:val="30"/>
          <w:szCs w:val="30"/>
        </w:rPr>
        <w:t xml:space="preserve">La </w:t>
      </w:r>
      <w:r w:rsidRPr="007B1A7E">
        <w:rPr>
          <w:rFonts w:asciiTheme="majorHAnsi" w:hAnsiTheme="majorHAnsi"/>
          <w:bCs w:val="0"/>
          <w:color w:val="000000" w:themeColor="text1"/>
          <w:sz w:val="30"/>
          <w:szCs w:val="30"/>
        </w:rPr>
        <w:t>demande intérieure</w:t>
      </w:r>
      <w:r w:rsidR="00995B5B">
        <w:rPr>
          <w:rFonts w:asciiTheme="majorHAnsi" w:hAnsiTheme="majorHAnsi"/>
          <w:bCs w:val="0"/>
          <w:color w:val="000000" w:themeColor="text1"/>
          <w:sz w:val="30"/>
          <w:szCs w:val="30"/>
        </w:rPr>
        <w:t>,</w:t>
      </w:r>
      <w:r>
        <w:rPr>
          <w:rFonts w:asciiTheme="majorHAnsi" w:hAnsiTheme="majorHAnsi"/>
          <w:b w:val="0"/>
          <w:bCs w:val="0"/>
          <w:color w:val="000000" w:themeColor="text1"/>
          <w:sz w:val="30"/>
          <w:szCs w:val="30"/>
        </w:rPr>
        <w:t xml:space="preserve"> </w:t>
      </w:r>
      <w:r w:rsidR="00995B5B">
        <w:rPr>
          <w:rFonts w:asciiTheme="majorHAnsi" w:hAnsiTheme="majorHAnsi"/>
          <w:b w:val="0"/>
          <w:bCs w:val="0"/>
          <w:color w:val="000000" w:themeColor="text1"/>
          <w:sz w:val="30"/>
          <w:szCs w:val="30"/>
        </w:rPr>
        <w:t>quoiqu’</w:t>
      </w:r>
      <w:r>
        <w:rPr>
          <w:rFonts w:asciiTheme="majorHAnsi" w:hAnsiTheme="majorHAnsi"/>
          <w:b w:val="0"/>
          <w:bCs w:val="0"/>
          <w:color w:val="000000" w:themeColor="text1"/>
          <w:sz w:val="30"/>
          <w:szCs w:val="30"/>
        </w:rPr>
        <w:t xml:space="preserve">en </w:t>
      </w:r>
      <w:r w:rsidR="00C2470F">
        <w:rPr>
          <w:rFonts w:asciiTheme="majorHAnsi" w:hAnsiTheme="majorHAnsi"/>
          <w:b w:val="0"/>
          <w:bCs w:val="0"/>
          <w:color w:val="000000" w:themeColor="text1"/>
          <w:sz w:val="30"/>
          <w:szCs w:val="30"/>
        </w:rPr>
        <w:t>léger</w:t>
      </w:r>
      <w:r w:rsidR="00995B5B">
        <w:rPr>
          <w:rFonts w:asciiTheme="majorHAnsi" w:hAnsiTheme="majorHAnsi"/>
          <w:b w:val="0"/>
          <w:bCs w:val="0"/>
          <w:color w:val="000000" w:themeColor="text1"/>
          <w:sz w:val="30"/>
          <w:szCs w:val="30"/>
        </w:rPr>
        <w:t xml:space="preserve"> </w:t>
      </w:r>
      <w:r>
        <w:rPr>
          <w:rFonts w:asciiTheme="majorHAnsi" w:hAnsiTheme="majorHAnsi"/>
          <w:b w:val="0"/>
          <w:bCs w:val="0"/>
          <w:color w:val="000000" w:themeColor="text1"/>
          <w:sz w:val="30"/>
          <w:szCs w:val="30"/>
        </w:rPr>
        <w:t>ralentissement</w:t>
      </w:r>
      <w:r w:rsidR="00995B5B">
        <w:rPr>
          <w:rFonts w:asciiTheme="majorHAnsi" w:hAnsiTheme="majorHAnsi"/>
          <w:b w:val="0"/>
          <w:bCs w:val="0"/>
          <w:color w:val="000000" w:themeColor="text1"/>
          <w:sz w:val="30"/>
          <w:szCs w:val="30"/>
        </w:rPr>
        <w:t>,</w:t>
      </w:r>
      <w:r>
        <w:rPr>
          <w:rFonts w:asciiTheme="majorHAnsi" w:hAnsiTheme="majorHAnsi"/>
          <w:b w:val="0"/>
          <w:bCs w:val="0"/>
          <w:color w:val="000000" w:themeColor="text1"/>
          <w:sz w:val="30"/>
          <w:szCs w:val="30"/>
        </w:rPr>
        <w:t xml:space="preserve"> </w:t>
      </w:r>
      <w:r w:rsidR="00B763AF">
        <w:rPr>
          <w:rFonts w:asciiTheme="majorHAnsi" w:hAnsiTheme="majorHAnsi"/>
          <w:b w:val="0"/>
          <w:bCs w:val="0"/>
          <w:color w:val="000000" w:themeColor="text1"/>
          <w:sz w:val="30"/>
          <w:szCs w:val="30"/>
        </w:rPr>
        <w:t xml:space="preserve">continuerait </w:t>
      </w:r>
      <w:r>
        <w:rPr>
          <w:rFonts w:asciiTheme="majorHAnsi" w:hAnsiTheme="majorHAnsi"/>
          <w:b w:val="0"/>
          <w:bCs w:val="0"/>
          <w:color w:val="000000" w:themeColor="text1"/>
          <w:sz w:val="30"/>
          <w:szCs w:val="30"/>
        </w:rPr>
        <w:t>de</w:t>
      </w:r>
      <w:r w:rsidR="00B763AF">
        <w:rPr>
          <w:rFonts w:asciiTheme="majorHAnsi" w:hAnsiTheme="majorHAnsi"/>
          <w:b w:val="0"/>
          <w:bCs w:val="0"/>
          <w:color w:val="000000" w:themeColor="text1"/>
          <w:sz w:val="30"/>
          <w:szCs w:val="30"/>
        </w:rPr>
        <w:t xml:space="preserve"> tir</w:t>
      </w:r>
      <w:r>
        <w:rPr>
          <w:rFonts w:asciiTheme="majorHAnsi" w:hAnsiTheme="majorHAnsi"/>
          <w:b w:val="0"/>
          <w:bCs w:val="0"/>
          <w:color w:val="000000" w:themeColor="text1"/>
          <w:sz w:val="30"/>
          <w:szCs w:val="30"/>
        </w:rPr>
        <w:t>er</w:t>
      </w:r>
      <w:r w:rsidR="00B763AF">
        <w:rPr>
          <w:rFonts w:asciiTheme="majorHAnsi" w:hAnsiTheme="majorHAnsi"/>
          <w:b w:val="0"/>
          <w:bCs w:val="0"/>
          <w:color w:val="000000" w:themeColor="text1"/>
          <w:sz w:val="30"/>
          <w:szCs w:val="30"/>
        </w:rPr>
        <w:t xml:space="preserve"> </w:t>
      </w:r>
      <w:r>
        <w:rPr>
          <w:rFonts w:asciiTheme="majorHAnsi" w:hAnsiTheme="majorHAnsi"/>
          <w:b w:val="0"/>
          <w:bCs w:val="0"/>
          <w:color w:val="000000" w:themeColor="text1"/>
          <w:sz w:val="30"/>
          <w:szCs w:val="30"/>
        </w:rPr>
        <w:t>la croissance économique nationale</w:t>
      </w:r>
      <w:r w:rsidR="00C2470F">
        <w:rPr>
          <w:rFonts w:asciiTheme="majorHAnsi" w:hAnsiTheme="majorHAnsi"/>
          <w:b w:val="0"/>
          <w:bCs w:val="0"/>
          <w:color w:val="000000" w:themeColor="text1"/>
          <w:sz w:val="30"/>
          <w:szCs w:val="30"/>
        </w:rPr>
        <w:t>,</w:t>
      </w:r>
      <w:r>
        <w:rPr>
          <w:rFonts w:asciiTheme="majorHAnsi" w:hAnsiTheme="majorHAnsi"/>
          <w:b w:val="0"/>
          <w:bCs w:val="0"/>
          <w:color w:val="000000" w:themeColor="text1"/>
          <w:sz w:val="30"/>
          <w:szCs w:val="30"/>
        </w:rPr>
        <w:t xml:space="preserve"> </w:t>
      </w:r>
      <w:r w:rsidR="00B763AF">
        <w:rPr>
          <w:rFonts w:asciiTheme="majorHAnsi" w:hAnsiTheme="majorHAnsi"/>
          <w:b w:val="0"/>
          <w:bCs w:val="0"/>
          <w:color w:val="000000" w:themeColor="text1"/>
          <w:sz w:val="30"/>
          <w:szCs w:val="30"/>
        </w:rPr>
        <w:t xml:space="preserve">au moment où la contribution de la demande extérieure resterait négative. </w:t>
      </w:r>
    </w:p>
    <w:p w:rsidR="00B763AF" w:rsidRDefault="00B763AF" w:rsidP="00B763AF">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6F1CBF" w:rsidRDefault="006F1CBF" w:rsidP="00DD6238">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DE494B" w:rsidRPr="009722C2" w:rsidRDefault="00DE494B" w:rsidP="00DD6238">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lastRenderedPageBreak/>
        <w:t xml:space="preserve">Dans ce cadre, </w:t>
      </w:r>
      <w:r w:rsidRPr="009722C2">
        <w:rPr>
          <w:rFonts w:asciiTheme="majorHAnsi" w:hAnsiTheme="majorHAnsi"/>
          <w:color w:val="000000" w:themeColor="text1"/>
          <w:sz w:val="30"/>
          <w:szCs w:val="30"/>
        </w:rPr>
        <w:t>la consommation des ménages</w:t>
      </w:r>
      <w:r w:rsidRPr="009722C2">
        <w:rPr>
          <w:rFonts w:asciiTheme="majorHAnsi" w:hAnsiTheme="majorHAnsi"/>
          <w:b w:val="0"/>
          <w:bCs w:val="0"/>
          <w:color w:val="000000" w:themeColor="text1"/>
          <w:sz w:val="30"/>
          <w:szCs w:val="30"/>
        </w:rPr>
        <w:t xml:space="preserve"> </w:t>
      </w:r>
      <w:r w:rsidR="00DD6238">
        <w:rPr>
          <w:rFonts w:asciiTheme="majorHAnsi" w:hAnsiTheme="majorHAnsi"/>
          <w:b w:val="0"/>
          <w:bCs w:val="0"/>
          <w:color w:val="000000" w:themeColor="text1"/>
          <w:sz w:val="30"/>
          <w:szCs w:val="30"/>
        </w:rPr>
        <w:t>s</w:t>
      </w:r>
      <w:r w:rsidRPr="009722C2">
        <w:rPr>
          <w:rFonts w:asciiTheme="majorHAnsi" w:hAnsiTheme="majorHAnsi"/>
          <w:b w:val="0"/>
          <w:bCs w:val="0"/>
          <w:color w:val="000000" w:themeColor="text1"/>
          <w:sz w:val="30"/>
          <w:szCs w:val="30"/>
        </w:rPr>
        <w:t>’accroitr</w:t>
      </w:r>
      <w:r w:rsidR="00AC4363">
        <w:rPr>
          <w:rFonts w:asciiTheme="majorHAnsi" w:hAnsiTheme="majorHAnsi"/>
          <w:b w:val="0"/>
          <w:bCs w:val="0"/>
          <w:color w:val="000000" w:themeColor="text1"/>
          <w:sz w:val="30"/>
          <w:szCs w:val="30"/>
        </w:rPr>
        <w:t>ait</w:t>
      </w:r>
      <w:r w:rsidRPr="009722C2">
        <w:rPr>
          <w:rFonts w:asciiTheme="majorHAnsi" w:hAnsiTheme="majorHAnsi"/>
          <w:b w:val="0"/>
          <w:bCs w:val="0"/>
          <w:color w:val="000000" w:themeColor="text1"/>
          <w:sz w:val="30"/>
          <w:szCs w:val="30"/>
        </w:rPr>
        <w:t xml:space="preserve"> de </w:t>
      </w:r>
      <w:r w:rsidR="005C3537" w:rsidRPr="009722C2">
        <w:rPr>
          <w:rFonts w:asciiTheme="majorHAnsi" w:hAnsiTheme="majorHAnsi"/>
          <w:b w:val="0"/>
          <w:bCs w:val="0"/>
          <w:color w:val="000000" w:themeColor="text1"/>
          <w:sz w:val="30"/>
          <w:szCs w:val="30"/>
        </w:rPr>
        <w:t>3</w:t>
      </w:r>
      <w:r w:rsidRPr="009722C2">
        <w:rPr>
          <w:rFonts w:asciiTheme="majorHAnsi" w:hAnsiTheme="majorHAnsi"/>
          <w:b w:val="0"/>
          <w:bCs w:val="0"/>
          <w:color w:val="000000" w:themeColor="text1"/>
          <w:sz w:val="30"/>
          <w:szCs w:val="30"/>
        </w:rPr>
        <w:t>,</w:t>
      </w:r>
      <w:r w:rsidR="005C3537" w:rsidRPr="009722C2">
        <w:rPr>
          <w:rFonts w:asciiTheme="majorHAnsi" w:hAnsiTheme="majorHAnsi"/>
          <w:b w:val="0"/>
          <w:bCs w:val="0"/>
          <w:color w:val="000000" w:themeColor="text1"/>
          <w:sz w:val="30"/>
          <w:szCs w:val="30"/>
        </w:rPr>
        <w:t>5</w:t>
      </w:r>
      <w:r w:rsidRPr="009722C2">
        <w:rPr>
          <w:rFonts w:asciiTheme="majorHAnsi" w:hAnsiTheme="majorHAnsi"/>
          <w:b w:val="0"/>
          <w:bCs w:val="0"/>
          <w:color w:val="000000" w:themeColor="text1"/>
          <w:sz w:val="30"/>
          <w:szCs w:val="30"/>
        </w:rPr>
        <w:t xml:space="preserve">% en volume, </w:t>
      </w:r>
      <w:r w:rsidR="005C3537" w:rsidRPr="009722C2">
        <w:rPr>
          <w:rFonts w:asciiTheme="majorHAnsi" w:hAnsiTheme="majorHAnsi"/>
          <w:b w:val="0"/>
          <w:bCs w:val="0"/>
          <w:color w:val="000000" w:themeColor="text1"/>
          <w:sz w:val="30"/>
          <w:szCs w:val="30"/>
        </w:rPr>
        <w:t xml:space="preserve">maintenant </w:t>
      </w:r>
      <w:r w:rsidRPr="009722C2">
        <w:rPr>
          <w:rFonts w:asciiTheme="majorHAnsi" w:hAnsiTheme="majorHAnsi"/>
          <w:b w:val="0"/>
          <w:bCs w:val="0"/>
          <w:color w:val="000000" w:themeColor="text1"/>
          <w:sz w:val="30"/>
          <w:szCs w:val="30"/>
        </w:rPr>
        <w:t xml:space="preserve">sa contribution à la croissance du PIB à 2  points. </w:t>
      </w:r>
      <w:r w:rsidRPr="00B763AF">
        <w:rPr>
          <w:rFonts w:asciiTheme="majorHAnsi" w:hAnsiTheme="majorHAnsi"/>
          <w:color w:val="000000" w:themeColor="text1"/>
          <w:sz w:val="30"/>
          <w:szCs w:val="30"/>
        </w:rPr>
        <w:t>La consommation des administrations publiques</w:t>
      </w:r>
      <w:r w:rsidRPr="009722C2">
        <w:rPr>
          <w:rFonts w:asciiTheme="majorHAnsi" w:hAnsiTheme="majorHAnsi"/>
          <w:b w:val="0"/>
          <w:bCs w:val="0"/>
          <w:color w:val="000000" w:themeColor="text1"/>
          <w:sz w:val="30"/>
          <w:szCs w:val="30"/>
        </w:rPr>
        <w:t xml:space="preserve"> </w:t>
      </w:r>
      <w:r w:rsidR="00AC4363">
        <w:rPr>
          <w:rFonts w:asciiTheme="majorHAnsi" w:hAnsiTheme="majorHAnsi"/>
          <w:b w:val="0"/>
          <w:bCs w:val="0"/>
          <w:color w:val="000000" w:themeColor="text1"/>
          <w:sz w:val="30"/>
          <w:szCs w:val="30"/>
        </w:rPr>
        <w:t>devrait</w:t>
      </w:r>
      <w:r w:rsidRPr="009722C2">
        <w:rPr>
          <w:rFonts w:asciiTheme="majorHAnsi" w:hAnsiTheme="majorHAnsi"/>
          <w:b w:val="0"/>
          <w:bCs w:val="0"/>
          <w:color w:val="000000" w:themeColor="text1"/>
          <w:sz w:val="30"/>
          <w:szCs w:val="30"/>
        </w:rPr>
        <w:t xml:space="preserve"> </w:t>
      </w:r>
      <w:r w:rsidR="00AC4363">
        <w:rPr>
          <w:rFonts w:asciiTheme="majorHAnsi" w:hAnsiTheme="majorHAnsi"/>
          <w:b w:val="0"/>
          <w:bCs w:val="0"/>
          <w:color w:val="000000" w:themeColor="text1"/>
          <w:sz w:val="30"/>
          <w:szCs w:val="30"/>
        </w:rPr>
        <w:t xml:space="preserve">s’améliorer </w:t>
      </w:r>
      <w:r w:rsidRPr="009722C2">
        <w:rPr>
          <w:rFonts w:asciiTheme="majorHAnsi" w:hAnsiTheme="majorHAnsi"/>
          <w:b w:val="0"/>
          <w:bCs w:val="0"/>
          <w:color w:val="000000" w:themeColor="text1"/>
          <w:sz w:val="30"/>
          <w:szCs w:val="30"/>
        </w:rPr>
        <w:t xml:space="preserve">de </w:t>
      </w:r>
      <w:r w:rsidR="005C3537" w:rsidRPr="009722C2">
        <w:rPr>
          <w:rFonts w:asciiTheme="majorHAnsi" w:hAnsiTheme="majorHAnsi"/>
          <w:b w:val="0"/>
          <w:bCs w:val="0"/>
          <w:color w:val="000000" w:themeColor="text1"/>
          <w:sz w:val="30"/>
          <w:szCs w:val="30"/>
        </w:rPr>
        <w:t>2</w:t>
      </w:r>
      <w:r w:rsidRPr="009722C2">
        <w:rPr>
          <w:rFonts w:asciiTheme="majorHAnsi" w:hAnsiTheme="majorHAnsi"/>
          <w:b w:val="0"/>
          <w:bCs w:val="0"/>
          <w:color w:val="000000" w:themeColor="text1"/>
          <w:sz w:val="30"/>
          <w:szCs w:val="30"/>
        </w:rPr>
        <w:t>,</w:t>
      </w:r>
      <w:r w:rsidR="001D68D7" w:rsidRPr="009722C2">
        <w:rPr>
          <w:rFonts w:asciiTheme="majorHAnsi" w:hAnsiTheme="majorHAnsi"/>
          <w:b w:val="0"/>
          <w:bCs w:val="0"/>
          <w:color w:val="000000" w:themeColor="text1"/>
          <w:sz w:val="30"/>
          <w:szCs w:val="30"/>
        </w:rPr>
        <w:t>9</w:t>
      </w:r>
      <w:r w:rsidRPr="009722C2">
        <w:rPr>
          <w:rFonts w:asciiTheme="majorHAnsi" w:hAnsiTheme="majorHAnsi"/>
          <w:b w:val="0"/>
          <w:bCs w:val="0"/>
          <w:color w:val="000000" w:themeColor="text1"/>
          <w:sz w:val="30"/>
          <w:szCs w:val="30"/>
        </w:rPr>
        <w:t>%, contribu</w:t>
      </w:r>
      <w:r w:rsidR="00AC4363">
        <w:rPr>
          <w:rFonts w:asciiTheme="majorHAnsi" w:hAnsiTheme="majorHAnsi"/>
          <w:b w:val="0"/>
          <w:bCs w:val="0"/>
          <w:color w:val="000000" w:themeColor="text1"/>
          <w:sz w:val="30"/>
          <w:szCs w:val="30"/>
        </w:rPr>
        <w:t>ant</w:t>
      </w:r>
      <w:r w:rsidRPr="009722C2">
        <w:rPr>
          <w:rFonts w:asciiTheme="majorHAnsi" w:hAnsiTheme="majorHAnsi"/>
          <w:b w:val="0"/>
          <w:bCs w:val="0"/>
          <w:color w:val="000000" w:themeColor="text1"/>
          <w:sz w:val="30"/>
          <w:szCs w:val="30"/>
        </w:rPr>
        <w:t xml:space="preserve"> de 0,</w:t>
      </w:r>
      <w:r w:rsidR="005C3537" w:rsidRPr="009722C2">
        <w:rPr>
          <w:rFonts w:asciiTheme="majorHAnsi" w:hAnsiTheme="majorHAnsi"/>
          <w:b w:val="0"/>
          <w:bCs w:val="0"/>
          <w:color w:val="000000" w:themeColor="text1"/>
          <w:sz w:val="30"/>
          <w:szCs w:val="30"/>
        </w:rPr>
        <w:t>5</w:t>
      </w:r>
      <w:r w:rsidRPr="009722C2">
        <w:rPr>
          <w:rFonts w:asciiTheme="majorHAnsi" w:hAnsiTheme="majorHAnsi"/>
          <w:b w:val="0"/>
          <w:bCs w:val="0"/>
          <w:color w:val="000000" w:themeColor="text1"/>
          <w:sz w:val="30"/>
          <w:szCs w:val="30"/>
        </w:rPr>
        <w:t xml:space="preserve"> point à la croissance du PIB. Au total la consommation finale nationale s’accroitr</w:t>
      </w:r>
      <w:r w:rsidR="00AC4363">
        <w:rPr>
          <w:rFonts w:asciiTheme="majorHAnsi" w:hAnsiTheme="majorHAnsi"/>
          <w:b w:val="0"/>
          <w:bCs w:val="0"/>
          <w:color w:val="000000" w:themeColor="text1"/>
          <w:sz w:val="30"/>
          <w:szCs w:val="30"/>
        </w:rPr>
        <w:t xml:space="preserve">ait </w:t>
      </w:r>
      <w:r w:rsidRPr="009722C2">
        <w:rPr>
          <w:rFonts w:asciiTheme="majorHAnsi" w:hAnsiTheme="majorHAnsi"/>
          <w:b w:val="0"/>
          <w:bCs w:val="0"/>
          <w:color w:val="000000" w:themeColor="text1"/>
          <w:sz w:val="30"/>
          <w:szCs w:val="30"/>
        </w:rPr>
        <w:t xml:space="preserve">de </w:t>
      </w:r>
      <w:r w:rsidR="00B478F1" w:rsidRPr="009722C2">
        <w:rPr>
          <w:rFonts w:asciiTheme="majorHAnsi" w:hAnsiTheme="majorHAnsi"/>
          <w:b w:val="0"/>
          <w:bCs w:val="0"/>
          <w:color w:val="000000" w:themeColor="text1"/>
          <w:sz w:val="30"/>
          <w:szCs w:val="30"/>
        </w:rPr>
        <w:t>3</w:t>
      </w:r>
      <w:r w:rsidRPr="009722C2">
        <w:rPr>
          <w:rFonts w:asciiTheme="majorHAnsi" w:hAnsiTheme="majorHAnsi"/>
          <w:b w:val="0"/>
          <w:bCs w:val="0"/>
          <w:color w:val="000000" w:themeColor="text1"/>
          <w:sz w:val="30"/>
          <w:szCs w:val="30"/>
        </w:rPr>
        <w:t>,</w:t>
      </w:r>
      <w:r w:rsidR="005C3537" w:rsidRPr="009722C2">
        <w:rPr>
          <w:rFonts w:asciiTheme="majorHAnsi" w:hAnsiTheme="majorHAnsi"/>
          <w:b w:val="0"/>
          <w:bCs w:val="0"/>
          <w:color w:val="000000" w:themeColor="text1"/>
          <w:sz w:val="30"/>
          <w:szCs w:val="30"/>
        </w:rPr>
        <w:t>3</w:t>
      </w:r>
      <w:r w:rsidRPr="009722C2">
        <w:rPr>
          <w:rFonts w:asciiTheme="majorHAnsi" w:hAnsiTheme="majorHAnsi"/>
          <w:b w:val="0"/>
          <w:bCs w:val="0"/>
          <w:color w:val="000000" w:themeColor="text1"/>
          <w:sz w:val="30"/>
          <w:szCs w:val="30"/>
        </w:rPr>
        <w:t xml:space="preserve">% </w:t>
      </w:r>
      <w:r w:rsidR="00AC4363">
        <w:rPr>
          <w:rFonts w:asciiTheme="majorHAnsi" w:hAnsiTheme="majorHAnsi"/>
          <w:b w:val="0"/>
          <w:bCs w:val="0"/>
          <w:color w:val="000000" w:themeColor="text1"/>
          <w:sz w:val="30"/>
          <w:szCs w:val="30"/>
        </w:rPr>
        <w:t xml:space="preserve">ramenant sa contribution </w:t>
      </w:r>
      <w:r w:rsidR="00AC4363" w:rsidRPr="009722C2">
        <w:rPr>
          <w:rFonts w:asciiTheme="majorHAnsi" w:hAnsiTheme="majorHAnsi"/>
          <w:b w:val="0"/>
          <w:bCs w:val="0"/>
          <w:color w:val="000000" w:themeColor="text1"/>
          <w:sz w:val="30"/>
          <w:szCs w:val="30"/>
        </w:rPr>
        <w:t xml:space="preserve">à la croissance du PIB </w:t>
      </w:r>
      <w:r w:rsidR="00F1002F">
        <w:rPr>
          <w:rFonts w:asciiTheme="majorHAnsi" w:hAnsiTheme="majorHAnsi"/>
          <w:b w:val="0"/>
          <w:bCs w:val="0"/>
          <w:color w:val="000000" w:themeColor="text1"/>
          <w:sz w:val="30"/>
          <w:szCs w:val="30"/>
        </w:rPr>
        <w:t>à</w:t>
      </w:r>
      <w:r w:rsidRPr="009722C2">
        <w:rPr>
          <w:rFonts w:asciiTheme="majorHAnsi" w:hAnsiTheme="majorHAnsi"/>
          <w:b w:val="0"/>
          <w:bCs w:val="0"/>
          <w:color w:val="000000" w:themeColor="text1"/>
          <w:sz w:val="30"/>
          <w:szCs w:val="30"/>
        </w:rPr>
        <w:t xml:space="preserve"> </w:t>
      </w:r>
      <w:r w:rsidR="005C3537" w:rsidRPr="009722C2">
        <w:rPr>
          <w:rFonts w:asciiTheme="majorHAnsi" w:hAnsiTheme="majorHAnsi"/>
          <w:b w:val="0"/>
          <w:bCs w:val="0"/>
          <w:color w:val="000000" w:themeColor="text1"/>
          <w:sz w:val="30"/>
          <w:szCs w:val="30"/>
        </w:rPr>
        <w:t>2</w:t>
      </w:r>
      <w:r w:rsidRPr="009722C2">
        <w:rPr>
          <w:rFonts w:asciiTheme="majorHAnsi" w:hAnsiTheme="majorHAnsi"/>
          <w:b w:val="0"/>
          <w:bCs w:val="0"/>
          <w:color w:val="000000" w:themeColor="text1"/>
          <w:sz w:val="30"/>
          <w:szCs w:val="30"/>
        </w:rPr>
        <w:t xml:space="preserve">,6 points </w:t>
      </w:r>
      <w:r w:rsidR="00C0271A" w:rsidRPr="009722C2">
        <w:rPr>
          <w:rFonts w:asciiTheme="majorHAnsi" w:hAnsiTheme="majorHAnsi"/>
          <w:b w:val="0"/>
          <w:bCs w:val="0"/>
          <w:color w:val="000000" w:themeColor="text1"/>
          <w:sz w:val="30"/>
          <w:szCs w:val="30"/>
        </w:rPr>
        <w:t xml:space="preserve">au lieu de </w:t>
      </w:r>
      <w:r w:rsidR="0036464C">
        <w:rPr>
          <w:rFonts w:asciiTheme="majorHAnsi" w:hAnsiTheme="majorHAnsi"/>
          <w:b w:val="0"/>
          <w:bCs w:val="0"/>
          <w:color w:val="000000" w:themeColor="text1"/>
          <w:sz w:val="30"/>
          <w:szCs w:val="30"/>
        </w:rPr>
        <w:t>2,4 points en 2018.</w:t>
      </w:r>
    </w:p>
    <w:p w:rsidR="00CD5BCE" w:rsidRPr="009722C2" w:rsidRDefault="00CD5BCE" w:rsidP="00043538">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CD5BCE" w:rsidRDefault="00DE494B" w:rsidP="000F05DB">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t xml:space="preserve">La </w:t>
      </w:r>
      <w:r w:rsidRPr="009722C2">
        <w:rPr>
          <w:rFonts w:asciiTheme="majorHAnsi" w:hAnsiTheme="majorHAnsi"/>
          <w:color w:val="000000" w:themeColor="text1"/>
          <w:sz w:val="30"/>
          <w:szCs w:val="30"/>
        </w:rPr>
        <w:t>formation brute du capital fixe</w:t>
      </w:r>
      <w:r w:rsidRPr="009722C2">
        <w:rPr>
          <w:rFonts w:asciiTheme="majorHAnsi" w:hAnsiTheme="majorHAnsi"/>
          <w:b w:val="0"/>
          <w:bCs w:val="0"/>
          <w:color w:val="000000" w:themeColor="text1"/>
          <w:sz w:val="30"/>
          <w:szCs w:val="30"/>
        </w:rPr>
        <w:t xml:space="preserve"> devrait, </w:t>
      </w:r>
      <w:r w:rsidR="002C19F8">
        <w:rPr>
          <w:rFonts w:asciiTheme="majorHAnsi" w:hAnsiTheme="majorHAnsi"/>
          <w:b w:val="0"/>
          <w:bCs w:val="0"/>
          <w:color w:val="000000" w:themeColor="text1"/>
          <w:sz w:val="30"/>
          <w:szCs w:val="30"/>
        </w:rPr>
        <w:t xml:space="preserve">de son </w:t>
      </w:r>
      <w:r w:rsidR="000F05DB">
        <w:rPr>
          <w:rFonts w:asciiTheme="majorHAnsi" w:hAnsiTheme="majorHAnsi"/>
          <w:b w:val="0"/>
          <w:bCs w:val="0"/>
          <w:color w:val="000000" w:themeColor="text1"/>
          <w:sz w:val="30"/>
          <w:szCs w:val="30"/>
        </w:rPr>
        <w:t>côté</w:t>
      </w:r>
      <w:r w:rsidRPr="009722C2">
        <w:rPr>
          <w:rFonts w:asciiTheme="majorHAnsi" w:hAnsiTheme="majorHAnsi"/>
          <w:b w:val="0"/>
          <w:bCs w:val="0"/>
          <w:color w:val="000000" w:themeColor="text1"/>
          <w:sz w:val="30"/>
          <w:szCs w:val="30"/>
        </w:rPr>
        <w:t xml:space="preserve">, </w:t>
      </w:r>
      <w:r w:rsidR="00F1002F">
        <w:rPr>
          <w:rFonts w:asciiTheme="majorHAnsi" w:hAnsiTheme="majorHAnsi"/>
          <w:b w:val="0"/>
          <w:bCs w:val="0"/>
          <w:color w:val="000000" w:themeColor="text1"/>
          <w:sz w:val="30"/>
          <w:szCs w:val="30"/>
        </w:rPr>
        <w:t>s’</w:t>
      </w:r>
      <w:r w:rsidR="007B1A7E">
        <w:rPr>
          <w:rFonts w:asciiTheme="majorHAnsi" w:hAnsiTheme="majorHAnsi"/>
          <w:b w:val="0"/>
          <w:bCs w:val="0"/>
          <w:color w:val="000000" w:themeColor="text1"/>
          <w:sz w:val="30"/>
          <w:szCs w:val="30"/>
        </w:rPr>
        <w:t>améliorer</w:t>
      </w:r>
      <w:r w:rsidRPr="009722C2">
        <w:rPr>
          <w:rFonts w:asciiTheme="majorHAnsi" w:hAnsiTheme="majorHAnsi"/>
          <w:b w:val="0"/>
          <w:bCs w:val="0"/>
          <w:color w:val="000000" w:themeColor="text1"/>
          <w:sz w:val="30"/>
          <w:szCs w:val="30"/>
        </w:rPr>
        <w:t xml:space="preserve"> de </w:t>
      </w:r>
      <w:r w:rsidR="00AF35D3">
        <w:rPr>
          <w:rFonts w:asciiTheme="majorHAnsi" w:hAnsiTheme="majorHAnsi"/>
          <w:b w:val="0"/>
          <w:bCs w:val="0"/>
          <w:color w:val="000000" w:themeColor="text1"/>
          <w:sz w:val="30"/>
          <w:szCs w:val="30"/>
        </w:rPr>
        <w:t>3</w:t>
      </w:r>
      <w:r w:rsidR="005C3537" w:rsidRPr="009722C2">
        <w:rPr>
          <w:rFonts w:asciiTheme="majorHAnsi" w:hAnsiTheme="majorHAnsi"/>
          <w:b w:val="0"/>
          <w:bCs w:val="0"/>
          <w:color w:val="000000" w:themeColor="text1"/>
          <w:sz w:val="30"/>
          <w:szCs w:val="30"/>
        </w:rPr>
        <w:t>,</w:t>
      </w:r>
      <w:r w:rsidR="00AF35D3">
        <w:rPr>
          <w:rFonts w:asciiTheme="majorHAnsi" w:hAnsiTheme="majorHAnsi"/>
          <w:b w:val="0"/>
          <w:bCs w:val="0"/>
          <w:color w:val="000000" w:themeColor="text1"/>
          <w:sz w:val="30"/>
          <w:szCs w:val="30"/>
        </w:rPr>
        <w:t>2</w:t>
      </w:r>
      <w:r w:rsidRPr="009722C2">
        <w:rPr>
          <w:rFonts w:asciiTheme="majorHAnsi" w:hAnsiTheme="majorHAnsi"/>
          <w:b w:val="0"/>
          <w:bCs w:val="0"/>
          <w:color w:val="000000" w:themeColor="text1"/>
          <w:sz w:val="30"/>
          <w:szCs w:val="30"/>
        </w:rPr>
        <w:t xml:space="preserve">% et sa contribution à la croissance </w:t>
      </w:r>
      <w:r w:rsidR="001D68D7" w:rsidRPr="009722C2">
        <w:rPr>
          <w:rFonts w:asciiTheme="majorHAnsi" w:hAnsiTheme="majorHAnsi"/>
          <w:b w:val="0"/>
          <w:bCs w:val="0"/>
          <w:color w:val="000000" w:themeColor="text1"/>
          <w:sz w:val="30"/>
          <w:szCs w:val="30"/>
        </w:rPr>
        <w:t>passer</w:t>
      </w:r>
      <w:r w:rsidR="002C19F8">
        <w:rPr>
          <w:rFonts w:asciiTheme="majorHAnsi" w:hAnsiTheme="majorHAnsi"/>
          <w:b w:val="0"/>
          <w:bCs w:val="0"/>
          <w:color w:val="000000" w:themeColor="text1"/>
          <w:sz w:val="30"/>
          <w:szCs w:val="30"/>
        </w:rPr>
        <w:t>ait</w:t>
      </w:r>
      <w:r w:rsidRPr="009722C2">
        <w:rPr>
          <w:rFonts w:asciiTheme="majorHAnsi" w:hAnsiTheme="majorHAnsi"/>
          <w:b w:val="0"/>
          <w:bCs w:val="0"/>
          <w:color w:val="000000" w:themeColor="text1"/>
          <w:sz w:val="30"/>
          <w:szCs w:val="30"/>
        </w:rPr>
        <w:t xml:space="preserve"> </w:t>
      </w:r>
      <w:r w:rsidR="005F473B" w:rsidRPr="009722C2">
        <w:rPr>
          <w:rFonts w:asciiTheme="majorHAnsi" w:hAnsiTheme="majorHAnsi"/>
          <w:b w:val="0"/>
          <w:bCs w:val="0"/>
          <w:color w:val="000000" w:themeColor="text1"/>
          <w:sz w:val="30"/>
          <w:szCs w:val="30"/>
        </w:rPr>
        <w:t>de</w:t>
      </w:r>
      <w:r w:rsidRPr="009722C2">
        <w:rPr>
          <w:rFonts w:asciiTheme="majorHAnsi" w:hAnsiTheme="majorHAnsi"/>
          <w:b w:val="0"/>
          <w:bCs w:val="0"/>
          <w:color w:val="000000" w:themeColor="text1"/>
          <w:sz w:val="30"/>
          <w:szCs w:val="30"/>
        </w:rPr>
        <w:t xml:space="preserve"> </w:t>
      </w:r>
      <w:r w:rsidR="005C3537" w:rsidRPr="009722C2">
        <w:rPr>
          <w:rFonts w:asciiTheme="majorHAnsi" w:hAnsiTheme="majorHAnsi"/>
          <w:b w:val="0"/>
          <w:bCs w:val="0"/>
          <w:color w:val="000000" w:themeColor="text1"/>
          <w:sz w:val="30"/>
          <w:szCs w:val="30"/>
        </w:rPr>
        <w:t>0,</w:t>
      </w:r>
      <w:r w:rsidR="00AF35D3">
        <w:rPr>
          <w:rFonts w:asciiTheme="majorHAnsi" w:hAnsiTheme="majorHAnsi"/>
          <w:b w:val="0"/>
          <w:bCs w:val="0"/>
          <w:color w:val="000000" w:themeColor="text1"/>
          <w:sz w:val="30"/>
          <w:szCs w:val="30"/>
        </w:rPr>
        <w:t>8</w:t>
      </w:r>
      <w:r w:rsidRPr="009722C2">
        <w:rPr>
          <w:rFonts w:asciiTheme="majorHAnsi" w:hAnsiTheme="majorHAnsi"/>
          <w:b w:val="0"/>
          <w:bCs w:val="0"/>
          <w:color w:val="000000" w:themeColor="text1"/>
          <w:sz w:val="30"/>
          <w:szCs w:val="30"/>
        </w:rPr>
        <w:t xml:space="preserve"> point</w:t>
      </w:r>
      <w:r w:rsidR="005F473B" w:rsidRPr="009722C2">
        <w:rPr>
          <w:rFonts w:asciiTheme="majorHAnsi" w:hAnsiTheme="majorHAnsi"/>
          <w:b w:val="0"/>
          <w:bCs w:val="0"/>
          <w:color w:val="000000" w:themeColor="text1"/>
          <w:sz w:val="30"/>
          <w:szCs w:val="30"/>
        </w:rPr>
        <w:t xml:space="preserve"> en 2018</w:t>
      </w:r>
      <w:r w:rsidRPr="009722C2">
        <w:rPr>
          <w:rFonts w:asciiTheme="majorHAnsi" w:hAnsiTheme="majorHAnsi"/>
          <w:b w:val="0"/>
          <w:bCs w:val="0"/>
          <w:color w:val="000000" w:themeColor="text1"/>
          <w:sz w:val="30"/>
          <w:szCs w:val="30"/>
        </w:rPr>
        <w:t xml:space="preserve"> </w:t>
      </w:r>
      <w:r w:rsidR="00C0271A" w:rsidRPr="009722C2">
        <w:rPr>
          <w:rFonts w:asciiTheme="majorHAnsi" w:hAnsiTheme="majorHAnsi"/>
          <w:b w:val="0"/>
          <w:bCs w:val="0"/>
          <w:color w:val="000000" w:themeColor="text1"/>
          <w:sz w:val="30"/>
          <w:szCs w:val="30"/>
        </w:rPr>
        <w:t>à</w:t>
      </w:r>
      <w:r w:rsidR="001D68D7" w:rsidRPr="009722C2">
        <w:rPr>
          <w:rFonts w:asciiTheme="majorHAnsi" w:hAnsiTheme="majorHAnsi"/>
          <w:b w:val="0"/>
          <w:bCs w:val="0"/>
          <w:color w:val="000000" w:themeColor="text1"/>
          <w:sz w:val="30"/>
          <w:szCs w:val="30"/>
        </w:rPr>
        <w:t xml:space="preserve"> </w:t>
      </w:r>
      <w:r w:rsidR="005C3537" w:rsidRPr="009722C2">
        <w:rPr>
          <w:rFonts w:asciiTheme="majorHAnsi" w:hAnsiTheme="majorHAnsi"/>
          <w:b w:val="0"/>
          <w:bCs w:val="0"/>
          <w:color w:val="000000" w:themeColor="text1"/>
          <w:sz w:val="30"/>
          <w:szCs w:val="30"/>
        </w:rPr>
        <w:t>0,</w:t>
      </w:r>
      <w:r w:rsidR="0036464C">
        <w:rPr>
          <w:rFonts w:asciiTheme="majorHAnsi" w:hAnsiTheme="majorHAnsi"/>
          <w:b w:val="0"/>
          <w:bCs w:val="0"/>
          <w:color w:val="000000" w:themeColor="text1"/>
          <w:sz w:val="30"/>
          <w:szCs w:val="30"/>
        </w:rPr>
        <w:t xml:space="preserve">9 </w:t>
      </w:r>
      <w:r w:rsidR="001D68D7" w:rsidRPr="009722C2">
        <w:rPr>
          <w:rFonts w:asciiTheme="majorHAnsi" w:hAnsiTheme="majorHAnsi"/>
          <w:b w:val="0"/>
          <w:bCs w:val="0"/>
          <w:color w:val="000000" w:themeColor="text1"/>
          <w:sz w:val="30"/>
          <w:szCs w:val="30"/>
        </w:rPr>
        <w:t>point en 201</w:t>
      </w:r>
      <w:r w:rsidR="00AF35D3">
        <w:rPr>
          <w:rFonts w:asciiTheme="majorHAnsi" w:hAnsiTheme="majorHAnsi"/>
          <w:b w:val="0"/>
          <w:bCs w:val="0"/>
          <w:color w:val="000000" w:themeColor="text1"/>
          <w:sz w:val="30"/>
          <w:szCs w:val="30"/>
        </w:rPr>
        <w:t>9</w:t>
      </w:r>
      <w:r w:rsidR="00C04BB5" w:rsidRPr="009722C2">
        <w:rPr>
          <w:rFonts w:asciiTheme="majorHAnsi" w:hAnsiTheme="majorHAnsi"/>
          <w:b w:val="0"/>
          <w:bCs w:val="0"/>
          <w:color w:val="000000" w:themeColor="text1"/>
          <w:sz w:val="30"/>
          <w:szCs w:val="30"/>
        </w:rPr>
        <w:t>.</w:t>
      </w:r>
      <w:r w:rsidR="001D68D7" w:rsidRPr="009722C2">
        <w:rPr>
          <w:rFonts w:asciiTheme="majorHAnsi" w:hAnsiTheme="majorHAnsi"/>
          <w:b w:val="0"/>
          <w:bCs w:val="0"/>
          <w:color w:val="000000" w:themeColor="text1"/>
          <w:sz w:val="30"/>
          <w:szCs w:val="30"/>
        </w:rPr>
        <w:t xml:space="preserve"> </w:t>
      </w:r>
      <w:r w:rsidR="00C04BB5" w:rsidRPr="009722C2">
        <w:rPr>
          <w:rFonts w:asciiTheme="majorHAnsi" w:hAnsiTheme="majorHAnsi"/>
          <w:b w:val="0"/>
          <w:bCs w:val="0"/>
          <w:color w:val="000000" w:themeColor="text1"/>
          <w:sz w:val="30"/>
          <w:szCs w:val="30"/>
        </w:rPr>
        <w:t>L</w:t>
      </w:r>
      <w:r w:rsidR="00B763AF">
        <w:rPr>
          <w:rFonts w:asciiTheme="majorHAnsi" w:hAnsiTheme="majorHAnsi"/>
          <w:b w:val="0"/>
          <w:bCs w:val="0"/>
          <w:color w:val="000000" w:themeColor="text1"/>
          <w:sz w:val="30"/>
          <w:szCs w:val="30"/>
        </w:rPr>
        <w:t>a</w:t>
      </w:r>
      <w:r w:rsidRPr="009722C2">
        <w:rPr>
          <w:rFonts w:asciiTheme="majorHAnsi" w:hAnsiTheme="majorHAnsi"/>
          <w:b w:val="0"/>
          <w:bCs w:val="0"/>
          <w:color w:val="000000" w:themeColor="text1"/>
          <w:sz w:val="30"/>
          <w:szCs w:val="30"/>
        </w:rPr>
        <w:t xml:space="preserve"> variation des stocks, </w:t>
      </w:r>
      <w:r w:rsidR="00B763AF">
        <w:rPr>
          <w:rFonts w:asciiTheme="majorHAnsi" w:hAnsiTheme="majorHAnsi"/>
          <w:b w:val="0"/>
          <w:bCs w:val="0"/>
          <w:color w:val="000000" w:themeColor="text1"/>
          <w:sz w:val="30"/>
          <w:szCs w:val="30"/>
        </w:rPr>
        <w:t>pour sa part</w:t>
      </w:r>
      <w:r w:rsidR="00C04BB5" w:rsidRPr="009722C2">
        <w:rPr>
          <w:rFonts w:asciiTheme="majorHAnsi" w:hAnsiTheme="majorHAnsi"/>
          <w:b w:val="0"/>
          <w:bCs w:val="0"/>
          <w:color w:val="000000" w:themeColor="text1"/>
          <w:sz w:val="30"/>
          <w:szCs w:val="30"/>
        </w:rPr>
        <w:t xml:space="preserve">, </w:t>
      </w:r>
      <w:r w:rsidRPr="009722C2">
        <w:rPr>
          <w:rFonts w:asciiTheme="majorHAnsi" w:hAnsiTheme="majorHAnsi"/>
          <w:b w:val="0"/>
          <w:bCs w:val="0"/>
          <w:color w:val="000000" w:themeColor="text1"/>
          <w:sz w:val="30"/>
          <w:szCs w:val="30"/>
        </w:rPr>
        <w:t>devrai</w:t>
      </w:r>
      <w:r w:rsidR="00C04BB5" w:rsidRPr="009722C2">
        <w:rPr>
          <w:rFonts w:asciiTheme="majorHAnsi" w:hAnsiTheme="majorHAnsi"/>
          <w:b w:val="0"/>
          <w:bCs w:val="0"/>
          <w:color w:val="000000" w:themeColor="text1"/>
          <w:sz w:val="30"/>
          <w:szCs w:val="30"/>
        </w:rPr>
        <w:t>t</w:t>
      </w:r>
      <w:r w:rsidRPr="009722C2">
        <w:rPr>
          <w:rFonts w:asciiTheme="majorHAnsi" w:hAnsiTheme="majorHAnsi"/>
          <w:b w:val="0"/>
          <w:bCs w:val="0"/>
          <w:color w:val="000000" w:themeColor="text1"/>
          <w:sz w:val="30"/>
          <w:szCs w:val="30"/>
        </w:rPr>
        <w:t xml:space="preserve"> </w:t>
      </w:r>
      <w:r w:rsidR="005C3537" w:rsidRPr="009722C2">
        <w:rPr>
          <w:rFonts w:asciiTheme="majorHAnsi" w:hAnsiTheme="majorHAnsi"/>
          <w:b w:val="0"/>
          <w:bCs w:val="0"/>
          <w:color w:val="000000" w:themeColor="text1"/>
          <w:sz w:val="30"/>
          <w:szCs w:val="30"/>
        </w:rPr>
        <w:t>voir</w:t>
      </w:r>
      <w:r w:rsidRPr="009722C2">
        <w:rPr>
          <w:rFonts w:asciiTheme="majorHAnsi" w:hAnsiTheme="majorHAnsi"/>
          <w:b w:val="0"/>
          <w:bCs w:val="0"/>
          <w:color w:val="000000" w:themeColor="text1"/>
          <w:sz w:val="30"/>
          <w:szCs w:val="30"/>
        </w:rPr>
        <w:t xml:space="preserve"> </w:t>
      </w:r>
      <w:r w:rsidR="00B763AF">
        <w:rPr>
          <w:rFonts w:asciiTheme="majorHAnsi" w:hAnsiTheme="majorHAnsi"/>
          <w:b w:val="0"/>
          <w:bCs w:val="0"/>
          <w:color w:val="000000" w:themeColor="text1"/>
          <w:sz w:val="30"/>
          <w:szCs w:val="30"/>
        </w:rPr>
        <w:t xml:space="preserve">sa </w:t>
      </w:r>
      <w:r w:rsidRPr="009722C2">
        <w:rPr>
          <w:rFonts w:asciiTheme="majorHAnsi" w:hAnsiTheme="majorHAnsi"/>
          <w:b w:val="0"/>
          <w:bCs w:val="0"/>
          <w:color w:val="000000" w:themeColor="text1"/>
          <w:sz w:val="30"/>
          <w:szCs w:val="30"/>
        </w:rPr>
        <w:t xml:space="preserve">contribution à la croissance du PIB </w:t>
      </w:r>
      <w:r w:rsidR="005C3537" w:rsidRPr="009722C2">
        <w:rPr>
          <w:rFonts w:asciiTheme="majorHAnsi" w:hAnsiTheme="majorHAnsi"/>
          <w:b w:val="0"/>
          <w:bCs w:val="0"/>
          <w:color w:val="000000" w:themeColor="text1"/>
          <w:sz w:val="30"/>
          <w:szCs w:val="30"/>
        </w:rPr>
        <w:t>baisser à 0,</w:t>
      </w:r>
      <w:r w:rsidR="0036464C">
        <w:rPr>
          <w:rFonts w:asciiTheme="majorHAnsi" w:hAnsiTheme="majorHAnsi"/>
          <w:b w:val="0"/>
          <w:bCs w:val="0"/>
          <w:color w:val="000000" w:themeColor="text1"/>
          <w:sz w:val="30"/>
          <w:szCs w:val="30"/>
        </w:rPr>
        <w:t>3</w:t>
      </w:r>
      <w:r w:rsidR="005C3537" w:rsidRPr="009722C2">
        <w:rPr>
          <w:rFonts w:asciiTheme="majorHAnsi" w:hAnsiTheme="majorHAnsi"/>
          <w:b w:val="0"/>
          <w:bCs w:val="0"/>
          <w:color w:val="000000" w:themeColor="text1"/>
          <w:sz w:val="30"/>
          <w:szCs w:val="30"/>
        </w:rPr>
        <w:t xml:space="preserve"> </w:t>
      </w:r>
      <w:r w:rsidRPr="009722C2">
        <w:rPr>
          <w:rFonts w:asciiTheme="majorHAnsi" w:hAnsiTheme="majorHAnsi"/>
          <w:b w:val="0"/>
          <w:bCs w:val="0"/>
          <w:color w:val="000000" w:themeColor="text1"/>
          <w:sz w:val="30"/>
          <w:szCs w:val="30"/>
        </w:rPr>
        <w:t>point</w:t>
      </w:r>
      <w:r w:rsidR="00B029EA" w:rsidRPr="009722C2">
        <w:rPr>
          <w:rFonts w:asciiTheme="majorHAnsi" w:hAnsiTheme="majorHAnsi"/>
          <w:b w:val="0"/>
          <w:bCs w:val="0"/>
          <w:color w:val="000000" w:themeColor="text1"/>
          <w:sz w:val="30"/>
          <w:szCs w:val="30"/>
        </w:rPr>
        <w:t xml:space="preserve"> au lieu de </w:t>
      </w:r>
      <w:r w:rsidR="005C3537" w:rsidRPr="009722C2">
        <w:rPr>
          <w:rFonts w:asciiTheme="majorHAnsi" w:hAnsiTheme="majorHAnsi"/>
          <w:b w:val="0"/>
          <w:bCs w:val="0"/>
          <w:color w:val="000000" w:themeColor="text1"/>
          <w:sz w:val="30"/>
          <w:szCs w:val="30"/>
        </w:rPr>
        <w:t>0,</w:t>
      </w:r>
      <w:r w:rsidR="0036464C">
        <w:rPr>
          <w:rFonts w:asciiTheme="majorHAnsi" w:hAnsiTheme="majorHAnsi"/>
          <w:b w:val="0"/>
          <w:bCs w:val="0"/>
          <w:color w:val="000000" w:themeColor="text1"/>
          <w:sz w:val="30"/>
          <w:szCs w:val="30"/>
        </w:rPr>
        <w:t>7</w:t>
      </w:r>
      <w:r w:rsidR="00B029EA" w:rsidRPr="009722C2">
        <w:rPr>
          <w:rFonts w:asciiTheme="majorHAnsi" w:hAnsiTheme="majorHAnsi"/>
          <w:b w:val="0"/>
          <w:bCs w:val="0"/>
          <w:color w:val="000000" w:themeColor="text1"/>
          <w:sz w:val="30"/>
          <w:szCs w:val="30"/>
        </w:rPr>
        <w:t xml:space="preserve"> point en 201</w:t>
      </w:r>
      <w:r w:rsidR="00B478F1" w:rsidRPr="009722C2">
        <w:rPr>
          <w:rFonts w:asciiTheme="majorHAnsi" w:hAnsiTheme="majorHAnsi"/>
          <w:b w:val="0"/>
          <w:bCs w:val="0"/>
          <w:color w:val="000000" w:themeColor="text1"/>
          <w:sz w:val="30"/>
          <w:szCs w:val="30"/>
        </w:rPr>
        <w:t>8</w:t>
      </w:r>
      <w:r w:rsidRPr="009722C2">
        <w:rPr>
          <w:rFonts w:asciiTheme="majorHAnsi" w:hAnsiTheme="majorHAnsi"/>
          <w:b w:val="0"/>
          <w:bCs w:val="0"/>
          <w:color w:val="000000" w:themeColor="text1"/>
          <w:sz w:val="30"/>
          <w:szCs w:val="30"/>
        </w:rPr>
        <w:t xml:space="preserve">. </w:t>
      </w:r>
    </w:p>
    <w:p w:rsidR="00995B5B" w:rsidRPr="009722C2" w:rsidRDefault="00995B5B" w:rsidP="00B763AF">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043538" w:rsidRDefault="00995B5B" w:rsidP="007D4A6D">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Pr>
          <w:rFonts w:asciiTheme="majorHAnsi" w:hAnsiTheme="majorHAnsi"/>
          <w:b w:val="0"/>
          <w:bCs w:val="0"/>
          <w:color w:val="000000" w:themeColor="text1"/>
          <w:sz w:val="30"/>
          <w:szCs w:val="30"/>
        </w:rPr>
        <w:t xml:space="preserve">Ainsi </w:t>
      </w:r>
      <w:r>
        <w:rPr>
          <w:rFonts w:asciiTheme="majorHAnsi" w:hAnsiTheme="majorHAnsi"/>
          <w:bCs w:val="0"/>
          <w:color w:val="000000" w:themeColor="text1"/>
          <w:sz w:val="30"/>
          <w:szCs w:val="30"/>
        </w:rPr>
        <w:t>l</w:t>
      </w:r>
      <w:r w:rsidRPr="00995B5B">
        <w:rPr>
          <w:rFonts w:asciiTheme="majorHAnsi" w:hAnsiTheme="majorHAnsi"/>
          <w:bCs w:val="0"/>
          <w:color w:val="000000" w:themeColor="text1"/>
          <w:sz w:val="30"/>
          <w:szCs w:val="30"/>
        </w:rPr>
        <w:t>a demande intérieure</w:t>
      </w:r>
      <w:r w:rsidRPr="00995B5B">
        <w:rPr>
          <w:rFonts w:asciiTheme="majorHAnsi" w:hAnsiTheme="majorHAnsi"/>
          <w:b w:val="0"/>
          <w:bCs w:val="0"/>
          <w:color w:val="000000" w:themeColor="text1"/>
          <w:sz w:val="30"/>
          <w:szCs w:val="30"/>
        </w:rPr>
        <w:t>, devrait enregistrer un accroissement de 3,</w:t>
      </w:r>
      <w:r>
        <w:rPr>
          <w:rFonts w:asciiTheme="majorHAnsi" w:hAnsiTheme="majorHAnsi"/>
          <w:b w:val="0"/>
          <w:bCs w:val="0"/>
          <w:color w:val="000000" w:themeColor="text1"/>
          <w:sz w:val="30"/>
          <w:szCs w:val="30"/>
        </w:rPr>
        <w:t>4</w:t>
      </w:r>
      <w:r w:rsidRPr="00995B5B">
        <w:rPr>
          <w:rFonts w:asciiTheme="majorHAnsi" w:hAnsiTheme="majorHAnsi"/>
          <w:b w:val="0"/>
          <w:bCs w:val="0"/>
          <w:color w:val="000000" w:themeColor="text1"/>
          <w:sz w:val="30"/>
          <w:szCs w:val="30"/>
        </w:rPr>
        <w:t xml:space="preserve">% en 2019, avec une contribution à la croissance de 3,8 points </w:t>
      </w:r>
      <w:r>
        <w:rPr>
          <w:rFonts w:asciiTheme="majorHAnsi" w:hAnsiTheme="majorHAnsi"/>
          <w:b w:val="0"/>
          <w:bCs w:val="0"/>
          <w:color w:val="000000" w:themeColor="text1"/>
          <w:sz w:val="30"/>
          <w:szCs w:val="30"/>
        </w:rPr>
        <w:t>au lieu de 4</w:t>
      </w:r>
      <w:r w:rsidRPr="00995B5B">
        <w:rPr>
          <w:rFonts w:asciiTheme="majorHAnsi" w:hAnsiTheme="majorHAnsi"/>
          <w:b w:val="0"/>
          <w:bCs w:val="0"/>
          <w:color w:val="000000" w:themeColor="text1"/>
          <w:sz w:val="30"/>
          <w:szCs w:val="30"/>
        </w:rPr>
        <w:t xml:space="preserve"> points </w:t>
      </w:r>
      <w:r w:rsidR="007D4A6D">
        <w:rPr>
          <w:rFonts w:asciiTheme="majorHAnsi" w:hAnsiTheme="majorHAnsi"/>
          <w:b w:val="0"/>
          <w:bCs w:val="0"/>
          <w:color w:val="000000" w:themeColor="text1"/>
          <w:sz w:val="30"/>
          <w:szCs w:val="30"/>
        </w:rPr>
        <w:t>en 2018</w:t>
      </w:r>
      <w:r>
        <w:rPr>
          <w:rFonts w:asciiTheme="majorHAnsi" w:hAnsiTheme="majorHAnsi"/>
          <w:b w:val="0"/>
          <w:bCs w:val="0"/>
          <w:color w:val="000000" w:themeColor="text1"/>
          <w:sz w:val="30"/>
          <w:szCs w:val="30"/>
        </w:rPr>
        <w:t>.</w:t>
      </w:r>
    </w:p>
    <w:p w:rsidR="00995B5B" w:rsidRPr="009722C2" w:rsidRDefault="00995B5B" w:rsidP="00043538">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5F473B" w:rsidRDefault="00A15145" w:rsidP="00787384">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Pr>
          <w:rFonts w:asciiTheme="majorHAnsi" w:hAnsiTheme="majorHAnsi"/>
          <w:b w:val="0"/>
          <w:bCs w:val="0"/>
          <w:color w:val="000000" w:themeColor="text1"/>
          <w:sz w:val="30"/>
          <w:szCs w:val="30"/>
        </w:rPr>
        <w:t xml:space="preserve">Quant aux </w:t>
      </w:r>
      <w:r w:rsidRPr="00995B5B">
        <w:rPr>
          <w:rFonts w:asciiTheme="majorHAnsi" w:hAnsiTheme="majorHAnsi"/>
          <w:bCs w:val="0"/>
          <w:color w:val="000000" w:themeColor="text1"/>
          <w:sz w:val="30"/>
          <w:szCs w:val="30"/>
        </w:rPr>
        <w:t>échanges extérieurs de biens et services</w:t>
      </w:r>
      <w:r w:rsidRPr="009722C2">
        <w:rPr>
          <w:rFonts w:asciiTheme="majorHAnsi" w:hAnsiTheme="majorHAnsi"/>
          <w:b w:val="0"/>
          <w:bCs w:val="0"/>
          <w:color w:val="000000" w:themeColor="text1"/>
          <w:sz w:val="30"/>
          <w:szCs w:val="30"/>
        </w:rPr>
        <w:t xml:space="preserve">, les exportations devraient enregistrer un accroissement de </w:t>
      </w:r>
      <w:r>
        <w:rPr>
          <w:rFonts w:asciiTheme="majorHAnsi" w:hAnsiTheme="majorHAnsi"/>
          <w:b w:val="0"/>
          <w:bCs w:val="0"/>
          <w:color w:val="000000" w:themeColor="text1"/>
          <w:sz w:val="30"/>
          <w:szCs w:val="30"/>
        </w:rPr>
        <w:t>5</w:t>
      </w:r>
      <w:r w:rsidRPr="009722C2">
        <w:rPr>
          <w:rFonts w:asciiTheme="majorHAnsi" w:hAnsiTheme="majorHAnsi"/>
          <w:b w:val="0"/>
          <w:bCs w:val="0"/>
          <w:color w:val="000000" w:themeColor="text1"/>
          <w:sz w:val="30"/>
          <w:szCs w:val="30"/>
        </w:rPr>
        <w:t>,</w:t>
      </w:r>
      <w:r>
        <w:rPr>
          <w:rFonts w:asciiTheme="majorHAnsi" w:hAnsiTheme="majorHAnsi"/>
          <w:b w:val="0"/>
          <w:bCs w:val="0"/>
          <w:color w:val="000000" w:themeColor="text1"/>
          <w:sz w:val="30"/>
          <w:szCs w:val="30"/>
        </w:rPr>
        <w:t>9</w:t>
      </w:r>
      <w:r w:rsidRPr="009722C2">
        <w:rPr>
          <w:rFonts w:asciiTheme="majorHAnsi" w:hAnsiTheme="majorHAnsi"/>
          <w:b w:val="0"/>
          <w:bCs w:val="0"/>
          <w:color w:val="000000" w:themeColor="text1"/>
          <w:sz w:val="30"/>
          <w:szCs w:val="30"/>
        </w:rPr>
        <w:t>% en volume</w:t>
      </w:r>
      <w:r>
        <w:rPr>
          <w:rFonts w:asciiTheme="majorHAnsi" w:hAnsiTheme="majorHAnsi"/>
          <w:b w:val="0"/>
          <w:bCs w:val="0"/>
          <w:color w:val="000000" w:themeColor="text1"/>
          <w:sz w:val="30"/>
          <w:szCs w:val="30"/>
        </w:rPr>
        <w:t>,</w:t>
      </w:r>
      <w:r w:rsidRPr="00A15145">
        <w:rPr>
          <w:rFonts w:asciiTheme="majorHAnsi" w:hAnsiTheme="majorHAnsi"/>
          <w:b w:val="0"/>
          <w:bCs w:val="0"/>
          <w:color w:val="000000" w:themeColor="text1"/>
          <w:sz w:val="30"/>
          <w:szCs w:val="30"/>
        </w:rPr>
        <w:t xml:space="preserve"> </w:t>
      </w:r>
      <w:r>
        <w:rPr>
          <w:rFonts w:asciiTheme="majorHAnsi" w:hAnsiTheme="majorHAnsi"/>
          <w:b w:val="0"/>
          <w:bCs w:val="0"/>
          <w:color w:val="000000" w:themeColor="text1"/>
          <w:sz w:val="30"/>
          <w:szCs w:val="30"/>
        </w:rPr>
        <w:t>en dépit du ralentissement</w:t>
      </w:r>
      <w:r w:rsidRPr="009722C2">
        <w:rPr>
          <w:rFonts w:asciiTheme="majorHAnsi" w:hAnsiTheme="majorHAnsi"/>
          <w:b w:val="0"/>
          <w:bCs w:val="0"/>
          <w:color w:val="000000" w:themeColor="text1"/>
          <w:sz w:val="30"/>
          <w:szCs w:val="30"/>
        </w:rPr>
        <w:t xml:space="preserve"> de la demande mondiale adressée au Maroc. </w:t>
      </w:r>
      <w:r>
        <w:rPr>
          <w:rFonts w:asciiTheme="majorHAnsi" w:hAnsiTheme="majorHAnsi"/>
          <w:b w:val="0"/>
          <w:bCs w:val="0"/>
          <w:color w:val="000000" w:themeColor="text1"/>
          <w:sz w:val="30"/>
          <w:szCs w:val="30"/>
        </w:rPr>
        <w:t>De leur part,</w:t>
      </w:r>
      <w:r w:rsidRPr="009722C2">
        <w:rPr>
          <w:rFonts w:asciiTheme="majorHAnsi" w:hAnsiTheme="majorHAnsi"/>
          <w:b w:val="0"/>
          <w:bCs w:val="0"/>
          <w:color w:val="000000" w:themeColor="text1"/>
          <w:sz w:val="30"/>
          <w:szCs w:val="30"/>
        </w:rPr>
        <w:t xml:space="preserve"> les importations afficheraient une hausse de 6,4% au lieu de 6,</w:t>
      </w:r>
      <w:r>
        <w:rPr>
          <w:rFonts w:asciiTheme="majorHAnsi" w:hAnsiTheme="majorHAnsi"/>
          <w:b w:val="0"/>
          <w:bCs w:val="0"/>
          <w:color w:val="000000" w:themeColor="text1"/>
          <w:sz w:val="30"/>
          <w:szCs w:val="30"/>
        </w:rPr>
        <w:t>1</w:t>
      </w:r>
      <w:r w:rsidRPr="009722C2">
        <w:rPr>
          <w:rFonts w:asciiTheme="majorHAnsi" w:hAnsiTheme="majorHAnsi"/>
          <w:b w:val="0"/>
          <w:bCs w:val="0"/>
          <w:color w:val="000000" w:themeColor="text1"/>
          <w:sz w:val="30"/>
          <w:szCs w:val="30"/>
        </w:rPr>
        <w:t xml:space="preserve">% en 2018. C’est ainsi que </w:t>
      </w:r>
      <w:r w:rsidR="00F1002F">
        <w:rPr>
          <w:rFonts w:asciiTheme="majorHAnsi" w:hAnsiTheme="majorHAnsi"/>
          <w:b w:val="0"/>
          <w:bCs w:val="0"/>
          <w:color w:val="000000" w:themeColor="text1"/>
          <w:sz w:val="30"/>
          <w:szCs w:val="30"/>
        </w:rPr>
        <w:t>la contribution</w:t>
      </w:r>
      <w:r w:rsidR="00F1002F" w:rsidRPr="009722C2">
        <w:rPr>
          <w:rFonts w:asciiTheme="majorHAnsi" w:hAnsiTheme="majorHAnsi"/>
          <w:b w:val="0"/>
          <w:bCs w:val="0"/>
          <w:color w:val="000000" w:themeColor="text1"/>
          <w:sz w:val="30"/>
          <w:szCs w:val="30"/>
        </w:rPr>
        <w:t xml:space="preserve"> </w:t>
      </w:r>
      <w:r w:rsidR="000F05DB" w:rsidRPr="009722C2">
        <w:rPr>
          <w:rFonts w:asciiTheme="majorHAnsi" w:hAnsiTheme="majorHAnsi"/>
          <w:b w:val="0"/>
          <w:bCs w:val="0"/>
          <w:color w:val="000000" w:themeColor="text1"/>
          <w:sz w:val="30"/>
          <w:szCs w:val="30"/>
        </w:rPr>
        <w:t>à la croissance</w:t>
      </w:r>
      <w:r w:rsidR="000F05DB">
        <w:rPr>
          <w:rFonts w:asciiTheme="majorHAnsi" w:hAnsiTheme="majorHAnsi"/>
          <w:b w:val="0"/>
          <w:bCs w:val="0"/>
          <w:color w:val="000000" w:themeColor="text1"/>
          <w:sz w:val="30"/>
          <w:szCs w:val="30"/>
        </w:rPr>
        <w:t xml:space="preserve"> </w:t>
      </w:r>
      <w:r w:rsidR="00F1002F">
        <w:rPr>
          <w:rFonts w:asciiTheme="majorHAnsi" w:hAnsiTheme="majorHAnsi"/>
          <w:b w:val="0"/>
          <w:bCs w:val="0"/>
          <w:color w:val="000000" w:themeColor="text1"/>
          <w:sz w:val="30"/>
          <w:szCs w:val="30"/>
        </w:rPr>
        <w:t xml:space="preserve">de </w:t>
      </w:r>
      <w:r w:rsidRPr="009722C2">
        <w:rPr>
          <w:rFonts w:asciiTheme="majorHAnsi" w:hAnsiTheme="majorHAnsi"/>
          <w:b w:val="0"/>
          <w:bCs w:val="0"/>
          <w:color w:val="000000" w:themeColor="text1"/>
          <w:sz w:val="30"/>
          <w:szCs w:val="30"/>
        </w:rPr>
        <w:t>la demande extérieure nette,  dev</w:t>
      </w:r>
      <w:r>
        <w:rPr>
          <w:rFonts w:asciiTheme="majorHAnsi" w:hAnsiTheme="majorHAnsi"/>
          <w:b w:val="0"/>
          <w:bCs w:val="0"/>
          <w:color w:val="000000" w:themeColor="text1"/>
          <w:sz w:val="30"/>
          <w:szCs w:val="30"/>
        </w:rPr>
        <w:t xml:space="preserve">rait </w:t>
      </w:r>
      <w:r w:rsidR="00F1002F">
        <w:rPr>
          <w:rFonts w:asciiTheme="majorHAnsi" w:hAnsiTheme="majorHAnsi"/>
          <w:b w:val="0"/>
          <w:bCs w:val="0"/>
          <w:color w:val="000000" w:themeColor="text1"/>
          <w:sz w:val="30"/>
          <w:szCs w:val="30"/>
        </w:rPr>
        <w:t>rester</w:t>
      </w:r>
      <w:r>
        <w:rPr>
          <w:rFonts w:asciiTheme="majorHAnsi" w:hAnsiTheme="majorHAnsi"/>
          <w:b w:val="0"/>
          <w:bCs w:val="0"/>
          <w:color w:val="000000" w:themeColor="text1"/>
          <w:sz w:val="30"/>
          <w:szCs w:val="30"/>
        </w:rPr>
        <w:t xml:space="preserve"> </w:t>
      </w:r>
      <w:r w:rsidRPr="009722C2">
        <w:rPr>
          <w:rFonts w:asciiTheme="majorHAnsi" w:hAnsiTheme="majorHAnsi"/>
          <w:b w:val="0"/>
          <w:bCs w:val="0"/>
          <w:color w:val="000000" w:themeColor="text1"/>
          <w:sz w:val="30"/>
          <w:szCs w:val="30"/>
        </w:rPr>
        <w:t>négative de l’ordre de 0,</w:t>
      </w:r>
      <w:r>
        <w:rPr>
          <w:rFonts w:asciiTheme="majorHAnsi" w:hAnsiTheme="majorHAnsi"/>
          <w:b w:val="0"/>
          <w:bCs w:val="0"/>
          <w:color w:val="000000" w:themeColor="text1"/>
          <w:sz w:val="30"/>
          <w:szCs w:val="30"/>
        </w:rPr>
        <w:t>8</w:t>
      </w:r>
      <w:r w:rsidRPr="009722C2">
        <w:rPr>
          <w:rFonts w:asciiTheme="majorHAnsi" w:hAnsiTheme="majorHAnsi"/>
          <w:b w:val="0"/>
          <w:bCs w:val="0"/>
          <w:color w:val="000000" w:themeColor="text1"/>
          <w:sz w:val="30"/>
          <w:szCs w:val="30"/>
        </w:rPr>
        <w:t xml:space="preserve"> point en 2019</w:t>
      </w:r>
      <w:r>
        <w:rPr>
          <w:rFonts w:asciiTheme="majorHAnsi" w:hAnsiTheme="majorHAnsi"/>
          <w:b w:val="0"/>
          <w:bCs w:val="0"/>
          <w:color w:val="000000" w:themeColor="text1"/>
          <w:sz w:val="30"/>
          <w:szCs w:val="30"/>
        </w:rPr>
        <w:t xml:space="preserve"> après celle d’un point en 2018.</w:t>
      </w:r>
    </w:p>
    <w:p w:rsidR="00A15145" w:rsidRPr="009722C2" w:rsidRDefault="00A15145" w:rsidP="00A15145">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5F473B" w:rsidRPr="009722C2" w:rsidRDefault="00F1002F" w:rsidP="00787384">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Pr>
          <w:rFonts w:asciiTheme="majorHAnsi" w:hAnsiTheme="majorHAnsi"/>
          <w:b w:val="0"/>
          <w:bCs w:val="0"/>
          <w:color w:val="000000" w:themeColor="text1"/>
          <w:sz w:val="30"/>
          <w:szCs w:val="30"/>
        </w:rPr>
        <w:t xml:space="preserve">Au niveau </w:t>
      </w:r>
      <w:r w:rsidRPr="00995B5B">
        <w:rPr>
          <w:rFonts w:asciiTheme="majorHAnsi" w:hAnsiTheme="majorHAnsi"/>
          <w:bCs w:val="0"/>
          <w:color w:val="000000" w:themeColor="text1"/>
          <w:sz w:val="30"/>
          <w:szCs w:val="30"/>
        </w:rPr>
        <w:t>des finances publiques</w:t>
      </w:r>
      <w:r>
        <w:rPr>
          <w:rFonts w:asciiTheme="majorHAnsi" w:hAnsiTheme="majorHAnsi"/>
          <w:b w:val="0"/>
          <w:bCs w:val="0"/>
          <w:color w:val="000000" w:themeColor="text1"/>
          <w:sz w:val="30"/>
          <w:szCs w:val="30"/>
        </w:rPr>
        <w:t>, l</w:t>
      </w:r>
      <w:r w:rsidR="005F473B" w:rsidRPr="009722C2">
        <w:rPr>
          <w:rFonts w:asciiTheme="majorHAnsi" w:hAnsiTheme="majorHAnsi"/>
          <w:b w:val="0"/>
          <w:bCs w:val="0"/>
          <w:color w:val="000000" w:themeColor="text1"/>
          <w:sz w:val="30"/>
          <w:szCs w:val="30"/>
        </w:rPr>
        <w:t xml:space="preserve">a politique budgétaire en 2019 </w:t>
      </w:r>
      <w:r w:rsidR="006A67A8" w:rsidRPr="009722C2">
        <w:rPr>
          <w:rFonts w:asciiTheme="majorHAnsi" w:hAnsiTheme="majorHAnsi"/>
          <w:b w:val="0"/>
          <w:bCs w:val="0"/>
          <w:color w:val="000000" w:themeColor="text1"/>
          <w:sz w:val="30"/>
          <w:szCs w:val="30"/>
        </w:rPr>
        <w:t xml:space="preserve">serait marquée par le </w:t>
      </w:r>
      <w:r w:rsidR="005F473B" w:rsidRPr="009722C2">
        <w:rPr>
          <w:rFonts w:asciiTheme="majorHAnsi" w:hAnsiTheme="majorHAnsi"/>
          <w:b w:val="0"/>
          <w:bCs w:val="0"/>
          <w:color w:val="000000" w:themeColor="text1"/>
          <w:sz w:val="30"/>
          <w:szCs w:val="30"/>
        </w:rPr>
        <w:t xml:space="preserve">renforcement de la collecte des recettes fiscales et la mobilisation des financements nécessaires pour la couverture des charges additionnelles liées aux programmes et projets annoncés dans la loi de finances 2019. Parallèlement, les recettes non fiscales </w:t>
      </w:r>
      <w:r w:rsidR="006A67A8" w:rsidRPr="009722C2">
        <w:rPr>
          <w:rFonts w:asciiTheme="majorHAnsi" w:hAnsiTheme="majorHAnsi"/>
          <w:b w:val="0"/>
          <w:bCs w:val="0"/>
          <w:color w:val="000000" w:themeColor="text1"/>
          <w:sz w:val="30"/>
          <w:szCs w:val="30"/>
        </w:rPr>
        <w:t xml:space="preserve">seraient confortées </w:t>
      </w:r>
      <w:r w:rsidR="005F473B" w:rsidRPr="009722C2">
        <w:rPr>
          <w:rFonts w:asciiTheme="majorHAnsi" w:hAnsiTheme="majorHAnsi"/>
          <w:b w:val="0"/>
          <w:bCs w:val="0"/>
          <w:color w:val="000000" w:themeColor="text1"/>
          <w:sz w:val="30"/>
          <w:szCs w:val="30"/>
        </w:rPr>
        <w:t>par la cession ou l’ouverture du capital de certaines entreprises</w:t>
      </w:r>
      <w:r w:rsidR="006A67A8" w:rsidRPr="009722C2">
        <w:rPr>
          <w:rFonts w:asciiTheme="majorHAnsi" w:hAnsiTheme="majorHAnsi"/>
          <w:b w:val="0"/>
          <w:bCs w:val="0"/>
          <w:color w:val="000000" w:themeColor="text1"/>
          <w:sz w:val="30"/>
          <w:szCs w:val="30"/>
        </w:rPr>
        <w:t xml:space="preserve"> publiques</w:t>
      </w:r>
      <w:r w:rsidR="005F473B" w:rsidRPr="009722C2">
        <w:rPr>
          <w:rFonts w:asciiTheme="majorHAnsi" w:hAnsiTheme="majorHAnsi"/>
          <w:b w:val="0"/>
          <w:bCs w:val="0"/>
          <w:color w:val="000000" w:themeColor="text1"/>
          <w:sz w:val="30"/>
          <w:szCs w:val="30"/>
        </w:rPr>
        <w:t>, dont le montant des recettes de la privatisation</w:t>
      </w:r>
      <w:r w:rsidR="006A67A8" w:rsidRPr="009722C2">
        <w:rPr>
          <w:rFonts w:asciiTheme="majorHAnsi" w:hAnsiTheme="majorHAnsi"/>
          <w:b w:val="0"/>
          <w:bCs w:val="0"/>
          <w:color w:val="000000" w:themeColor="text1"/>
          <w:sz w:val="30"/>
          <w:szCs w:val="30"/>
        </w:rPr>
        <w:t xml:space="preserve"> dépasserait</w:t>
      </w:r>
      <w:r w:rsidR="005F473B" w:rsidRPr="009722C2">
        <w:rPr>
          <w:rFonts w:asciiTheme="majorHAnsi" w:hAnsiTheme="majorHAnsi"/>
          <w:b w:val="0"/>
          <w:bCs w:val="0"/>
          <w:color w:val="000000" w:themeColor="text1"/>
          <w:sz w:val="30"/>
          <w:szCs w:val="30"/>
        </w:rPr>
        <w:t xml:space="preserve"> les 5 milliards de DH. Dans c</w:t>
      </w:r>
      <w:r w:rsidR="00787384">
        <w:rPr>
          <w:rFonts w:asciiTheme="majorHAnsi" w:hAnsiTheme="majorHAnsi"/>
          <w:b w:val="0"/>
          <w:bCs w:val="0"/>
          <w:color w:val="000000" w:themeColor="text1"/>
          <w:sz w:val="30"/>
          <w:szCs w:val="30"/>
        </w:rPr>
        <w:t>e cadre, les recettes courantes</w:t>
      </w:r>
      <w:r w:rsidR="005F473B" w:rsidRPr="009722C2">
        <w:rPr>
          <w:rFonts w:asciiTheme="majorHAnsi" w:hAnsiTheme="majorHAnsi"/>
          <w:b w:val="0"/>
          <w:bCs w:val="0"/>
          <w:color w:val="000000" w:themeColor="text1"/>
          <w:sz w:val="30"/>
          <w:szCs w:val="30"/>
        </w:rPr>
        <w:t xml:space="preserve"> devraient représenter </w:t>
      </w:r>
      <w:r w:rsidR="006A67A8" w:rsidRPr="009722C2">
        <w:rPr>
          <w:rFonts w:asciiTheme="majorHAnsi" w:hAnsiTheme="majorHAnsi"/>
          <w:b w:val="0"/>
          <w:bCs w:val="0"/>
          <w:color w:val="000000" w:themeColor="text1"/>
          <w:sz w:val="30"/>
          <w:szCs w:val="30"/>
        </w:rPr>
        <w:t xml:space="preserve">près de </w:t>
      </w:r>
      <w:r w:rsidR="005F473B" w:rsidRPr="009722C2">
        <w:rPr>
          <w:rFonts w:asciiTheme="majorHAnsi" w:hAnsiTheme="majorHAnsi"/>
          <w:b w:val="0"/>
          <w:bCs w:val="0"/>
          <w:color w:val="000000" w:themeColor="text1"/>
          <w:sz w:val="30"/>
          <w:szCs w:val="30"/>
        </w:rPr>
        <w:t>20,8% du PIB en 2019.</w:t>
      </w:r>
    </w:p>
    <w:p w:rsidR="007C5B3F" w:rsidRPr="009722C2" w:rsidRDefault="007C5B3F" w:rsidP="007C5B3F">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741A70" w:rsidRDefault="005F473B" w:rsidP="004C3178">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t xml:space="preserve">Quant aux dépenses </w:t>
      </w:r>
      <w:r w:rsidR="007D4A6D">
        <w:rPr>
          <w:rFonts w:asciiTheme="majorHAnsi" w:hAnsiTheme="majorHAnsi"/>
          <w:b w:val="0"/>
          <w:bCs w:val="0"/>
          <w:color w:val="000000" w:themeColor="text1"/>
          <w:sz w:val="30"/>
          <w:szCs w:val="30"/>
        </w:rPr>
        <w:t>ordinaires</w:t>
      </w:r>
      <w:r w:rsidRPr="009722C2">
        <w:rPr>
          <w:rFonts w:asciiTheme="majorHAnsi" w:hAnsiTheme="majorHAnsi"/>
          <w:b w:val="0"/>
          <w:bCs w:val="0"/>
          <w:color w:val="000000" w:themeColor="text1"/>
          <w:sz w:val="30"/>
          <w:szCs w:val="30"/>
        </w:rPr>
        <w:t>, elles devraient atteindre 19,8% du PIB, suite à l’augmentation des dépenses de fonctionnement, notamment celles du personnel</w:t>
      </w:r>
      <w:r w:rsidR="004C3178">
        <w:rPr>
          <w:rFonts w:asciiTheme="majorHAnsi" w:hAnsiTheme="majorHAnsi"/>
          <w:b w:val="0"/>
          <w:bCs w:val="0"/>
          <w:color w:val="000000" w:themeColor="text1"/>
          <w:sz w:val="30"/>
          <w:szCs w:val="30"/>
        </w:rPr>
        <w:t>. Celles-ci</w:t>
      </w:r>
      <w:r w:rsidRPr="009722C2">
        <w:rPr>
          <w:rFonts w:asciiTheme="majorHAnsi" w:hAnsiTheme="majorHAnsi"/>
          <w:b w:val="0"/>
          <w:bCs w:val="0"/>
          <w:color w:val="000000" w:themeColor="text1"/>
          <w:sz w:val="30"/>
          <w:szCs w:val="30"/>
        </w:rPr>
        <w:t xml:space="preserve"> devraient poursuivre leur tendance haussière dépassant ainsi les 112 MMDH, soit </w:t>
      </w:r>
      <w:r w:rsidR="00A15145">
        <w:rPr>
          <w:rFonts w:asciiTheme="majorHAnsi" w:hAnsiTheme="majorHAnsi"/>
          <w:b w:val="0"/>
          <w:bCs w:val="0"/>
          <w:color w:val="000000" w:themeColor="text1"/>
          <w:sz w:val="30"/>
          <w:szCs w:val="30"/>
        </w:rPr>
        <w:t>4</w:t>
      </w:r>
      <w:r w:rsidR="003E3CD5">
        <w:rPr>
          <w:rFonts w:asciiTheme="majorHAnsi" w:hAnsiTheme="majorHAnsi"/>
          <w:b w:val="0"/>
          <w:bCs w:val="0"/>
          <w:color w:val="000000" w:themeColor="text1"/>
          <w:sz w:val="30"/>
          <w:szCs w:val="30"/>
        </w:rPr>
        <w:t>6</w:t>
      </w:r>
      <w:r w:rsidR="00A15145">
        <w:rPr>
          <w:rFonts w:asciiTheme="majorHAnsi" w:hAnsiTheme="majorHAnsi"/>
          <w:b w:val="0"/>
          <w:bCs w:val="0"/>
          <w:color w:val="000000" w:themeColor="text1"/>
          <w:sz w:val="30"/>
          <w:szCs w:val="30"/>
        </w:rPr>
        <w:t>,</w:t>
      </w:r>
      <w:r w:rsidR="007D4A6D">
        <w:rPr>
          <w:rFonts w:asciiTheme="majorHAnsi" w:hAnsiTheme="majorHAnsi"/>
          <w:b w:val="0"/>
          <w:bCs w:val="0"/>
          <w:color w:val="000000" w:themeColor="text1"/>
          <w:sz w:val="30"/>
          <w:szCs w:val="30"/>
        </w:rPr>
        <w:t>5</w:t>
      </w:r>
      <w:r w:rsidR="00A15145">
        <w:rPr>
          <w:rFonts w:asciiTheme="majorHAnsi" w:hAnsiTheme="majorHAnsi"/>
          <w:b w:val="0"/>
          <w:bCs w:val="0"/>
          <w:color w:val="000000" w:themeColor="text1"/>
          <w:sz w:val="30"/>
          <w:szCs w:val="30"/>
        </w:rPr>
        <w:t xml:space="preserve">% </w:t>
      </w:r>
      <w:r w:rsidRPr="009722C2">
        <w:rPr>
          <w:rFonts w:asciiTheme="majorHAnsi" w:hAnsiTheme="majorHAnsi"/>
          <w:b w:val="0"/>
          <w:bCs w:val="0"/>
          <w:color w:val="000000" w:themeColor="text1"/>
          <w:sz w:val="30"/>
          <w:szCs w:val="30"/>
        </w:rPr>
        <w:t xml:space="preserve">des recettes </w:t>
      </w:r>
      <w:r w:rsidR="00F1002F">
        <w:rPr>
          <w:rFonts w:asciiTheme="majorHAnsi" w:hAnsiTheme="majorHAnsi"/>
          <w:b w:val="0"/>
          <w:bCs w:val="0"/>
          <w:color w:val="000000" w:themeColor="text1"/>
          <w:sz w:val="30"/>
          <w:szCs w:val="30"/>
        </w:rPr>
        <w:t xml:space="preserve">qui devraient être </w:t>
      </w:r>
      <w:r w:rsidRPr="009722C2">
        <w:rPr>
          <w:rFonts w:asciiTheme="majorHAnsi" w:hAnsiTheme="majorHAnsi"/>
          <w:b w:val="0"/>
          <w:bCs w:val="0"/>
          <w:color w:val="000000" w:themeColor="text1"/>
          <w:sz w:val="30"/>
          <w:szCs w:val="30"/>
        </w:rPr>
        <w:t xml:space="preserve">générées par l'Etat. </w:t>
      </w:r>
    </w:p>
    <w:p w:rsidR="005F473B" w:rsidRPr="009722C2" w:rsidRDefault="005F473B" w:rsidP="004C3178">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lastRenderedPageBreak/>
        <w:t>Toutefois, les dépenses de compensation qui seraient en baisse en 2019, bénéficiant du recul des prix des matières premiers, devraient atténuer l’alourdissement des dépenses publiques.</w:t>
      </w:r>
    </w:p>
    <w:p w:rsidR="00F645B8" w:rsidRPr="009722C2" w:rsidRDefault="00F645B8" w:rsidP="00F645B8">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4E4D63" w:rsidRPr="009722C2" w:rsidRDefault="004E4D63" w:rsidP="00850260">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t xml:space="preserve">En tenant compte </w:t>
      </w:r>
      <w:r w:rsidR="005F473B" w:rsidRPr="009722C2">
        <w:rPr>
          <w:rFonts w:asciiTheme="majorHAnsi" w:hAnsiTheme="majorHAnsi"/>
          <w:b w:val="0"/>
          <w:bCs w:val="0"/>
          <w:color w:val="000000" w:themeColor="text1"/>
          <w:sz w:val="30"/>
          <w:szCs w:val="30"/>
        </w:rPr>
        <w:t>d</w:t>
      </w:r>
      <w:r w:rsidRPr="009722C2">
        <w:rPr>
          <w:rFonts w:asciiTheme="majorHAnsi" w:hAnsiTheme="majorHAnsi"/>
          <w:b w:val="0"/>
          <w:bCs w:val="0"/>
          <w:color w:val="000000" w:themeColor="text1"/>
          <w:sz w:val="30"/>
          <w:szCs w:val="30"/>
        </w:rPr>
        <w:t xml:space="preserve">es dépenses d'investissements qui représenteraient </w:t>
      </w:r>
      <w:r w:rsidR="00B72C85" w:rsidRPr="009722C2">
        <w:rPr>
          <w:rFonts w:asciiTheme="majorHAnsi" w:hAnsiTheme="majorHAnsi"/>
          <w:b w:val="0"/>
          <w:bCs w:val="0"/>
          <w:color w:val="000000" w:themeColor="text1"/>
          <w:sz w:val="30"/>
          <w:szCs w:val="30"/>
        </w:rPr>
        <w:t>5</w:t>
      </w:r>
      <w:r w:rsidRPr="009722C2">
        <w:rPr>
          <w:rFonts w:asciiTheme="majorHAnsi" w:hAnsiTheme="majorHAnsi"/>
          <w:b w:val="0"/>
          <w:bCs w:val="0"/>
          <w:color w:val="000000" w:themeColor="text1"/>
          <w:sz w:val="30"/>
          <w:szCs w:val="30"/>
        </w:rPr>
        <w:t xml:space="preserve">% </w:t>
      </w:r>
      <w:r w:rsidR="00D169C1" w:rsidRPr="009722C2">
        <w:rPr>
          <w:rFonts w:asciiTheme="majorHAnsi" w:hAnsiTheme="majorHAnsi"/>
          <w:b w:val="0"/>
          <w:bCs w:val="0"/>
          <w:color w:val="000000" w:themeColor="text1"/>
          <w:sz w:val="30"/>
          <w:szCs w:val="30"/>
        </w:rPr>
        <w:t xml:space="preserve">du PIB </w:t>
      </w:r>
      <w:r w:rsidRPr="009722C2">
        <w:rPr>
          <w:rFonts w:asciiTheme="majorHAnsi" w:hAnsiTheme="majorHAnsi"/>
          <w:b w:val="0"/>
          <w:bCs w:val="0"/>
          <w:color w:val="000000" w:themeColor="text1"/>
          <w:sz w:val="30"/>
          <w:szCs w:val="30"/>
        </w:rPr>
        <w:t xml:space="preserve">en 2019, le </w:t>
      </w:r>
      <w:r w:rsidR="00850260" w:rsidRPr="009722C2">
        <w:rPr>
          <w:rFonts w:asciiTheme="majorHAnsi" w:hAnsiTheme="majorHAnsi"/>
          <w:b w:val="0"/>
          <w:bCs w:val="0"/>
          <w:color w:val="000000" w:themeColor="text1"/>
          <w:sz w:val="30"/>
          <w:szCs w:val="30"/>
        </w:rPr>
        <w:t xml:space="preserve">déficit budgétaire </w:t>
      </w:r>
      <w:r w:rsidRPr="009722C2">
        <w:rPr>
          <w:rFonts w:asciiTheme="majorHAnsi" w:hAnsiTheme="majorHAnsi"/>
          <w:b w:val="0"/>
          <w:bCs w:val="0"/>
          <w:color w:val="000000" w:themeColor="text1"/>
          <w:sz w:val="30"/>
          <w:szCs w:val="30"/>
        </w:rPr>
        <w:t xml:space="preserve">devrait connaitre un allégement </w:t>
      </w:r>
      <w:r w:rsidR="00850260">
        <w:rPr>
          <w:rFonts w:asciiTheme="majorHAnsi" w:hAnsiTheme="majorHAnsi"/>
          <w:b w:val="0"/>
          <w:bCs w:val="0"/>
          <w:color w:val="000000" w:themeColor="text1"/>
          <w:sz w:val="30"/>
          <w:szCs w:val="30"/>
        </w:rPr>
        <w:t>pour atte</w:t>
      </w:r>
      <w:r w:rsidR="004C3178">
        <w:rPr>
          <w:rFonts w:asciiTheme="majorHAnsi" w:hAnsiTheme="majorHAnsi"/>
          <w:b w:val="0"/>
          <w:bCs w:val="0"/>
          <w:color w:val="000000" w:themeColor="text1"/>
          <w:sz w:val="30"/>
          <w:szCs w:val="30"/>
        </w:rPr>
        <w:t>i</w:t>
      </w:r>
      <w:r w:rsidR="00850260">
        <w:rPr>
          <w:rFonts w:asciiTheme="majorHAnsi" w:hAnsiTheme="majorHAnsi"/>
          <w:b w:val="0"/>
          <w:bCs w:val="0"/>
          <w:color w:val="000000" w:themeColor="text1"/>
          <w:sz w:val="30"/>
          <w:szCs w:val="30"/>
        </w:rPr>
        <w:t>ndre</w:t>
      </w:r>
      <w:r w:rsidRPr="009722C2">
        <w:rPr>
          <w:rFonts w:asciiTheme="majorHAnsi" w:hAnsiTheme="majorHAnsi"/>
          <w:b w:val="0"/>
          <w:bCs w:val="0"/>
          <w:color w:val="000000" w:themeColor="text1"/>
          <w:sz w:val="30"/>
          <w:szCs w:val="30"/>
        </w:rPr>
        <w:t xml:space="preserve"> 3,</w:t>
      </w:r>
      <w:r w:rsidR="00B72C85" w:rsidRPr="009722C2">
        <w:rPr>
          <w:rFonts w:asciiTheme="majorHAnsi" w:hAnsiTheme="majorHAnsi"/>
          <w:b w:val="0"/>
          <w:bCs w:val="0"/>
          <w:color w:val="000000" w:themeColor="text1"/>
          <w:sz w:val="30"/>
          <w:szCs w:val="30"/>
        </w:rPr>
        <w:t>7</w:t>
      </w:r>
      <w:r w:rsidRPr="009722C2">
        <w:rPr>
          <w:rFonts w:asciiTheme="majorHAnsi" w:hAnsiTheme="majorHAnsi"/>
          <w:b w:val="0"/>
          <w:bCs w:val="0"/>
          <w:color w:val="000000" w:themeColor="text1"/>
          <w:sz w:val="30"/>
          <w:szCs w:val="30"/>
        </w:rPr>
        <w:t xml:space="preserve">% du PIB, après </w:t>
      </w:r>
      <w:r w:rsidR="005F473B" w:rsidRPr="009722C2">
        <w:rPr>
          <w:rFonts w:asciiTheme="majorHAnsi" w:hAnsiTheme="majorHAnsi"/>
          <w:b w:val="0"/>
          <w:bCs w:val="0"/>
          <w:color w:val="000000" w:themeColor="text1"/>
          <w:sz w:val="30"/>
          <w:szCs w:val="30"/>
        </w:rPr>
        <w:t>3,9</w:t>
      </w:r>
      <w:r w:rsidRPr="009722C2">
        <w:rPr>
          <w:rFonts w:asciiTheme="majorHAnsi" w:hAnsiTheme="majorHAnsi"/>
          <w:b w:val="0"/>
          <w:bCs w:val="0"/>
          <w:color w:val="000000" w:themeColor="text1"/>
          <w:sz w:val="30"/>
          <w:szCs w:val="30"/>
        </w:rPr>
        <w:t xml:space="preserve">% estimé pour l'année 2018. </w:t>
      </w:r>
    </w:p>
    <w:p w:rsidR="004E4D63" w:rsidRPr="009722C2" w:rsidRDefault="004E4D63" w:rsidP="004E4D63">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C1552B" w:rsidRDefault="00C1552B" w:rsidP="00470F78">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Pr>
          <w:rFonts w:asciiTheme="majorHAnsi" w:hAnsiTheme="majorHAnsi"/>
          <w:b w:val="0"/>
          <w:bCs w:val="0"/>
          <w:color w:val="000000" w:themeColor="text1"/>
          <w:sz w:val="30"/>
          <w:szCs w:val="30"/>
        </w:rPr>
        <w:t>L</w:t>
      </w:r>
      <w:r w:rsidRPr="009722C2">
        <w:rPr>
          <w:rFonts w:asciiTheme="majorHAnsi" w:hAnsiTheme="majorHAnsi"/>
          <w:b w:val="0"/>
          <w:bCs w:val="0"/>
          <w:color w:val="000000" w:themeColor="text1"/>
          <w:sz w:val="30"/>
          <w:szCs w:val="30"/>
        </w:rPr>
        <w:t xml:space="preserve">a mobilisation des ressources financières </w:t>
      </w:r>
      <w:r>
        <w:rPr>
          <w:rFonts w:asciiTheme="majorHAnsi" w:hAnsiTheme="majorHAnsi"/>
          <w:b w:val="0"/>
          <w:bCs w:val="0"/>
          <w:color w:val="000000" w:themeColor="text1"/>
          <w:sz w:val="30"/>
          <w:szCs w:val="30"/>
        </w:rPr>
        <w:t>pour couvrir l</w:t>
      </w:r>
      <w:r w:rsidRPr="009722C2">
        <w:rPr>
          <w:rFonts w:asciiTheme="majorHAnsi" w:hAnsiTheme="majorHAnsi"/>
          <w:b w:val="0"/>
          <w:bCs w:val="0"/>
          <w:color w:val="000000" w:themeColor="text1"/>
          <w:sz w:val="30"/>
          <w:szCs w:val="30"/>
        </w:rPr>
        <w:t xml:space="preserve">es besoins de financement </w:t>
      </w:r>
      <w:r>
        <w:rPr>
          <w:rFonts w:asciiTheme="majorHAnsi" w:hAnsiTheme="majorHAnsi"/>
          <w:b w:val="0"/>
          <w:bCs w:val="0"/>
          <w:color w:val="000000" w:themeColor="text1"/>
          <w:sz w:val="30"/>
          <w:szCs w:val="30"/>
        </w:rPr>
        <w:t xml:space="preserve">induirait une légère hausse de </w:t>
      </w:r>
      <w:r w:rsidRPr="009722C2">
        <w:rPr>
          <w:rFonts w:asciiTheme="majorHAnsi" w:hAnsiTheme="majorHAnsi"/>
          <w:b w:val="0"/>
          <w:bCs w:val="0"/>
          <w:color w:val="000000" w:themeColor="text1"/>
          <w:sz w:val="30"/>
          <w:szCs w:val="30"/>
        </w:rPr>
        <w:t xml:space="preserve">la dette </w:t>
      </w:r>
      <w:r>
        <w:rPr>
          <w:rFonts w:asciiTheme="majorHAnsi" w:hAnsiTheme="majorHAnsi"/>
          <w:b w:val="0"/>
          <w:bCs w:val="0"/>
          <w:color w:val="000000" w:themeColor="text1"/>
          <w:sz w:val="30"/>
          <w:szCs w:val="30"/>
        </w:rPr>
        <w:t>du T</w:t>
      </w:r>
      <w:r w:rsidRPr="009722C2">
        <w:rPr>
          <w:rFonts w:asciiTheme="majorHAnsi" w:hAnsiTheme="majorHAnsi"/>
          <w:b w:val="0"/>
          <w:bCs w:val="0"/>
          <w:color w:val="000000" w:themeColor="text1"/>
          <w:sz w:val="30"/>
          <w:szCs w:val="30"/>
        </w:rPr>
        <w:t>résor à 66,</w:t>
      </w:r>
      <w:r>
        <w:rPr>
          <w:rFonts w:asciiTheme="majorHAnsi" w:hAnsiTheme="majorHAnsi"/>
          <w:b w:val="0"/>
          <w:bCs w:val="0"/>
          <w:color w:val="000000" w:themeColor="text1"/>
          <w:sz w:val="30"/>
          <w:szCs w:val="30"/>
        </w:rPr>
        <w:t>1</w:t>
      </w:r>
      <w:r w:rsidRPr="009722C2">
        <w:rPr>
          <w:rFonts w:asciiTheme="majorHAnsi" w:hAnsiTheme="majorHAnsi"/>
          <w:b w:val="0"/>
          <w:bCs w:val="0"/>
          <w:color w:val="000000" w:themeColor="text1"/>
          <w:sz w:val="30"/>
          <w:szCs w:val="30"/>
        </w:rPr>
        <w:t>% du PIB au lieu de 6</w:t>
      </w:r>
      <w:r>
        <w:rPr>
          <w:rFonts w:asciiTheme="majorHAnsi" w:hAnsiTheme="majorHAnsi"/>
          <w:b w:val="0"/>
          <w:bCs w:val="0"/>
          <w:color w:val="000000" w:themeColor="text1"/>
          <w:sz w:val="30"/>
          <w:szCs w:val="30"/>
        </w:rPr>
        <w:t>5,8</w:t>
      </w:r>
      <w:r w:rsidRPr="009722C2">
        <w:rPr>
          <w:rFonts w:asciiTheme="majorHAnsi" w:hAnsiTheme="majorHAnsi"/>
          <w:b w:val="0"/>
          <w:bCs w:val="0"/>
          <w:color w:val="000000" w:themeColor="text1"/>
          <w:sz w:val="30"/>
          <w:szCs w:val="30"/>
        </w:rPr>
        <w:t xml:space="preserve">% </w:t>
      </w:r>
      <w:r>
        <w:rPr>
          <w:rFonts w:asciiTheme="majorHAnsi" w:hAnsiTheme="majorHAnsi"/>
          <w:b w:val="0"/>
          <w:bCs w:val="0"/>
          <w:color w:val="000000" w:themeColor="text1"/>
          <w:sz w:val="30"/>
          <w:szCs w:val="30"/>
        </w:rPr>
        <w:t>en</w:t>
      </w:r>
      <w:r w:rsidRPr="009722C2">
        <w:rPr>
          <w:rFonts w:asciiTheme="majorHAnsi" w:hAnsiTheme="majorHAnsi"/>
          <w:b w:val="0"/>
          <w:bCs w:val="0"/>
          <w:color w:val="000000" w:themeColor="text1"/>
          <w:sz w:val="30"/>
          <w:szCs w:val="30"/>
        </w:rPr>
        <w:t xml:space="preserve"> 2018. Tenant compte de la dette extérieure garantie, le taux d’endettement public global </w:t>
      </w:r>
      <w:r w:rsidR="00F1002F">
        <w:rPr>
          <w:rFonts w:asciiTheme="majorHAnsi" w:hAnsiTheme="majorHAnsi"/>
          <w:b w:val="0"/>
          <w:bCs w:val="0"/>
          <w:color w:val="000000" w:themeColor="text1"/>
          <w:sz w:val="30"/>
          <w:szCs w:val="30"/>
        </w:rPr>
        <w:t xml:space="preserve">devrait </w:t>
      </w:r>
      <w:r w:rsidRPr="009722C2">
        <w:rPr>
          <w:rFonts w:asciiTheme="majorHAnsi" w:hAnsiTheme="majorHAnsi"/>
          <w:b w:val="0"/>
          <w:bCs w:val="0"/>
          <w:color w:val="000000" w:themeColor="text1"/>
          <w:sz w:val="30"/>
          <w:szCs w:val="30"/>
        </w:rPr>
        <w:t>s</w:t>
      </w:r>
      <w:r>
        <w:rPr>
          <w:rFonts w:asciiTheme="majorHAnsi" w:hAnsiTheme="majorHAnsi"/>
          <w:b w:val="0"/>
          <w:bCs w:val="0"/>
          <w:color w:val="000000" w:themeColor="text1"/>
          <w:sz w:val="30"/>
          <w:szCs w:val="30"/>
        </w:rPr>
        <w:t>e situer à</w:t>
      </w:r>
      <w:r w:rsidRPr="009722C2">
        <w:rPr>
          <w:rFonts w:asciiTheme="majorHAnsi" w:hAnsiTheme="majorHAnsi"/>
          <w:b w:val="0"/>
          <w:bCs w:val="0"/>
          <w:color w:val="000000" w:themeColor="text1"/>
          <w:sz w:val="30"/>
          <w:szCs w:val="30"/>
        </w:rPr>
        <w:t xml:space="preserve"> 82,5% du PIB après 82,</w:t>
      </w:r>
      <w:r w:rsidR="00470F78">
        <w:rPr>
          <w:rFonts w:asciiTheme="majorHAnsi" w:hAnsiTheme="majorHAnsi"/>
          <w:b w:val="0"/>
          <w:bCs w:val="0"/>
          <w:color w:val="000000" w:themeColor="text1"/>
          <w:sz w:val="30"/>
          <w:szCs w:val="30"/>
        </w:rPr>
        <w:t>2</w:t>
      </w:r>
      <w:r w:rsidRPr="009722C2">
        <w:rPr>
          <w:rFonts w:asciiTheme="majorHAnsi" w:hAnsiTheme="majorHAnsi"/>
          <w:b w:val="0"/>
          <w:bCs w:val="0"/>
          <w:color w:val="000000" w:themeColor="text1"/>
          <w:sz w:val="30"/>
          <w:szCs w:val="30"/>
        </w:rPr>
        <w:t xml:space="preserve">% en 2018. </w:t>
      </w:r>
    </w:p>
    <w:p w:rsidR="00B740A7" w:rsidRPr="009722C2" w:rsidRDefault="00B740A7" w:rsidP="00045B54">
      <w:pPr>
        <w:spacing w:before="100" w:beforeAutospacing="1" w:after="100" w:afterAutospacing="1"/>
        <w:ind w:left="-426" w:firstLine="426"/>
        <w:contextualSpacing/>
        <w:jc w:val="both"/>
        <w:rPr>
          <w:rFonts w:asciiTheme="majorHAnsi" w:hAnsiTheme="majorHAnsi"/>
          <w:color w:val="000000" w:themeColor="text1"/>
          <w:sz w:val="30"/>
          <w:szCs w:val="30"/>
        </w:rPr>
      </w:pPr>
    </w:p>
    <w:p w:rsidR="00C1552B" w:rsidRDefault="00C1552B" w:rsidP="00470F78">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9722C2">
        <w:rPr>
          <w:rFonts w:asciiTheme="majorHAnsi" w:hAnsiTheme="majorHAnsi"/>
          <w:b w:val="0"/>
          <w:bCs w:val="0"/>
          <w:color w:val="000000" w:themeColor="text1"/>
          <w:sz w:val="30"/>
          <w:szCs w:val="30"/>
        </w:rPr>
        <w:t xml:space="preserve">Globalement, </w:t>
      </w:r>
      <w:r>
        <w:rPr>
          <w:rFonts w:asciiTheme="majorHAnsi" w:hAnsiTheme="majorHAnsi"/>
          <w:b w:val="0"/>
          <w:bCs w:val="0"/>
          <w:color w:val="000000" w:themeColor="text1"/>
          <w:sz w:val="30"/>
          <w:szCs w:val="30"/>
        </w:rPr>
        <w:t>le financement de l’économie continuerait d’être marqué par la faible mobilisation de l’épargne intérieure. Celle-ci devrait représenter</w:t>
      </w:r>
      <w:r w:rsidRPr="009722C2">
        <w:rPr>
          <w:rFonts w:asciiTheme="majorHAnsi" w:hAnsiTheme="majorHAnsi"/>
          <w:b w:val="0"/>
          <w:bCs w:val="0"/>
          <w:color w:val="000000" w:themeColor="text1"/>
          <w:sz w:val="30"/>
          <w:szCs w:val="30"/>
        </w:rPr>
        <w:t xml:space="preserve"> 22,2% du PIB au lieu de 22,5% en 2018. </w:t>
      </w:r>
      <w:r>
        <w:rPr>
          <w:rFonts w:asciiTheme="majorHAnsi" w:hAnsiTheme="majorHAnsi"/>
          <w:b w:val="0"/>
          <w:bCs w:val="0"/>
          <w:color w:val="000000" w:themeColor="text1"/>
          <w:sz w:val="30"/>
          <w:szCs w:val="30"/>
        </w:rPr>
        <w:t xml:space="preserve">La </w:t>
      </w:r>
      <w:r w:rsidRPr="009722C2">
        <w:rPr>
          <w:rFonts w:asciiTheme="majorHAnsi" w:hAnsiTheme="majorHAnsi"/>
          <w:color w:val="000000" w:themeColor="text1"/>
          <w:sz w:val="30"/>
          <w:szCs w:val="30"/>
        </w:rPr>
        <w:t>consommation finale nationale</w:t>
      </w:r>
      <w:r w:rsidRPr="009722C2">
        <w:rPr>
          <w:rFonts w:asciiTheme="majorHAnsi" w:hAnsiTheme="majorHAnsi"/>
          <w:b w:val="0"/>
          <w:bCs w:val="0"/>
          <w:color w:val="000000" w:themeColor="text1"/>
          <w:sz w:val="30"/>
          <w:szCs w:val="30"/>
        </w:rPr>
        <w:t xml:space="preserve"> connaitrait </w:t>
      </w:r>
      <w:r w:rsidR="00470F78">
        <w:rPr>
          <w:rFonts w:asciiTheme="majorHAnsi" w:hAnsiTheme="majorHAnsi"/>
          <w:b w:val="0"/>
          <w:bCs w:val="0"/>
          <w:color w:val="000000" w:themeColor="text1"/>
          <w:sz w:val="30"/>
          <w:szCs w:val="30"/>
        </w:rPr>
        <w:t xml:space="preserve">aux prix courants </w:t>
      </w:r>
      <w:r w:rsidRPr="009722C2">
        <w:rPr>
          <w:rFonts w:asciiTheme="majorHAnsi" w:hAnsiTheme="majorHAnsi"/>
          <w:b w:val="0"/>
          <w:bCs w:val="0"/>
          <w:color w:val="000000" w:themeColor="text1"/>
          <w:sz w:val="30"/>
          <w:szCs w:val="30"/>
        </w:rPr>
        <w:t>un ralentissement de son rythme de progression</w:t>
      </w:r>
      <w:r>
        <w:rPr>
          <w:rFonts w:asciiTheme="majorHAnsi" w:hAnsiTheme="majorHAnsi"/>
          <w:b w:val="0"/>
          <w:bCs w:val="0"/>
          <w:color w:val="000000" w:themeColor="text1"/>
          <w:sz w:val="30"/>
          <w:szCs w:val="30"/>
        </w:rPr>
        <w:t xml:space="preserve"> </w:t>
      </w:r>
      <w:r w:rsidRPr="009722C2">
        <w:rPr>
          <w:rFonts w:asciiTheme="majorHAnsi" w:hAnsiTheme="majorHAnsi"/>
          <w:b w:val="0"/>
          <w:bCs w:val="0"/>
          <w:color w:val="000000" w:themeColor="text1"/>
          <w:sz w:val="30"/>
          <w:szCs w:val="30"/>
        </w:rPr>
        <w:t>à 4,5% en 2019</w:t>
      </w:r>
      <w:r>
        <w:rPr>
          <w:rFonts w:asciiTheme="majorHAnsi" w:hAnsiTheme="majorHAnsi"/>
          <w:b w:val="0"/>
          <w:bCs w:val="0"/>
          <w:color w:val="000000" w:themeColor="text1"/>
          <w:sz w:val="30"/>
          <w:szCs w:val="30"/>
        </w:rPr>
        <w:t xml:space="preserve">, plus élevé que celui de 4,1% du </w:t>
      </w:r>
      <w:r w:rsidR="00470F78">
        <w:rPr>
          <w:rFonts w:asciiTheme="majorHAnsi" w:hAnsiTheme="majorHAnsi"/>
          <w:b w:val="0"/>
          <w:bCs w:val="0"/>
          <w:color w:val="000000" w:themeColor="text1"/>
          <w:sz w:val="30"/>
          <w:szCs w:val="30"/>
        </w:rPr>
        <w:t xml:space="preserve">produit intérieur brut </w:t>
      </w:r>
      <w:r>
        <w:rPr>
          <w:rFonts w:asciiTheme="majorHAnsi" w:hAnsiTheme="majorHAnsi"/>
          <w:b w:val="0"/>
          <w:bCs w:val="0"/>
          <w:color w:val="000000" w:themeColor="text1"/>
          <w:sz w:val="30"/>
          <w:szCs w:val="30"/>
        </w:rPr>
        <w:t>nominal.</w:t>
      </w:r>
    </w:p>
    <w:p w:rsidR="000A0718" w:rsidRPr="009722C2" w:rsidRDefault="000A0718" w:rsidP="000A0718">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C1552B" w:rsidRDefault="00C1552B" w:rsidP="00C1552B">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EC1542">
        <w:rPr>
          <w:rFonts w:asciiTheme="majorHAnsi" w:hAnsiTheme="majorHAnsi"/>
          <w:b w:val="0"/>
          <w:color w:val="000000" w:themeColor="text1"/>
          <w:sz w:val="30"/>
          <w:szCs w:val="30"/>
        </w:rPr>
        <w:t>En prenant en considération</w:t>
      </w:r>
      <w:r>
        <w:rPr>
          <w:rFonts w:asciiTheme="majorHAnsi" w:hAnsiTheme="majorHAnsi"/>
          <w:color w:val="000000" w:themeColor="text1"/>
          <w:sz w:val="30"/>
          <w:szCs w:val="30"/>
        </w:rPr>
        <w:t xml:space="preserve"> </w:t>
      </w:r>
      <w:r w:rsidRPr="009722C2">
        <w:rPr>
          <w:rFonts w:asciiTheme="majorHAnsi" w:hAnsiTheme="majorHAnsi"/>
          <w:b w:val="0"/>
          <w:bCs w:val="0"/>
          <w:color w:val="000000" w:themeColor="text1"/>
          <w:sz w:val="30"/>
          <w:szCs w:val="30"/>
        </w:rPr>
        <w:t xml:space="preserve">les revenus nets en provenance du reste du monde, </w:t>
      </w:r>
      <w:r>
        <w:rPr>
          <w:rFonts w:asciiTheme="majorHAnsi" w:hAnsiTheme="majorHAnsi"/>
          <w:b w:val="0"/>
          <w:bCs w:val="0"/>
          <w:color w:val="000000" w:themeColor="text1"/>
          <w:sz w:val="30"/>
          <w:szCs w:val="30"/>
        </w:rPr>
        <w:t xml:space="preserve">qui </w:t>
      </w:r>
      <w:r w:rsidRPr="009722C2">
        <w:rPr>
          <w:rFonts w:asciiTheme="majorHAnsi" w:hAnsiTheme="majorHAnsi"/>
          <w:b w:val="0"/>
          <w:bCs w:val="0"/>
          <w:color w:val="000000" w:themeColor="text1"/>
          <w:sz w:val="30"/>
          <w:szCs w:val="30"/>
        </w:rPr>
        <w:t>devrai</w:t>
      </w:r>
      <w:r>
        <w:rPr>
          <w:rFonts w:asciiTheme="majorHAnsi" w:hAnsiTheme="majorHAnsi"/>
          <w:b w:val="0"/>
          <w:bCs w:val="0"/>
          <w:color w:val="000000" w:themeColor="text1"/>
          <w:sz w:val="30"/>
          <w:szCs w:val="30"/>
        </w:rPr>
        <w:t>en</w:t>
      </w:r>
      <w:r w:rsidRPr="009722C2">
        <w:rPr>
          <w:rFonts w:asciiTheme="majorHAnsi" w:hAnsiTheme="majorHAnsi"/>
          <w:b w:val="0"/>
          <w:bCs w:val="0"/>
          <w:color w:val="000000" w:themeColor="text1"/>
          <w:sz w:val="30"/>
          <w:szCs w:val="30"/>
        </w:rPr>
        <w:t xml:space="preserve">t </w:t>
      </w:r>
      <w:r>
        <w:rPr>
          <w:rFonts w:asciiTheme="majorHAnsi" w:hAnsiTheme="majorHAnsi"/>
          <w:b w:val="0"/>
          <w:bCs w:val="0"/>
          <w:color w:val="000000" w:themeColor="text1"/>
          <w:sz w:val="30"/>
          <w:szCs w:val="30"/>
        </w:rPr>
        <w:t>représenter</w:t>
      </w:r>
      <w:r w:rsidRPr="009722C2">
        <w:rPr>
          <w:rFonts w:asciiTheme="majorHAnsi" w:hAnsiTheme="majorHAnsi"/>
          <w:b w:val="0"/>
          <w:bCs w:val="0"/>
          <w:color w:val="000000" w:themeColor="text1"/>
          <w:sz w:val="30"/>
          <w:szCs w:val="30"/>
        </w:rPr>
        <w:t xml:space="preserve"> </w:t>
      </w:r>
      <w:r>
        <w:rPr>
          <w:rFonts w:asciiTheme="majorHAnsi" w:hAnsiTheme="majorHAnsi"/>
          <w:b w:val="0"/>
          <w:bCs w:val="0"/>
          <w:color w:val="000000" w:themeColor="text1"/>
          <w:sz w:val="30"/>
          <w:szCs w:val="30"/>
        </w:rPr>
        <w:t xml:space="preserve">5,5% du PIB </w:t>
      </w:r>
      <w:r w:rsidRPr="009722C2">
        <w:rPr>
          <w:rFonts w:asciiTheme="majorHAnsi" w:hAnsiTheme="majorHAnsi"/>
          <w:b w:val="0"/>
          <w:bCs w:val="0"/>
          <w:color w:val="000000" w:themeColor="text1"/>
          <w:sz w:val="30"/>
          <w:szCs w:val="30"/>
        </w:rPr>
        <w:t>en 2019</w:t>
      </w:r>
      <w:r>
        <w:rPr>
          <w:rFonts w:asciiTheme="majorHAnsi" w:hAnsiTheme="majorHAnsi"/>
          <w:b w:val="0"/>
          <w:bCs w:val="0"/>
          <w:color w:val="000000" w:themeColor="text1"/>
          <w:sz w:val="30"/>
          <w:szCs w:val="30"/>
        </w:rPr>
        <w:t xml:space="preserve">, </w:t>
      </w:r>
      <w:r w:rsidRPr="00EC1542">
        <w:rPr>
          <w:rFonts w:asciiTheme="majorHAnsi" w:hAnsiTheme="majorHAnsi"/>
          <w:bCs w:val="0"/>
          <w:color w:val="000000" w:themeColor="text1"/>
          <w:sz w:val="30"/>
          <w:szCs w:val="30"/>
        </w:rPr>
        <w:t>l’épargne nationale</w:t>
      </w:r>
      <w:r>
        <w:rPr>
          <w:rFonts w:asciiTheme="majorHAnsi" w:hAnsiTheme="majorHAnsi"/>
          <w:b w:val="0"/>
          <w:bCs w:val="0"/>
          <w:color w:val="000000" w:themeColor="text1"/>
          <w:sz w:val="30"/>
          <w:szCs w:val="30"/>
        </w:rPr>
        <w:t xml:space="preserve"> se situerait à </w:t>
      </w:r>
      <w:r w:rsidRPr="009722C2">
        <w:rPr>
          <w:rFonts w:asciiTheme="majorHAnsi" w:hAnsiTheme="majorHAnsi"/>
          <w:b w:val="0"/>
          <w:bCs w:val="0"/>
          <w:color w:val="000000" w:themeColor="text1"/>
          <w:sz w:val="30"/>
          <w:szCs w:val="30"/>
        </w:rPr>
        <w:t xml:space="preserve">27,7% du PIB, </w:t>
      </w:r>
      <w:r>
        <w:rPr>
          <w:rFonts w:asciiTheme="majorHAnsi" w:hAnsiTheme="majorHAnsi"/>
          <w:b w:val="0"/>
          <w:bCs w:val="0"/>
          <w:color w:val="000000" w:themeColor="text1"/>
          <w:sz w:val="30"/>
          <w:szCs w:val="30"/>
        </w:rPr>
        <w:t>mettant en exergue la baisse tendancielle du taux d’épargne durant les dernières années. L</w:t>
      </w:r>
      <w:r w:rsidRPr="009722C2">
        <w:rPr>
          <w:rFonts w:asciiTheme="majorHAnsi" w:hAnsiTheme="majorHAnsi"/>
          <w:b w:val="0"/>
          <w:bCs w:val="0"/>
          <w:color w:val="000000" w:themeColor="text1"/>
          <w:sz w:val="30"/>
          <w:szCs w:val="30"/>
        </w:rPr>
        <w:t>’investissement brut</w:t>
      </w:r>
      <w:r>
        <w:rPr>
          <w:rFonts w:asciiTheme="majorHAnsi" w:hAnsiTheme="majorHAnsi"/>
          <w:b w:val="0"/>
          <w:bCs w:val="0"/>
          <w:color w:val="000000" w:themeColor="text1"/>
          <w:sz w:val="30"/>
          <w:szCs w:val="30"/>
        </w:rPr>
        <w:t>, de sa part,</w:t>
      </w:r>
      <w:r w:rsidRPr="009722C2">
        <w:rPr>
          <w:rFonts w:asciiTheme="majorHAnsi" w:hAnsiTheme="majorHAnsi"/>
          <w:b w:val="0"/>
          <w:bCs w:val="0"/>
          <w:color w:val="000000" w:themeColor="text1"/>
          <w:sz w:val="30"/>
          <w:szCs w:val="30"/>
        </w:rPr>
        <w:t xml:space="preserve"> </w:t>
      </w:r>
      <w:r w:rsidR="00F1002F">
        <w:rPr>
          <w:rFonts w:asciiTheme="majorHAnsi" w:hAnsiTheme="majorHAnsi"/>
          <w:b w:val="0"/>
          <w:bCs w:val="0"/>
          <w:color w:val="000000" w:themeColor="text1"/>
          <w:sz w:val="30"/>
          <w:szCs w:val="30"/>
        </w:rPr>
        <w:t>baisse</w:t>
      </w:r>
      <w:r w:rsidRPr="009722C2">
        <w:rPr>
          <w:rFonts w:asciiTheme="majorHAnsi" w:hAnsiTheme="majorHAnsi"/>
          <w:b w:val="0"/>
          <w:bCs w:val="0"/>
          <w:color w:val="000000" w:themeColor="text1"/>
          <w:sz w:val="30"/>
          <w:szCs w:val="30"/>
        </w:rPr>
        <w:t xml:space="preserve">rait à </w:t>
      </w:r>
      <w:r>
        <w:rPr>
          <w:rFonts w:asciiTheme="majorHAnsi" w:hAnsiTheme="majorHAnsi"/>
          <w:b w:val="0"/>
          <w:bCs w:val="0"/>
          <w:color w:val="000000" w:themeColor="text1"/>
          <w:sz w:val="30"/>
          <w:szCs w:val="30"/>
        </w:rPr>
        <w:t>32</w:t>
      </w:r>
      <w:r w:rsidRPr="009722C2">
        <w:rPr>
          <w:rFonts w:asciiTheme="majorHAnsi" w:hAnsiTheme="majorHAnsi"/>
          <w:b w:val="0"/>
          <w:bCs w:val="0"/>
          <w:color w:val="000000" w:themeColor="text1"/>
          <w:sz w:val="30"/>
          <w:szCs w:val="30"/>
        </w:rPr>
        <w:t>% du PIB au lieu de 32,</w:t>
      </w:r>
      <w:r>
        <w:rPr>
          <w:rFonts w:asciiTheme="majorHAnsi" w:hAnsiTheme="majorHAnsi"/>
          <w:b w:val="0"/>
          <w:bCs w:val="0"/>
          <w:color w:val="000000" w:themeColor="text1"/>
          <w:sz w:val="30"/>
          <w:szCs w:val="30"/>
        </w:rPr>
        <w:t>4</w:t>
      </w:r>
      <w:r w:rsidRPr="009722C2">
        <w:rPr>
          <w:rFonts w:asciiTheme="majorHAnsi" w:hAnsiTheme="majorHAnsi"/>
          <w:b w:val="0"/>
          <w:bCs w:val="0"/>
          <w:color w:val="000000" w:themeColor="text1"/>
          <w:sz w:val="30"/>
          <w:szCs w:val="30"/>
        </w:rPr>
        <w:t>% en 2018</w:t>
      </w:r>
      <w:r>
        <w:rPr>
          <w:rFonts w:asciiTheme="majorHAnsi" w:hAnsiTheme="majorHAnsi"/>
          <w:b w:val="0"/>
          <w:bCs w:val="0"/>
          <w:color w:val="000000" w:themeColor="text1"/>
          <w:sz w:val="30"/>
          <w:szCs w:val="30"/>
        </w:rPr>
        <w:t>. Le</w:t>
      </w:r>
      <w:r w:rsidRPr="009722C2">
        <w:rPr>
          <w:rFonts w:asciiTheme="majorHAnsi" w:hAnsiTheme="majorHAnsi"/>
          <w:b w:val="0"/>
          <w:bCs w:val="0"/>
          <w:color w:val="000000" w:themeColor="text1"/>
          <w:sz w:val="30"/>
          <w:szCs w:val="30"/>
        </w:rPr>
        <w:t xml:space="preserve"> compte Epargne-Investissement dégagerait, en conséquence un besoin de finan</w:t>
      </w:r>
      <w:r>
        <w:rPr>
          <w:rFonts w:asciiTheme="majorHAnsi" w:hAnsiTheme="majorHAnsi"/>
          <w:b w:val="0"/>
          <w:bCs w:val="0"/>
          <w:color w:val="000000" w:themeColor="text1"/>
          <w:sz w:val="30"/>
          <w:szCs w:val="30"/>
        </w:rPr>
        <w:t xml:space="preserve">cement, en allégement </w:t>
      </w:r>
      <w:r w:rsidR="00BA3DEC">
        <w:rPr>
          <w:rFonts w:asciiTheme="majorHAnsi" w:hAnsiTheme="majorHAnsi"/>
          <w:b w:val="0"/>
          <w:bCs w:val="0"/>
          <w:color w:val="000000" w:themeColor="text1"/>
          <w:sz w:val="30"/>
          <w:szCs w:val="30"/>
        </w:rPr>
        <w:t>qui devrait</w:t>
      </w:r>
      <w:r>
        <w:rPr>
          <w:rFonts w:asciiTheme="majorHAnsi" w:hAnsiTheme="majorHAnsi"/>
          <w:b w:val="0"/>
          <w:bCs w:val="0"/>
          <w:color w:val="000000" w:themeColor="text1"/>
          <w:sz w:val="30"/>
          <w:szCs w:val="30"/>
        </w:rPr>
        <w:t xml:space="preserve"> </w:t>
      </w:r>
      <w:r w:rsidR="00A5284B">
        <w:rPr>
          <w:rFonts w:asciiTheme="majorHAnsi" w:hAnsiTheme="majorHAnsi"/>
          <w:b w:val="0"/>
          <w:bCs w:val="0"/>
          <w:color w:val="000000" w:themeColor="text1"/>
          <w:sz w:val="30"/>
          <w:szCs w:val="30"/>
        </w:rPr>
        <w:t>s</w:t>
      </w:r>
      <w:r w:rsidR="00470F78">
        <w:rPr>
          <w:rFonts w:asciiTheme="majorHAnsi" w:hAnsiTheme="majorHAnsi"/>
          <w:b w:val="0"/>
          <w:bCs w:val="0"/>
          <w:color w:val="000000" w:themeColor="text1"/>
          <w:sz w:val="30"/>
          <w:szCs w:val="30"/>
        </w:rPr>
        <w:t>e situer à</w:t>
      </w:r>
      <w:r>
        <w:rPr>
          <w:rFonts w:asciiTheme="majorHAnsi" w:hAnsiTheme="majorHAnsi"/>
          <w:b w:val="0"/>
          <w:bCs w:val="0"/>
          <w:color w:val="000000" w:themeColor="text1"/>
          <w:sz w:val="30"/>
          <w:szCs w:val="30"/>
        </w:rPr>
        <w:t xml:space="preserve"> </w:t>
      </w:r>
      <w:r w:rsidRPr="009722C2">
        <w:rPr>
          <w:rFonts w:asciiTheme="majorHAnsi" w:hAnsiTheme="majorHAnsi"/>
          <w:b w:val="0"/>
          <w:bCs w:val="0"/>
          <w:color w:val="000000" w:themeColor="text1"/>
          <w:sz w:val="30"/>
          <w:szCs w:val="30"/>
        </w:rPr>
        <w:t xml:space="preserve">4,3% du PIB </w:t>
      </w:r>
      <w:r>
        <w:rPr>
          <w:rFonts w:asciiTheme="majorHAnsi" w:hAnsiTheme="majorHAnsi"/>
          <w:b w:val="0"/>
          <w:bCs w:val="0"/>
          <w:color w:val="000000" w:themeColor="text1"/>
          <w:sz w:val="30"/>
          <w:szCs w:val="30"/>
        </w:rPr>
        <w:t xml:space="preserve">en 2019 au lieu de </w:t>
      </w:r>
      <w:r w:rsidRPr="009722C2">
        <w:rPr>
          <w:rFonts w:asciiTheme="majorHAnsi" w:hAnsiTheme="majorHAnsi"/>
          <w:b w:val="0"/>
          <w:bCs w:val="0"/>
          <w:color w:val="000000" w:themeColor="text1"/>
          <w:sz w:val="30"/>
          <w:szCs w:val="30"/>
        </w:rPr>
        <w:t>4,5% en 2018.</w:t>
      </w:r>
    </w:p>
    <w:p w:rsidR="00C1552B" w:rsidRDefault="00C1552B" w:rsidP="00C1552B">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p>
    <w:p w:rsidR="00040550" w:rsidRDefault="00040550" w:rsidP="004C3178">
      <w:pPr>
        <w:spacing w:before="100" w:beforeAutospacing="1" w:after="100" w:afterAutospacing="1"/>
        <w:ind w:left="-426" w:firstLine="426"/>
        <w:contextualSpacing/>
        <w:jc w:val="both"/>
        <w:rPr>
          <w:rFonts w:asciiTheme="majorHAnsi" w:hAnsiTheme="majorHAnsi"/>
          <w:b w:val="0"/>
          <w:bCs w:val="0"/>
          <w:color w:val="000000" w:themeColor="text1"/>
          <w:sz w:val="30"/>
          <w:szCs w:val="30"/>
        </w:rPr>
      </w:pPr>
      <w:r w:rsidRPr="003B2BCE">
        <w:rPr>
          <w:rFonts w:asciiTheme="majorHAnsi" w:hAnsiTheme="majorHAnsi"/>
          <w:b w:val="0"/>
          <w:color w:val="000000" w:themeColor="text1"/>
          <w:sz w:val="30"/>
          <w:szCs w:val="30"/>
        </w:rPr>
        <w:t>Au niveau du</w:t>
      </w:r>
      <w:r w:rsidRPr="009722C2">
        <w:rPr>
          <w:rFonts w:asciiTheme="majorHAnsi" w:hAnsiTheme="majorHAnsi"/>
          <w:color w:val="000000" w:themeColor="text1"/>
          <w:sz w:val="30"/>
          <w:szCs w:val="30"/>
        </w:rPr>
        <w:t xml:space="preserve"> marché monétaire</w:t>
      </w:r>
      <w:r>
        <w:rPr>
          <w:rFonts w:asciiTheme="majorHAnsi" w:hAnsiTheme="majorHAnsi"/>
          <w:color w:val="000000" w:themeColor="text1"/>
          <w:sz w:val="30"/>
          <w:szCs w:val="30"/>
        </w:rPr>
        <w:t xml:space="preserve">, </w:t>
      </w:r>
      <w:r w:rsidRPr="009722C2">
        <w:rPr>
          <w:rFonts w:asciiTheme="majorHAnsi" w:hAnsiTheme="majorHAnsi"/>
          <w:b w:val="0"/>
          <w:bCs w:val="0"/>
          <w:color w:val="000000" w:themeColor="text1"/>
          <w:sz w:val="30"/>
          <w:szCs w:val="30"/>
        </w:rPr>
        <w:t xml:space="preserve"> </w:t>
      </w:r>
      <w:r>
        <w:rPr>
          <w:rFonts w:asciiTheme="majorHAnsi" w:hAnsiTheme="majorHAnsi"/>
          <w:b w:val="0"/>
          <w:bCs w:val="0"/>
          <w:color w:val="000000" w:themeColor="text1"/>
          <w:sz w:val="30"/>
          <w:szCs w:val="30"/>
        </w:rPr>
        <w:t>l</w:t>
      </w:r>
      <w:r w:rsidRPr="009722C2">
        <w:rPr>
          <w:rFonts w:asciiTheme="majorHAnsi" w:hAnsiTheme="majorHAnsi"/>
          <w:b w:val="0"/>
          <w:bCs w:val="0"/>
          <w:color w:val="000000" w:themeColor="text1"/>
          <w:sz w:val="30"/>
          <w:szCs w:val="30"/>
        </w:rPr>
        <w:t xml:space="preserve">es principales contreparties de la masse monétaire </w:t>
      </w:r>
      <w:r>
        <w:rPr>
          <w:rFonts w:asciiTheme="majorHAnsi" w:hAnsiTheme="majorHAnsi"/>
          <w:b w:val="0"/>
          <w:bCs w:val="0"/>
          <w:color w:val="000000" w:themeColor="text1"/>
          <w:sz w:val="30"/>
          <w:szCs w:val="30"/>
        </w:rPr>
        <w:t xml:space="preserve">devraient connaitre </w:t>
      </w:r>
      <w:r w:rsidRPr="009722C2">
        <w:rPr>
          <w:rFonts w:asciiTheme="majorHAnsi" w:hAnsiTheme="majorHAnsi"/>
          <w:b w:val="0"/>
          <w:bCs w:val="0"/>
          <w:color w:val="000000" w:themeColor="text1"/>
          <w:sz w:val="30"/>
          <w:szCs w:val="30"/>
        </w:rPr>
        <w:t xml:space="preserve">une légère </w:t>
      </w:r>
      <w:r w:rsidR="00496FE4">
        <w:rPr>
          <w:rFonts w:asciiTheme="majorHAnsi" w:hAnsiTheme="majorHAnsi"/>
          <w:b w:val="0"/>
          <w:bCs w:val="0"/>
          <w:color w:val="000000" w:themeColor="text1"/>
          <w:sz w:val="30"/>
          <w:szCs w:val="30"/>
        </w:rPr>
        <w:t>hausse</w:t>
      </w:r>
      <w:r w:rsidRPr="009722C2">
        <w:rPr>
          <w:rFonts w:asciiTheme="majorHAnsi" w:hAnsiTheme="majorHAnsi"/>
          <w:b w:val="0"/>
          <w:bCs w:val="0"/>
          <w:color w:val="000000" w:themeColor="text1"/>
          <w:sz w:val="30"/>
          <w:szCs w:val="30"/>
        </w:rPr>
        <w:t xml:space="preserve">, notamment les avoirs extérieurs nets qui devraient augmenter pour atteindre près de 235 milliards de dirhams. En outre, les créances nettes sur l’administration centrale devraient poursuivre leur tendance haussière </w:t>
      </w:r>
      <w:r w:rsidR="00C1552B">
        <w:rPr>
          <w:rFonts w:asciiTheme="majorHAnsi" w:hAnsiTheme="majorHAnsi"/>
          <w:b w:val="0"/>
          <w:bCs w:val="0"/>
          <w:color w:val="000000" w:themeColor="text1"/>
          <w:sz w:val="30"/>
          <w:szCs w:val="30"/>
        </w:rPr>
        <w:t>enregistrée</w:t>
      </w:r>
      <w:r w:rsidRPr="009722C2">
        <w:rPr>
          <w:rFonts w:asciiTheme="majorHAnsi" w:hAnsiTheme="majorHAnsi"/>
          <w:b w:val="0"/>
          <w:bCs w:val="0"/>
          <w:color w:val="000000" w:themeColor="text1"/>
          <w:sz w:val="30"/>
          <w:szCs w:val="30"/>
        </w:rPr>
        <w:t xml:space="preserve"> en 2018. Pour leur part, les crédits bancaires </w:t>
      </w:r>
      <w:r w:rsidR="00A5284B">
        <w:rPr>
          <w:rFonts w:asciiTheme="majorHAnsi" w:hAnsiTheme="majorHAnsi"/>
          <w:b w:val="0"/>
          <w:bCs w:val="0"/>
          <w:color w:val="000000" w:themeColor="text1"/>
          <w:sz w:val="30"/>
          <w:szCs w:val="30"/>
        </w:rPr>
        <w:t>devrai</w:t>
      </w:r>
      <w:r w:rsidRPr="009722C2">
        <w:rPr>
          <w:rFonts w:asciiTheme="majorHAnsi" w:hAnsiTheme="majorHAnsi"/>
          <w:b w:val="0"/>
          <w:bCs w:val="0"/>
          <w:color w:val="000000" w:themeColor="text1"/>
          <w:sz w:val="30"/>
          <w:szCs w:val="30"/>
        </w:rPr>
        <w:t xml:space="preserve">ent </w:t>
      </w:r>
      <w:r w:rsidR="00A5284B">
        <w:rPr>
          <w:rFonts w:asciiTheme="majorHAnsi" w:hAnsiTheme="majorHAnsi"/>
          <w:b w:val="0"/>
          <w:bCs w:val="0"/>
          <w:color w:val="000000" w:themeColor="text1"/>
          <w:sz w:val="30"/>
          <w:szCs w:val="30"/>
        </w:rPr>
        <w:t xml:space="preserve">connaitre </w:t>
      </w:r>
      <w:r w:rsidRPr="009722C2">
        <w:rPr>
          <w:rFonts w:asciiTheme="majorHAnsi" w:hAnsiTheme="majorHAnsi"/>
          <w:b w:val="0"/>
          <w:bCs w:val="0"/>
          <w:color w:val="000000" w:themeColor="text1"/>
          <w:sz w:val="30"/>
          <w:szCs w:val="30"/>
        </w:rPr>
        <w:t xml:space="preserve">une </w:t>
      </w:r>
      <w:r w:rsidR="00C2470F">
        <w:rPr>
          <w:rFonts w:asciiTheme="majorHAnsi" w:hAnsiTheme="majorHAnsi"/>
          <w:b w:val="0"/>
          <w:bCs w:val="0"/>
          <w:color w:val="000000" w:themeColor="text1"/>
          <w:sz w:val="30"/>
          <w:szCs w:val="30"/>
        </w:rPr>
        <w:t>amélioration</w:t>
      </w:r>
      <w:r w:rsidRPr="009722C2">
        <w:rPr>
          <w:rFonts w:asciiTheme="majorHAnsi" w:hAnsiTheme="majorHAnsi"/>
          <w:b w:val="0"/>
          <w:bCs w:val="0"/>
          <w:color w:val="000000" w:themeColor="text1"/>
          <w:sz w:val="30"/>
          <w:szCs w:val="30"/>
        </w:rPr>
        <w:t xml:space="preserve"> de pr</w:t>
      </w:r>
      <w:r w:rsidR="004C3178">
        <w:rPr>
          <w:rFonts w:asciiTheme="majorHAnsi" w:hAnsiTheme="majorHAnsi"/>
          <w:b w:val="0"/>
          <w:bCs w:val="0"/>
          <w:color w:val="000000" w:themeColor="text1"/>
          <w:sz w:val="30"/>
          <w:szCs w:val="30"/>
        </w:rPr>
        <w:t>è</w:t>
      </w:r>
      <w:r w:rsidRPr="009722C2">
        <w:rPr>
          <w:rFonts w:asciiTheme="majorHAnsi" w:hAnsiTheme="majorHAnsi"/>
          <w:b w:val="0"/>
          <w:bCs w:val="0"/>
          <w:color w:val="000000" w:themeColor="text1"/>
          <w:sz w:val="30"/>
          <w:szCs w:val="30"/>
        </w:rPr>
        <w:t>s de 3% en 2019</w:t>
      </w:r>
      <w:r w:rsidR="00470F78">
        <w:rPr>
          <w:rFonts w:asciiTheme="majorHAnsi" w:hAnsiTheme="majorHAnsi"/>
          <w:b w:val="0"/>
          <w:bCs w:val="0"/>
          <w:color w:val="000000" w:themeColor="text1"/>
          <w:sz w:val="30"/>
          <w:szCs w:val="30"/>
        </w:rPr>
        <w:t>.</w:t>
      </w:r>
      <w:r w:rsidRPr="009722C2">
        <w:rPr>
          <w:rFonts w:asciiTheme="majorHAnsi" w:hAnsiTheme="majorHAnsi"/>
          <w:b w:val="0"/>
          <w:bCs w:val="0"/>
          <w:color w:val="000000" w:themeColor="text1"/>
          <w:sz w:val="30"/>
          <w:szCs w:val="30"/>
        </w:rPr>
        <w:t xml:space="preserve"> Dans ce contexte</w:t>
      </w:r>
      <w:r w:rsidR="004C3178">
        <w:rPr>
          <w:rFonts w:asciiTheme="majorHAnsi" w:hAnsiTheme="majorHAnsi"/>
          <w:b w:val="0"/>
          <w:bCs w:val="0"/>
          <w:color w:val="000000" w:themeColor="text1"/>
          <w:sz w:val="30"/>
          <w:szCs w:val="30"/>
        </w:rPr>
        <w:t>,</w:t>
      </w:r>
      <w:r w:rsidRPr="009722C2">
        <w:rPr>
          <w:rFonts w:asciiTheme="majorHAnsi" w:hAnsiTheme="majorHAnsi"/>
          <w:b w:val="0"/>
          <w:bCs w:val="0"/>
          <w:color w:val="000000" w:themeColor="text1"/>
          <w:sz w:val="30"/>
          <w:szCs w:val="30"/>
        </w:rPr>
        <w:t xml:space="preserve"> et compte tenu des prévisions retenues pour la croissance économique nationale et l’évolution du niveau général des prix</w:t>
      </w:r>
      <w:r w:rsidR="00A5284B">
        <w:rPr>
          <w:rFonts w:asciiTheme="majorHAnsi" w:hAnsiTheme="majorHAnsi"/>
          <w:b w:val="0"/>
          <w:bCs w:val="0"/>
          <w:color w:val="000000" w:themeColor="text1"/>
          <w:sz w:val="30"/>
          <w:szCs w:val="30"/>
        </w:rPr>
        <w:t xml:space="preserve"> en 2019</w:t>
      </w:r>
      <w:r w:rsidRPr="009722C2">
        <w:rPr>
          <w:rFonts w:asciiTheme="majorHAnsi" w:hAnsiTheme="majorHAnsi"/>
          <w:b w:val="0"/>
          <w:bCs w:val="0"/>
          <w:color w:val="000000" w:themeColor="text1"/>
          <w:sz w:val="30"/>
          <w:szCs w:val="30"/>
        </w:rPr>
        <w:t xml:space="preserve">, la masse monétaire devrait s’accroitre de près de 4% au lieu de 3,5% en 2018. </w:t>
      </w:r>
    </w:p>
    <w:p w:rsidR="00040550" w:rsidRPr="00E32D4A" w:rsidRDefault="00E32D4A" w:rsidP="00040550">
      <w:pPr>
        <w:spacing w:before="100" w:beforeAutospacing="1" w:after="100" w:afterAutospacing="1"/>
        <w:ind w:left="-426" w:firstLine="426"/>
        <w:contextualSpacing/>
        <w:jc w:val="both"/>
        <w:rPr>
          <w:rFonts w:asciiTheme="majorHAnsi" w:hAnsiTheme="majorHAnsi"/>
          <w:bCs w:val="0"/>
          <w:color w:val="000000" w:themeColor="text1"/>
          <w:sz w:val="32"/>
          <w:szCs w:val="32"/>
        </w:rPr>
      </w:pPr>
      <w:r w:rsidRPr="00E32D4A">
        <w:rPr>
          <w:rFonts w:asciiTheme="majorHAnsi" w:hAnsiTheme="majorHAnsi"/>
          <w:bCs w:val="0"/>
          <w:color w:val="000000" w:themeColor="text1"/>
          <w:sz w:val="32"/>
          <w:szCs w:val="32"/>
        </w:rPr>
        <w:lastRenderedPageBreak/>
        <w:t>Conclusion :</w:t>
      </w:r>
    </w:p>
    <w:p w:rsidR="00E32D4A" w:rsidRDefault="00895992" w:rsidP="00CD096D">
      <w:pPr>
        <w:pStyle w:val="Paragraphedeliste"/>
        <w:numPr>
          <w:ilvl w:val="0"/>
          <w:numId w:val="16"/>
        </w:numPr>
        <w:tabs>
          <w:tab w:val="left" w:pos="284"/>
          <w:tab w:val="left" w:pos="993"/>
        </w:tabs>
        <w:spacing w:before="100" w:beforeAutospacing="1" w:after="100" w:afterAutospacing="1"/>
        <w:jc w:val="both"/>
        <w:rPr>
          <w:rFonts w:asciiTheme="majorHAnsi" w:hAnsiTheme="majorHAnsi" w:cstheme="majorBidi"/>
          <w:color w:val="000000" w:themeColor="text1"/>
          <w:sz w:val="30"/>
          <w:szCs w:val="30"/>
        </w:rPr>
      </w:pPr>
      <w:r>
        <w:rPr>
          <w:rFonts w:asciiTheme="majorHAnsi" w:hAnsiTheme="majorHAnsi" w:cstheme="majorBidi"/>
          <w:color w:val="000000" w:themeColor="text1"/>
          <w:sz w:val="30"/>
          <w:szCs w:val="30"/>
        </w:rPr>
        <w:t xml:space="preserve"> </w:t>
      </w:r>
      <w:r w:rsidR="00E32D4A">
        <w:rPr>
          <w:rFonts w:asciiTheme="majorHAnsi" w:hAnsiTheme="majorHAnsi" w:cstheme="majorBidi"/>
          <w:color w:val="000000" w:themeColor="text1"/>
          <w:sz w:val="30"/>
          <w:szCs w:val="30"/>
        </w:rPr>
        <w:t xml:space="preserve">Les prévisions économiques pour l’année 2019 confirment le ralentissement de la </w:t>
      </w:r>
      <w:r w:rsidR="00E32D4A">
        <w:rPr>
          <w:rFonts w:asciiTheme="majorHAnsi" w:hAnsiTheme="majorHAnsi" w:cstheme="majorBidi"/>
          <w:b/>
          <w:bCs/>
          <w:color w:val="000000" w:themeColor="text1"/>
          <w:sz w:val="30"/>
          <w:szCs w:val="30"/>
        </w:rPr>
        <w:t>croissance économique nationale</w:t>
      </w:r>
      <w:r w:rsidR="00E32D4A">
        <w:rPr>
          <w:rFonts w:asciiTheme="majorHAnsi" w:hAnsiTheme="majorHAnsi" w:cstheme="majorBidi"/>
          <w:color w:val="000000" w:themeColor="text1"/>
          <w:sz w:val="30"/>
          <w:szCs w:val="30"/>
        </w:rPr>
        <w:t xml:space="preserve"> de 3,6% </w:t>
      </w:r>
      <w:r w:rsidR="00CD096D">
        <w:rPr>
          <w:rFonts w:asciiTheme="majorHAnsi" w:hAnsiTheme="majorHAnsi" w:cstheme="majorBidi"/>
          <w:color w:val="000000" w:themeColor="text1"/>
          <w:sz w:val="30"/>
          <w:szCs w:val="30"/>
        </w:rPr>
        <w:t>durant la période</w:t>
      </w:r>
      <w:r w:rsidR="00E32D4A">
        <w:rPr>
          <w:rFonts w:asciiTheme="majorHAnsi" w:hAnsiTheme="majorHAnsi" w:cstheme="majorBidi"/>
          <w:color w:val="000000" w:themeColor="text1"/>
          <w:sz w:val="30"/>
          <w:szCs w:val="30"/>
        </w:rPr>
        <w:t xml:space="preserve"> 2010-2017 à 2,9% en moyenne entre 2018</w:t>
      </w:r>
      <w:r w:rsidR="00CD096D">
        <w:rPr>
          <w:rFonts w:asciiTheme="majorHAnsi" w:hAnsiTheme="majorHAnsi" w:cstheme="majorBidi"/>
          <w:color w:val="000000" w:themeColor="text1"/>
          <w:sz w:val="30"/>
          <w:szCs w:val="30"/>
        </w:rPr>
        <w:t xml:space="preserve"> et </w:t>
      </w:r>
      <w:r w:rsidR="00E32D4A">
        <w:rPr>
          <w:rFonts w:asciiTheme="majorHAnsi" w:hAnsiTheme="majorHAnsi" w:cstheme="majorBidi"/>
          <w:color w:val="000000" w:themeColor="text1"/>
          <w:sz w:val="30"/>
          <w:szCs w:val="30"/>
        </w:rPr>
        <w:t>2019. Cette décélération s'explique particulièrement par les difficultés des activités non agricoles à se réinscrire dans un sentier haussier pour se stabiliser à 3% seulement en</w:t>
      </w:r>
      <w:r w:rsidR="00CD096D">
        <w:rPr>
          <w:rFonts w:asciiTheme="majorHAnsi" w:hAnsiTheme="majorHAnsi" w:cstheme="majorBidi"/>
          <w:color w:val="000000" w:themeColor="text1"/>
          <w:sz w:val="30"/>
          <w:szCs w:val="30"/>
        </w:rPr>
        <w:t>tre</w:t>
      </w:r>
      <w:r w:rsidR="00E32D4A">
        <w:rPr>
          <w:rFonts w:asciiTheme="majorHAnsi" w:hAnsiTheme="majorHAnsi" w:cstheme="majorBidi"/>
          <w:color w:val="000000" w:themeColor="text1"/>
          <w:sz w:val="30"/>
          <w:szCs w:val="30"/>
        </w:rPr>
        <w:t xml:space="preserve"> 2018</w:t>
      </w:r>
      <w:r w:rsidR="00CD096D">
        <w:rPr>
          <w:rFonts w:asciiTheme="majorHAnsi" w:hAnsiTheme="majorHAnsi" w:cstheme="majorBidi"/>
          <w:color w:val="000000" w:themeColor="text1"/>
          <w:sz w:val="30"/>
          <w:szCs w:val="30"/>
        </w:rPr>
        <w:t xml:space="preserve"> et </w:t>
      </w:r>
      <w:r w:rsidR="00E32D4A">
        <w:rPr>
          <w:rFonts w:asciiTheme="majorHAnsi" w:hAnsiTheme="majorHAnsi" w:cstheme="majorBidi"/>
          <w:color w:val="000000" w:themeColor="text1"/>
          <w:sz w:val="30"/>
          <w:szCs w:val="30"/>
        </w:rPr>
        <w:t>2019 au lieu d’une</w:t>
      </w:r>
      <w:r w:rsidR="00CD096D">
        <w:rPr>
          <w:rFonts w:asciiTheme="majorHAnsi" w:hAnsiTheme="majorHAnsi" w:cstheme="majorBidi"/>
          <w:color w:val="000000" w:themeColor="text1"/>
          <w:sz w:val="30"/>
          <w:szCs w:val="30"/>
        </w:rPr>
        <w:t xml:space="preserve"> moyenne de 4,2%</w:t>
      </w:r>
      <w:r w:rsidR="00E32D4A">
        <w:rPr>
          <w:rFonts w:asciiTheme="majorHAnsi" w:hAnsiTheme="majorHAnsi" w:cstheme="majorBidi"/>
          <w:color w:val="000000" w:themeColor="text1"/>
          <w:sz w:val="30"/>
          <w:szCs w:val="30"/>
        </w:rPr>
        <w:t xml:space="preserve"> enregistré</w:t>
      </w:r>
      <w:r w:rsidR="00CD096D">
        <w:rPr>
          <w:rFonts w:asciiTheme="majorHAnsi" w:hAnsiTheme="majorHAnsi" w:cstheme="majorBidi"/>
          <w:color w:val="000000" w:themeColor="text1"/>
          <w:sz w:val="30"/>
          <w:szCs w:val="30"/>
        </w:rPr>
        <w:t>e</w:t>
      </w:r>
      <w:r w:rsidR="00E32D4A">
        <w:rPr>
          <w:rFonts w:asciiTheme="majorHAnsi" w:hAnsiTheme="majorHAnsi" w:cstheme="majorBidi"/>
          <w:color w:val="000000" w:themeColor="text1"/>
          <w:sz w:val="30"/>
          <w:szCs w:val="30"/>
        </w:rPr>
        <w:t xml:space="preserve"> durant la période 2008-2012. </w:t>
      </w:r>
    </w:p>
    <w:p w:rsidR="00E32D4A" w:rsidRPr="00CD096D" w:rsidRDefault="00E32D4A" w:rsidP="00E32D4A">
      <w:pPr>
        <w:pStyle w:val="Paragraphedeliste"/>
        <w:tabs>
          <w:tab w:val="left" w:pos="284"/>
          <w:tab w:val="left" w:pos="993"/>
        </w:tabs>
        <w:spacing w:before="100" w:beforeAutospacing="1" w:after="100" w:afterAutospacing="1"/>
        <w:ind w:left="360"/>
        <w:jc w:val="both"/>
        <w:rPr>
          <w:rFonts w:asciiTheme="majorHAnsi" w:hAnsiTheme="majorHAnsi" w:cstheme="majorBidi"/>
          <w:color w:val="000000" w:themeColor="text1"/>
          <w:sz w:val="18"/>
          <w:szCs w:val="18"/>
        </w:rPr>
      </w:pPr>
    </w:p>
    <w:p w:rsidR="00E32D4A" w:rsidRDefault="00E32D4A" w:rsidP="00CD096D">
      <w:pPr>
        <w:pStyle w:val="Paragraphedeliste"/>
        <w:numPr>
          <w:ilvl w:val="0"/>
          <w:numId w:val="16"/>
        </w:numPr>
        <w:tabs>
          <w:tab w:val="left" w:pos="284"/>
          <w:tab w:val="left" w:pos="993"/>
        </w:tabs>
        <w:spacing w:before="100" w:beforeAutospacing="1" w:after="100" w:afterAutospacing="1"/>
        <w:jc w:val="both"/>
        <w:rPr>
          <w:rFonts w:asciiTheme="majorHAnsi" w:hAnsiTheme="majorHAnsi" w:cstheme="majorBidi"/>
          <w:color w:val="000000" w:themeColor="text1"/>
          <w:sz w:val="30"/>
          <w:szCs w:val="30"/>
        </w:rPr>
      </w:pPr>
      <w:r>
        <w:rPr>
          <w:rFonts w:asciiTheme="majorHAnsi" w:hAnsiTheme="majorHAnsi" w:cstheme="majorBidi"/>
          <w:color w:val="000000" w:themeColor="text1"/>
          <w:sz w:val="30"/>
          <w:szCs w:val="30"/>
        </w:rPr>
        <w:t>Le secteur agricole aurait réalisé pour la deuxième année consécutive des résultats satisfaisants, bénéficiant des conditions climatiques favorables. Cependant la hausse de la production agricole notamment des cultures fruitières et maraichères n</w:t>
      </w:r>
      <w:r w:rsidR="00CD096D">
        <w:rPr>
          <w:rFonts w:asciiTheme="majorHAnsi" w:hAnsiTheme="majorHAnsi" w:cstheme="majorBidi"/>
          <w:color w:val="000000" w:themeColor="text1"/>
          <w:sz w:val="30"/>
          <w:szCs w:val="30"/>
        </w:rPr>
        <w:t xml:space="preserve">’aurait pas été </w:t>
      </w:r>
      <w:r>
        <w:rPr>
          <w:rFonts w:asciiTheme="majorHAnsi" w:hAnsiTheme="majorHAnsi" w:cstheme="majorBidi"/>
          <w:color w:val="000000" w:themeColor="text1"/>
          <w:sz w:val="30"/>
          <w:szCs w:val="30"/>
        </w:rPr>
        <w:t>accompagnée par une performance de l’industrie agro-alimentaire. C’est ainsi qu’il faut souligner le déphasage croissant entre les performances productives agricoles et les capacités de transformation industrielle, tenant en compte la faiblesse de la part exportée et sa concentration  sur un nombre réduit de client.</w:t>
      </w:r>
    </w:p>
    <w:p w:rsidR="00E32D4A" w:rsidRPr="00CD096D" w:rsidRDefault="00E32D4A" w:rsidP="00E32D4A">
      <w:pPr>
        <w:pStyle w:val="Paragraphedeliste"/>
        <w:tabs>
          <w:tab w:val="left" w:pos="284"/>
          <w:tab w:val="left" w:pos="993"/>
        </w:tabs>
        <w:spacing w:before="100" w:beforeAutospacing="1" w:after="100" w:afterAutospacing="1"/>
        <w:ind w:left="360"/>
        <w:jc w:val="both"/>
        <w:rPr>
          <w:rFonts w:asciiTheme="majorHAnsi" w:hAnsiTheme="majorHAnsi" w:cstheme="majorBidi"/>
          <w:color w:val="000000" w:themeColor="text1"/>
          <w:sz w:val="22"/>
          <w:szCs w:val="22"/>
        </w:rPr>
      </w:pPr>
    </w:p>
    <w:p w:rsidR="00E32D4A" w:rsidRDefault="00E32D4A" w:rsidP="00E32D4A">
      <w:pPr>
        <w:pStyle w:val="Paragraphedeliste"/>
        <w:numPr>
          <w:ilvl w:val="0"/>
          <w:numId w:val="16"/>
        </w:numPr>
        <w:tabs>
          <w:tab w:val="left" w:pos="284"/>
          <w:tab w:val="left" w:pos="993"/>
        </w:tabs>
        <w:spacing w:before="100" w:beforeAutospacing="1" w:after="100" w:afterAutospacing="1"/>
        <w:ind w:left="294"/>
        <w:jc w:val="both"/>
        <w:rPr>
          <w:rFonts w:asciiTheme="majorHAnsi" w:hAnsiTheme="majorHAnsi" w:cstheme="majorBidi"/>
          <w:color w:val="000000" w:themeColor="text1"/>
          <w:sz w:val="30"/>
          <w:szCs w:val="30"/>
        </w:rPr>
      </w:pPr>
      <w:r>
        <w:rPr>
          <w:rFonts w:asciiTheme="majorHAnsi" w:hAnsiTheme="majorHAnsi" w:cstheme="majorBidi"/>
          <w:color w:val="000000" w:themeColor="text1"/>
          <w:sz w:val="30"/>
          <w:szCs w:val="30"/>
        </w:rPr>
        <w:t xml:space="preserve"> La croissance économique nationale resterait </w:t>
      </w:r>
      <w:r w:rsidR="004632E1">
        <w:rPr>
          <w:rFonts w:asciiTheme="majorHAnsi" w:hAnsiTheme="majorHAnsi" w:cstheme="majorBidi"/>
          <w:color w:val="000000" w:themeColor="text1"/>
          <w:sz w:val="30"/>
          <w:szCs w:val="30"/>
        </w:rPr>
        <w:t>tirée par la demande intérieure</w:t>
      </w:r>
      <w:r>
        <w:rPr>
          <w:rFonts w:asciiTheme="majorHAnsi" w:hAnsiTheme="majorHAnsi" w:cstheme="majorBidi"/>
          <w:color w:val="000000" w:themeColor="text1"/>
          <w:sz w:val="30"/>
          <w:szCs w:val="30"/>
        </w:rPr>
        <w:t xml:space="preserve">, atténuée toutefois  par une contribution négative de la demande extérieure. Dans un contexte </w:t>
      </w:r>
      <w:r w:rsidR="004632E1">
        <w:rPr>
          <w:rFonts w:asciiTheme="majorHAnsi" w:hAnsiTheme="majorHAnsi" w:cstheme="majorBidi"/>
          <w:color w:val="000000" w:themeColor="text1"/>
          <w:sz w:val="30"/>
          <w:szCs w:val="30"/>
        </w:rPr>
        <w:t xml:space="preserve">économique </w:t>
      </w:r>
      <w:r>
        <w:rPr>
          <w:rFonts w:asciiTheme="majorHAnsi" w:hAnsiTheme="majorHAnsi" w:cstheme="majorBidi"/>
          <w:color w:val="000000" w:themeColor="text1"/>
          <w:sz w:val="30"/>
          <w:szCs w:val="30"/>
        </w:rPr>
        <w:t>mondial défavorable, le ralentissement de la demande adressée au Maroc devrait limiter l’évolution des expo</w:t>
      </w:r>
      <w:r w:rsidR="004632E1">
        <w:rPr>
          <w:rFonts w:asciiTheme="majorHAnsi" w:hAnsiTheme="majorHAnsi" w:cstheme="majorBidi"/>
          <w:color w:val="000000" w:themeColor="text1"/>
          <w:sz w:val="30"/>
          <w:szCs w:val="30"/>
        </w:rPr>
        <w:t>rtations des biens et services</w:t>
      </w:r>
      <w:r>
        <w:rPr>
          <w:rFonts w:asciiTheme="majorHAnsi" w:hAnsiTheme="majorHAnsi" w:cstheme="majorBidi"/>
          <w:color w:val="000000" w:themeColor="text1"/>
          <w:sz w:val="30"/>
          <w:szCs w:val="30"/>
        </w:rPr>
        <w:t>. Ceci serait de nature à réduire les capacités financières du Maroc pour couvrir ses besoins en importations, de plus en plus rigides à la baisse.</w:t>
      </w:r>
    </w:p>
    <w:p w:rsidR="00CD096D" w:rsidRPr="00CD096D" w:rsidRDefault="00CD096D" w:rsidP="00CD096D">
      <w:pPr>
        <w:pStyle w:val="Paragraphedeliste"/>
        <w:rPr>
          <w:rFonts w:asciiTheme="majorHAnsi" w:hAnsiTheme="majorHAnsi" w:cstheme="majorBidi"/>
          <w:color w:val="000000" w:themeColor="text1"/>
          <w:sz w:val="22"/>
          <w:szCs w:val="22"/>
        </w:rPr>
      </w:pPr>
    </w:p>
    <w:p w:rsidR="00DD6238" w:rsidRPr="00322DE3" w:rsidRDefault="00E32D4A" w:rsidP="00445F48">
      <w:pPr>
        <w:pStyle w:val="Paragraphedeliste"/>
        <w:numPr>
          <w:ilvl w:val="0"/>
          <w:numId w:val="17"/>
        </w:numPr>
        <w:tabs>
          <w:tab w:val="left" w:pos="284"/>
          <w:tab w:val="left" w:pos="993"/>
        </w:tabs>
        <w:spacing w:before="100" w:beforeAutospacing="1" w:after="100" w:afterAutospacing="1"/>
        <w:jc w:val="both"/>
        <w:rPr>
          <w:rFonts w:asciiTheme="majorHAnsi" w:hAnsiTheme="majorHAnsi" w:cstheme="majorBidi"/>
          <w:color w:val="000000" w:themeColor="text1"/>
          <w:sz w:val="30"/>
          <w:szCs w:val="30"/>
        </w:rPr>
      </w:pPr>
      <w:r w:rsidRPr="00DD6238">
        <w:rPr>
          <w:rFonts w:asciiTheme="majorHAnsi" w:hAnsiTheme="majorHAnsi" w:cstheme="majorBidi"/>
          <w:color w:val="000000" w:themeColor="text1"/>
          <w:sz w:val="30"/>
          <w:szCs w:val="30"/>
        </w:rPr>
        <w:t>L’investissement commence à marquer un essoufflement significatif, sa moyenne annuelle s’inscrit dans une tendance baissière, passant à près de 32,2% entre 2018</w:t>
      </w:r>
      <w:r w:rsidR="00445F48">
        <w:rPr>
          <w:rFonts w:asciiTheme="majorHAnsi" w:hAnsiTheme="majorHAnsi" w:cstheme="majorBidi"/>
          <w:color w:val="000000" w:themeColor="text1"/>
          <w:sz w:val="30"/>
          <w:szCs w:val="30"/>
        </w:rPr>
        <w:t xml:space="preserve"> et </w:t>
      </w:r>
      <w:r w:rsidRPr="00DD6238">
        <w:rPr>
          <w:rFonts w:asciiTheme="majorHAnsi" w:hAnsiTheme="majorHAnsi" w:cstheme="majorBidi"/>
          <w:color w:val="000000" w:themeColor="text1"/>
          <w:sz w:val="30"/>
          <w:szCs w:val="30"/>
        </w:rPr>
        <w:t xml:space="preserve">2019, après avoir été de l’ordre de 33,5% pendant la période 2010-2017. Le gap entre l’épargne intérieure et le taux d’investissement </w:t>
      </w:r>
      <w:r w:rsidR="00DD6238" w:rsidRPr="00322DE3">
        <w:rPr>
          <w:rFonts w:asciiTheme="majorHAnsi" w:hAnsiTheme="majorHAnsi" w:cstheme="majorBidi"/>
          <w:color w:val="000000" w:themeColor="text1"/>
          <w:sz w:val="30"/>
          <w:szCs w:val="30"/>
        </w:rPr>
        <w:t xml:space="preserve">resterait, cependant, élevé, enregistrant une moyenne de 10% du PIB entre 2018 et 2019, au lieu de 11,8% </w:t>
      </w:r>
      <w:r w:rsidR="00445F48">
        <w:rPr>
          <w:rFonts w:asciiTheme="majorHAnsi" w:hAnsiTheme="majorHAnsi" w:cstheme="majorBidi"/>
          <w:color w:val="000000" w:themeColor="text1"/>
          <w:sz w:val="30"/>
          <w:szCs w:val="30"/>
        </w:rPr>
        <w:t xml:space="preserve">en moyenne durant la période </w:t>
      </w:r>
      <w:r w:rsidR="00DD6238" w:rsidRPr="00322DE3">
        <w:rPr>
          <w:rFonts w:asciiTheme="majorHAnsi" w:hAnsiTheme="majorHAnsi" w:cstheme="majorBidi"/>
          <w:color w:val="000000" w:themeColor="text1"/>
          <w:sz w:val="30"/>
          <w:szCs w:val="30"/>
        </w:rPr>
        <w:t>2010-2017.</w:t>
      </w:r>
    </w:p>
    <w:p w:rsidR="00E32D4A" w:rsidRPr="00DD6238" w:rsidRDefault="00E32D4A" w:rsidP="00CD096D">
      <w:pPr>
        <w:pStyle w:val="Paragraphedeliste"/>
        <w:tabs>
          <w:tab w:val="left" w:pos="284"/>
          <w:tab w:val="left" w:pos="993"/>
        </w:tabs>
        <w:spacing w:before="100" w:beforeAutospacing="1" w:after="100" w:afterAutospacing="1"/>
        <w:ind w:left="294"/>
        <w:jc w:val="both"/>
        <w:rPr>
          <w:rFonts w:asciiTheme="majorHAnsi" w:hAnsiTheme="majorHAnsi" w:cstheme="majorBidi"/>
          <w:color w:val="000000" w:themeColor="text1"/>
          <w:sz w:val="30"/>
          <w:szCs w:val="30"/>
        </w:rPr>
      </w:pPr>
    </w:p>
    <w:p w:rsidR="00C72ADE" w:rsidRPr="001F6107" w:rsidRDefault="00C72ADE" w:rsidP="00C72ADE">
      <w:pPr>
        <w:pStyle w:val="Titre"/>
        <w:tabs>
          <w:tab w:val="left" w:pos="993"/>
        </w:tabs>
        <w:spacing w:before="100" w:beforeAutospacing="1" w:after="100" w:afterAutospacing="1"/>
        <w:ind w:firstLine="284"/>
        <w:contextualSpacing/>
        <w:rPr>
          <w:rFonts w:asciiTheme="majorHAnsi" w:hAnsiTheme="majorHAnsi"/>
          <w:caps/>
          <w:shadow/>
          <w:color w:val="0070C0"/>
          <w:kern w:val="16"/>
          <w:sz w:val="26"/>
          <w:szCs w:val="26"/>
          <w:u w:val="single"/>
        </w:rPr>
      </w:pPr>
      <w:r w:rsidRPr="001F6107">
        <w:rPr>
          <w:rFonts w:asciiTheme="majorHAnsi" w:hAnsiTheme="majorHAnsi"/>
          <w:caps/>
          <w:shadow/>
          <w:color w:val="0070C0"/>
          <w:kern w:val="16"/>
          <w:sz w:val="26"/>
          <w:szCs w:val="26"/>
          <w:u w:val="single"/>
        </w:rPr>
        <w:t>Evolution du Produit Intérieur Brut en volume selon les prix de l’année précédente (En %)</w:t>
      </w:r>
    </w:p>
    <w:tbl>
      <w:tblPr>
        <w:tblW w:w="10360" w:type="dxa"/>
        <w:jc w:val="center"/>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6"/>
        <w:gridCol w:w="1291"/>
        <w:gridCol w:w="1417"/>
        <w:gridCol w:w="1463"/>
        <w:gridCol w:w="1203"/>
      </w:tblGrid>
      <w:tr w:rsidR="00C72ADE" w:rsidRPr="00B57F6E" w:rsidTr="00411EFA">
        <w:trPr>
          <w:trHeight w:val="343"/>
          <w:jc w:val="center"/>
        </w:trPr>
        <w:tc>
          <w:tcPr>
            <w:tcW w:w="4986" w:type="dxa"/>
          </w:tcPr>
          <w:p w:rsidR="00C72ADE" w:rsidRPr="00B57F6E" w:rsidRDefault="00C72ADE" w:rsidP="001F6107">
            <w:pPr>
              <w:rPr>
                <w:b w:val="0"/>
                <w:color w:val="000000" w:themeColor="text1"/>
                <w:sz w:val="30"/>
                <w:szCs w:val="30"/>
                <w:lang w:bidi="ar-MA"/>
              </w:rPr>
            </w:pPr>
            <w:r w:rsidRPr="00B57F6E">
              <w:rPr>
                <w:rFonts w:asciiTheme="majorHAnsi" w:hAnsiTheme="majorHAnsi"/>
                <w:color w:val="000000" w:themeColor="text1"/>
                <w:sz w:val="30"/>
                <w:szCs w:val="30"/>
              </w:rPr>
              <w:t>Rubriques</w:t>
            </w:r>
          </w:p>
        </w:tc>
        <w:tc>
          <w:tcPr>
            <w:tcW w:w="1291" w:type="dxa"/>
            <w:shd w:val="clear" w:color="auto" w:fill="auto"/>
            <w:vAlign w:val="center"/>
          </w:tcPr>
          <w:p w:rsidR="00C72ADE" w:rsidRPr="00B57F6E" w:rsidRDefault="00C72ADE" w:rsidP="001F6107">
            <w:pPr>
              <w:pStyle w:val="Titre"/>
              <w:tabs>
                <w:tab w:val="left" w:pos="993"/>
              </w:tabs>
              <w:spacing w:before="100" w:beforeAutospacing="1" w:after="100" w:afterAutospacing="1"/>
              <w:ind w:left="-216"/>
              <w:contextualSpacing/>
              <w:rPr>
                <w:rFonts w:asciiTheme="majorHAnsi" w:hAnsiTheme="majorHAnsi"/>
                <w:color w:val="000000" w:themeColor="text1"/>
                <w:sz w:val="30"/>
                <w:szCs w:val="30"/>
              </w:rPr>
            </w:pPr>
            <w:r w:rsidRPr="00B57F6E">
              <w:rPr>
                <w:rFonts w:asciiTheme="majorHAnsi" w:hAnsiTheme="majorHAnsi"/>
                <w:color w:val="000000" w:themeColor="text1"/>
                <w:sz w:val="30"/>
                <w:szCs w:val="30"/>
              </w:rPr>
              <w:t>2016</w:t>
            </w:r>
          </w:p>
        </w:tc>
        <w:tc>
          <w:tcPr>
            <w:tcW w:w="1417" w:type="dxa"/>
            <w:shd w:val="clear" w:color="auto" w:fill="auto"/>
            <w:vAlign w:val="center"/>
          </w:tcPr>
          <w:p w:rsidR="00C72ADE" w:rsidRPr="00B57F6E" w:rsidRDefault="00C72ADE" w:rsidP="001F6107">
            <w:pPr>
              <w:pStyle w:val="Titre"/>
              <w:tabs>
                <w:tab w:val="left" w:pos="993"/>
              </w:tabs>
              <w:spacing w:before="100" w:beforeAutospacing="1" w:after="100" w:afterAutospacing="1"/>
              <w:ind w:left="-216"/>
              <w:contextualSpacing/>
              <w:rPr>
                <w:rFonts w:asciiTheme="majorHAnsi" w:hAnsiTheme="majorHAnsi"/>
                <w:color w:val="000000" w:themeColor="text1"/>
                <w:sz w:val="30"/>
                <w:szCs w:val="30"/>
              </w:rPr>
            </w:pPr>
            <w:r w:rsidRPr="00B57F6E">
              <w:rPr>
                <w:rFonts w:asciiTheme="majorHAnsi" w:hAnsiTheme="majorHAnsi"/>
                <w:color w:val="000000" w:themeColor="text1"/>
                <w:sz w:val="30"/>
                <w:szCs w:val="30"/>
              </w:rPr>
              <w:t>2017</w:t>
            </w:r>
          </w:p>
        </w:tc>
        <w:tc>
          <w:tcPr>
            <w:tcW w:w="1463" w:type="dxa"/>
            <w:shd w:val="clear" w:color="auto" w:fill="C6D9F1" w:themeFill="text2" w:themeFillTint="33"/>
            <w:vAlign w:val="center"/>
          </w:tcPr>
          <w:p w:rsidR="00C72ADE" w:rsidRPr="00B57F6E" w:rsidRDefault="00C72ADE" w:rsidP="001F6107">
            <w:pPr>
              <w:pStyle w:val="Titre"/>
              <w:tabs>
                <w:tab w:val="left" w:pos="993"/>
              </w:tabs>
              <w:spacing w:before="100" w:beforeAutospacing="1" w:after="100" w:afterAutospacing="1"/>
              <w:ind w:left="-216"/>
              <w:contextualSpacing/>
              <w:rPr>
                <w:rFonts w:asciiTheme="majorHAnsi" w:hAnsiTheme="majorHAnsi"/>
                <w:color w:val="000000" w:themeColor="text1"/>
                <w:sz w:val="30"/>
                <w:szCs w:val="30"/>
              </w:rPr>
            </w:pPr>
            <w:r w:rsidRPr="00B57F6E">
              <w:rPr>
                <w:rFonts w:asciiTheme="majorHAnsi" w:hAnsiTheme="majorHAnsi"/>
                <w:color w:val="000000" w:themeColor="text1"/>
                <w:sz w:val="30"/>
                <w:szCs w:val="30"/>
              </w:rPr>
              <w:t>2018*</w:t>
            </w:r>
          </w:p>
        </w:tc>
        <w:tc>
          <w:tcPr>
            <w:tcW w:w="1203" w:type="dxa"/>
            <w:shd w:val="clear" w:color="auto" w:fill="C6D9F1" w:themeFill="text2" w:themeFillTint="33"/>
            <w:vAlign w:val="center"/>
          </w:tcPr>
          <w:p w:rsidR="00C72ADE" w:rsidRPr="00B57F6E" w:rsidRDefault="00C72ADE" w:rsidP="001F6107">
            <w:pPr>
              <w:pStyle w:val="Titre"/>
              <w:tabs>
                <w:tab w:val="left" w:pos="993"/>
              </w:tabs>
              <w:spacing w:before="100" w:beforeAutospacing="1" w:after="100" w:afterAutospacing="1"/>
              <w:ind w:left="-216"/>
              <w:contextualSpacing/>
              <w:rPr>
                <w:rFonts w:asciiTheme="majorHAnsi" w:hAnsiTheme="majorHAnsi"/>
                <w:color w:val="000000" w:themeColor="text1"/>
                <w:sz w:val="30"/>
                <w:szCs w:val="30"/>
              </w:rPr>
            </w:pPr>
            <w:r w:rsidRPr="00B57F6E">
              <w:rPr>
                <w:rFonts w:asciiTheme="majorHAnsi" w:hAnsiTheme="majorHAnsi"/>
                <w:color w:val="000000" w:themeColor="text1"/>
                <w:sz w:val="30"/>
                <w:szCs w:val="30"/>
              </w:rPr>
              <w:t>2019**</w:t>
            </w:r>
          </w:p>
        </w:tc>
      </w:tr>
      <w:tr w:rsidR="00C72ADE" w:rsidRPr="00B57F6E" w:rsidTr="00411EFA">
        <w:trPr>
          <w:trHeight w:val="2951"/>
          <w:jc w:val="center"/>
        </w:trPr>
        <w:tc>
          <w:tcPr>
            <w:tcW w:w="4986" w:type="dxa"/>
          </w:tcPr>
          <w:p w:rsidR="00C72ADE" w:rsidRPr="00950BE4" w:rsidRDefault="00C72ADE" w:rsidP="001F6107">
            <w:pPr>
              <w:rPr>
                <w:rFonts w:asciiTheme="majorHAnsi" w:hAnsiTheme="majorHAnsi"/>
                <w:b w:val="0"/>
                <w:color w:val="000000" w:themeColor="text1"/>
                <w:sz w:val="25"/>
                <w:szCs w:val="25"/>
                <w:lang w:bidi="ar-MA"/>
              </w:rPr>
            </w:pPr>
          </w:p>
          <w:p w:rsidR="00C72ADE" w:rsidRPr="00950BE4" w:rsidRDefault="00C72ADE" w:rsidP="00950BE4">
            <w:pPr>
              <w:rPr>
                <w:rFonts w:asciiTheme="majorHAnsi" w:hAnsiTheme="majorHAnsi"/>
                <w:color w:val="000000" w:themeColor="text1"/>
                <w:sz w:val="25"/>
                <w:szCs w:val="25"/>
                <w:lang w:bidi="ar-MA"/>
              </w:rPr>
            </w:pPr>
            <w:r w:rsidRPr="00950BE4">
              <w:rPr>
                <w:rFonts w:asciiTheme="majorHAnsi" w:hAnsiTheme="majorHAnsi"/>
                <w:color w:val="000000" w:themeColor="text1"/>
                <w:sz w:val="25"/>
                <w:szCs w:val="25"/>
                <w:lang w:bidi="ar-MA"/>
              </w:rPr>
              <w:t>Valeur ajoutée Primaire.…</w:t>
            </w:r>
            <w:r w:rsidR="00950BE4">
              <w:rPr>
                <w:rFonts w:asciiTheme="majorHAnsi" w:hAnsiTheme="majorHAnsi"/>
                <w:color w:val="000000" w:themeColor="text1"/>
                <w:sz w:val="25"/>
                <w:szCs w:val="25"/>
                <w:lang w:bidi="ar-MA"/>
              </w:rPr>
              <w:t>…………………</w:t>
            </w:r>
          </w:p>
          <w:p w:rsidR="00C72ADE" w:rsidRPr="00950BE4" w:rsidRDefault="00C72ADE" w:rsidP="001F6107">
            <w:pPr>
              <w:rPr>
                <w:rFonts w:asciiTheme="majorHAnsi" w:hAnsiTheme="majorHAnsi"/>
                <w:color w:val="000000" w:themeColor="text1"/>
                <w:sz w:val="36"/>
                <w:szCs w:val="36"/>
                <w:lang w:bidi="ar-MA"/>
              </w:rPr>
            </w:pPr>
          </w:p>
          <w:p w:rsidR="00C72ADE" w:rsidRPr="00B57F6E" w:rsidRDefault="00C72ADE" w:rsidP="00950BE4">
            <w:pP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Valeur ajoutée non agricoles</w:t>
            </w:r>
            <w:r w:rsidRPr="00B57F6E">
              <w:rPr>
                <w:rFonts w:asciiTheme="majorHAnsi" w:hAnsiTheme="majorHAnsi"/>
                <w:color w:val="000000" w:themeColor="text1"/>
                <w:sz w:val="28"/>
                <w:szCs w:val="28"/>
                <w:lang w:val="it-IT" w:bidi="ar-MA"/>
              </w:rPr>
              <w:t>.............</w:t>
            </w:r>
          </w:p>
          <w:p w:rsidR="00C72ADE" w:rsidRPr="00950BE4" w:rsidRDefault="00C72ADE" w:rsidP="001F6107">
            <w:pPr>
              <w:rPr>
                <w:rFonts w:asciiTheme="majorHAnsi" w:hAnsiTheme="majorHAnsi"/>
                <w:b w:val="0"/>
                <w:color w:val="000000" w:themeColor="text1"/>
                <w:sz w:val="32"/>
                <w:szCs w:val="32"/>
                <w:lang w:bidi="ar-MA"/>
              </w:rPr>
            </w:pPr>
          </w:p>
          <w:p w:rsidR="00C72ADE" w:rsidRDefault="00950BE4" w:rsidP="00950BE4">
            <w:pPr>
              <w:rPr>
                <w:rFonts w:asciiTheme="majorHAnsi" w:hAnsiTheme="majorHAnsi"/>
                <w:color w:val="000000" w:themeColor="text1"/>
                <w:sz w:val="28"/>
                <w:szCs w:val="28"/>
                <w:lang w:bidi="ar-MA"/>
              </w:rPr>
            </w:pPr>
            <w:r>
              <w:rPr>
                <w:rFonts w:asciiTheme="majorHAnsi" w:hAnsiTheme="majorHAnsi"/>
                <w:color w:val="000000" w:themeColor="text1"/>
                <w:sz w:val="28"/>
                <w:szCs w:val="28"/>
                <w:lang w:bidi="ar-MA"/>
              </w:rPr>
              <w:t>Valeur ajoutée s</w:t>
            </w:r>
            <w:r w:rsidR="00C72ADE" w:rsidRPr="00B57F6E">
              <w:rPr>
                <w:rFonts w:asciiTheme="majorHAnsi" w:hAnsiTheme="majorHAnsi"/>
                <w:color w:val="000000" w:themeColor="text1"/>
                <w:sz w:val="28"/>
                <w:szCs w:val="28"/>
                <w:lang w:bidi="ar-MA"/>
              </w:rPr>
              <w:t>econdaire……….….…</w:t>
            </w:r>
          </w:p>
          <w:p w:rsidR="00950BE4" w:rsidRPr="00950BE4" w:rsidRDefault="00950BE4" w:rsidP="00950BE4">
            <w:pPr>
              <w:rPr>
                <w:rFonts w:asciiTheme="majorHAnsi" w:hAnsiTheme="majorHAnsi"/>
                <w:b w:val="0"/>
                <w:color w:val="000000" w:themeColor="text1"/>
                <w:sz w:val="52"/>
                <w:szCs w:val="52"/>
                <w:lang w:bidi="ar-MA"/>
              </w:rPr>
            </w:pPr>
          </w:p>
          <w:p w:rsidR="00C72ADE" w:rsidRPr="00B57F6E" w:rsidRDefault="00950BE4" w:rsidP="00950BE4">
            <w:pPr>
              <w:rPr>
                <w:rFonts w:asciiTheme="majorHAnsi" w:hAnsiTheme="majorHAnsi"/>
                <w:b w:val="0"/>
                <w:color w:val="000000" w:themeColor="text1"/>
                <w:sz w:val="28"/>
                <w:szCs w:val="28"/>
                <w:lang w:bidi="ar-MA"/>
              </w:rPr>
            </w:pPr>
            <w:r>
              <w:rPr>
                <w:rFonts w:asciiTheme="majorHAnsi" w:hAnsiTheme="majorHAnsi"/>
                <w:color w:val="000000" w:themeColor="text1"/>
                <w:sz w:val="28"/>
                <w:szCs w:val="28"/>
                <w:lang w:bidi="ar-MA"/>
              </w:rPr>
              <w:t xml:space="preserve">Valeur ajoutée </w:t>
            </w:r>
            <w:r w:rsidR="00C72ADE" w:rsidRPr="00B57F6E">
              <w:rPr>
                <w:rFonts w:asciiTheme="majorHAnsi" w:hAnsiTheme="majorHAnsi"/>
                <w:color w:val="000000" w:themeColor="text1"/>
                <w:sz w:val="28"/>
                <w:szCs w:val="28"/>
                <w:lang w:bidi="ar-MA"/>
              </w:rPr>
              <w:t>tertiaire…..……………...</w:t>
            </w:r>
          </w:p>
          <w:p w:rsidR="00C72ADE" w:rsidRPr="00B57F6E" w:rsidRDefault="00C72ADE" w:rsidP="001F6107">
            <w:pPr>
              <w:rPr>
                <w:rFonts w:asciiTheme="majorHAnsi" w:hAnsiTheme="majorHAnsi"/>
                <w:b w:val="0"/>
                <w:color w:val="000000" w:themeColor="text1"/>
                <w:sz w:val="28"/>
                <w:szCs w:val="28"/>
                <w:lang w:bidi="ar-MA"/>
              </w:rPr>
            </w:pPr>
          </w:p>
        </w:tc>
        <w:tc>
          <w:tcPr>
            <w:tcW w:w="1291" w:type="dxa"/>
          </w:tcPr>
          <w:p w:rsidR="00C72ADE" w:rsidRPr="00B57F6E" w:rsidRDefault="00C72ADE" w:rsidP="001F6107">
            <w:pPr>
              <w:jc w:val="center"/>
              <w:rPr>
                <w:rFonts w:asciiTheme="majorHAnsi" w:hAnsiTheme="majorHAnsi"/>
                <w:b w:val="0"/>
                <w:color w:val="000000" w:themeColor="text1"/>
                <w:sz w:val="28"/>
                <w:szCs w:val="28"/>
                <w:lang w:bidi="ar-MA"/>
              </w:rPr>
            </w:pPr>
          </w:p>
          <w:p w:rsidR="00C72ADE" w:rsidRPr="00B57F6E" w:rsidRDefault="00C72ADE" w:rsidP="001F6107">
            <w:pPr>
              <w:jc w:val="center"/>
              <w:rPr>
                <w:rFonts w:ascii="Calibri" w:hAnsi="Calibri"/>
                <w:color w:val="000000" w:themeColor="text1"/>
                <w:sz w:val="28"/>
                <w:szCs w:val="28"/>
              </w:rPr>
            </w:pPr>
            <w:r w:rsidRPr="00B57F6E">
              <w:rPr>
                <w:rFonts w:ascii="Calibri" w:hAnsi="Calibri"/>
                <w:color w:val="000000" w:themeColor="text1"/>
                <w:sz w:val="28"/>
                <w:szCs w:val="28"/>
              </w:rPr>
              <w:t>-12,5</w:t>
            </w:r>
          </w:p>
          <w:p w:rsidR="00C72ADE" w:rsidRPr="00B57F6E" w:rsidRDefault="00C72ADE" w:rsidP="001F6107">
            <w:pPr>
              <w:jc w:val="center"/>
              <w:rPr>
                <w:rFonts w:asciiTheme="majorHAnsi" w:hAnsiTheme="majorHAnsi"/>
                <w:b w:val="0"/>
                <w:color w:val="000000" w:themeColor="text1"/>
                <w:sz w:val="28"/>
                <w:szCs w:val="28"/>
                <w:lang w:bidi="ar-MA"/>
              </w:rPr>
            </w:pPr>
          </w:p>
          <w:p w:rsidR="00C72ADE" w:rsidRPr="00B57F6E" w:rsidRDefault="00C72ADE" w:rsidP="001F6107">
            <w:pPr>
              <w:jc w:val="center"/>
              <w:rPr>
                <w:rFonts w:asciiTheme="majorHAnsi" w:hAnsiTheme="majorHAnsi"/>
                <w:color w:val="000000" w:themeColor="text1"/>
                <w:sz w:val="28"/>
                <w:szCs w:val="28"/>
                <w:lang w:bidi="ar-MA"/>
              </w:rPr>
            </w:pPr>
            <w:r w:rsidRPr="00B57F6E">
              <w:rPr>
                <w:rFonts w:asciiTheme="majorHAnsi" w:hAnsiTheme="majorHAnsi"/>
                <w:color w:val="000000" w:themeColor="text1"/>
                <w:sz w:val="28"/>
                <w:szCs w:val="28"/>
                <w:lang w:bidi="ar-MA"/>
              </w:rPr>
              <w:t>2,2</w:t>
            </w:r>
          </w:p>
          <w:p w:rsidR="00C72ADE" w:rsidRPr="00950BE4" w:rsidRDefault="00C72ADE" w:rsidP="001F6107">
            <w:pPr>
              <w:jc w:val="center"/>
              <w:rPr>
                <w:rFonts w:asciiTheme="majorHAnsi" w:hAnsiTheme="majorHAnsi"/>
                <w:b w:val="0"/>
                <w:color w:val="000000" w:themeColor="text1"/>
                <w:sz w:val="36"/>
                <w:szCs w:val="36"/>
                <w:lang w:bidi="ar-MA"/>
              </w:rPr>
            </w:pPr>
          </w:p>
          <w:p w:rsidR="00C72ADE" w:rsidRPr="00B57F6E" w:rsidRDefault="00C72ADE" w:rsidP="001F6107">
            <w:pPr>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1,0</w:t>
            </w:r>
          </w:p>
          <w:p w:rsidR="00C72ADE" w:rsidRPr="00B57F6E" w:rsidRDefault="00C72ADE" w:rsidP="001F6107">
            <w:pPr>
              <w:jc w:val="center"/>
              <w:rPr>
                <w:rFonts w:asciiTheme="majorHAnsi" w:hAnsiTheme="majorHAnsi"/>
                <w:b w:val="0"/>
                <w:color w:val="000000" w:themeColor="text1"/>
                <w:sz w:val="28"/>
                <w:szCs w:val="28"/>
                <w:lang w:bidi="ar-MA"/>
              </w:rPr>
            </w:pPr>
          </w:p>
          <w:p w:rsidR="0025502E" w:rsidRDefault="0025502E" w:rsidP="001F6107">
            <w:pPr>
              <w:jc w:val="center"/>
              <w:rPr>
                <w:rFonts w:asciiTheme="majorHAnsi" w:hAnsiTheme="majorHAnsi"/>
                <w:color w:val="000000" w:themeColor="text1"/>
                <w:sz w:val="28"/>
                <w:szCs w:val="28"/>
                <w:lang w:bidi="ar-MA"/>
              </w:rPr>
            </w:pPr>
          </w:p>
          <w:p w:rsidR="00C72ADE" w:rsidRPr="00B57F6E" w:rsidRDefault="00C72ADE" w:rsidP="001F6107">
            <w:pPr>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2,9</w:t>
            </w:r>
          </w:p>
          <w:p w:rsidR="00C72ADE" w:rsidRPr="00B57F6E" w:rsidRDefault="00C72ADE" w:rsidP="001F6107">
            <w:pPr>
              <w:jc w:val="center"/>
              <w:rPr>
                <w:rFonts w:asciiTheme="majorHAnsi" w:hAnsiTheme="majorHAnsi"/>
                <w:b w:val="0"/>
                <w:color w:val="000000" w:themeColor="text1"/>
                <w:sz w:val="28"/>
                <w:szCs w:val="28"/>
                <w:lang w:bidi="ar-MA"/>
              </w:rPr>
            </w:pPr>
          </w:p>
        </w:tc>
        <w:tc>
          <w:tcPr>
            <w:tcW w:w="1417" w:type="dxa"/>
          </w:tcPr>
          <w:p w:rsidR="00C72ADE" w:rsidRPr="00B57F6E" w:rsidRDefault="00C72ADE" w:rsidP="001F6107">
            <w:pPr>
              <w:jc w:val="center"/>
              <w:rPr>
                <w:rFonts w:asciiTheme="majorHAnsi" w:hAnsiTheme="majorHAnsi"/>
                <w:b w:val="0"/>
                <w:color w:val="000000" w:themeColor="text1"/>
                <w:sz w:val="28"/>
                <w:szCs w:val="28"/>
                <w:lang w:bidi="ar-MA"/>
              </w:rPr>
            </w:pPr>
          </w:p>
          <w:p w:rsidR="00C72ADE" w:rsidRPr="00B57F6E" w:rsidRDefault="00C72ADE" w:rsidP="001F6107">
            <w:pPr>
              <w:jc w:val="center"/>
              <w:rPr>
                <w:rFonts w:ascii="Calibri" w:hAnsi="Calibri"/>
                <w:color w:val="000000" w:themeColor="text1"/>
                <w:sz w:val="28"/>
                <w:szCs w:val="28"/>
              </w:rPr>
            </w:pPr>
            <w:r w:rsidRPr="00B57F6E">
              <w:rPr>
                <w:rFonts w:ascii="Calibri" w:hAnsi="Calibri"/>
                <w:color w:val="000000" w:themeColor="text1"/>
                <w:sz w:val="28"/>
                <w:szCs w:val="28"/>
              </w:rPr>
              <w:t>13,2</w:t>
            </w:r>
          </w:p>
          <w:p w:rsidR="00C72ADE" w:rsidRPr="00B57F6E" w:rsidRDefault="00C72ADE" w:rsidP="001F6107">
            <w:pPr>
              <w:jc w:val="center"/>
              <w:rPr>
                <w:rFonts w:asciiTheme="majorHAnsi" w:hAnsiTheme="majorHAnsi"/>
                <w:b w:val="0"/>
                <w:color w:val="000000" w:themeColor="text1"/>
                <w:sz w:val="28"/>
                <w:szCs w:val="28"/>
                <w:lang w:bidi="ar-MA"/>
              </w:rPr>
            </w:pPr>
          </w:p>
          <w:p w:rsidR="00C72ADE" w:rsidRPr="00B57F6E" w:rsidRDefault="00C72ADE" w:rsidP="001F6107">
            <w:pPr>
              <w:jc w:val="center"/>
              <w:rPr>
                <w:rFonts w:asciiTheme="majorHAnsi" w:hAnsiTheme="majorHAnsi"/>
                <w:color w:val="000000" w:themeColor="text1"/>
                <w:sz w:val="28"/>
                <w:szCs w:val="28"/>
                <w:lang w:bidi="ar-MA"/>
              </w:rPr>
            </w:pPr>
            <w:r w:rsidRPr="00B57F6E">
              <w:rPr>
                <w:rFonts w:asciiTheme="majorHAnsi" w:hAnsiTheme="majorHAnsi"/>
                <w:color w:val="000000" w:themeColor="text1"/>
                <w:sz w:val="28"/>
                <w:szCs w:val="28"/>
                <w:lang w:bidi="ar-MA"/>
              </w:rPr>
              <w:t>2,8</w:t>
            </w:r>
          </w:p>
          <w:p w:rsidR="00C72ADE" w:rsidRPr="00950BE4" w:rsidRDefault="00C72ADE" w:rsidP="001F6107">
            <w:pPr>
              <w:jc w:val="center"/>
              <w:rPr>
                <w:rFonts w:asciiTheme="majorHAnsi" w:hAnsiTheme="majorHAnsi"/>
                <w:b w:val="0"/>
                <w:color w:val="000000" w:themeColor="text1"/>
                <w:sz w:val="36"/>
                <w:szCs w:val="36"/>
                <w:lang w:bidi="ar-MA"/>
              </w:rPr>
            </w:pPr>
          </w:p>
          <w:p w:rsidR="00C72ADE" w:rsidRPr="00B57F6E" w:rsidRDefault="00C72ADE" w:rsidP="001F6107">
            <w:pPr>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3,1</w:t>
            </w:r>
          </w:p>
          <w:p w:rsidR="00C72ADE" w:rsidRPr="00B57F6E" w:rsidRDefault="00C72ADE" w:rsidP="001F6107">
            <w:pPr>
              <w:jc w:val="center"/>
              <w:rPr>
                <w:rFonts w:asciiTheme="majorHAnsi" w:hAnsiTheme="majorHAnsi"/>
                <w:b w:val="0"/>
                <w:color w:val="000000" w:themeColor="text1"/>
                <w:sz w:val="28"/>
                <w:szCs w:val="28"/>
                <w:lang w:bidi="ar-MA"/>
              </w:rPr>
            </w:pPr>
          </w:p>
          <w:p w:rsidR="0025502E" w:rsidRDefault="0025502E" w:rsidP="001F6107">
            <w:pPr>
              <w:jc w:val="center"/>
              <w:rPr>
                <w:rFonts w:asciiTheme="majorHAnsi" w:hAnsiTheme="majorHAnsi"/>
                <w:color w:val="000000" w:themeColor="text1"/>
                <w:sz w:val="28"/>
                <w:szCs w:val="28"/>
                <w:lang w:bidi="ar-MA"/>
              </w:rPr>
            </w:pPr>
          </w:p>
          <w:p w:rsidR="00C72ADE" w:rsidRPr="00B57F6E" w:rsidRDefault="00C72ADE" w:rsidP="001F6107">
            <w:pPr>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2,7</w:t>
            </w:r>
          </w:p>
          <w:p w:rsidR="00C72ADE" w:rsidRPr="00B57F6E" w:rsidRDefault="00C72ADE" w:rsidP="001F6107">
            <w:pPr>
              <w:jc w:val="center"/>
              <w:rPr>
                <w:rFonts w:asciiTheme="majorHAnsi" w:hAnsiTheme="majorHAnsi"/>
                <w:b w:val="0"/>
                <w:color w:val="000000" w:themeColor="text1"/>
                <w:sz w:val="28"/>
                <w:szCs w:val="28"/>
                <w:lang w:bidi="ar-MA"/>
              </w:rPr>
            </w:pPr>
          </w:p>
        </w:tc>
        <w:tc>
          <w:tcPr>
            <w:tcW w:w="1463" w:type="dxa"/>
            <w:shd w:val="clear" w:color="auto" w:fill="C6D9F1" w:themeFill="text2" w:themeFillTint="33"/>
          </w:tcPr>
          <w:p w:rsidR="00C72ADE" w:rsidRPr="00B57F6E" w:rsidRDefault="00C72ADE" w:rsidP="001F6107">
            <w:pPr>
              <w:jc w:val="center"/>
              <w:rPr>
                <w:rFonts w:asciiTheme="majorHAnsi" w:hAnsiTheme="majorHAnsi"/>
                <w:b w:val="0"/>
                <w:color w:val="000000" w:themeColor="text1"/>
                <w:sz w:val="28"/>
                <w:szCs w:val="28"/>
                <w:lang w:bidi="ar-MA"/>
              </w:rPr>
            </w:pPr>
          </w:p>
          <w:p w:rsidR="00C72ADE" w:rsidRPr="00B57F6E" w:rsidRDefault="00C72ADE" w:rsidP="001F6107">
            <w:pPr>
              <w:jc w:val="center"/>
              <w:rPr>
                <w:rFonts w:ascii="Calibri" w:hAnsi="Calibri"/>
                <w:color w:val="000000" w:themeColor="text1"/>
                <w:sz w:val="28"/>
                <w:szCs w:val="28"/>
              </w:rPr>
            </w:pPr>
            <w:r w:rsidRPr="00B57F6E">
              <w:rPr>
                <w:rFonts w:ascii="Calibri" w:hAnsi="Calibri"/>
                <w:color w:val="000000" w:themeColor="text1"/>
                <w:sz w:val="28"/>
                <w:szCs w:val="28"/>
              </w:rPr>
              <w:t>3,8</w:t>
            </w:r>
          </w:p>
          <w:p w:rsidR="00C72ADE" w:rsidRPr="00B57F6E" w:rsidRDefault="00C72ADE" w:rsidP="001F6107">
            <w:pPr>
              <w:jc w:val="center"/>
              <w:rPr>
                <w:rFonts w:asciiTheme="majorHAnsi" w:hAnsiTheme="majorHAnsi"/>
                <w:b w:val="0"/>
                <w:color w:val="000000" w:themeColor="text1"/>
                <w:sz w:val="28"/>
                <w:szCs w:val="28"/>
                <w:lang w:bidi="ar-MA"/>
              </w:rPr>
            </w:pPr>
          </w:p>
          <w:p w:rsidR="00C72ADE" w:rsidRPr="00B57F6E" w:rsidRDefault="00BF3A87" w:rsidP="00BF3A87">
            <w:pPr>
              <w:jc w:val="center"/>
              <w:rPr>
                <w:rFonts w:asciiTheme="majorHAnsi" w:hAnsiTheme="majorHAnsi"/>
                <w:color w:val="000000" w:themeColor="text1"/>
                <w:sz w:val="28"/>
                <w:szCs w:val="28"/>
                <w:lang w:bidi="ar-MA"/>
              </w:rPr>
            </w:pPr>
            <w:r>
              <w:rPr>
                <w:rFonts w:asciiTheme="majorHAnsi" w:hAnsiTheme="majorHAnsi"/>
                <w:color w:val="000000" w:themeColor="text1"/>
                <w:sz w:val="28"/>
                <w:szCs w:val="28"/>
                <w:lang w:bidi="ar-MA"/>
              </w:rPr>
              <w:t>2</w:t>
            </w:r>
            <w:r w:rsidR="00C72ADE" w:rsidRPr="00B57F6E">
              <w:rPr>
                <w:rFonts w:asciiTheme="majorHAnsi" w:hAnsiTheme="majorHAnsi"/>
                <w:color w:val="000000" w:themeColor="text1"/>
                <w:sz w:val="28"/>
                <w:szCs w:val="28"/>
                <w:lang w:bidi="ar-MA"/>
              </w:rPr>
              <w:t>,</w:t>
            </w:r>
            <w:r>
              <w:rPr>
                <w:rFonts w:asciiTheme="majorHAnsi" w:hAnsiTheme="majorHAnsi"/>
                <w:color w:val="000000" w:themeColor="text1"/>
                <w:sz w:val="28"/>
                <w:szCs w:val="28"/>
                <w:lang w:bidi="ar-MA"/>
              </w:rPr>
              <w:t>9</w:t>
            </w:r>
          </w:p>
          <w:p w:rsidR="00C72ADE" w:rsidRPr="00950BE4" w:rsidRDefault="00C72ADE" w:rsidP="001F6107">
            <w:pPr>
              <w:jc w:val="center"/>
              <w:rPr>
                <w:rFonts w:asciiTheme="majorHAnsi" w:hAnsiTheme="majorHAnsi"/>
                <w:b w:val="0"/>
                <w:color w:val="000000" w:themeColor="text1"/>
                <w:sz w:val="36"/>
                <w:szCs w:val="36"/>
                <w:lang w:bidi="ar-MA"/>
              </w:rPr>
            </w:pPr>
          </w:p>
          <w:p w:rsidR="00C72ADE" w:rsidRPr="00B57F6E" w:rsidRDefault="00C72ADE" w:rsidP="001F6107">
            <w:pPr>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2,</w:t>
            </w:r>
            <w:r w:rsidR="0025502E">
              <w:rPr>
                <w:rFonts w:asciiTheme="majorHAnsi" w:hAnsiTheme="majorHAnsi"/>
                <w:color w:val="000000" w:themeColor="text1"/>
                <w:sz w:val="28"/>
                <w:szCs w:val="28"/>
                <w:lang w:bidi="ar-MA"/>
              </w:rPr>
              <w:t>8</w:t>
            </w:r>
          </w:p>
          <w:p w:rsidR="00C72ADE" w:rsidRPr="00B57F6E" w:rsidRDefault="00C72ADE" w:rsidP="001F6107">
            <w:pPr>
              <w:jc w:val="center"/>
              <w:rPr>
                <w:rFonts w:asciiTheme="majorHAnsi" w:hAnsiTheme="majorHAnsi"/>
                <w:b w:val="0"/>
                <w:color w:val="000000" w:themeColor="text1"/>
                <w:sz w:val="28"/>
                <w:szCs w:val="28"/>
                <w:lang w:bidi="ar-MA"/>
              </w:rPr>
            </w:pPr>
          </w:p>
          <w:p w:rsidR="0025502E" w:rsidRDefault="0025502E" w:rsidP="001F6107">
            <w:pPr>
              <w:jc w:val="center"/>
              <w:rPr>
                <w:rFonts w:asciiTheme="majorHAnsi" w:hAnsiTheme="majorHAnsi"/>
                <w:color w:val="000000" w:themeColor="text1"/>
                <w:sz w:val="28"/>
                <w:szCs w:val="28"/>
                <w:lang w:bidi="ar-MA"/>
              </w:rPr>
            </w:pPr>
          </w:p>
          <w:p w:rsidR="00C72ADE" w:rsidRPr="00B57F6E" w:rsidRDefault="00C72ADE" w:rsidP="001F6107">
            <w:pPr>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3,0</w:t>
            </w:r>
          </w:p>
        </w:tc>
        <w:tc>
          <w:tcPr>
            <w:tcW w:w="1203" w:type="dxa"/>
            <w:shd w:val="clear" w:color="auto" w:fill="C6D9F1" w:themeFill="text2" w:themeFillTint="33"/>
          </w:tcPr>
          <w:p w:rsidR="00C72ADE" w:rsidRPr="00B57F6E" w:rsidRDefault="00C72ADE" w:rsidP="001F6107">
            <w:pPr>
              <w:jc w:val="center"/>
              <w:rPr>
                <w:rFonts w:asciiTheme="majorHAnsi" w:hAnsiTheme="majorHAnsi"/>
                <w:b w:val="0"/>
                <w:color w:val="000000" w:themeColor="text1"/>
                <w:sz w:val="28"/>
                <w:szCs w:val="28"/>
                <w:lang w:bidi="ar-MA"/>
              </w:rPr>
            </w:pPr>
          </w:p>
          <w:p w:rsidR="00C72ADE" w:rsidRPr="00B57F6E" w:rsidRDefault="00C72ADE" w:rsidP="001F6107">
            <w:pPr>
              <w:jc w:val="center"/>
              <w:rPr>
                <w:rFonts w:ascii="Calibri" w:hAnsi="Calibri"/>
                <w:color w:val="000000" w:themeColor="text1"/>
                <w:sz w:val="28"/>
                <w:szCs w:val="28"/>
              </w:rPr>
            </w:pPr>
            <w:r w:rsidRPr="00B57F6E">
              <w:rPr>
                <w:rFonts w:ascii="Calibri" w:hAnsi="Calibri"/>
                <w:color w:val="000000" w:themeColor="text1"/>
                <w:sz w:val="28"/>
                <w:szCs w:val="28"/>
              </w:rPr>
              <w:t>0,</w:t>
            </w:r>
            <w:r>
              <w:rPr>
                <w:rFonts w:ascii="Calibri" w:hAnsi="Calibri"/>
                <w:color w:val="000000" w:themeColor="text1"/>
                <w:sz w:val="28"/>
                <w:szCs w:val="28"/>
              </w:rPr>
              <w:t>1</w:t>
            </w:r>
          </w:p>
          <w:p w:rsidR="00C72ADE" w:rsidRPr="00B57F6E" w:rsidRDefault="00C72ADE" w:rsidP="001F6107">
            <w:pPr>
              <w:jc w:val="center"/>
              <w:rPr>
                <w:rFonts w:asciiTheme="majorHAnsi" w:hAnsiTheme="majorHAnsi"/>
                <w:b w:val="0"/>
                <w:color w:val="000000" w:themeColor="text1"/>
                <w:sz w:val="28"/>
                <w:szCs w:val="28"/>
                <w:lang w:bidi="ar-MA"/>
              </w:rPr>
            </w:pPr>
          </w:p>
          <w:p w:rsidR="00C72ADE" w:rsidRPr="00B57F6E" w:rsidRDefault="00C72ADE" w:rsidP="001F6107">
            <w:pPr>
              <w:jc w:val="center"/>
              <w:rPr>
                <w:rFonts w:asciiTheme="majorHAnsi" w:hAnsiTheme="majorHAnsi"/>
                <w:color w:val="000000" w:themeColor="text1"/>
                <w:sz w:val="28"/>
                <w:szCs w:val="28"/>
                <w:lang w:bidi="ar-MA"/>
              </w:rPr>
            </w:pPr>
            <w:r w:rsidRPr="00B57F6E">
              <w:rPr>
                <w:rFonts w:asciiTheme="majorHAnsi" w:hAnsiTheme="majorHAnsi"/>
                <w:color w:val="000000" w:themeColor="text1"/>
                <w:sz w:val="28"/>
                <w:szCs w:val="28"/>
                <w:lang w:bidi="ar-MA"/>
              </w:rPr>
              <w:t>3,1</w:t>
            </w:r>
          </w:p>
          <w:p w:rsidR="00C72ADE" w:rsidRPr="00950BE4" w:rsidRDefault="00C72ADE" w:rsidP="001F6107">
            <w:pPr>
              <w:jc w:val="center"/>
              <w:rPr>
                <w:rFonts w:asciiTheme="majorHAnsi" w:hAnsiTheme="majorHAnsi"/>
                <w:color w:val="000000" w:themeColor="text1"/>
                <w:sz w:val="36"/>
                <w:szCs w:val="36"/>
                <w:lang w:bidi="ar-MA"/>
              </w:rPr>
            </w:pPr>
          </w:p>
          <w:p w:rsidR="00C72ADE" w:rsidRPr="00B57F6E" w:rsidRDefault="00C72ADE" w:rsidP="001F6107">
            <w:pPr>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3,1</w:t>
            </w:r>
          </w:p>
          <w:p w:rsidR="00C72ADE" w:rsidRPr="00B57F6E" w:rsidRDefault="00C72ADE" w:rsidP="001F6107">
            <w:pPr>
              <w:jc w:val="center"/>
              <w:rPr>
                <w:rFonts w:asciiTheme="majorHAnsi" w:hAnsiTheme="majorHAnsi"/>
                <w:b w:val="0"/>
                <w:color w:val="000000" w:themeColor="text1"/>
                <w:sz w:val="28"/>
                <w:szCs w:val="28"/>
                <w:lang w:bidi="ar-MA"/>
              </w:rPr>
            </w:pPr>
          </w:p>
          <w:p w:rsidR="0025502E" w:rsidRDefault="0025502E" w:rsidP="001F6107">
            <w:pPr>
              <w:jc w:val="center"/>
              <w:rPr>
                <w:rFonts w:asciiTheme="majorHAnsi" w:hAnsiTheme="majorHAnsi"/>
                <w:color w:val="000000" w:themeColor="text1"/>
                <w:sz w:val="28"/>
                <w:szCs w:val="28"/>
                <w:lang w:bidi="ar-MA"/>
              </w:rPr>
            </w:pPr>
          </w:p>
          <w:p w:rsidR="00C72ADE" w:rsidRPr="00B57F6E" w:rsidRDefault="00C72ADE" w:rsidP="001F6107">
            <w:pPr>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3,</w:t>
            </w:r>
            <w:r>
              <w:rPr>
                <w:rFonts w:asciiTheme="majorHAnsi" w:hAnsiTheme="majorHAnsi"/>
                <w:color w:val="000000" w:themeColor="text1"/>
                <w:sz w:val="28"/>
                <w:szCs w:val="28"/>
                <w:lang w:bidi="ar-MA"/>
              </w:rPr>
              <w:t>2</w:t>
            </w:r>
          </w:p>
        </w:tc>
      </w:tr>
      <w:tr w:rsidR="00C72ADE" w:rsidRPr="00B57F6E" w:rsidTr="00411EFA">
        <w:trPr>
          <w:trHeight w:val="441"/>
          <w:jc w:val="center"/>
        </w:trPr>
        <w:tc>
          <w:tcPr>
            <w:tcW w:w="4986" w:type="dxa"/>
          </w:tcPr>
          <w:p w:rsidR="00C72ADE" w:rsidRPr="00B57F6E" w:rsidRDefault="00C72ADE" w:rsidP="00411EFA">
            <w:pPr>
              <w:rPr>
                <w:rFonts w:asciiTheme="majorHAnsi" w:hAnsiTheme="majorHAnsi"/>
                <w:color w:val="000000" w:themeColor="text1"/>
                <w:sz w:val="30"/>
                <w:szCs w:val="30"/>
                <w:lang w:bidi="ar-MA"/>
              </w:rPr>
            </w:pPr>
            <w:r w:rsidRPr="00B57F6E">
              <w:rPr>
                <w:rFonts w:asciiTheme="majorHAnsi" w:hAnsiTheme="majorHAnsi"/>
                <w:color w:val="000000" w:themeColor="text1"/>
                <w:sz w:val="30"/>
                <w:szCs w:val="30"/>
                <w:lang w:bidi="ar-MA"/>
              </w:rPr>
              <w:t>Valeur ajoutée totale……………….…</w:t>
            </w:r>
          </w:p>
        </w:tc>
        <w:tc>
          <w:tcPr>
            <w:tcW w:w="1291" w:type="dxa"/>
          </w:tcPr>
          <w:p w:rsidR="00C72ADE" w:rsidRPr="00B57F6E" w:rsidRDefault="00C72ADE" w:rsidP="001F6107">
            <w:pPr>
              <w:jc w:val="center"/>
              <w:rPr>
                <w:rFonts w:asciiTheme="majorHAnsi" w:hAnsiTheme="majorHAnsi"/>
                <w:color w:val="000000" w:themeColor="text1"/>
                <w:sz w:val="30"/>
                <w:szCs w:val="30"/>
                <w:lang w:bidi="ar-MA"/>
              </w:rPr>
            </w:pPr>
            <w:r w:rsidRPr="00B57F6E">
              <w:rPr>
                <w:rFonts w:asciiTheme="majorHAnsi" w:hAnsiTheme="majorHAnsi"/>
                <w:color w:val="000000" w:themeColor="text1"/>
                <w:sz w:val="30"/>
                <w:szCs w:val="30"/>
                <w:lang w:bidi="ar-MA"/>
              </w:rPr>
              <w:t>0,1</w:t>
            </w:r>
          </w:p>
        </w:tc>
        <w:tc>
          <w:tcPr>
            <w:tcW w:w="1417" w:type="dxa"/>
          </w:tcPr>
          <w:p w:rsidR="00C72ADE" w:rsidRPr="00B57F6E" w:rsidRDefault="00C72ADE" w:rsidP="001F6107">
            <w:pPr>
              <w:jc w:val="center"/>
              <w:rPr>
                <w:rFonts w:asciiTheme="majorHAnsi" w:hAnsiTheme="majorHAnsi"/>
                <w:color w:val="000000" w:themeColor="text1"/>
                <w:sz w:val="30"/>
                <w:szCs w:val="30"/>
                <w:lang w:bidi="ar-MA"/>
              </w:rPr>
            </w:pPr>
            <w:r w:rsidRPr="00B57F6E">
              <w:rPr>
                <w:rFonts w:asciiTheme="majorHAnsi" w:hAnsiTheme="majorHAnsi"/>
                <w:color w:val="000000" w:themeColor="text1"/>
                <w:sz w:val="30"/>
                <w:szCs w:val="30"/>
                <w:lang w:bidi="ar-MA"/>
              </w:rPr>
              <w:t>4,3</w:t>
            </w:r>
          </w:p>
        </w:tc>
        <w:tc>
          <w:tcPr>
            <w:tcW w:w="1463" w:type="dxa"/>
            <w:shd w:val="clear" w:color="auto" w:fill="C6D9F1" w:themeFill="text2" w:themeFillTint="33"/>
          </w:tcPr>
          <w:p w:rsidR="00C72ADE" w:rsidRPr="00B57F6E" w:rsidRDefault="00C72ADE" w:rsidP="00BF3A87">
            <w:pPr>
              <w:jc w:val="center"/>
              <w:rPr>
                <w:rFonts w:asciiTheme="majorHAnsi" w:hAnsiTheme="majorHAnsi"/>
                <w:color w:val="000000" w:themeColor="text1"/>
                <w:sz w:val="30"/>
                <w:szCs w:val="30"/>
                <w:lang w:bidi="ar-MA"/>
              </w:rPr>
            </w:pPr>
            <w:r w:rsidRPr="00B57F6E">
              <w:rPr>
                <w:rFonts w:asciiTheme="majorHAnsi" w:hAnsiTheme="majorHAnsi"/>
                <w:color w:val="000000" w:themeColor="text1"/>
                <w:sz w:val="30"/>
                <w:szCs w:val="30"/>
                <w:lang w:bidi="ar-MA"/>
              </w:rPr>
              <w:t>3,</w:t>
            </w:r>
            <w:r w:rsidR="00BF3A87">
              <w:rPr>
                <w:rFonts w:asciiTheme="majorHAnsi" w:hAnsiTheme="majorHAnsi"/>
                <w:color w:val="000000" w:themeColor="text1"/>
                <w:sz w:val="30"/>
                <w:szCs w:val="30"/>
                <w:lang w:bidi="ar-MA"/>
              </w:rPr>
              <w:t>0</w:t>
            </w:r>
          </w:p>
        </w:tc>
        <w:tc>
          <w:tcPr>
            <w:tcW w:w="1203" w:type="dxa"/>
            <w:shd w:val="clear" w:color="auto" w:fill="C6D9F1" w:themeFill="text2" w:themeFillTint="33"/>
          </w:tcPr>
          <w:p w:rsidR="00C72ADE" w:rsidRPr="00B57F6E" w:rsidRDefault="00C72ADE" w:rsidP="001F6107">
            <w:pPr>
              <w:jc w:val="center"/>
              <w:rPr>
                <w:rFonts w:asciiTheme="majorHAnsi" w:hAnsiTheme="majorHAnsi"/>
                <w:color w:val="000000" w:themeColor="text1"/>
                <w:sz w:val="30"/>
                <w:szCs w:val="30"/>
                <w:lang w:bidi="ar-MA"/>
              </w:rPr>
            </w:pPr>
            <w:r w:rsidRPr="00B57F6E">
              <w:rPr>
                <w:rFonts w:asciiTheme="majorHAnsi" w:hAnsiTheme="majorHAnsi"/>
                <w:color w:val="000000" w:themeColor="text1"/>
                <w:sz w:val="30"/>
                <w:szCs w:val="30"/>
                <w:lang w:bidi="ar-MA"/>
              </w:rPr>
              <w:t>2,7</w:t>
            </w:r>
          </w:p>
        </w:tc>
      </w:tr>
      <w:tr w:rsidR="00C72ADE" w:rsidRPr="00B57F6E" w:rsidTr="00411EFA">
        <w:trPr>
          <w:trHeight w:val="680"/>
          <w:jc w:val="center"/>
        </w:trPr>
        <w:tc>
          <w:tcPr>
            <w:tcW w:w="4986" w:type="dxa"/>
          </w:tcPr>
          <w:p w:rsidR="00C72ADE" w:rsidRPr="00B57F6E" w:rsidRDefault="00C72ADE" w:rsidP="00411EFA">
            <w:pP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Impôts et taxes sur produits nets de subventions (ITS)………………..………….</w:t>
            </w:r>
          </w:p>
          <w:p w:rsidR="00C72ADE" w:rsidRPr="00B57F6E" w:rsidRDefault="00C72ADE" w:rsidP="001F6107">
            <w:pPr>
              <w:rPr>
                <w:rFonts w:asciiTheme="majorHAnsi" w:hAnsiTheme="majorHAnsi"/>
                <w:b w:val="0"/>
                <w:color w:val="000000" w:themeColor="text1"/>
                <w:sz w:val="28"/>
                <w:szCs w:val="28"/>
                <w:lang w:bidi="ar-MA"/>
              </w:rPr>
            </w:pPr>
          </w:p>
        </w:tc>
        <w:tc>
          <w:tcPr>
            <w:tcW w:w="1291" w:type="dxa"/>
          </w:tcPr>
          <w:p w:rsidR="00C72ADE" w:rsidRPr="00B57F6E" w:rsidRDefault="00C72ADE" w:rsidP="001F6107">
            <w:pPr>
              <w:jc w:val="center"/>
              <w:rPr>
                <w:rFonts w:asciiTheme="majorHAnsi" w:hAnsiTheme="majorHAnsi"/>
                <w:b w:val="0"/>
                <w:color w:val="000000" w:themeColor="text1"/>
                <w:sz w:val="28"/>
                <w:szCs w:val="28"/>
                <w:lang w:bidi="ar-MA"/>
              </w:rPr>
            </w:pPr>
          </w:p>
          <w:p w:rsidR="00C72ADE" w:rsidRPr="00B57F6E" w:rsidRDefault="00C72ADE" w:rsidP="001F6107">
            <w:pPr>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8,8</w:t>
            </w:r>
          </w:p>
        </w:tc>
        <w:tc>
          <w:tcPr>
            <w:tcW w:w="1417" w:type="dxa"/>
          </w:tcPr>
          <w:p w:rsidR="00C72ADE" w:rsidRPr="00B57F6E" w:rsidRDefault="00C72ADE" w:rsidP="001F6107">
            <w:pPr>
              <w:jc w:val="center"/>
              <w:rPr>
                <w:rFonts w:asciiTheme="majorHAnsi" w:hAnsiTheme="majorHAnsi"/>
                <w:b w:val="0"/>
                <w:color w:val="000000" w:themeColor="text1"/>
                <w:sz w:val="28"/>
                <w:szCs w:val="28"/>
                <w:lang w:bidi="ar-MA"/>
              </w:rPr>
            </w:pPr>
          </w:p>
          <w:p w:rsidR="00C72ADE" w:rsidRPr="00B57F6E" w:rsidRDefault="00C72ADE" w:rsidP="001F6107">
            <w:pPr>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2,8</w:t>
            </w:r>
          </w:p>
        </w:tc>
        <w:tc>
          <w:tcPr>
            <w:tcW w:w="1463" w:type="dxa"/>
            <w:shd w:val="clear" w:color="auto" w:fill="C6D9F1" w:themeFill="text2" w:themeFillTint="33"/>
          </w:tcPr>
          <w:p w:rsidR="00C72ADE" w:rsidRPr="00B57F6E" w:rsidRDefault="00C72ADE" w:rsidP="001F6107">
            <w:pPr>
              <w:jc w:val="center"/>
              <w:rPr>
                <w:rFonts w:asciiTheme="majorHAnsi" w:hAnsiTheme="majorHAnsi"/>
                <w:b w:val="0"/>
                <w:color w:val="000000" w:themeColor="text1"/>
                <w:sz w:val="28"/>
                <w:szCs w:val="28"/>
                <w:lang w:bidi="ar-MA"/>
              </w:rPr>
            </w:pPr>
          </w:p>
          <w:p w:rsidR="00C72ADE" w:rsidRPr="00B57F6E" w:rsidRDefault="00C72ADE" w:rsidP="0025502E">
            <w:pPr>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2,</w:t>
            </w:r>
            <w:r w:rsidR="0025502E">
              <w:rPr>
                <w:rFonts w:asciiTheme="majorHAnsi" w:hAnsiTheme="majorHAnsi"/>
                <w:color w:val="000000" w:themeColor="text1"/>
                <w:sz w:val="28"/>
                <w:szCs w:val="28"/>
                <w:lang w:bidi="ar-MA"/>
              </w:rPr>
              <w:t>4</w:t>
            </w:r>
          </w:p>
        </w:tc>
        <w:tc>
          <w:tcPr>
            <w:tcW w:w="1203" w:type="dxa"/>
            <w:shd w:val="clear" w:color="auto" w:fill="C6D9F1" w:themeFill="text2" w:themeFillTint="33"/>
          </w:tcPr>
          <w:p w:rsidR="00C72ADE" w:rsidRPr="00B57F6E" w:rsidRDefault="00C72ADE" w:rsidP="001F6107">
            <w:pPr>
              <w:jc w:val="center"/>
              <w:rPr>
                <w:rFonts w:asciiTheme="majorHAnsi" w:hAnsiTheme="majorHAnsi"/>
                <w:b w:val="0"/>
                <w:color w:val="000000" w:themeColor="text1"/>
                <w:sz w:val="28"/>
                <w:szCs w:val="28"/>
                <w:lang w:bidi="ar-MA"/>
              </w:rPr>
            </w:pPr>
          </w:p>
          <w:p w:rsidR="00C72ADE" w:rsidRPr="00B57F6E" w:rsidRDefault="00C72ADE" w:rsidP="001F6107">
            <w:pPr>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4,</w:t>
            </w:r>
            <w:r>
              <w:rPr>
                <w:rFonts w:asciiTheme="majorHAnsi" w:hAnsiTheme="majorHAnsi"/>
                <w:color w:val="000000" w:themeColor="text1"/>
                <w:sz w:val="28"/>
                <w:szCs w:val="28"/>
                <w:lang w:bidi="ar-MA"/>
              </w:rPr>
              <w:t>5</w:t>
            </w:r>
          </w:p>
        </w:tc>
      </w:tr>
      <w:tr w:rsidR="00C72ADE" w:rsidRPr="00B57F6E" w:rsidTr="00411EFA">
        <w:trPr>
          <w:trHeight w:val="812"/>
          <w:jc w:val="center"/>
        </w:trPr>
        <w:tc>
          <w:tcPr>
            <w:tcW w:w="4986" w:type="dxa"/>
          </w:tcPr>
          <w:p w:rsidR="00C72ADE" w:rsidRPr="00B57F6E" w:rsidRDefault="00C72ADE" w:rsidP="001F6107">
            <w:pPr>
              <w:rPr>
                <w:rFonts w:asciiTheme="majorHAnsi" w:hAnsiTheme="majorHAnsi"/>
                <w:b w:val="0"/>
                <w:color w:val="000000" w:themeColor="text1"/>
                <w:sz w:val="28"/>
                <w:szCs w:val="28"/>
                <w:lang w:val="it-IT" w:bidi="ar-MA"/>
              </w:rPr>
            </w:pPr>
          </w:p>
          <w:p w:rsidR="00C72ADE" w:rsidRPr="00B57F6E" w:rsidRDefault="00C72ADE" w:rsidP="00411EFA">
            <w:pPr>
              <w:rPr>
                <w:rFonts w:asciiTheme="majorHAnsi" w:hAnsiTheme="majorHAnsi"/>
                <w:b w:val="0"/>
                <w:color w:val="000000" w:themeColor="text1"/>
                <w:sz w:val="28"/>
                <w:szCs w:val="28"/>
                <w:lang w:val="it-IT" w:bidi="ar-MA"/>
              </w:rPr>
            </w:pPr>
            <w:r w:rsidRPr="00B57F6E">
              <w:rPr>
                <w:rFonts w:asciiTheme="majorHAnsi" w:hAnsiTheme="majorHAnsi"/>
                <w:color w:val="000000" w:themeColor="text1"/>
                <w:sz w:val="28"/>
                <w:szCs w:val="28"/>
                <w:lang w:val="it-IT" w:bidi="ar-MA"/>
              </w:rPr>
              <w:t>PIB non agricole (VA +ITS)....................</w:t>
            </w:r>
          </w:p>
        </w:tc>
        <w:tc>
          <w:tcPr>
            <w:tcW w:w="1291" w:type="dxa"/>
          </w:tcPr>
          <w:p w:rsidR="00C72ADE" w:rsidRPr="00B57F6E" w:rsidRDefault="00C72ADE" w:rsidP="001F6107">
            <w:pPr>
              <w:jc w:val="center"/>
              <w:rPr>
                <w:rFonts w:asciiTheme="majorHAnsi" w:hAnsiTheme="majorHAnsi"/>
                <w:b w:val="0"/>
                <w:color w:val="000000" w:themeColor="text1"/>
                <w:sz w:val="28"/>
                <w:szCs w:val="28"/>
                <w:lang w:bidi="ar-MA"/>
              </w:rPr>
            </w:pPr>
          </w:p>
          <w:p w:rsidR="00C72ADE" w:rsidRPr="00B57F6E" w:rsidRDefault="00C72ADE" w:rsidP="001F6107">
            <w:pPr>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3,1</w:t>
            </w:r>
          </w:p>
        </w:tc>
        <w:tc>
          <w:tcPr>
            <w:tcW w:w="1417" w:type="dxa"/>
          </w:tcPr>
          <w:p w:rsidR="00C72ADE" w:rsidRPr="00B57F6E" w:rsidRDefault="00C72ADE" w:rsidP="001F6107">
            <w:pPr>
              <w:jc w:val="center"/>
              <w:rPr>
                <w:rFonts w:asciiTheme="majorHAnsi" w:hAnsiTheme="majorHAnsi"/>
                <w:b w:val="0"/>
                <w:color w:val="000000" w:themeColor="text1"/>
                <w:sz w:val="28"/>
                <w:szCs w:val="28"/>
                <w:lang w:bidi="ar-MA"/>
              </w:rPr>
            </w:pPr>
          </w:p>
          <w:p w:rsidR="00C72ADE" w:rsidRPr="00B57F6E" w:rsidRDefault="00C72ADE" w:rsidP="001F6107">
            <w:pPr>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2,8</w:t>
            </w:r>
          </w:p>
        </w:tc>
        <w:tc>
          <w:tcPr>
            <w:tcW w:w="1463" w:type="dxa"/>
            <w:shd w:val="clear" w:color="auto" w:fill="C6D9F1" w:themeFill="text2" w:themeFillTint="33"/>
          </w:tcPr>
          <w:p w:rsidR="00C72ADE" w:rsidRPr="00B57F6E" w:rsidRDefault="00C72ADE" w:rsidP="001F6107">
            <w:pPr>
              <w:jc w:val="center"/>
              <w:rPr>
                <w:rFonts w:asciiTheme="majorHAnsi" w:hAnsiTheme="majorHAnsi"/>
                <w:b w:val="0"/>
                <w:color w:val="000000" w:themeColor="text1"/>
                <w:sz w:val="28"/>
                <w:szCs w:val="28"/>
                <w:lang w:bidi="ar-MA"/>
              </w:rPr>
            </w:pPr>
          </w:p>
          <w:p w:rsidR="00C72ADE" w:rsidRPr="00B57F6E" w:rsidRDefault="00C72ADE" w:rsidP="001F6107">
            <w:pPr>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2,</w:t>
            </w:r>
            <w:r>
              <w:rPr>
                <w:rFonts w:asciiTheme="majorHAnsi" w:hAnsiTheme="majorHAnsi"/>
                <w:color w:val="000000" w:themeColor="text1"/>
                <w:sz w:val="28"/>
                <w:szCs w:val="28"/>
                <w:lang w:bidi="ar-MA"/>
              </w:rPr>
              <w:t>8</w:t>
            </w:r>
          </w:p>
        </w:tc>
        <w:tc>
          <w:tcPr>
            <w:tcW w:w="1203" w:type="dxa"/>
            <w:shd w:val="clear" w:color="auto" w:fill="C6D9F1" w:themeFill="text2" w:themeFillTint="33"/>
          </w:tcPr>
          <w:p w:rsidR="00C72ADE" w:rsidRPr="00B57F6E" w:rsidRDefault="00C72ADE" w:rsidP="001F6107">
            <w:pPr>
              <w:jc w:val="center"/>
              <w:rPr>
                <w:rFonts w:asciiTheme="majorHAnsi" w:hAnsiTheme="majorHAnsi"/>
                <w:b w:val="0"/>
                <w:color w:val="000000" w:themeColor="text1"/>
                <w:sz w:val="28"/>
                <w:szCs w:val="28"/>
                <w:lang w:bidi="ar-MA"/>
              </w:rPr>
            </w:pPr>
          </w:p>
          <w:p w:rsidR="00C72ADE" w:rsidRPr="00B57F6E" w:rsidRDefault="00C72ADE" w:rsidP="001F6107">
            <w:pPr>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3,3</w:t>
            </w:r>
          </w:p>
        </w:tc>
      </w:tr>
      <w:tr w:rsidR="00C72ADE" w:rsidRPr="00B57F6E" w:rsidTr="00411EFA">
        <w:trPr>
          <w:trHeight w:val="706"/>
          <w:jc w:val="center"/>
        </w:trPr>
        <w:tc>
          <w:tcPr>
            <w:tcW w:w="4986" w:type="dxa"/>
          </w:tcPr>
          <w:p w:rsidR="00C72ADE" w:rsidRPr="00B57F6E" w:rsidRDefault="00C72ADE" w:rsidP="001F6107">
            <w:pPr>
              <w:rPr>
                <w:rFonts w:asciiTheme="majorHAnsi" w:hAnsiTheme="majorHAnsi"/>
                <w:color w:val="000000" w:themeColor="text1"/>
                <w:sz w:val="30"/>
                <w:szCs w:val="30"/>
                <w:lang w:bidi="ar-MA"/>
              </w:rPr>
            </w:pPr>
          </w:p>
          <w:p w:rsidR="00C72ADE" w:rsidRPr="00B57F6E" w:rsidRDefault="00C72ADE" w:rsidP="001F6107">
            <w:pPr>
              <w:rPr>
                <w:rFonts w:asciiTheme="majorHAnsi" w:hAnsiTheme="majorHAnsi"/>
                <w:color w:val="000000" w:themeColor="text1"/>
                <w:sz w:val="30"/>
                <w:szCs w:val="30"/>
                <w:lang w:bidi="ar-MA"/>
              </w:rPr>
            </w:pPr>
            <w:r w:rsidRPr="00B57F6E">
              <w:rPr>
                <w:rFonts w:asciiTheme="majorHAnsi" w:hAnsiTheme="majorHAnsi"/>
                <w:color w:val="000000" w:themeColor="text1"/>
                <w:sz w:val="30"/>
                <w:szCs w:val="30"/>
                <w:lang w:bidi="ar-MA"/>
              </w:rPr>
              <w:t>PIB en volume…………………..………….</w:t>
            </w:r>
          </w:p>
          <w:p w:rsidR="00C72ADE" w:rsidRPr="00B57F6E" w:rsidRDefault="00C72ADE" w:rsidP="001F6107">
            <w:pPr>
              <w:rPr>
                <w:rFonts w:asciiTheme="majorHAnsi" w:hAnsiTheme="majorHAnsi"/>
                <w:color w:val="000000" w:themeColor="text1"/>
                <w:sz w:val="30"/>
                <w:szCs w:val="30"/>
                <w:lang w:bidi="ar-MA"/>
              </w:rPr>
            </w:pPr>
          </w:p>
        </w:tc>
        <w:tc>
          <w:tcPr>
            <w:tcW w:w="1291" w:type="dxa"/>
          </w:tcPr>
          <w:p w:rsidR="00C72ADE" w:rsidRPr="00B57F6E" w:rsidRDefault="00C72ADE" w:rsidP="001F6107">
            <w:pPr>
              <w:jc w:val="center"/>
              <w:rPr>
                <w:rFonts w:asciiTheme="majorHAnsi" w:hAnsiTheme="majorHAnsi"/>
                <w:color w:val="000000" w:themeColor="text1"/>
                <w:sz w:val="30"/>
                <w:szCs w:val="30"/>
                <w:lang w:bidi="ar-MA"/>
              </w:rPr>
            </w:pPr>
          </w:p>
          <w:p w:rsidR="00C72ADE" w:rsidRPr="00B57F6E" w:rsidRDefault="00C72ADE" w:rsidP="001F6107">
            <w:pPr>
              <w:jc w:val="center"/>
              <w:rPr>
                <w:rFonts w:asciiTheme="majorHAnsi" w:hAnsiTheme="majorHAnsi"/>
                <w:color w:val="000000" w:themeColor="text1"/>
                <w:sz w:val="30"/>
                <w:szCs w:val="30"/>
                <w:lang w:bidi="ar-MA"/>
              </w:rPr>
            </w:pPr>
            <w:r w:rsidRPr="00B57F6E">
              <w:rPr>
                <w:rFonts w:asciiTheme="majorHAnsi" w:hAnsiTheme="majorHAnsi"/>
                <w:color w:val="000000" w:themeColor="text1"/>
                <w:sz w:val="30"/>
                <w:szCs w:val="30"/>
                <w:lang w:bidi="ar-MA"/>
              </w:rPr>
              <w:t>1,1</w:t>
            </w:r>
          </w:p>
        </w:tc>
        <w:tc>
          <w:tcPr>
            <w:tcW w:w="1417" w:type="dxa"/>
          </w:tcPr>
          <w:p w:rsidR="00C72ADE" w:rsidRPr="00B57F6E" w:rsidRDefault="00C72ADE" w:rsidP="001F6107">
            <w:pPr>
              <w:jc w:val="center"/>
              <w:rPr>
                <w:rFonts w:asciiTheme="majorHAnsi" w:hAnsiTheme="majorHAnsi"/>
                <w:color w:val="000000" w:themeColor="text1"/>
                <w:sz w:val="30"/>
                <w:szCs w:val="30"/>
                <w:lang w:bidi="ar-MA"/>
              </w:rPr>
            </w:pPr>
          </w:p>
          <w:p w:rsidR="00C72ADE" w:rsidRPr="00B57F6E" w:rsidRDefault="00C72ADE" w:rsidP="001F6107">
            <w:pPr>
              <w:jc w:val="center"/>
              <w:rPr>
                <w:rFonts w:asciiTheme="majorHAnsi" w:hAnsiTheme="majorHAnsi"/>
                <w:color w:val="000000" w:themeColor="text1"/>
                <w:sz w:val="30"/>
                <w:szCs w:val="30"/>
                <w:lang w:bidi="ar-MA"/>
              </w:rPr>
            </w:pPr>
            <w:r w:rsidRPr="00B57F6E">
              <w:rPr>
                <w:rFonts w:asciiTheme="majorHAnsi" w:hAnsiTheme="majorHAnsi"/>
                <w:color w:val="000000" w:themeColor="text1"/>
                <w:sz w:val="30"/>
                <w:szCs w:val="30"/>
                <w:lang w:bidi="ar-MA"/>
              </w:rPr>
              <w:t>4,1</w:t>
            </w:r>
          </w:p>
        </w:tc>
        <w:tc>
          <w:tcPr>
            <w:tcW w:w="1463" w:type="dxa"/>
            <w:shd w:val="clear" w:color="auto" w:fill="C6D9F1" w:themeFill="text2" w:themeFillTint="33"/>
          </w:tcPr>
          <w:p w:rsidR="00C72ADE" w:rsidRPr="00B57F6E" w:rsidRDefault="00C72ADE" w:rsidP="001F6107">
            <w:pPr>
              <w:jc w:val="center"/>
              <w:rPr>
                <w:rFonts w:asciiTheme="majorHAnsi" w:hAnsiTheme="majorHAnsi"/>
                <w:color w:val="000000" w:themeColor="text1"/>
                <w:sz w:val="30"/>
                <w:szCs w:val="30"/>
                <w:lang w:bidi="ar-MA"/>
              </w:rPr>
            </w:pPr>
          </w:p>
          <w:p w:rsidR="00C72ADE" w:rsidRPr="00B57F6E" w:rsidRDefault="00C72ADE" w:rsidP="001F6107">
            <w:pPr>
              <w:jc w:val="center"/>
              <w:rPr>
                <w:rFonts w:asciiTheme="majorHAnsi" w:hAnsiTheme="majorHAnsi"/>
                <w:color w:val="000000" w:themeColor="text1"/>
                <w:sz w:val="30"/>
                <w:szCs w:val="30"/>
                <w:lang w:bidi="ar-MA"/>
              </w:rPr>
            </w:pPr>
            <w:r w:rsidRPr="00B57F6E">
              <w:rPr>
                <w:rFonts w:asciiTheme="majorHAnsi" w:hAnsiTheme="majorHAnsi"/>
                <w:color w:val="000000" w:themeColor="text1"/>
                <w:sz w:val="30"/>
                <w:szCs w:val="30"/>
                <w:lang w:bidi="ar-MA"/>
              </w:rPr>
              <w:t>3,0</w:t>
            </w:r>
          </w:p>
        </w:tc>
        <w:tc>
          <w:tcPr>
            <w:tcW w:w="1203" w:type="dxa"/>
            <w:shd w:val="clear" w:color="auto" w:fill="C6D9F1" w:themeFill="text2" w:themeFillTint="33"/>
          </w:tcPr>
          <w:p w:rsidR="00C72ADE" w:rsidRPr="00B57F6E" w:rsidRDefault="00C72ADE" w:rsidP="001F6107">
            <w:pPr>
              <w:jc w:val="center"/>
              <w:rPr>
                <w:rFonts w:asciiTheme="majorHAnsi" w:hAnsiTheme="majorHAnsi"/>
                <w:color w:val="000000" w:themeColor="text1"/>
                <w:sz w:val="30"/>
                <w:szCs w:val="30"/>
                <w:lang w:bidi="ar-MA"/>
              </w:rPr>
            </w:pPr>
          </w:p>
          <w:p w:rsidR="00C72ADE" w:rsidRPr="00B57F6E" w:rsidRDefault="00C72ADE" w:rsidP="001F6107">
            <w:pPr>
              <w:jc w:val="center"/>
              <w:rPr>
                <w:rFonts w:asciiTheme="majorHAnsi" w:hAnsiTheme="majorHAnsi"/>
                <w:color w:val="000000" w:themeColor="text1"/>
                <w:sz w:val="30"/>
                <w:szCs w:val="30"/>
                <w:lang w:bidi="ar-MA"/>
              </w:rPr>
            </w:pPr>
            <w:r w:rsidRPr="00B57F6E">
              <w:rPr>
                <w:rFonts w:asciiTheme="majorHAnsi" w:hAnsiTheme="majorHAnsi"/>
                <w:color w:val="000000" w:themeColor="text1"/>
                <w:sz w:val="30"/>
                <w:szCs w:val="30"/>
                <w:lang w:bidi="ar-MA"/>
              </w:rPr>
              <w:t>2,9</w:t>
            </w:r>
          </w:p>
        </w:tc>
      </w:tr>
      <w:tr w:rsidR="00C72ADE" w:rsidRPr="00B57F6E" w:rsidTr="00411EFA">
        <w:trPr>
          <w:trHeight w:val="812"/>
          <w:jc w:val="center"/>
        </w:trPr>
        <w:tc>
          <w:tcPr>
            <w:tcW w:w="4986" w:type="dxa"/>
          </w:tcPr>
          <w:p w:rsidR="00C72ADE" w:rsidRPr="00B57F6E" w:rsidRDefault="00C72ADE" w:rsidP="001F6107">
            <w:pPr>
              <w:rPr>
                <w:rFonts w:asciiTheme="majorHAnsi" w:hAnsiTheme="majorHAnsi"/>
                <w:b w:val="0"/>
                <w:color w:val="000000" w:themeColor="text1"/>
                <w:sz w:val="28"/>
                <w:szCs w:val="28"/>
                <w:lang w:bidi="ar-MA"/>
              </w:rPr>
            </w:pPr>
          </w:p>
          <w:p w:rsidR="00C72ADE" w:rsidRPr="00B57F6E" w:rsidRDefault="00C72ADE" w:rsidP="00411EFA">
            <w:pP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Variation du prix implicite du PIB…..</w:t>
            </w:r>
          </w:p>
        </w:tc>
        <w:tc>
          <w:tcPr>
            <w:tcW w:w="1291" w:type="dxa"/>
          </w:tcPr>
          <w:p w:rsidR="00C72ADE" w:rsidRPr="00B57F6E" w:rsidRDefault="00C72ADE" w:rsidP="001F6107">
            <w:pPr>
              <w:jc w:val="center"/>
              <w:rPr>
                <w:rFonts w:asciiTheme="majorHAnsi" w:hAnsiTheme="majorHAnsi"/>
                <w:b w:val="0"/>
                <w:color w:val="000000" w:themeColor="text1"/>
                <w:sz w:val="28"/>
                <w:szCs w:val="28"/>
                <w:lang w:bidi="ar-MA"/>
              </w:rPr>
            </w:pPr>
          </w:p>
          <w:p w:rsidR="00C72ADE" w:rsidRPr="00B57F6E" w:rsidRDefault="00C72ADE" w:rsidP="001F6107">
            <w:pPr>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1,4</w:t>
            </w:r>
          </w:p>
        </w:tc>
        <w:tc>
          <w:tcPr>
            <w:tcW w:w="1417" w:type="dxa"/>
          </w:tcPr>
          <w:p w:rsidR="00C72ADE" w:rsidRPr="00B57F6E" w:rsidRDefault="00C72ADE" w:rsidP="001F6107">
            <w:pPr>
              <w:jc w:val="center"/>
              <w:rPr>
                <w:rFonts w:asciiTheme="majorHAnsi" w:hAnsiTheme="majorHAnsi"/>
                <w:b w:val="0"/>
                <w:color w:val="000000" w:themeColor="text1"/>
                <w:sz w:val="28"/>
                <w:szCs w:val="28"/>
                <w:lang w:bidi="ar-MA"/>
              </w:rPr>
            </w:pPr>
          </w:p>
          <w:p w:rsidR="00C72ADE" w:rsidRPr="00B57F6E" w:rsidRDefault="00C72ADE" w:rsidP="001F6107">
            <w:pPr>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0,8</w:t>
            </w:r>
          </w:p>
        </w:tc>
        <w:tc>
          <w:tcPr>
            <w:tcW w:w="1463" w:type="dxa"/>
            <w:shd w:val="clear" w:color="auto" w:fill="C6D9F1" w:themeFill="text2" w:themeFillTint="33"/>
          </w:tcPr>
          <w:p w:rsidR="00C72ADE" w:rsidRPr="00B57F6E" w:rsidRDefault="00C72ADE" w:rsidP="001F6107">
            <w:pPr>
              <w:jc w:val="center"/>
              <w:rPr>
                <w:rFonts w:asciiTheme="majorHAnsi" w:hAnsiTheme="majorHAnsi"/>
                <w:b w:val="0"/>
                <w:color w:val="000000" w:themeColor="text1"/>
                <w:sz w:val="28"/>
                <w:szCs w:val="28"/>
                <w:lang w:bidi="ar-MA"/>
              </w:rPr>
            </w:pPr>
          </w:p>
          <w:p w:rsidR="00C72ADE" w:rsidRPr="00B57F6E" w:rsidRDefault="00C72ADE" w:rsidP="0025502E">
            <w:pPr>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1,</w:t>
            </w:r>
            <w:r w:rsidR="0025502E">
              <w:rPr>
                <w:rFonts w:asciiTheme="majorHAnsi" w:hAnsiTheme="majorHAnsi"/>
                <w:color w:val="000000" w:themeColor="text1"/>
                <w:sz w:val="28"/>
                <w:szCs w:val="28"/>
                <w:lang w:bidi="ar-MA"/>
              </w:rPr>
              <w:t>6</w:t>
            </w:r>
          </w:p>
        </w:tc>
        <w:tc>
          <w:tcPr>
            <w:tcW w:w="1203" w:type="dxa"/>
            <w:shd w:val="clear" w:color="auto" w:fill="C6D9F1" w:themeFill="text2" w:themeFillTint="33"/>
          </w:tcPr>
          <w:p w:rsidR="00C72ADE" w:rsidRPr="00B57F6E" w:rsidRDefault="00C72ADE" w:rsidP="001F6107">
            <w:pPr>
              <w:jc w:val="center"/>
              <w:rPr>
                <w:rFonts w:asciiTheme="majorHAnsi" w:hAnsiTheme="majorHAnsi"/>
                <w:b w:val="0"/>
                <w:color w:val="000000" w:themeColor="text1"/>
                <w:sz w:val="28"/>
                <w:szCs w:val="28"/>
                <w:lang w:bidi="ar-MA"/>
              </w:rPr>
            </w:pPr>
          </w:p>
          <w:p w:rsidR="00C72ADE" w:rsidRPr="00B57F6E" w:rsidRDefault="00C72ADE" w:rsidP="001F6107">
            <w:pPr>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1,2</w:t>
            </w:r>
          </w:p>
        </w:tc>
      </w:tr>
    </w:tbl>
    <w:p w:rsidR="00C72ADE" w:rsidRPr="00B57F6E" w:rsidRDefault="00C72ADE" w:rsidP="00C72ADE">
      <w:pPr>
        <w:rPr>
          <w:rFonts w:asciiTheme="majorHAnsi" w:hAnsiTheme="majorHAnsi"/>
          <w:color w:val="000000" w:themeColor="text1"/>
          <w:sz w:val="18"/>
          <w:szCs w:val="18"/>
        </w:rPr>
      </w:pPr>
      <w:r w:rsidRPr="00B57F6E">
        <w:rPr>
          <w:rFonts w:asciiTheme="majorHAnsi" w:hAnsiTheme="majorHAnsi"/>
          <w:color w:val="000000" w:themeColor="text1"/>
          <w:sz w:val="18"/>
          <w:szCs w:val="18"/>
        </w:rPr>
        <w:t xml:space="preserve">(*) : Estimation pour 2018    (**) : Prévisions établies par le Haut Commissariat au Plan pour 2019. </w:t>
      </w:r>
    </w:p>
    <w:p w:rsidR="00C72ADE" w:rsidRPr="00B57F6E" w:rsidRDefault="00C72ADE" w:rsidP="00C72ADE">
      <w:pPr>
        <w:rPr>
          <w:rFonts w:asciiTheme="majorHAnsi" w:hAnsiTheme="majorHAnsi"/>
          <w:color w:val="000000" w:themeColor="text1"/>
          <w:sz w:val="18"/>
          <w:szCs w:val="18"/>
        </w:rPr>
      </w:pPr>
    </w:p>
    <w:p w:rsidR="00DD6238" w:rsidRDefault="00DD6238" w:rsidP="00C72ADE">
      <w:pPr>
        <w:rPr>
          <w:color w:val="000000" w:themeColor="text1"/>
        </w:rPr>
      </w:pPr>
    </w:p>
    <w:p w:rsidR="00DD6238" w:rsidRDefault="00DD6238" w:rsidP="00C72ADE">
      <w:pPr>
        <w:rPr>
          <w:color w:val="000000" w:themeColor="text1"/>
        </w:rPr>
      </w:pPr>
    </w:p>
    <w:p w:rsidR="00DD6238" w:rsidRDefault="00DD6238" w:rsidP="00C72ADE">
      <w:pPr>
        <w:rPr>
          <w:color w:val="000000" w:themeColor="text1"/>
        </w:rPr>
      </w:pPr>
    </w:p>
    <w:p w:rsidR="00DD6238" w:rsidRDefault="00DD6238" w:rsidP="00C72ADE">
      <w:pPr>
        <w:rPr>
          <w:color w:val="000000" w:themeColor="text1"/>
        </w:rPr>
      </w:pPr>
    </w:p>
    <w:p w:rsidR="00DD6238" w:rsidRDefault="00DD6238" w:rsidP="00C72ADE">
      <w:pPr>
        <w:rPr>
          <w:color w:val="000000" w:themeColor="text1"/>
        </w:rPr>
      </w:pPr>
    </w:p>
    <w:p w:rsidR="00DD6238" w:rsidRDefault="00DD6238" w:rsidP="00C72ADE">
      <w:pPr>
        <w:rPr>
          <w:color w:val="000000" w:themeColor="text1"/>
        </w:rPr>
      </w:pPr>
    </w:p>
    <w:p w:rsidR="00DD6238" w:rsidRDefault="00DD6238" w:rsidP="00C72ADE">
      <w:pPr>
        <w:rPr>
          <w:color w:val="000000" w:themeColor="text1"/>
        </w:rPr>
      </w:pPr>
    </w:p>
    <w:p w:rsidR="00DD6238" w:rsidRDefault="00DD6238" w:rsidP="00C72ADE">
      <w:pPr>
        <w:rPr>
          <w:color w:val="000000" w:themeColor="text1"/>
        </w:rPr>
      </w:pPr>
    </w:p>
    <w:p w:rsidR="00DD6238" w:rsidRDefault="00DD6238" w:rsidP="00C72ADE">
      <w:pPr>
        <w:rPr>
          <w:color w:val="000000" w:themeColor="text1"/>
        </w:rPr>
      </w:pPr>
    </w:p>
    <w:p w:rsidR="00DD6238" w:rsidRDefault="00DD6238" w:rsidP="00C72ADE">
      <w:pPr>
        <w:rPr>
          <w:color w:val="000000" w:themeColor="text1"/>
        </w:rPr>
      </w:pPr>
    </w:p>
    <w:p w:rsidR="00DD6238" w:rsidRDefault="00DD6238" w:rsidP="00C72ADE">
      <w:pPr>
        <w:rPr>
          <w:color w:val="000000" w:themeColor="text1"/>
        </w:rPr>
      </w:pPr>
    </w:p>
    <w:p w:rsidR="00DD6238" w:rsidRDefault="00DD6238" w:rsidP="00C72ADE">
      <w:pPr>
        <w:rPr>
          <w:color w:val="000000" w:themeColor="text1"/>
        </w:rPr>
      </w:pPr>
    </w:p>
    <w:p w:rsidR="00DD6238" w:rsidRDefault="00DD6238" w:rsidP="00C72ADE">
      <w:pPr>
        <w:rPr>
          <w:color w:val="000000" w:themeColor="text1"/>
        </w:rPr>
      </w:pPr>
    </w:p>
    <w:p w:rsidR="00DD6238" w:rsidRDefault="00DD6238" w:rsidP="00C72ADE">
      <w:pPr>
        <w:rPr>
          <w:color w:val="000000" w:themeColor="text1"/>
        </w:rPr>
      </w:pPr>
    </w:p>
    <w:p w:rsidR="00DD6238" w:rsidRDefault="00DD6238" w:rsidP="00C72ADE">
      <w:pPr>
        <w:rPr>
          <w:color w:val="000000" w:themeColor="text1"/>
        </w:rPr>
      </w:pPr>
    </w:p>
    <w:p w:rsidR="00C72ADE" w:rsidRPr="00B57F6E" w:rsidRDefault="00C72ADE" w:rsidP="00C72ADE">
      <w:pPr>
        <w:rPr>
          <w:color w:val="000000" w:themeColor="text1"/>
        </w:rPr>
      </w:pPr>
      <w:r w:rsidRPr="00B57F6E">
        <w:rPr>
          <w:color w:val="000000" w:themeColor="text1"/>
        </w:rPr>
        <w:t xml:space="preserve">                             </w:t>
      </w:r>
    </w:p>
    <w:p w:rsidR="006F1CBF" w:rsidRDefault="006F1CBF" w:rsidP="00C72ADE">
      <w:pPr>
        <w:pStyle w:val="Titre"/>
        <w:tabs>
          <w:tab w:val="left" w:pos="993"/>
        </w:tabs>
        <w:spacing w:before="100" w:beforeAutospacing="1" w:after="100" w:afterAutospacing="1"/>
        <w:ind w:firstLine="284"/>
        <w:contextualSpacing/>
        <w:rPr>
          <w:rFonts w:asciiTheme="majorHAnsi" w:hAnsiTheme="majorHAnsi"/>
          <w:caps/>
          <w:shadow/>
          <w:color w:val="0070C0"/>
          <w:kern w:val="16"/>
          <w:sz w:val="26"/>
          <w:szCs w:val="26"/>
          <w:u w:val="single"/>
        </w:rPr>
      </w:pPr>
    </w:p>
    <w:p w:rsidR="00C72ADE" w:rsidRPr="001F6107" w:rsidRDefault="00C72ADE" w:rsidP="00C72ADE">
      <w:pPr>
        <w:pStyle w:val="Titre"/>
        <w:tabs>
          <w:tab w:val="left" w:pos="993"/>
        </w:tabs>
        <w:spacing w:before="100" w:beforeAutospacing="1" w:after="100" w:afterAutospacing="1"/>
        <w:ind w:firstLine="284"/>
        <w:contextualSpacing/>
        <w:rPr>
          <w:rFonts w:asciiTheme="majorHAnsi" w:hAnsiTheme="majorHAnsi"/>
          <w:caps/>
          <w:shadow/>
          <w:color w:val="0070C0"/>
          <w:kern w:val="16"/>
          <w:sz w:val="26"/>
          <w:szCs w:val="26"/>
          <w:u w:val="single"/>
        </w:rPr>
      </w:pPr>
      <w:r w:rsidRPr="001F6107">
        <w:rPr>
          <w:rFonts w:asciiTheme="majorHAnsi" w:hAnsiTheme="majorHAnsi"/>
          <w:caps/>
          <w:shadow/>
          <w:color w:val="0070C0"/>
          <w:kern w:val="16"/>
          <w:sz w:val="26"/>
          <w:szCs w:val="26"/>
          <w:u w:val="single"/>
        </w:rPr>
        <w:t>Equilibre Ressources-Emplois en volume (variation en %)</w:t>
      </w:r>
    </w:p>
    <w:tbl>
      <w:tblPr>
        <w:tblW w:w="951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98"/>
        <w:gridCol w:w="1206"/>
        <w:gridCol w:w="1276"/>
        <w:gridCol w:w="1260"/>
        <w:gridCol w:w="1276"/>
      </w:tblGrid>
      <w:tr w:rsidR="00C72ADE" w:rsidRPr="00B57F6E" w:rsidTr="00411EFA">
        <w:trPr>
          <w:trHeight w:val="363"/>
          <w:jc w:val="center"/>
        </w:trPr>
        <w:tc>
          <w:tcPr>
            <w:tcW w:w="4498" w:type="dxa"/>
            <w:tcBorders>
              <w:bottom w:val="single" w:sz="4" w:space="0" w:color="auto"/>
            </w:tcBorders>
          </w:tcPr>
          <w:p w:rsidR="00C72ADE" w:rsidRPr="00B57F6E" w:rsidRDefault="00C72ADE" w:rsidP="001F6107">
            <w:pPr>
              <w:rPr>
                <w:rFonts w:asciiTheme="majorHAnsi" w:hAnsiTheme="majorHAnsi"/>
                <w:color w:val="000000" w:themeColor="text1"/>
                <w:sz w:val="30"/>
                <w:szCs w:val="30"/>
              </w:rPr>
            </w:pPr>
            <w:r w:rsidRPr="00B57F6E">
              <w:rPr>
                <w:rFonts w:asciiTheme="majorHAnsi" w:hAnsiTheme="majorHAnsi"/>
                <w:color w:val="000000" w:themeColor="text1"/>
                <w:sz w:val="30"/>
                <w:szCs w:val="30"/>
              </w:rPr>
              <w:t>Rubriques</w:t>
            </w:r>
          </w:p>
        </w:tc>
        <w:tc>
          <w:tcPr>
            <w:tcW w:w="1206" w:type="dxa"/>
            <w:tcBorders>
              <w:bottom w:val="single" w:sz="4" w:space="0" w:color="auto"/>
            </w:tcBorders>
            <w:vAlign w:val="center"/>
          </w:tcPr>
          <w:p w:rsidR="00C72ADE" w:rsidRPr="00B57F6E" w:rsidRDefault="00C72ADE" w:rsidP="001F6107">
            <w:pPr>
              <w:pStyle w:val="Titre"/>
              <w:tabs>
                <w:tab w:val="left" w:pos="993"/>
              </w:tabs>
              <w:spacing w:before="100" w:beforeAutospacing="1" w:after="100" w:afterAutospacing="1"/>
              <w:contextualSpacing/>
              <w:jc w:val="left"/>
              <w:rPr>
                <w:rFonts w:asciiTheme="majorHAnsi" w:hAnsiTheme="majorHAnsi"/>
                <w:color w:val="000000" w:themeColor="text1"/>
                <w:sz w:val="30"/>
                <w:szCs w:val="30"/>
              </w:rPr>
            </w:pPr>
            <w:r w:rsidRPr="00B57F6E">
              <w:rPr>
                <w:rFonts w:asciiTheme="majorHAnsi" w:hAnsiTheme="majorHAnsi"/>
                <w:color w:val="000000" w:themeColor="text1"/>
                <w:sz w:val="30"/>
                <w:szCs w:val="30"/>
              </w:rPr>
              <w:t>2016</w:t>
            </w:r>
          </w:p>
        </w:tc>
        <w:tc>
          <w:tcPr>
            <w:tcW w:w="1276" w:type="dxa"/>
            <w:tcBorders>
              <w:bottom w:val="single" w:sz="4" w:space="0" w:color="auto"/>
            </w:tcBorders>
            <w:vAlign w:val="center"/>
          </w:tcPr>
          <w:p w:rsidR="00C72ADE" w:rsidRPr="00B57F6E" w:rsidRDefault="00C72ADE" w:rsidP="001F6107">
            <w:pPr>
              <w:pStyle w:val="Titre"/>
              <w:tabs>
                <w:tab w:val="left" w:pos="993"/>
              </w:tabs>
              <w:spacing w:before="100" w:beforeAutospacing="1" w:after="100" w:afterAutospacing="1"/>
              <w:contextualSpacing/>
              <w:jc w:val="left"/>
              <w:rPr>
                <w:rFonts w:asciiTheme="majorHAnsi" w:hAnsiTheme="majorHAnsi"/>
                <w:color w:val="000000" w:themeColor="text1"/>
                <w:sz w:val="30"/>
                <w:szCs w:val="30"/>
              </w:rPr>
            </w:pPr>
            <w:r w:rsidRPr="00B57F6E">
              <w:rPr>
                <w:rFonts w:asciiTheme="majorHAnsi" w:hAnsiTheme="majorHAnsi"/>
                <w:color w:val="000000" w:themeColor="text1"/>
                <w:sz w:val="30"/>
                <w:szCs w:val="30"/>
              </w:rPr>
              <w:t>2017</w:t>
            </w:r>
          </w:p>
        </w:tc>
        <w:tc>
          <w:tcPr>
            <w:tcW w:w="1260" w:type="dxa"/>
            <w:tcBorders>
              <w:bottom w:val="single" w:sz="4" w:space="0" w:color="auto"/>
            </w:tcBorders>
            <w:shd w:val="clear" w:color="auto" w:fill="C6D9F1" w:themeFill="text2" w:themeFillTint="33"/>
            <w:vAlign w:val="center"/>
          </w:tcPr>
          <w:p w:rsidR="00C72ADE" w:rsidRPr="00B57F6E" w:rsidRDefault="00C72ADE" w:rsidP="001F6107">
            <w:pPr>
              <w:pStyle w:val="Titre"/>
              <w:tabs>
                <w:tab w:val="left" w:pos="993"/>
              </w:tabs>
              <w:spacing w:before="100" w:beforeAutospacing="1" w:after="100" w:afterAutospacing="1"/>
              <w:contextualSpacing/>
              <w:jc w:val="left"/>
              <w:rPr>
                <w:rFonts w:asciiTheme="majorHAnsi" w:hAnsiTheme="majorHAnsi"/>
                <w:color w:val="000000" w:themeColor="text1"/>
                <w:sz w:val="30"/>
                <w:szCs w:val="30"/>
              </w:rPr>
            </w:pPr>
            <w:r w:rsidRPr="00B57F6E">
              <w:rPr>
                <w:rFonts w:asciiTheme="majorHAnsi" w:hAnsiTheme="majorHAnsi"/>
                <w:color w:val="000000" w:themeColor="text1"/>
                <w:sz w:val="30"/>
                <w:szCs w:val="30"/>
              </w:rPr>
              <w:t>2018*</w:t>
            </w:r>
          </w:p>
        </w:tc>
        <w:tc>
          <w:tcPr>
            <w:tcW w:w="1276" w:type="dxa"/>
            <w:tcBorders>
              <w:bottom w:val="single" w:sz="4" w:space="0" w:color="auto"/>
            </w:tcBorders>
            <w:shd w:val="clear" w:color="auto" w:fill="C6D9F1" w:themeFill="text2" w:themeFillTint="33"/>
            <w:vAlign w:val="center"/>
          </w:tcPr>
          <w:p w:rsidR="00C72ADE" w:rsidRPr="00B57F6E" w:rsidRDefault="00C72ADE" w:rsidP="001F6107">
            <w:pPr>
              <w:pStyle w:val="Titre"/>
              <w:tabs>
                <w:tab w:val="left" w:pos="993"/>
              </w:tabs>
              <w:spacing w:before="100" w:beforeAutospacing="1" w:after="100" w:afterAutospacing="1"/>
              <w:contextualSpacing/>
              <w:jc w:val="left"/>
              <w:rPr>
                <w:rFonts w:asciiTheme="majorHAnsi" w:hAnsiTheme="majorHAnsi"/>
                <w:color w:val="000000" w:themeColor="text1"/>
                <w:sz w:val="30"/>
                <w:szCs w:val="30"/>
              </w:rPr>
            </w:pPr>
            <w:r w:rsidRPr="00B57F6E">
              <w:rPr>
                <w:rFonts w:asciiTheme="majorHAnsi" w:hAnsiTheme="majorHAnsi"/>
                <w:color w:val="000000" w:themeColor="text1"/>
                <w:sz w:val="30"/>
                <w:szCs w:val="30"/>
              </w:rPr>
              <w:t>2019**</w:t>
            </w:r>
          </w:p>
        </w:tc>
      </w:tr>
      <w:tr w:rsidR="00C72ADE" w:rsidRPr="00B57F6E" w:rsidTr="00411EFA">
        <w:trPr>
          <w:trHeight w:val="407"/>
          <w:jc w:val="center"/>
        </w:trPr>
        <w:tc>
          <w:tcPr>
            <w:tcW w:w="4498" w:type="dxa"/>
            <w:tcBorders>
              <w:bottom w:val="nil"/>
            </w:tcBorders>
            <w:vAlign w:val="center"/>
          </w:tcPr>
          <w:p w:rsidR="00C72ADE" w:rsidRPr="00B57F6E" w:rsidRDefault="00C72ADE" w:rsidP="001F6107">
            <w:pPr>
              <w:ind w:left="209"/>
              <w:jc w:val="center"/>
              <w:rPr>
                <w:rFonts w:asciiTheme="majorHAnsi" w:hAnsiTheme="majorHAnsi"/>
                <w:color w:val="000000" w:themeColor="text1"/>
                <w:sz w:val="28"/>
                <w:szCs w:val="28"/>
              </w:rPr>
            </w:pPr>
            <w:r w:rsidRPr="00B57F6E">
              <w:rPr>
                <w:rFonts w:asciiTheme="majorHAnsi" w:hAnsiTheme="majorHAnsi"/>
                <w:color w:val="000000" w:themeColor="text1"/>
                <w:sz w:val="28"/>
                <w:szCs w:val="28"/>
              </w:rPr>
              <w:t>PIB…………………………….……………</w:t>
            </w:r>
          </w:p>
        </w:tc>
        <w:tc>
          <w:tcPr>
            <w:tcW w:w="1206" w:type="dxa"/>
            <w:tcBorders>
              <w:bottom w:val="nil"/>
            </w:tcBorders>
            <w:vAlign w:val="center"/>
          </w:tcPr>
          <w:p w:rsidR="00C72ADE" w:rsidRPr="00B57F6E" w:rsidRDefault="00C72ADE" w:rsidP="001F6107">
            <w:pPr>
              <w:ind w:left="-216"/>
              <w:jc w:val="center"/>
              <w:rPr>
                <w:rFonts w:asciiTheme="majorHAnsi" w:hAnsiTheme="majorHAnsi"/>
                <w:color w:val="000000" w:themeColor="text1"/>
                <w:sz w:val="28"/>
                <w:szCs w:val="28"/>
              </w:rPr>
            </w:pPr>
            <w:r w:rsidRPr="00B57F6E">
              <w:rPr>
                <w:rFonts w:asciiTheme="majorHAnsi" w:hAnsiTheme="majorHAnsi"/>
                <w:color w:val="000000" w:themeColor="text1"/>
                <w:sz w:val="28"/>
                <w:szCs w:val="28"/>
              </w:rPr>
              <w:t>1,1</w:t>
            </w:r>
          </w:p>
        </w:tc>
        <w:tc>
          <w:tcPr>
            <w:tcW w:w="1276" w:type="dxa"/>
            <w:tcBorders>
              <w:bottom w:val="nil"/>
            </w:tcBorders>
            <w:vAlign w:val="center"/>
          </w:tcPr>
          <w:p w:rsidR="00C72ADE" w:rsidRPr="00B57F6E" w:rsidRDefault="00C72ADE" w:rsidP="001F6107">
            <w:pPr>
              <w:ind w:left="-216"/>
              <w:jc w:val="center"/>
              <w:rPr>
                <w:rFonts w:asciiTheme="majorHAnsi" w:hAnsiTheme="majorHAnsi"/>
                <w:color w:val="000000" w:themeColor="text1"/>
                <w:sz w:val="28"/>
                <w:szCs w:val="28"/>
              </w:rPr>
            </w:pPr>
            <w:r w:rsidRPr="00B57F6E">
              <w:rPr>
                <w:rFonts w:asciiTheme="majorHAnsi" w:hAnsiTheme="majorHAnsi"/>
                <w:color w:val="000000" w:themeColor="text1"/>
                <w:sz w:val="28"/>
                <w:szCs w:val="28"/>
              </w:rPr>
              <w:t>4,1</w:t>
            </w:r>
          </w:p>
        </w:tc>
        <w:tc>
          <w:tcPr>
            <w:tcW w:w="1260" w:type="dxa"/>
            <w:tcBorders>
              <w:bottom w:val="nil"/>
            </w:tcBorders>
            <w:shd w:val="clear" w:color="auto" w:fill="C6D9F1" w:themeFill="text2" w:themeFillTint="33"/>
            <w:vAlign w:val="center"/>
          </w:tcPr>
          <w:p w:rsidR="00C72ADE" w:rsidRPr="00B57F6E" w:rsidRDefault="00C72ADE" w:rsidP="001F6107">
            <w:pPr>
              <w:ind w:left="-216"/>
              <w:jc w:val="center"/>
              <w:rPr>
                <w:rFonts w:asciiTheme="majorHAnsi" w:hAnsiTheme="majorHAnsi"/>
                <w:color w:val="000000" w:themeColor="text1"/>
                <w:sz w:val="28"/>
                <w:szCs w:val="28"/>
              </w:rPr>
            </w:pPr>
            <w:r w:rsidRPr="00B57F6E">
              <w:rPr>
                <w:rFonts w:asciiTheme="majorHAnsi" w:hAnsiTheme="majorHAnsi"/>
                <w:color w:val="000000" w:themeColor="text1"/>
                <w:sz w:val="28"/>
                <w:szCs w:val="28"/>
              </w:rPr>
              <w:t>3,0</w:t>
            </w:r>
          </w:p>
        </w:tc>
        <w:tc>
          <w:tcPr>
            <w:tcW w:w="1276" w:type="dxa"/>
            <w:tcBorders>
              <w:bottom w:val="nil"/>
            </w:tcBorders>
            <w:shd w:val="clear" w:color="auto" w:fill="C6D9F1" w:themeFill="text2" w:themeFillTint="33"/>
            <w:vAlign w:val="center"/>
          </w:tcPr>
          <w:p w:rsidR="00C72ADE" w:rsidRPr="00B57F6E" w:rsidRDefault="00C72ADE" w:rsidP="001F6107">
            <w:pPr>
              <w:ind w:left="-216"/>
              <w:jc w:val="center"/>
              <w:rPr>
                <w:rFonts w:asciiTheme="majorHAnsi" w:hAnsiTheme="majorHAnsi"/>
                <w:color w:val="000000" w:themeColor="text1"/>
                <w:sz w:val="28"/>
                <w:szCs w:val="28"/>
              </w:rPr>
            </w:pPr>
            <w:r w:rsidRPr="00B57F6E">
              <w:rPr>
                <w:rFonts w:asciiTheme="majorHAnsi" w:hAnsiTheme="majorHAnsi"/>
                <w:color w:val="000000" w:themeColor="text1"/>
                <w:sz w:val="28"/>
                <w:szCs w:val="28"/>
              </w:rPr>
              <w:t>2,9</w:t>
            </w:r>
          </w:p>
        </w:tc>
      </w:tr>
      <w:tr w:rsidR="00C72ADE" w:rsidRPr="00B57F6E" w:rsidTr="00411EFA">
        <w:trPr>
          <w:trHeight w:val="423"/>
          <w:jc w:val="center"/>
        </w:trPr>
        <w:tc>
          <w:tcPr>
            <w:tcW w:w="4498" w:type="dxa"/>
            <w:tcBorders>
              <w:top w:val="nil"/>
              <w:bottom w:val="nil"/>
            </w:tcBorders>
            <w:vAlign w:val="center"/>
          </w:tcPr>
          <w:p w:rsidR="00C72ADE" w:rsidRPr="00B57F6E" w:rsidRDefault="00C72ADE" w:rsidP="001F6107">
            <w:pPr>
              <w:ind w:left="209"/>
              <w:jc w:val="center"/>
              <w:rPr>
                <w:rFonts w:asciiTheme="majorHAnsi" w:hAnsiTheme="majorHAnsi"/>
                <w:color w:val="000000" w:themeColor="text1"/>
                <w:sz w:val="28"/>
                <w:szCs w:val="28"/>
              </w:rPr>
            </w:pPr>
            <w:r w:rsidRPr="00B57F6E">
              <w:rPr>
                <w:rFonts w:asciiTheme="majorHAnsi" w:hAnsiTheme="majorHAnsi"/>
                <w:color w:val="000000" w:themeColor="text1"/>
                <w:sz w:val="28"/>
                <w:szCs w:val="28"/>
              </w:rPr>
              <w:t>Consommation finale, dont:….…</w:t>
            </w:r>
          </w:p>
        </w:tc>
        <w:tc>
          <w:tcPr>
            <w:tcW w:w="1206" w:type="dxa"/>
            <w:tcBorders>
              <w:top w:val="nil"/>
              <w:bottom w:val="nil"/>
            </w:tcBorders>
            <w:vAlign w:val="center"/>
          </w:tcPr>
          <w:p w:rsidR="00C72ADE" w:rsidRPr="00B57F6E" w:rsidRDefault="00C72ADE" w:rsidP="001F6107">
            <w:pPr>
              <w:ind w:left="-216"/>
              <w:jc w:val="center"/>
              <w:rPr>
                <w:rFonts w:asciiTheme="majorHAnsi" w:hAnsiTheme="majorHAnsi"/>
                <w:color w:val="000000" w:themeColor="text1"/>
                <w:sz w:val="28"/>
                <w:szCs w:val="28"/>
              </w:rPr>
            </w:pPr>
            <w:r w:rsidRPr="00B57F6E">
              <w:rPr>
                <w:rFonts w:asciiTheme="majorHAnsi" w:hAnsiTheme="majorHAnsi"/>
                <w:color w:val="000000" w:themeColor="text1"/>
                <w:sz w:val="28"/>
                <w:szCs w:val="28"/>
              </w:rPr>
              <w:t>3,1</w:t>
            </w:r>
          </w:p>
        </w:tc>
        <w:tc>
          <w:tcPr>
            <w:tcW w:w="1276" w:type="dxa"/>
            <w:tcBorders>
              <w:top w:val="nil"/>
              <w:bottom w:val="nil"/>
            </w:tcBorders>
            <w:vAlign w:val="center"/>
          </w:tcPr>
          <w:p w:rsidR="00C72ADE" w:rsidRPr="00B57F6E" w:rsidRDefault="00C72ADE" w:rsidP="001F6107">
            <w:pPr>
              <w:ind w:left="-216"/>
              <w:jc w:val="center"/>
              <w:rPr>
                <w:rFonts w:asciiTheme="majorHAnsi" w:hAnsiTheme="majorHAnsi"/>
                <w:color w:val="000000" w:themeColor="text1"/>
                <w:sz w:val="28"/>
                <w:szCs w:val="28"/>
              </w:rPr>
            </w:pPr>
            <w:r w:rsidRPr="00B57F6E">
              <w:rPr>
                <w:rFonts w:asciiTheme="majorHAnsi" w:hAnsiTheme="majorHAnsi"/>
                <w:color w:val="000000" w:themeColor="text1"/>
                <w:sz w:val="28"/>
                <w:szCs w:val="28"/>
              </w:rPr>
              <w:t>3,0</w:t>
            </w:r>
          </w:p>
        </w:tc>
        <w:tc>
          <w:tcPr>
            <w:tcW w:w="1260" w:type="dxa"/>
            <w:tcBorders>
              <w:top w:val="nil"/>
              <w:bottom w:val="nil"/>
            </w:tcBorders>
            <w:shd w:val="clear" w:color="auto" w:fill="C6D9F1" w:themeFill="text2" w:themeFillTint="33"/>
            <w:vAlign w:val="center"/>
          </w:tcPr>
          <w:p w:rsidR="00C72ADE" w:rsidRPr="00B57F6E" w:rsidRDefault="00C72ADE" w:rsidP="001F6107">
            <w:pPr>
              <w:ind w:left="-216"/>
              <w:jc w:val="center"/>
              <w:rPr>
                <w:rFonts w:asciiTheme="majorHAnsi" w:hAnsiTheme="majorHAnsi"/>
                <w:color w:val="000000" w:themeColor="text1"/>
                <w:sz w:val="28"/>
                <w:szCs w:val="28"/>
              </w:rPr>
            </w:pPr>
            <w:r w:rsidRPr="00B57F6E">
              <w:rPr>
                <w:rFonts w:asciiTheme="majorHAnsi" w:hAnsiTheme="majorHAnsi"/>
                <w:color w:val="000000" w:themeColor="text1"/>
                <w:sz w:val="28"/>
                <w:szCs w:val="28"/>
              </w:rPr>
              <w:t>3,</w:t>
            </w:r>
            <w:r>
              <w:rPr>
                <w:rFonts w:asciiTheme="majorHAnsi" w:hAnsiTheme="majorHAnsi"/>
                <w:color w:val="000000" w:themeColor="text1"/>
                <w:sz w:val="28"/>
                <w:szCs w:val="28"/>
              </w:rPr>
              <w:t>1</w:t>
            </w:r>
          </w:p>
        </w:tc>
        <w:tc>
          <w:tcPr>
            <w:tcW w:w="1276" w:type="dxa"/>
            <w:tcBorders>
              <w:top w:val="nil"/>
              <w:bottom w:val="nil"/>
            </w:tcBorders>
            <w:shd w:val="clear" w:color="auto" w:fill="C6D9F1" w:themeFill="text2" w:themeFillTint="33"/>
            <w:vAlign w:val="center"/>
          </w:tcPr>
          <w:p w:rsidR="00C72ADE" w:rsidRPr="00B57F6E" w:rsidRDefault="00C72ADE" w:rsidP="001F6107">
            <w:pPr>
              <w:ind w:left="-216"/>
              <w:jc w:val="center"/>
              <w:rPr>
                <w:rFonts w:asciiTheme="majorHAnsi" w:hAnsiTheme="majorHAnsi"/>
                <w:color w:val="000000" w:themeColor="text1"/>
                <w:sz w:val="28"/>
                <w:szCs w:val="28"/>
              </w:rPr>
            </w:pPr>
            <w:r w:rsidRPr="00B57F6E">
              <w:rPr>
                <w:rFonts w:asciiTheme="majorHAnsi" w:hAnsiTheme="majorHAnsi"/>
                <w:color w:val="000000" w:themeColor="text1"/>
                <w:sz w:val="28"/>
                <w:szCs w:val="28"/>
              </w:rPr>
              <w:t>3,</w:t>
            </w:r>
            <w:r>
              <w:rPr>
                <w:rFonts w:asciiTheme="majorHAnsi" w:hAnsiTheme="majorHAnsi"/>
                <w:color w:val="000000" w:themeColor="text1"/>
                <w:sz w:val="28"/>
                <w:szCs w:val="28"/>
              </w:rPr>
              <w:t>3</w:t>
            </w:r>
          </w:p>
        </w:tc>
      </w:tr>
      <w:tr w:rsidR="00C72ADE" w:rsidRPr="00B57F6E" w:rsidTr="00411EFA">
        <w:trPr>
          <w:trHeight w:val="571"/>
          <w:jc w:val="center"/>
        </w:trPr>
        <w:tc>
          <w:tcPr>
            <w:tcW w:w="4498" w:type="dxa"/>
            <w:tcBorders>
              <w:top w:val="nil"/>
              <w:bottom w:val="nil"/>
            </w:tcBorders>
            <w:vAlign w:val="center"/>
          </w:tcPr>
          <w:p w:rsidR="00C72ADE" w:rsidRPr="00B57F6E" w:rsidRDefault="00C72ADE" w:rsidP="00C72ADE">
            <w:pPr>
              <w:pStyle w:val="Paragraphedeliste"/>
              <w:numPr>
                <w:ilvl w:val="0"/>
                <w:numId w:val="6"/>
              </w:numPr>
              <w:ind w:left="493" w:firstLine="0"/>
              <w:rPr>
                <w:rFonts w:asciiTheme="majorHAnsi" w:hAnsiTheme="majorHAnsi"/>
                <w:color w:val="000000" w:themeColor="text1"/>
                <w:sz w:val="28"/>
                <w:szCs w:val="28"/>
              </w:rPr>
            </w:pPr>
            <w:r w:rsidRPr="00B57F6E">
              <w:rPr>
                <w:rFonts w:asciiTheme="majorHAnsi" w:hAnsiTheme="majorHAnsi"/>
                <w:color w:val="000000" w:themeColor="text1"/>
                <w:sz w:val="28"/>
                <w:szCs w:val="28"/>
              </w:rPr>
              <w:t>Ménages résidents……………...</w:t>
            </w:r>
          </w:p>
        </w:tc>
        <w:tc>
          <w:tcPr>
            <w:tcW w:w="1206" w:type="dxa"/>
            <w:tcBorders>
              <w:top w:val="nil"/>
              <w:bottom w:val="nil"/>
            </w:tcBorders>
            <w:vAlign w:val="center"/>
          </w:tcPr>
          <w:p w:rsidR="00C72ADE" w:rsidRPr="00B57F6E" w:rsidRDefault="00C72ADE" w:rsidP="001F6107">
            <w:pPr>
              <w:ind w:left="-216"/>
              <w:jc w:val="center"/>
              <w:rPr>
                <w:rFonts w:asciiTheme="majorHAnsi" w:hAnsiTheme="majorHAnsi"/>
                <w:b w:val="0"/>
                <w:bCs w:val="0"/>
                <w:color w:val="000000" w:themeColor="text1"/>
                <w:sz w:val="28"/>
                <w:szCs w:val="28"/>
              </w:rPr>
            </w:pPr>
            <w:r w:rsidRPr="00B57F6E">
              <w:rPr>
                <w:rFonts w:asciiTheme="majorHAnsi" w:hAnsiTheme="majorHAnsi"/>
                <w:b w:val="0"/>
                <w:bCs w:val="0"/>
                <w:color w:val="000000" w:themeColor="text1"/>
                <w:sz w:val="28"/>
                <w:szCs w:val="28"/>
              </w:rPr>
              <w:t>3,7</w:t>
            </w:r>
          </w:p>
        </w:tc>
        <w:tc>
          <w:tcPr>
            <w:tcW w:w="1276" w:type="dxa"/>
            <w:tcBorders>
              <w:top w:val="nil"/>
              <w:bottom w:val="nil"/>
            </w:tcBorders>
            <w:vAlign w:val="center"/>
          </w:tcPr>
          <w:p w:rsidR="00C72ADE" w:rsidRPr="00B57F6E" w:rsidRDefault="00C72ADE" w:rsidP="001F6107">
            <w:pPr>
              <w:ind w:left="-216"/>
              <w:jc w:val="center"/>
              <w:rPr>
                <w:rFonts w:asciiTheme="majorHAnsi" w:hAnsiTheme="majorHAnsi"/>
                <w:b w:val="0"/>
                <w:bCs w:val="0"/>
                <w:color w:val="000000" w:themeColor="text1"/>
                <w:sz w:val="28"/>
                <w:szCs w:val="28"/>
              </w:rPr>
            </w:pPr>
            <w:r w:rsidRPr="00B57F6E">
              <w:rPr>
                <w:rFonts w:asciiTheme="majorHAnsi" w:hAnsiTheme="majorHAnsi"/>
                <w:b w:val="0"/>
                <w:bCs w:val="0"/>
                <w:color w:val="000000" w:themeColor="text1"/>
                <w:sz w:val="28"/>
                <w:szCs w:val="28"/>
              </w:rPr>
              <w:t>3,5</w:t>
            </w:r>
          </w:p>
        </w:tc>
        <w:tc>
          <w:tcPr>
            <w:tcW w:w="1260" w:type="dxa"/>
            <w:tcBorders>
              <w:top w:val="nil"/>
              <w:bottom w:val="nil"/>
            </w:tcBorders>
            <w:shd w:val="clear" w:color="auto" w:fill="C6D9F1" w:themeFill="text2" w:themeFillTint="33"/>
            <w:vAlign w:val="center"/>
          </w:tcPr>
          <w:p w:rsidR="00C72ADE" w:rsidRPr="00B57F6E" w:rsidRDefault="00C72ADE" w:rsidP="001F6107">
            <w:pPr>
              <w:ind w:left="-216"/>
              <w:jc w:val="center"/>
              <w:rPr>
                <w:rFonts w:asciiTheme="majorHAnsi" w:hAnsiTheme="majorHAnsi"/>
                <w:b w:val="0"/>
                <w:bCs w:val="0"/>
                <w:color w:val="000000" w:themeColor="text1"/>
                <w:sz w:val="28"/>
                <w:szCs w:val="28"/>
              </w:rPr>
            </w:pPr>
            <w:r w:rsidRPr="00B57F6E">
              <w:rPr>
                <w:rFonts w:asciiTheme="majorHAnsi" w:hAnsiTheme="majorHAnsi"/>
                <w:b w:val="0"/>
                <w:bCs w:val="0"/>
                <w:color w:val="000000" w:themeColor="text1"/>
                <w:sz w:val="28"/>
                <w:szCs w:val="28"/>
              </w:rPr>
              <w:t>3,</w:t>
            </w:r>
            <w:r>
              <w:rPr>
                <w:rFonts w:asciiTheme="majorHAnsi" w:hAnsiTheme="majorHAnsi"/>
                <w:b w:val="0"/>
                <w:bCs w:val="0"/>
                <w:color w:val="000000" w:themeColor="text1"/>
                <w:sz w:val="28"/>
                <w:szCs w:val="28"/>
              </w:rPr>
              <w:t>4</w:t>
            </w:r>
          </w:p>
        </w:tc>
        <w:tc>
          <w:tcPr>
            <w:tcW w:w="1276" w:type="dxa"/>
            <w:tcBorders>
              <w:top w:val="nil"/>
              <w:bottom w:val="nil"/>
            </w:tcBorders>
            <w:shd w:val="clear" w:color="auto" w:fill="C6D9F1" w:themeFill="text2" w:themeFillTint="33"/>
            <w:vAlign w:val="center"/>
          </w:tcPr>
          <w:p w:rsidR="00C72ADE" w:rsidRPr="00B57F6E" w:rsidRDefault="00C72ADE" w:rsidP="001F6107">
            <w:pPr>
              <w:ind w:left="-216"/>
              <w:jc w:val="center"/>
              <w:rPr>
                <w:rFonts w:asciiTheme="majorHAnsi" w:hAnsiTheme="majorHAnsi"/>
                <w:b w:val="0"/>
                <w:bCs w:val="0"/>
                <w:color w:val="000000" w:themeColor="text1"/>
                <w:sz w:val="28"/>
                <w:szCs w:val="28"/>
              </w:rPr>
            </w:pPr>
            <w:r w:rsidRPr="00B57F6E">
              <w:rPr>
                <w:rFonts w:asciiTheme="majorHAnsi" w:hAnsiTheme="majorHAnsi"/>
                <w:b w:val="0"/>
                <w:bCs w:val="0"/>
                <w:color w:val="000000" w:themeColor="text1"/>
                <w:sz w:val="28"/>
                <w:szCs w:val="28"/>
              </w:rPr>
              <w:t>3,5</w:t>
            </w:r>
          </w:p>
        </w:tc>
      </w:tr>
      <w:tr w:rsidR="00C72ADE" w:rsidRPr="00B57F6E" w:rsidTr="00411EFA">
        <w:trPr>
          <w:trHeight w:val="638"/>
          <w:jc w:val="center"/>
        </w:trPr>
        <w:tc>
          <w:tcPr>
            <w:tcW w:w="4498" w:type="dxa"/>
            <w:tcBorders>
              <w:top w:val="nil"/>
              <w:bottom w:val="nil"/>
            </w:tcBorders>
            <w:vAlign w:val="center"/>
          </w:tcPr>
          <w:p w:rsidR="00C72ADE" w:rsidRPr="00B57F6E" w:rsidRDefault="00C72ADE" w:rsidP="00C72ADE">
            <w:pPr>
              <w:pStyle w:val="Paragraphedeliste"/>
              <w:numPr>
                <w:ilvl w:val="0"/>
                <w:numId w:val="5"/>
              </w:numPr>
              <w:ind w:left="493" w:firstLine="0"/>
              <w:rPr>
                <w:rFonts w:asciiTheme="majorHAnsi" w:hAnsiTheme="majorHAnsi"/>
                <w:color w:val="000000" w:themeColor="text1"/>
                <w:sz w:val="28"/>
                <w:szCs w:val="28"/>
              </w:rPr>
            </w:pPr>
            <w:r w:rsidRPr="00B57F6E">
              <w:rPr>
                <w:rFonts w:asciiTheme="majorHAnsi" w:hAnsiTheme="majorHAnsi"/>
                <w:color w:val="000000" w:themeColor="text1"/>
                <w:sz w:val="28"/>
                <w:szCs w:val="28"/>
              </w:rPr>
              <w:t>Administrations publiques...</w:t>
            </w:r>
          </w:p>
        </w:tc>
        <w:tc>
          <w:tcPr>
            <w:tcW w:w="1206" w:type="dxa"/>
            <w:tcBorders>
              <w:top w:val="nil"/>
              <w:bottom w:val="nil"/>
            </w:tcBorders>
            <w:vAlign w:val="center"/>
          </w:tcPr>
          <w:p w:rsidR="00C72ADE" w:rsidRPr="00B57F6E" w:rsidRDefault="00C72ADE" w:rsidP="001F6107">
            <w:pPr>
              <w:ind w:left="-216"/>
              <w:jc w:val="center"/>
              <w:rPr>
                <w:rFonts w:asciiTheme="majorHAnsi" w:hAnsiTheme="majorHAnsi"/>
                <w:b w:val="0"/>
                <w:bCs w:val="0"/>
                <w:color w:val="000000" w:themeColor="text1"/>
                <w:sz w:val="28"/>
                <w:szCs w:val="28"/>
              </w:rPr>
            </w:pPr>
          </w:p>
          <w:p w:rsidR="00C72ADE" w:rsidRPr="00B57F6E" w:rsidRDefault="00C72ADE" w:rsidP="001F6107">
            <w:pPr>
              <w:ind w:left="-216"/>
              <w:jc w:val="center"/>
              <w:rPr>
                <w:rFonts w:asciiTheme="majorHAnsi" w:hAnsiTheme="majorHAnsi"/>
                <w:b w:val="0"/>
                <w:bCs w:val="0"/>
                <w:color w:val="000000" w:themeColor="text1"/>
                <w:sz w:val="28"/>
                <w:szCs w:val="28"/>
              </w:rPr>
            </w:pPr>
            <w:r w:rsidRPr="00B57F6E">
              <w:rPr>
                <w:rFonts w:asciiTheme="majorHAnsi" w:hAnsiTheme="majorHAnsi"/>
                <w:b w:val="0"/>
                <w:bCs w:val="0"/>
                <w:color w:val="000000" w:themeColor="text1"/>
                <w:sz w:val="28"/>
                <w:szCs w:val="28"/>
              </w:rPr>
              <w:t>1,5</w:t>
            </w:r>
          </w:p>
          <w:p w:rsidR="00C72ADE" w:rsidRPr="00B57F6E" w:rsidRDefault="00C72ADE" w:rsidP="001F6107">
            <w:pPr>
              <w:ind w:left="-216"/>
              <w:jc w:val="center"/>
              <w:rPr>
                <w:rFonts w:asciiTheme="majorHAnsi" w:hAnsiTheme="majorHAnsi"/>
                <w:b w:val="0"/>
                <w:bCs w:val="0"/>
                <w:color w:val="000000" w:themeColor="text1"/>
                <w:sz w:val="28"/>
                <w:szCs w:val="28"/>
              </w:rPr>
            </w:pPr>
          </w:p>
        </w:tc>
        <w:tc>
          <w:tcPr>
            <w:tcW w:w="1276" w:type="dxa"/>
            <w:tcBorders>
              <w:top w:val="nil"/>
              <w:bottom w:val="nil"/>
            </w:tcBorders>
            <w:vAlign w:val="center"/>
          </w:tcPr>
          <w:p w:rsidR="00C72ADE" w:rsidRPr="00B57F6E" w:rsidRDefault="00C72ADE" w:rsidP="001F6107">
            <w:pPr>
              <w:ind w:left="-216"/>
              <w:jc w:val="center"/>
              <w:rPr>
                <w:rFonts w:asciiTheme="majorHAnsi" w:hAnsiTheme="majorHAnsi"/>
                <w:b w:val="0"/>
                <w:bCs w:val="0"/>
                <w:color w:val="000000" w:themeColor="text1"/>
                <w:sz w:val="28"/>
                <w:szCs w:val="28"/>
              </w:rPr>
            </w:pPr>
          </w:p>
          <w:p w:rsidR="00C72ADE" w:rsidRPr="00B57F6E" w:rsidRDefault="00C72ADE" w:rsidP="001F6107">
            <w:pPr>
              <w:ind w:left="-216"/>
              <w:jc w:val="center"/>
              <w:rPr>
                <w:rFonts w:asciiTheme="majorHAnsi" w:hAnsiTheme="majorHAnsi"/>
                <w:b w:val="0"/>
                <w:bCs w:val="0"/>
                <w:color w:val="000000" w:themeColor="text1"/>
                <w:sz w:val="28"/>
                <w:szCs w:val="28"/>
              </w:rPr>
            </w:pPr>
            <w:r w:rsidRPr="00B57F6E">
              <w:rPr>
                <w:rFonts w:asciiTheme="majorHAnsi" w:hAnsiTheme="majorHAnsi"/>
                <w:b w:val="0"/>
                <w:bCs w:val="0"/>
                <w:color w:val="000000" w:themeColor="text1"/>
                <w:sz w:val="28"/>
                <w:szCs w:val="28"/>
              </w:rPr>
              <w:t>1,5</w:t>
            </w:r>
          </w:p>
          <w:p w:rsidR="00C72ADE" w:rsidRPr="00B57F6E" w:rsidRDefault="00C72ADE" w:rsidP="001F6107">
            <w:pPr>
              <w:ind w:left="-216"/>
              <w:jc w:val="center"/>
              <w:rPr>
                <w:rFonts w:asciiTheme="majorHAnsi" w:hAnsiTheme="majorHAnsi"/>
                <w:b w:val="0"/>
                <w:bCs w:val="0"/>
                <w:color w:val="000000" w:themeColor="text1"/>
                <w:sz w:val="28"/>
                <w:szCs w:val="28"/>
              </w:rPr>
            </w:pPr>
          </w:p>
        </w:tc>
        <w:tc>
          <w:tcPr>
            <w:tcW w:w="1260" w:type="dxa"/>
            <w:tcBorders>
              <w:top w:val="nil"/>
              <w:bottom w:val="nil"/>
            </w:tcBorders>
            <w:shd w:val="clear" w:color="auto" w:fill="C6D9F1" w:themeFill="text2" w:themeFillTint="33"/>
            <w:vAlign w:val="center"/>
          </w:tcPr>
          <w:p w:rsidR="00C72ADE" w:rsidRPr="00B57F6E" w:rsidRDefault="00C72ADE" w:rsidP="00BF3A87">
            <w:pPr>
              <w:ind w:left="-216"/>
              <w:jc w:val="center"/>
              <w:rPr>
                <w:rFonts w:asciiTheme="majorHAnsi" w:hAnsiTheme="majorHAnsi"/>
                <w:b w:val="0"/>
                <w:bCs w:val="0"/>
                <w:color w:val="000000" w:themeColor="text1"/>
                <w:sz w:val="28"/>
                <w:szCs w:val="28"/>
              </w:rPr>
            </w:pPr>
            <w:r>
              <w:rPr>
                <w:rFonts w:asciiTheme="majorHAnsi" w:hAnsiTheme="majorHAnsi"/>
                <w:b w:val="0"/>
                <w:bCs w:val="0"/>
                <w:color w:val="000000" w:themeColor="text1"/>
                <w:sz w:val="28"/>
                <w:szCs w:val="28"/>
              </w:rPr>
              <w:t>2,</w:t>
            </w:r>
            <w:r w:rsidR="00BF3A87">
              <w:rPr>
                <w:rFonts w:asciiTheme="majorHAnsi" w:hAnsiTheme="majorHAnsi"/>
                <w:b w:val="0"/>
                <w:bCs w:val="0"/>
                <w:color w:val="000000" w:themeColor="text1"/>
                <w:sz w:val="28"/>
                <w:szCs w:val="28"/>
              </w:rPr>
              <w:t>2</w:t>
            </w:r>
          </w:p>
        </w:tc>
        <w:tc>
          <w:tcPr>
            <w:tcW w:w="1276" w:type="dxa"/>
            <w:tcBorders>
              <w:top w:val="nil"/>
              <w:bottom w:val="nil"/>
            </w:tcBorders>
            <w:shd w:val="clear" w:color="auto" w:fill="C6D9F1" w:themeFill="text2" w:themeFillTint="33"/>
            <w:vAlign w:val="center"/>
          </w:tcPr>
          <w:p w:rsidR="00C72ADE" w:rsidRPr="00B57F6E" w:rsidRDefault="00C72ADE" w:rsidP="001F6107">
            <w:pPr>
              <w:ind w:left="-216"/>
              <w:jc w:val="center"/>
              <w:rPr>
                <w:rFonts w:asciiTheme="majorHAnsi" w:hAnsiTheme="majorHAnsi"/>
                <w:b w:val="0"/>
                <w:bCs w:val="0"/>
                <w:color w:val="000000" w:themeColor="text1"/>
                <w:sz w:val="28"/>
                <w:szCs w:val="28"/>
              </w:rPr>
            </w:pPr>
            <w:r>
              <w:rPr>
                <w:rFonts w:asciiTheme="majorHAnsi" w:hAnsiTheme="majorHAnsi"/>
                <w:b w:val="0"/>
                <w:bCs w:val="0"/>
                <w:color w:val="000000" w:themeColor="text1"/>
                <w:sz w:val="28"/>
                <w:szCs w:val="28"/>
              </w:rPr>
              <w:t>2,9</w:t>
            </w:r>
          </w:p>
        </w:tc>
      </w:tr>
      <w:tr w:rsidR="00C72ADE" w:rsidRPr="00B57F6E" w:rsidTr="00411EFA">
        <w:trPr>
          <w:trHeight w:val="213"/>
          <w:jc w:val="center"/>
        </w:trPr>
        <w:tc>
          <w:tcPr>
            <w:tcW w:w="4498" w:type="dxa"/>
            <w:tcBorders>
              <w:top w:val="nil"/>
              <w:bottom w:val="nil"/>
            </w:tcBorders>
            <w:vAlign w:val="center"/>
          </w:tcPr>
          <w:p w:rsidR="00C72ADE" w:rsidRPr="00B57F6E" w:rsidRDefault="00C72ADE" w:rsidP="001F6107">
            <w:pPr>
              <w:ind w:left="209"/>
              <w:jc w:val="center"/>
              <w:rPr>
                <w:rFonts w:asciiTheme="majorHAnsi" w:hAnsiTheme="majorHAnsi"/>
                <w:color w:val="000000" w:themeColor="text1"/>
                <w:sz w:val="28"/>
                <w:szCs w:val="28"/>
              </w:rPr>
            </w:pPr>
            <w:r w:rsidRPr="00B57F6E">
              <w:rPr>
                <w:rFonts w:asciiTheme="majorHAnsi" w:hAnsiTheme="majorHAnsi"/>
                <w:color w:val="000000" w:themeColor="text1"/>
                <w:sz w:val="28"/>
                <w:szCs w:val="28"/>
              </w:rPr>
              <w:t>FBCF………………………………………</w:t>
            </w:r>
          </w:p>
        </w:tc>
        <w:tc>
          <w:tcPr>
            <w:tcW w:w="1206" w:type="dxa"/>
            <w:tcBorders>
              <w:top w:val="nil"/>
              <w:bottom w:val="nil"/>
            </w:tcBorders>
            <w:vAlign w:val="center"/>
          </w:tcPr>
          <w:p w:rsidR="00C72ADE" w:rsidRPr="00B57F6E" w:rsidRDefault="00C72ADE" w:rsidP="001F6107">
            <w:pPr>
              <w:ind w:left="-216"/>
              <w:jc w:val="center"/>
              <w:rPr>
                <w:rFonts w:asciiTheme="majorHAnsi" w:hAnsiTheme="majorHAnsi"/>
                <w:color w:val="000000" w:themeColor="text1"/>
                <w:sz w:val="28"/>
                <w:szCs w:val="28"/>
              </w:rPr>
            </w:pPr>
            <w:r w:rsidRPr="00B57F6E">
              <w:rPr>
                <w:rFonts w:asciiTheme="majorHAnsi" w:hAnsiTheme="majorHAnsi"/>
                <w:color w:val="000000" w:themeColor="text1"/>
                <w:sz w:val="28"/>
                <w:szCs w:val="28"/>
              </w:rPr>
              <w:t>8,7</w:t>
            </w:r>
          </w:p>
        </w:tc>
        <w:tc>
          <w:tcPr>
            <w:tcW w:w="1276" w:type="dxa"/>
            <w:tcBorders>
              <w:top w:val="nil"/>
              <w:bottom w:val="nil"/>
            </w:tcBorders>
            <w:vAlign w:val="center"/>
          </w:tcPr>
          <w:p w:rsidR="00C72ADE" w:rsidRPr="00B57F6E" w:rsidRDefault="00C72ADE" w:rsidP="001F6107">
            <w:pPr>
              <w:ind w:left="-216"/>
              <w:jc w:val="center"/>
              <w:rPr>
                <w:rFonts w:asciiTheme="majorHAnsi" w:hAnsiTheme="majorHAnsi"/>
                <w:color w:val="000000" w:themeColor="text1"/>
                <w:sz w:val="28"/>
                <w:szCs w:val="28"/>
              </w:rPr>
            </w:pPr>
            <w:r w:rsidRPr="00B57F6E">
              <w:rPr>
                <w:rFonts w:asciiTheme="majorHAnsi" w:hAnsiTheme="majorHAnsi"/>
                <w:color w:val="000000" w:themeColor="text1"/>
                <w:sz w:val="28"/>
                <w:szCs w:val="28"/>
              </w:rPr>
              <w:t>-0,8</w:t>
            </w:r>
          </w:p>
        </w:tc>
        <w:tc>
          <w:tcPr>
            <w:tcW w:w="1260" w:type="dxa"/>
            <w:tcBorders>
              <w:top w:val="nil"/>
              <w:bottom w:val="nil"/>
            </w:tcBorders>
            <w:shd w:val="clear" w:color="auto" w:fill="C6D9F1" w:themeFill="text2" w:themeFillTint="33"/>
            <w:vAlign w:val="center"/>
          </w:tcPr>
          <w:p w:rsidR="00C72ADE" w:rsidRPr="00B57F6E" w:rsidRDefault="000327B3" w:rsidP="000327B3">
            <w:pPr>
              <w:ind w:left="-216"/>
              <w:jc w:val="center"/>
              <w:rPr>
                <w:rFonts w:asciiTheme="majorHAnsi" w:hAnsiTheme="majorHAnsi"/>
                <w:color w:val="000000" w:themeColor="text1"/>
                <w:sz w:val="28"/>
                <w:szCs w:val="28"/>
              </w:rPr>
            </w:pPr>
            <w:r>
              <w:rPr>
                <w:rFonts w:asciiTheme="majorHAnsi" w:hAnsiTheme="majorHAnsi"/>
                <w:color w:val="000000" w:themeColor="text1"/>
                <w:sz w:val="28"/>
                <w:szCs w:val="28"/>
              </w:rPr>
              <w:t>2</w:t>
            </w:r>
            <w:r w:rsidR="00C72ADE">
              <w:rPr>
                <w:rFonts w:asciiTheme="majorHAnsi" w:hAnsiTheme="majorHAnsi"/>
                <w:color w:val="000000" w:themeColor="text1"/>
                <w:sz w:val="28"/>
                <w:szCs w:val="28"/>
              </w:rPr>
              <w:t>,</w:t>
            </w:r>
            <w:r>
              <w:rPr>
                <w:rFonts w:asciiTheme="majorHAnsi" w:hAnsiTheme="majorHAnsi"/>
                <w:color w:val="000000" w:themeColor="text1"/>
                <w:sz w:val="28"/>
                <w:szCs w:val="28"/>
              </w:rPr>
              <w:t>9</w:t>
            </w:r>
          </w:p>
        </w:tc>
        <w:tc>
          <w:tcPr>
            <w:tcW w:w="1276" w:type="dxa"/>
            <w:tcBorders>
              <w:top w:val="nil"/>
              <w:bottom w:val="nil"/>
            </w:tcBorders>
            <w:shd w:val="clear" w:color="auto" w:fill="C6D9F1" w:themeFill="text2" w:themeFillTint="33"/>
            <w:vAlign w:val="center"/>
          </w:tcPr>
          <w:p w:rsidR="00C72ADE" w:rsidRPr="00B57F6E" w:rsidRDefault="000327B3" w:rsidP="000327B3">
            <w:pPr>
              <w:ind w:left="-216"/>
              <w:jc w:val="center"/>
              <w:rPr>
                <w:rFonts w:asciiTheme="majorHAnsi" w:hAnsiTheme="majorHAnsi"/>
                <w:color w:val="000000" w:themeColor="text1"/>
                <w:sz w:val="28"/>
                <w:szCs w:val="28"/>
              </w:rPr>
            </w:pPr>
            <w:r>
              <w:rPr>
                <w:rFonts w:asciiTheme="majorHAnsi" w:hAnsiTheme="majorHAnsi"/>
                <w:color w:val="000000" w:themeColor="text1"/>
                <w:sz w:val="28"/>
                <w:szCs w:val="28"/>
              </w:rPr>
              <w:t>3</w:t>
            </w:r>
            <w:r w:rsidR="00C72ADE" w:rsidRPr="00B57F6E">
              <w:rPr>
                <w:rFonts w:asciiTheme="majorHAnsi" w:hAnsiTheme="majorHAnsi"/>
                <w:color w:val="000000" w:themeColor="text1"/>
                <w:sz w:val="28"/>
                <w:szCs w:val="28"/>
              </w:rPr>
              <w:t>,</w:t>
            </w:r>
            <w:r>
              <w:rPr>
                <w:rFonts w:asciiTheme="majorHAnsi" w:hAnsiTheme="majorHAnsi"/>
                <w:color w:val="000000" w:themeColor="text1"/>
                <w:sz w:val="28"/>
                <w:szCs w:val="28"/>
              </w:rPr>
              <w:t>2</w:t>
            </w:r>
          </w:p>
        </w:tc>
      </w:tr>
      <w:tr w:rsidR="00C72ADE" w:rsidRPr="00B57F6E" w:rsidTr="00411EFA">
        <w:trPr>
          <w:trHeight w:val="459"/>
          <w:jc w:val="center"/>
        </w:trPr>
        <w:tc>
          <w:tcPr>
            <w:tcW w:w="4498" w:type="dxa"/>
            <w:tcBorders>
              <w:top w:val="nil"/>
              <w:bottom w:val="nil"/>
            </w:tcBorders>
            <w:vAlign w:val="center"/>
          </w:tcPr>
          <w:p w:rsidR="00C72ADE" w:rsidRPr="00B57F6E" w:rsidRDefault="00C72ADE" w:rsidP="00AB049E">
            <w:pPr>
              <w:ind w:left="209"/>
              <w:jc w:val="center"/>
              <w:rPr>
                <w:rFonts w:asciiTheme="majorHAnsi" w:hAnsiTheme="majorHAnsi"/>
                <w:color w:val="000000" w:themeColor="text1"/>
                <w:sz w:val="28"/>
                <w:szCs w:val="28"/>
              </w:rPr>
            </w:pPr>
            <w:r w:rsidRPr="00B57F6E">
              <w:rPr>
                <w:rFonts w:asciiTheme="majorHAnsi" w:hAnsiTheme="majorHAnsi"/>
                <w:color w:val="000000" w:themeColor="text1"/>
                <w:sz w:val="28"/>
                <w:szCs w:val="28"/>
              </w:rPr>
              <w:t>Exportations de B</w:t>
            </w:r>
            <w:r w:rsidR="00AB049E">
              <w:rPr>
                <w:rFonts w:asciiTheme="majorHAnsi" w:hAnsiTheme="majorHAnsi"/>
                <w:color w:val="000000" w:themeColor="text1"/>
                <w:sz w:val="28"/>
                <w:szCs w:val="28"/>
              </w:rPr>
              <w:t>&amp;</w:t>
            </w:r>
            <w:r w:rsidRPr="00B57F6E">
              <w:rPr>
                <w:rFonts w:asciiTheme="majorHAnsi" w:hAnsiTheme="majorHAnsi"/>
                <w:color w:val="000000" w:themeColor="text1"/>
                <w:sz w:val="28"/>
                <w:szCs w:val="28"/>
              </w:rPr>
              <w:t>S……………….</w:t>
            </w:r>
          </w:p>
        </w:tc>
        <w:tc>
          <w:tcPr>
            <w:tcW w:w="1206" w:type="dxa"/>
            <w:tcBorders>
              <w:top w:val="nil"/>
              <w:bottom w:val="nil"/>
            </w:tcBorders>
            <w:vAlign w:val="center"/>
          </w:tcPr>
          <w:p w:rsidR="00C72ADE" w:rsidRPr="00B57F6E" w:rsidRDefault="00C72ADE" w:rsidP="001F6107">
            <w:pPr>
              <w:ind w:left="-216"/>
              <w:jc w:val="center"/>
              <w:rPr>
                <w:rFonts w:asciiTheme="majorHAnsi" w:hAnsiTheme="majorHAnsi"/>
                <w:color w:val="000000" w:themeColor="text1"/>
                <w:sz w:val="28"/>
                <w:szCs w:val="28"/>
              </w:rPr>
            </w:pPr>
            <w:r w:rsidRPr="00B57F6E">
              <w:rPr>
                <w:rFonts w:asciiTheme="majorHAnsi" w:hAnsiTheme="majorHAnsi"/>
                <w:color w:val="000000" w:themeColor="text1"/>
                <w:sz w:val="28"/>
                <w:szCs w:val="28"/>
              </w:rPr>
              <w:t>5,5</w:t>
            </w:r>
          </w:p>
        </w:tc>
        <w:tc>
          <w:tcPr>
            <w:tcW w:w="1276" w:type="dxa"/>
            <w:tcBorders>
              <w:top w:val="nil"/>
              <w:bottom w:val="nil"/>
            </w:tcBorders>
            <w:vAlign w:val="center"/>
          </w:tcPr>
          <w:p w:rsidR="00C72ADE" w:rsidRPr="00B57F6E" w:rsidRDefault="00C72ADE" w:rsidP="001F6107">
            <w:pPr>
              <w:ind w:left="-216"/>
              <w:jc w:val="center"/>
              <w:rPr>
                <w:rFonts w:asciiTheme="majorHAnsi" w:hAnsiTheme="majorHAnsi"/>
                <w:color w:val="000000" w:themeColor="text1"/>
                <w:sz w:val="28"/>
                <w:szCs w:val="28"/>
              </w:rPr>
            </w:pPr>
            <w:r w:rsidRPr="00B57F6E">
              <w:rPr>
                <w:rFonts w:asciiTheme="majorHAnsi" w:hAnsiTheme="majorHAnsi"/>
                <w:color w:val="000000" w:themeColor="text1"/>
                <w:sz w:val="28"/>
                <w:szCs w:val="28"/>
              </w:rPr>
              <w:t>10,9</w:t>
            </w:r>
          </w:p>
        </w:tc>
        <w:tc>
          <w:tcPr>
            <w:tcW w:w="1260" w:type="dxa"/>
            <w:tcBorders>
              <w:top w:val="nil"/>
              <w:bottom w:val="nil"/>
            </w:tcBorders>
            <w:shd w:val="clear" w:color="auto" w:fill="C6D9F1" w:themeFill="text2" w:themeFillTint="33"/>
            <w:vAlign w:val="center"/>
          </w:tcPr>
          <w:p w:rsidR="00C72ADE" w:rsidRPr="00B57F6E" w:rsidRDefault="00647350" w:rsidP="001F6107">
            <w:pPr>
              <w:ind w:left="-216"/>
              <w:jc w:val="center"/>
              <w:rPr>
                <w:rFonts w:asciiTheme="majorHAnsi" w:hAnsiTheme="majorHAnsi"/>
                <w:color w:val="000000" w:themeColor="text1"/>
                <w:sz w:val="28"/>
                <w:szCs w:val="28"/>
              </w:rPr>
            </w:pPr>
            <w:r>
              <w:rPr>
                <w:rFonts w:asciiTheme="majorHAnsi" w:hAnsiTheme="majorHAnsi"/>
                <w:color w:val="000000" w:themeColor="text1"/>
                <w:sz w:val="28"/>
                <w:szCs w:val="28"/>
              </w:rPr>
              <w:t>4</w:t>
            </w:r>
            <w:r w:rsidR="00C72ADE">
              <w:rPr>
                <w:rFonts w:asciiTheme="majorHAnsi" w:hAnsiTheme="majorHAnsi"/>
                <w:color w:val="000000" w:themeColor="text1"/>
                <w:sz w:val="28"/>
                <w:szCs w:val="28"/>
              </w:rPr>
              <w:t>,9</w:t>
            </w:r>
          </w:p>
        </w:tc>
        <w:tc>
          <w:tcPr>
            <w:tcW w:w="1276" w:type="dxa"/>
            <w:tcBorders>
              <w:top w:val="nil"/>
              <w:bottom w:val="nil"/>
            </w:tcBorders>
            <w:shd w:val="clear" w:color="auto" w:fill="C6D9F1" w:themeFill="text2" w:themeFillTint="33"/>
            <w:vAlign w:val="center"/>
          </w:tcPr>
          <w:p w:rsidR="00C72ADE" w:rsidRPr="00B57F6E" w:rsidRDefault="000327B3" w:rsidP="000327B3">
            <w:pPr>
              <w:ind w:left="-216"/>
              <w:jc w:val="center"/>
              <w:rPr>
                <w:rFonts w:asciiTheme="majorHAnsi" w:hAnsiTheme="majorHAnsi"/>
                <w:color w:val="000000" w:themeColor="text1"/>
                <w:sz w:val="28"/>
                <w:szCs w:val="28"/>
              </w:rPr>
            </w:pPr>
            <w:r>
              <w:rPr>
                <w:rFonts w:asciiTheme="majorHAnsi" w:hAnsiTheme="majorHAnsi"/>
                <w:color w:val="000000" w:themeColor="text1"/>
                <w:sz w:val="28"/>
                <w:szCs w:val="28"/>
              </w:rPr>
              <w:t>5</w:t>
            </w:r>
            <w:r w:rsidR="00C72ADE">
              <w:rPr>
                <w:rFonts w:asciiTheme="majorHAnsi" w:hAnsiTheme="majorHAnsi"/>
                <w:color w:val="000000" w:themeColor="text1"/>
                <w:sz w:val="28"/>
                <w:szCs w:val="28"/>
              </w:rPr>
              <w:t>,</w:t>
            </w:r>
            <w:r>
              <w:rPr>
                <w:rFonts w:asciiTheme="majorHAnsi" w:hAnsiTheme="majorHAnsi"/>
                <w:color w:val="000000" w:themeColor="text1"/>
                <w:sz w:val="28"/>
                <w:szCs w:val="28"/>
              </w:rPr>
              <w:t>9</w:t>
            </w:r>
          </w:p>
        </w:tc>
      </w:tr>
      <w:tr w:rsidR="00C72ADE" w:rsidRPr="00B57F6E" w:rsidTr="00411EFA">
        <w:trPr>
          <w:trHeight w:val="423"/>
          <w:jc w:val="center"/>
        </w:trPr>
        <w:tc>
          <w:tcPr>
            <w:tcW w:w="4498" w:type="dxa"/>
            <w:tcBorders>
              <w:top w:val="nil"/>
              <w:bottom w:val="nil"/>
            </w:tcBorders>
            <w:vAlign w:val="center"/>
          </w:tcPr>
          <w:p w:rsidR="00C72ADE" w:rsidRPr="00B57F6E" w:rsidRDefault="00C72ADE" w:rsidP="00AB049E">
            <w:pPr>
              <w:ind w:left="209"/>
              <w:jc w:val="center"/>
              <w:rPr>
                <w:rFonts w:asciiTheme="majorHAnsi" w:hAnsiTheme="majorHAnsi"/>
                <w:color w:val="000000" w:themeColor="text1"/>
                <w:sz w:val="28"/>
                <w:szCs w:val="28"/>
              </w:rPr>
            </w:pPr>
            <w:r w:rsidRPr="00B57F6E">
              <w:rPr>
                <w:rFonts w:asciiTheme="majorHAnsi" w:hAnsiTheme="majorHAnsi"/>
                <w:color w:val="000000" w:themeColor="text1"/>
                <w:sz w:val="28"/>
                <w:szCs w:val="28"/>
              </w:rPr>
              <w:t>Importations B</w:t>
            </w:r>
            <w:r w:rsidR="00AB049E">
              <w:rPr>
                <w:rFonts w:asciiTheme="majorHAnsi" w:hAnsiTheme="majorHAnsi"/>
                <w:color w:val="000000" w:themeColor="text1"/>
                <w:sz w:val="28"/>
                <w:szCs w:val="28"/>
              </w:rPr>
              <w:t>&amp;</w:t>
            </w:r>
            <w:r w:rsidRPr="00B57F6E">
              <w:rPr>
                <w:rFonts w:asciiTheme="majorHAnsi" w:hAnsiTheme="majorHAnsi"/>
                <w:color w:val="000000" w:themeColor="text1"/>
                <w:sz w:val="28"/>
                <w:szCs w:val="28"/>
              </w:rPr>
              <w:t>S……………………</w:t>
            </w:r>
          </w:p>
        </w:tc>
        <w:tc>
          <w:tcPr>
            <w:tcW w:w="1206" w:type="dxa"/>
            <w:tcBorders>
              <w:top w:val="nil"/>
              <w:bottom w:val="nil"/>
            </w:tcBorders>
            <w:vAlign w:val="center"/>
          </w:tcPr>
          <w:p w:rsidR="00C72ADE" w:rsidRPr="00B57F6E" w:rsidRDefault="00C72ADE" w:rsidP="001F6107">
            <w:pPr>
              <w:ind w:left="-216"/>
              <w:jc w:val="center"/>
              <w:rPr>
                <w:rFonts w:asciiTheme="majorHAnsi" w:hAnsiTheme="majorHAnsi"/>
                <w:color w:val="000000" w:themeColor="text1"/>
                <w:sz w:val="28"/>
                <w:szCs w:val="28"/>
              </w:rPr>
            </w:pPr>
            <w:r w:rsidRPr="00B57F6E">
              <w:rPr>
                <w:rFonts w:asciiTheme="majorHAnsi" w:hAnsiTheme="majorHAnsi"/>
                <w:color w:val="000000" w:themeColor="text1"/>
                <w:sz w:val="28"/>
                <w:szCs w:val="28"/>
              </w:rPr>
              <w:t>14,7</w:t>
            </w:r>
          </w:p>
        </w:tc>
        <w:tc>
          <w:tcPr>
            <w:tcW w:w="1276" w:type="dxa"/>
            <w:tcBorders>
              <w:top w:val="nil"/>
              <w:bottom w:val="nil"/>
            </w:tcBorders>
            <w:vAlign w:val="center"/>
          </w:tcPr>
          <w:p w:rsidR="00C72ADE" w:rsidRPr="00B57F6E" w:rsidRDefault="00C72ADE" w:rsidP="001F6107">
            <w:pPr>
              <w:ind w:left="-216"/>
              <w:jc w:val="center"/>
              <w:rPr>
                <w:rFonts w:asciiTheme="majorHAnsi" w:hAnsiTheme="majorHAnsi"/>
                <w:color w:val="000000" w:themeColor="text1"/>
                <w:sz w:val="28"/>
                <w:szCs w:val="28"/>
              </w:rPr>
            </w:pPr>
            <w:r w:rsidRPr="00B57F6E">
              <w:rPr>
                <w:rFonts w:asciiTheme="majorHAnsi" w:hAnsiTheme="majorHAnsi"/>
                <w:color w:val="000000" w:themeColor="text1"/>
                <w:sz w:val="28"/>
                <w:szCs w:val="28"/>
              </w:rPr>
              <w:t>7,4</w:t>
            </w:r>
          </w:p>
        </w:tc>
        <w:tc>
          <w:tcPr>
            <w:tcW w:w="1260" w:type="dxa"/>
            <w:tcBorders>
              <w:top w:val="nil"/>
              <w:bottom w:val="nil"/>
            </w:tcBorders>
            <w:shd w:val="clear" w:color="auto" w:fill="C6D9F1" w:themeFill="text2" w:themeFillTint="33"/>
            <w:vAlign w:val="center"/>
          </w:tcPr>
          <w:p w:rsidR="00C72ADE" w:rsidRPr="00B57F6E" w:rsidRDefault="00C72ADE" w:rsidP="00BF3A87">
            <w:pPr>
              <w:ind w:left="-216"/>
              <w:jc w:val="center"/>
              <w:rPr>
                <w:rFonts w:asciiTheme="majorHAnsi" w:hAnsiTheme="majorHAnsi"/>
                <w:color w:val="000000" w:themeColor="text1"/>
                <w:sz w:val="28"/>
                <w:szCs w:val="28"/>
              </w:rPr>
            </w:pPr>
            <w:r>
              <w:rPr>
                <w:rFonts w:asciiTheme="majorHAnsi" w:hAnsiTheme="majorHAnsi"/>
                <w:color w:val="000000" w:themeColor="text1"/>
                <w:sz w:val="28"/>
                <w:szCs w:val="28"/>
              </w:rPr>
              <w:t>6,</w:t>
            </w:r>
            <w:r w:rsidR="00BF3A87">
              <w:rPr>
                <w:rFonts w:asciiTheme="majorHAnsi" w:hAnsiTheme="majorHAnsi"/>
                <w:color w:val="000000" w:themeColor="text1"/>
                <w:sz w:val="28"/>
                <w:szCs w:val="28"/>
              </w:rPr>
              <w:t>1</w:t>
            </w:r>
          </w:p>
        </w:tc>
        <w:tc>
          <w:tcPr>
            <w:tcW w:w="1276" w:type="dxa"/>
            <w:tcBorders>
              <w:top w:val="nil"/>
              <w:bottom w:val="nil"/>
            </w:tcBorders>
            <w:shd w:val="clear" w:color="auto" w:fill="C6D9F1" w:themeFill="text2" w:themeFillTint="33"/>
            <w:vAlign w:val="center"/>
          </w:tcPr>
          <w:p w:rsidR="00C72ADE" w:rsidRPr="00B57F6E" w:rsidRDefault="00C72ADE" w:rsidP="001F6107">
            <w:pPr>
              <w:ind w:left="-216"/>
              <w:jc w:val="center"/>
              <w:rPr>
                <w:rFonts w:asciiTheme="majorHAnsi" w:hAnsiTheme="majorHAnsi"/>
                <w:color w:val="000000" w:themeColor="text1"/>
                <w:sz w:val="28"/>
                <w:szCs w:val="28"/>
              </w:rPr>
            </w:pPr>
            <w:r w:rsidRPr="00B57F6E">
              <w:rPr>
                <w:rFonts w:asciiTheme="majorHAnsi" w:hAnsiTheme="majorHAnsi"/>
                <w:color w:val="000000" w:themeColor="text1"/>
                <w:sz w:val="28"/>
                <w:szCs w:val="28"/>
              </w:rPr>
              <w:t>6,4</w:t>
            </w:r>
          </w:p>
        </w:tc>
      </w:tr>
      <w:tr w:rsidR="00C72ADE" w:rsidRPr="00B57F6E" w:rsidTr="00411EFA">
        <w:trPr>
          <w:trHeight w:val="76"/>
          <w:jc w:val="center"/>
        </w:trPr>
        <w:tc>
          <w:tcPr>
            <w:tcW w:w="4498" w:type="dxa"/>
            <w:tcBorders>
              <w:top w:val="nil"/>
              <w:bottom w:val="single" w:sz="4" w:space="0" w:color="auto"/>
            </w:tcBorders>
          </w:tcPr>
          <w:p w:rsidR="00C72ADE" w:rsidRPr="00B57F6E" w:rsidRDefault="00C72ADE" w:rsidP="001F6107">
            <w:pPr>
              <w:ind w:left="209"/>
              <w:jc w:val="center"/>
              <w:rPr>
                <w:rFonts w:asciiTheme="majorHAnsi" w:hAnsiTheme="majorHAnsi"/>
                <w:color w:val="000000" w:themeColor="text1"/>
                <w:sz w:val="28"/>
                <w:szCs w:val="28"/>
              </w:rPr>
            </w:pPr>
          </w:p>
        </w:tc>
        <w:tc>
          <w:tcPr>
            <w:tcW w:w="1206" w:type="dxa"/>
            <w:tcBorders>
              <w:top w:val="nil"/>
              <w:bottom w:val="single" w:sz="4" w:space="0" w:color="auto"/>
            </w:tcBorders>
            <w:vAlign w:val="center"/>
          </w:tcPr>
          <w:p w:rsidR="00C72ADE" w:rsidRPr="00B57F6E" w:rsidRDefault="00C72ADE" w:rsidP="001F6107">
            <w:pPr>
              <w:ind w:left="-216"/>
              <w:jc w:val="center"/>
              <w:rPr>
                <w:rFonts w:asciiTheme="majorHAnsi" w:hAnsiTheme="majorHAnsi"/>
                <w:color w:val="000000" w:themeColor="text1"/>
                <w:sz w:val="28"/>
                <w:szCs w:val="28"/>
              </w:rPr>
            </w:pPr>
          </w:p>
        </w:tc>
        <w:tc>
          <w:tcPr>
            <w:tcW w:w="1276" w:type="dxa"/>
            <w:tcBorders>
              <w:top w:val="nil"/>
              <w:bottom w:val="single" w:sz="4" w:space="0" w:color="auto"/>
            </w:tcBorders>
            <w:vAlign w:val="center"/>
          </w:tcPr>
          <w:p w:rsidR="00C72ADE" w:rsidRPr="00B57F6E" w:rsidRDefault="00C72ADE" w:rsidP="001F6107">
            <w:pPr>
              <w:ind w:left="-216"/>
              <w:jc w:val="center"/>
              <w:rPr>
                <w:rFonts w:asciiTheme="majorHAnsi" w:hAnsiTheme="majorHAnsi"/>
                <w:color w:val="000000" w:themeColor="text1"/>
                <w:sz w:val="28"/>
                <w:szCs w:val="28"/>
              </w:rPr>
            </w:pPr>
          </w:p>
        </w:tc>
        <w:tc>
          <w:tcPr>
            <w:tcW w:w="1260" w:type="dxa"/>
            <w:tcBorders>
              <w:top w:val="nil"/>
              <w:bottom w:val="single" w:sz="4" w:space="0" w:color="auto"/>
            </w:tcBorders>
            <w:shd w:val="clear" w:color="auto" w:fill="C6D9F1" w:themeFill="text2" w:themeFillTint="33"/>
            <w:vAlign w:val="center"/>
          </w:tcPr>
          <w:p w:rsidR="00C72ADE" w:rsidRPr="00B57F6E" w:rsidRDefault="00C72ADE" w:rsidP="001F6107">
            <w:pPr>
              <w:ind w:left="-216"/>
              <w:jc w:val="center"/>
              <w:rPr>
                <w:rFonts w:asciiTheme="majorHAnsi" w:hAnsiTheme="majorHAnsi"/>
                <w:color w:val="000000" w:themeColor="text1"/>
                <w:sz w:val="28"/>
                <w:szCs w:val="28"/>
              </w:rPr>
            </w:pPr>
          </w:p>
        </w:tc>
        <w:tc>
          <w:tcPr>
            <w:tcW w:w="1276" w:type="dxa"/>
            <w:tcBorders>
              <w:top w:val="nil"/>
              <w:bottom w:val="single" w:sz="4" w:space="0" w:color="auto"/>
            </w:tcBorders>
            <w:shd w:val="clear" w:color="auto" w:fill="C6D9F1" w:themeFill="text2" w:themeFillTint="33"/>
            <w:vAlign w:val="center"/>
          </w:tcPr>
          <w:p w:rsidR="00C72ADE" w:rsidRPr="00B57F6E" w:rsidRDefault="00C72ADE" w:rsidP="001F6107">
            <w:pPr>
              <w:ind w:left="-216"/>
              <w:jc w:val="center"/>
              <w:rPr>
                <w:rFonts w:asciiTheme="majorHAnsi" w:hAnsiTheme="majorHAnsi"/>
                <w:color w:val="000000" w:themeColor="text1"/>
                <w:sz w:val="28"/>
                <w:szCs w:val="28"/>
              </w:rPr>
            </w:pPr>
          </w:p>
        </w:tc>
      </w:tr>
    </w:tbl>
    <w:p w:rsidR="00C72ADE" w:rsidRPr="00B57F6E" w:rsidRDefault="00C72ADE" w:rsidP="00C72ADE">
      <w:pPr>
        <w:rPr>
          <w:rFonts w:asciiTheme="majorHAnsi" w:hAnsiTheme="majorHAnsi"/>
          <w:color w:val="000000" w:themeColor="text1"/>
          <w:sz w:val="18"/>
          <w:szCs w:val="18"/>
        </w:rPr>
      </w:pPr>
      <w:r w:rsidRPr="00B57F6E">
        <w:rPr>
          <w:rFonts w:asciiTheme="majorHAnsi" w:hAnsiTheme="majorHAnsi"/>
          <w:color w:val="000000" w:themeColor="text1"/>
          <w:sz w:val="18"/>
          <w:szCs w:val="18"/>
        </w:rPr>
        <w:t>NB : -Variations en % aux prix de l’année précédente.  - (*) : Estimations (**) : Prévisions  établies par le Haut Commissariat au Plan</w:t>
      </w: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F01189" w:rsidRDefault="00F01189"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Default="00C72ADE" w:rsidP="00C72ADE">
      <w:pPr>
        <w:rPr>
          <w:b w:val="0"/>
          <w:color w:val="000000" w:themeColor="text1"/>
          <w:lang w:bidi="ar-MA"/>
        </w:rPr>
      </w:pPr>
    </w:p>
    <w:p w:rsidR="00C72ADE" w:rsidRPr="00B57F6E" w:rsidRDefault="00C72ADE" w:rsidP="00C72ADE">
      <w:pPr>
        <w:rPr>
          <w:b w:val="0"/>
          <w:color w:val="000000" w:themeColor="text1"/>
          <w:lang w:bidi="ar-MA"/>
        </w:rPr>
      </w:pPr>
    </w:p>
    <w:p w:rsidR="00CC6E24" w:rsidRDefault="00CC6E24" w:rsidP="00C72ADE">
      <w:pPr>
        <w:pStyle w:val="Titre"/>
        <w:tabs>
          <w:tab w:val="left" w:pos="993"/>
        </w:tabs>
        <w:spacing w:before="100" w:beforeAutospacing="1" w:after="100" w:afterAutospacing="1"/>
        <w:ind w:firstLine="284"/>
        <w:contextualSpacing/>
        <w:rPr>
          <w:rFonts w:asciiTheme="majorHAnsi" w:hAnsiTheme="majorHAnsi"/>
          <w:caps/>
          <w:shadow/>
          <w:color w:val="0070C0"/>
          <w:kern w:val="16"/>
          <w:sz w:val="26"/>
          <w:szCs w:val="26"/>
          <w:u w:val="single"/>
        </w:rPr>
      </w:pPr>
    </w:p>
    <w:p w:rsidR="00C72ADE" w:rsidRPr="001F6107" w:rsidRDefault="00C72ADE" w:rsidP="00C72ADE">
      <w:pPr>
        <w:pStyle w:val="Titre"/>
        <w:tabs>
          <w:tab w:val="left" w:pos="993"/>
        </w:tabs>
        <w:spacing w:before="100" w:beforeAutospacing="1" w:after="100" w:afterAutospacing="1"/>
        <w:ind w:firstLine="284"/>
        <w:contextualSpacing/>
        <w:rPr>
          <w:rFonts w:asciiTheme="majorHAnsi" w:hAnsiTheme="majorHAnsi"/>
          <w:caps/>
          <w:shadow/>
          <w:color w:val="0070C0"/>
          <w:kern w:val="16"/>
          <w:sz w:val="26"/>
          <w:szCs w:val="26"/>
          <w:u w:val="single"/>
        </w:rPr>
      </w:pPr>
      <w:r w:rsidRPr="001F6107">
        <w:rPr>
          <w:rFonts w:asciiTheme="majorHAnsi" w:hAnsiTheme="majorHAnsi"/>
          <w:caps/>
          <w:shadow/>
          <w:color w:val="0070C0"/>
          <w:kern w:val="16"/>
          <w:sz w:val="26"/>
          <w:szCs w:val="26"/>
          <w:u w:val="single"/>
        </w:rPr>
        <w:t>Ratios des autres indicateurs macroéconomiques en % du PIB</w:t>
      </w:r>
    </w:p>
    <w:tbl>
      <w:tblPr>
        <w:tblW w:w="10097" w:type="dxa"/>
        <w:jc w:val="center"/>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3"/>
        <w:gridCol w:w="1450"/>
        <w:gridCol w:w="1417"/>
        <w:gridCol w:w="1418"/>
        <w:gridCol w:w="1559"/>
      </w:tblGrid>
      <w:tr w:rsidR="00C72ADE" w:rsidRPr="00B57F6E" w:rsidTr="00411EFA">
        <w:trPr>
          <w:trHeight w:val="124"/>
          <w:jc w:val="center"/>
        </w:trPr>
        <w:tc>
          <w:tcPr>
            <w:tcW w:w="4253" w:type="dxa"/>
          </w:tcPr>
          <w:p w:rsidR="00C72ADE" w:rsidRPr="00B57F6E" w:rsidRDefault="00C72ADE" w:rsidP="001F6107">
            <w:pPr>
              <w:rPr>
                <w:rFonts w:asciiTheme="majorHAnsi" w:hAnsiTheme="majorHAnsi"/>
                <w:color w:val="000000" w:themeColor="text1"/>
                <w:sz w:val="30"/>
                <w:szCs w:val="30"/>
              </w:rPr>
            </w:pPr>
            <w:r w:rsidRPr="00B57F6E">
              <w:rPr>
                <w:rFonts w:asciiTheme="majorHAnsi" w:hAnsiTheme="majorHAnsi"/>
                <w:color w:val="000000" w:themeColor="text1"/>
                <w:sz w:val="30"/>
                <w:szCs w:val="30"/>
              </w:rPr>
              <w:t>Rubriques</w:t>
            </w:r>
          </w:p>
        </w:tc>
        <w:tc>
          <w:tcPr>
            <w:tcW w:w="1450" w:type="dxa"/>
            <w:vAlign w:val="center"/>
          </w:tcPr>
          <w:p w:rsidR="00C72ADE" w:rsidRPr="00B57F6E" w:rsidRDefault="00C72ADE" w:rsidP="001F6107">
            <w:pPr>
              <w:pStyle w:val="Titre"/>
              <w:tabs>
                <w:tab w:val="left" w:pos="993"/>
              </w:tabs>
              <w:spacing w:before="100" w:beforeAutospacing="1" w:after="100" w:afterAutospacing="1"/>
              <w:ind w:firstLine="284"/>
              <w:contextualSpacing/>
              <w:jc w:val="left"/>
              <w:rPr>
                <w:rFonts w:asciiTheme="majorHAnsi" w:hAnsiTheme="majorHAnsi"/>
                <w:color w:val="000000" w:themeColor="text1"/>
                <w:sz w:val="30"/>
                <w:szCs w:val="30"/>
              </w:rPr>
            </w:pPr>
            <w:r w:rsidRPr="00B57F6E">
              <w:rPr>
                <w:rFonts w:asciiTheme="majorHAnsi" w:hAnsiTheme="majorHAnsi"/>
                <w:color w:val="000000" w:themeColor="text1"/>
                <w:sz w:val="30"/>
                <w:szCs w:val="30"/>
              </w:rPr>
              <w:t>2016</w:t>
            </w:r>
          </w:p>
        </w:tc>
        <w:tc>
          <w:tcPr>
            <w:tcW w:w="1417" w:type="dxa"/>
            <w:vAlign w:val="center"/>
          </w:tcPr>
          <w:p w:rsidR="00C72ADE" w:rsidRPr="00B57F6E" w:rsidRDefault="00C72ADE" w:rsidP="001F6107">
            <w:pPr>
              <w:pStyle w:val="Titre"/>
              <w:tabs>
                <w:tab w:val="left" w:pos="993"/>
              </w:tabs>
              <w:spacing w:before="100" w:beforeAutospacing="1" w:after="100" w:afterAutospacing="1"/>
              <w:ind w:firstLine="284"/>
              <w:contextualSpacing/>
              <w:jc w:val="left"/>
              <w:rPr>
                <w:rFonts w:asciiTheme="majorHAnsi" w:hAnsiTheme="majorHAnsi"/>
                <w:color w:val="000000" w:themeColor="text1"/>
                <w:sz w:val="30"/>
                <w:szCs w:val="30"/>
              </w:rPr>
            </w:pPr>
            <w:r w:rsidRPr="00B57F6E">
              <w:rPr>
                <w:rFonts w:asciiTheme="majorHAnsi" w:hAnsiTheme="majorHAnsi"/>
                <w:color w:val="000000" w:themeColor="text1"/>
                <w:sz w:val="30"/>
                <w:szCs w:val="30"/>
              </w:rPr>
              <w:t>2017</w:t>
            </w:r>
          </w:p>
        </w:tc>
        <w:tc>
          <w:tcPr>
            <w:tcW w:w="1418" w:type="dxa"/>
            <w:shd w:val="clear" w:color="auto" w:fill="C6D9F1" w:themeFill="text2" w:themeFillTint="33"/>
            <w:vAlign w:val="center"/>
          </w:tcPr>
          <w:p w:rsidR="00C72ADE" w:rsidRPr="00473F51" w:rsidRDefault="00C72ADE" w:rsidP="001F6107">
            <w:pPr>
              <w:pStyle w:val="Titre"/>
              <w:tabs>
                <w:tab w:val="left" w:pos="993"/>
              </w:tabs>
              <w:spacing w:before="100" w:beforeAutospacing="1" w:after="100" w:afterAutospacing="1"/>
              <w:ind w:firstLine="284"/>
              <w:contextualSpacing/>
              <w:jc w:val="left"/>
              <w:rPr>
                <w:rFonts w:asciiTheme="majorHAnsi" w:hAnsiTheme="majorHAnsi"/>
                <w:color w:val="000000" w:themeColor="text1"/>
                <w:sz w:val="30"/>
                <w:szCs w:val="30"/>
              </w:rPr>
            </w:pPr>
            <w:r w:rsidRPr="00473F51">
              <w:rPr>
                <w:rFonts w:asciiTheme="majorHAnsi" w:hAnsiTheme="majorHAnsi"/>
                <w:color w:val="000000" w:themeColor="text1"/>
                <w:sz w:val="30"/>
                <w:szCs w:val="30"/>
              </w:rPr>
              <w:t>2018*</w:t>
            </w:r>
          </w:p>
        </w:tc>
        <w:tc>
          <w:tcPr>
            <w:tcW w:w="1559" w:type="dxa"/>
            <w:shd w:val="clear" w:color="auto" w:fill="C6D9F1" w:themeFill="text2" w:themeFillTint="33"/>
            <w:vAlign w:val="center"/>
          </w:tcPr>
          <w:p w:rsidR="00C72ADE" w:rsidRPr="00473F51" w:rsidRDefault="00C72ADE" w:rsidP="001F6107">
            <w:pPr>
              <w:pStyle w:val="Titre"/>
              <w:tabs>
                <w:tab w:val="left" w:pos="993"/>
              </w:tabs>
              <w:spacing w:before="100" w:beforeAutospacing="1" w:after="100" w:afterAutospacing="1"/>
              <w:ind w:firstLine="284"/>
              <w:contextualSpacing/>
              <w:jc w:val="left"/>
              <w:rPr>
                <w:rFonts w:asciiTheme="majorHAnsi" w:hAnsiTheme="majorHAnsi"/>
                <w:color w:val="000000" w:themeColor="text1"/>
                <w:sz w:val="30"/>
                <w:szCs w:val="30"/>
              </w:rPr>
            </w:pPr>
            <w:r w:rsidRPr="00473F51">
              <w:rPr>
                <w:rFonts w:asciiTheme="majorHAnsi" w:hAnsiTheme="majorHAnsi"/>
                <w:color w:val="000000" w:themeColor="text1"/>
                <w:sz w:val="30"/>
                <w:szCs w:val="30"/>
              </w:rPr>
              <w:t>2019**</w:t>
            </w:r>
          </w:p>
        </w:tc>
      </w:tr>
      <w:tr w:rsidR="00C72ADE" w:rsidRPr="00B57F6E" w:rsidTr="00411EFA">
        <w:trPr>
          <w:trHeight w:val="5005"/>
          <w:jc w:val="center"/>
        </w:trPr>
        <w:tc>
          <w:tcPr>
            <w:tcW w:w="4253" w:type="dxa"/>
          </w:tcPr>
          <w:p w:rsidR="00C72ADE" w:rsidRPr="00B57F6E" w:rsidRDefault="00C72ADE" w:rsidP="001F6107">
            <w:pPr>
              <w:ind w:left="-20"/>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Epargne Intérieure………….…..</w:t>
            </w:r>
          </w:p>
          <w:p w:rsidR="00C72ADE" w:rsidRPr="00B57F6E" w:rsidRDefault="00C72ADE" w:rsidP="001F6107">
            <w:pPr>
              <w:ind w:left="-20"/>
              <w:rPr>
                <w:rFonts w:asciiTheme="majorHAnsi" w:hAnsiTheme="majorHAnsi"/>
                <w:b w:val="0"/>
                <w:color w:val="000000" w:themeColor="text1"/>
                <w:sz w:val="28"/>
                <w:szCs w:val="28"/>
                <w:lang w:bidi="ar-MA"/>
              </w:rPr>
            </w:pPr>
          </w:p>
          <w:p w:rsidR="00C72ADE" w:rsidRPr="00B57F6E" w:rsidRDefault="00C72ADE" w:rsidP="001F6107">
            <w:pPr>
              <w:ind w:left="-20"/>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Epargne Nationale ….…..………</w:t>
            </w:r>
          </w:p>
          <w:p w:rsidR="00C72ADE" w:rsidRPr="00B57F6E" w:rsidRDefault="00C72ADE" w:rsidP="001F6107">
            <w:pPr>
              <w:ind w:left="-20"/>
              <w:rPr>
                <w:rFonts w:asciiTheme="majorHAnsi" w:hAnsiTheme="majorHAnsi"/>
                <w:b w:val="0"/>
                <w:color w:val="000000" w:themeColor="text1"/>
                <w:sz w:val="28"/>
                <w:szCs w:val="28"/>
                <w:lang w:bidi="ar-MA"/>
              </w:rPr>
            </w:pPr>
          </w:p>
          <w:p w:rsidR="00C72ADE" w:rsidRPr="00B57F6E" w:rsidRDefault="00C72ADE" w:rsidP="001F6107">
            <w:pPr>
              <w:ind w:left="-20"/>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Investissement Brut………..….</w:t>
            </w:r>
          </w:p>
          <w:p w:rsidR="00C72ADE" w:rsidRPr="00B57F6E" w:rsidRDefault="00C72ADE" w:rsidP="001F6107">
            <w:pPr>
              <w:ind w:left="-20"/>
              <w:rPr>
                <w:rFonts w:asciiTheme="majorHAnsi" w:hAnsiTheme="majorHAnsi"/>
                <w:b w:val="0"/>
                <w:color w:val="000000" w:themeColor="text1"/>
                <w:sz w:val="28"/>
                <w:szCs w:val="28"/>
                <w:lang w:bidi="ar-MA"/>
              </w:rPr>
            </w:pPr>
          </w:p>
          <w:p w:rsidR="00C72ADE" w:rsidRPr="00B57F6E" w:rsidRDefault="00C72ADE" w:rsidP="001F6107">
            <w:pPr>
              <w:ind w:left="-20"/>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Solde de financement. ……….</w:t>
            </w:r>
          </w:p>
          <w:p w:rsidR="00C72ADE" w:rsidRPr="00B57F6E" w:rsidRDefault="00C72ADE" w:rsidP="001F6107">
            <w:pPr>
              <w:ind w:left="-20"/>
              <w:rPr>
                <w:rFonts w:asciiTheme="majorHAnsi" w:hAnsiTheme="majorHAnsi"/>
                <w:b w:val="0"/>
                <w:color w:val="000000" w:themeColor="text1"/>
                <w:sz w:val="28"/>
                <w:szCs w:val="28"/>
                <w:lang w:bidi="ar-MA"/>
              </w:rPr>
            </w:pPr>
          </w:p>
          <w:p w:rsidR="00C72ADE" w:rsidRPr="00B57F6E" w:rsidRDefault="00C72ADE" w:rsidP="001F6107">
            <w:pPr>
              <w:ind w:left="-20"/>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Déficit budgétaire…..……….…</w:t>
            </w:r>
          </w:p>
          <w:p w:rsidR="00C72ADE" w:rsidRPr="00B57F6E" w:rsidRDefault="00C72ADE" w:rsidP="001F6107">
            <w:pPr>
              <w:ind w:left="-20"/>
              <w:rPr>
                <w:rFonts w:asciiTheme="majorHAnsi" w:hAnsiTheme="majorHAnsi"/>
                <w:b w:val="0"/>
                <w:color w:val="000000" w:themeColor="text1"/>
                <w:sz w:val="28"/>
                <w:szCs w:val="28"/>
                <w:lang w:bidi="ar-MA"/>
              </w:rPr>
            </w:pPr>
          </w:p>
          <w:p w:rsidR="00C72ADE" w:rsidRPr="00B57F6E" w:rsidRDefault="00C72ADE" w:rsidP="001F6107">
            <w:pPr>
              <w:ind w:left="-20"/>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Dette Publique globale………</w:t>
            </w:r>
          </w:p>
          <w:p w:rsidR="00C72ADE" w:rsidRPr="00B57F6E" w:rsidRDefault="00C72ADE" w:rsidP="001F6107">
            <w:pPr>
              <w:ind w:left="-20"/>
              <w:rPr>
                <w:rFonts w:asciiTheme="majorHAnsi" w:hAnsiTheme="majorHAnsi"/>
                <w:b w:val="0"/>
                <w:color w:val="000000" w:themeColor="text1"/>
                <w:sz w:val="28"/>
                <w:szCs w:val="28"/>
                <w:lang w:bidi="ar-MA"/>
              </w:rPr>
            </w:pPr>
          </w:p>
          <w:p w:rsidR="00C72ADE" w:rsidRPr="00B57F6E" w:rsidRDefault="00C72ADE" w:rsidP="001F6107">
            <w:pPr>
              <w:ind w:left="-20"/>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Dette de Trésor…….……………</w:t>
            </w:r>
          </w:p>
          <w:p w:rsidR="00C72ADE" w:rsidRPr="00B57F6E" w:rsidRDefault="00C72ADE" w:rsidP="001F6107">
            <w:pPr>
              <w:ind w:left="-20"/>
              <w:rPr>
                <w:rFonts w:asciiTheme="majorHAnsi" w:hAnsiTheme="majorHAnsi"/>
                <w:b w:val="0"/>
                <w:color w:val="000000" w:themeColor="text1"/>
                <w:sz w:val="28"/>
                <w:szCs w:val="28"/>
                <w:lang w:bidi="ar-MA"/>
              </w:rPr>
            </w:pPr>
          </w:p>
          <w:p w:rsidR="00C72ADE" w:rsidRPr="00B57F6E" w:rsidRDefault="00C72ADE" w:rsidP="001F6107">
            <w:pPr>
              <w:ind w:left="-20"/>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 xml:space="preserve">Réserves en mois importation </w:t>
            </w:r>
          </w:p>
        </w:tc>
        <w:tc>
          <w:tcPr>
            <w:tcW w:w="1450" w:type="dxa"/>
            <w:vAlign w:val="center"/>
          </w:tcPr>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22,4</w:t>
            </w: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28,4</w:t>
            </w: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32,6</w:t>
            </w: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-4,3</w:t>
            </w: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B57F6E" w:rsidRDefault="00C72ADE" w:rsidP="00BF3A87">
            <w:pPr>
              <w:spacing w:before="100" w:beforeAutospacing="1" w:after="100" w:afterAutospacing="1"/>
              <w:contextualSpacing/>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-4,</w:t>
            </w:r>
            <w:r w:rsidR="00BF3A87">
              <w:rPr>
                <w:rFonts w:asciiTheme="majorHAnsi" w:hAnsiTheme="majorHAnsi"/>
                <w:color w:val="000000" w:themeColor="text1"/>
                <w:sz w:val="28"/>
                <w:szCs w:val="28"/>
                <w:lang w:bidi="ar-MA"/>
              </w:rPr>
              <w:t>3</w:t>
            </w: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81,6</w:t>
            </w: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64,9</w:t>
            </w: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6,0</w:t>
            </w:r>
          </w:p>
        </w:tc>
        <w:tc>
          <w:tcPr>
            <w:tcW w:w="1417" w:type="dxa"/>
          </w:tcPr>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23,1</w:t>
            </w: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28,9</w:t>
            </w: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32,6</w:t>
            </w: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-3,7</w:t>
            </w: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-3,6</w:t>
            </w: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82,0</w:t>
            </w: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65,1</w:t>
            </w: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B57F6E"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r w:rsidRPr="00B57F6E">
              <w:rPr>
                <w:rFonts w:asciiTheme="majorHAnsi" w:hAnsiTheme="majorHAnsi"/>
                <w:color w:val="000000" w:themeColor="text1"/>
                <w:sz w:val="28"/>
                <w:szCs w:val="28"/>
                <w:lang w:bidi="ar-MA"/>
              </w:rPr>
              <w:t>5,4</w:t>
            </w:r>
          </w:p>
        </w:tc>
        <w:tc>
          <w:tcPr>
            <w:tcW w:w="1418" w:type="dxa"/>
            <w:shd w:val="clear" w:color="auto" w:fill="C6D9F1" w:themeFill="text2" w:themeFillTint="33"/>
          </w:tcPr>
          <w:p w:rsidR="00C72ADE" w:rsidRPr="00473F51"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r w:rsidRPr="00473F51">
              <w:rPr>
                <w:rFonts w:asciiTheme="majorHAnsi" w:hAnsiTheme="majorHAnsi"/>
                <w:color w:val="000000" w:themeColor="text1"/>
                <w:sz w:val="28"/>
                <w:szCs w:val="28"/>
                <w:lang w:bidi="ar-MA"/>
              </w:rPr>
              <w:t>22,</w:t>
            </w:r>
            <w:r>
              <w:rPr>
                <w:rFonts w:asciiTheme="majorHAnsi" w:hAnsiTheme="majorHAnsi"/>
                <w:color w:val="000000" w:themeColor="text1"/>
                <w:sz w:val="28"/>
                <w:szCs w:val="28"/>
                <w:lang w:bidi="ar-MA"/>
              </w:rPr>
              <w:t>5</w:t>
            </w:r>
          </w:p>
          <w:p w:rsidR="00C72ADE" w:rsidRPr="00473F51"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473F51" w:rsidRDefault="00C72ADE" w:rsidP="00A77C28">
            <w:pPr>
              <w:spacing w:before="100" w:beforeAutospacing="1" w:after="100" w:afterAutospacing="1"/>
              <w:contextualSpacing/>
              <w:jc w:val="center"/>
              <w:rPr>
                <w:rFonts w:asciiTheme="majorHAnsi" w:hAnsiTheme="majorHAnsi"/>
                <w:b w:val="0"/>
                <w:color w:val="000000" w:themeColor="text1"/>
                <w:sz w:val="28"/>
                <w:szCs w:val="28"/>
                <w:lang w:bidi="ar-MA"/>
              </w:rPr>
            </w:pPr>
            <w:r w:rsidRPr="00473F51">
              <w:rPr>
                <w:rFonts w:asciiTheme="majorHAnsi" w:hAnsiTheme="majorHAnsi"/>
                <w:color w:val="000000" w:themeColor="text1"/>
                <w:sz w:val="28"/>
                <w:szCs w:val="28"/>
                <w:lang w:bidi="ar-MA"/>
              </w:rPr>
              <w:t>2</w:t>
            </w:r>
            <w:r w:rsidR="00A77C28">
              <w:rPr>
                <w:rFonts w:asciiTheme="majorHAnsi" w:hAnsiTheme="majorHAnsi"/>
                <w:color w:val="000000" w:themeColor="text1"/>
                <w:sz w:val="28"/>
                <w:szCs w:val="28"/>
                <w:lang w:bidi="ar-MA"/>
              </w:rPr>
              <w:t>7</w:t>
            </w:r>
            <w:r w:rsidRPr="00473F51">
              <w:rPr>
                <w:rFonts w:asciiTheme="majorHAnsi" w:hAnsiTheme="majorHAnsi"/>
                <w:color w:val="000000" w:themeColor="text1"/>
                <w:sz w:val="28"/>
                <w:szCs w:val="28"/>
                <w:lang w:bidi="ar-MA"/>
              </w:rPr>
              <w:t>,</w:t>
            </w:r>
            <w:r w:rsidR="00A77C28">
              <w:rPr>
                <w:rFonts w:asciiTheme="majorHAnsi" w:hAnsiTheme="majorHAnsi"/>
                <w:color w:val="000000" w:themeColor="text1"/>
                <w:sz w:val="28"/>
                <w:szCs w:val="28"/>
                <w:lang w:bidi="ar-MA"/>
              </w:rPr>
              <w:t>9</w:t>
            </w:r>
          </w:p>
          <w:p w:rsidR="00C72ADE" w:rsidRPr="00473F51"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473F51" w:rsidRDefault="00C72ADE" w:rsidP="00871C30">
            <w:pPr>
              <w:spacing w:before="100" w:beforeAutospacing="1" w:after="100" w:afterAutospacing="1"/>
              <w:contextualSpacing/>
              <w:jc w:val="center"/>
              <w:rPr>
                <w:rFonts w:asciiTheme="majorHAnsi" w:hAnsiTheme="majorHAnsi"/>
                <w:b w:val="0"/>
                <w:color w:val="000000" w:themeColor="text1"/>
                <w:sz w:val="28"/>
                <w:szCs w:val="28"/>
                <w:lang w:bidi="ar-MA"/>
              </w:rPr>
            </w:pPr>
            <w:r w:rsidRPr="00473F51">
              <w:rPr>
                <w:rFonts w:asciiTheme="majorHAnsi" w:hAnsiTheme="majorHAnsi"/>
                <w:color w:val="000000" w:themeColor="text1"/>
                <w:sz w:val="28"/>
                <w:szCs w:val="28"/>
                <w:lang w:bidi="ar-MA"/>
              </w:rPr>
              <w:t>32,</w:t>
            </w:r>
            <w:r w:rsidR="000327B3">
              <w:rPr>
                <w:rFonts w:asciiTheme="majorHAnsi" w:hAnsiTheme="majorHAnsi"/>
                <w:color w:val="000000" w:themeColor="text1"/>
                <w:sz w:val="28"/>
                <w:szCs w:val="28"/>
                <w:lang w:bidi="ar-MA"/>
              </w:rPr>
              <w:t>4</w:t>
            </w:r>
          </w:p>
          <w:p w:rsidR="00C72ADE" w:rsidRPr="00473F51"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473F51" w:rsidRDefault="00C72ADE" w:rsidP="00647350">
            <w:pPr>
              <w:spacing w:before="100" w:beforeAutospacing="1" w:after="100" w:afterAutospacing="1"/>
              <w:contextualSpacing/>
              <w:jc w:val="center"/>
              <w:rPr>
                <w:rFonts w:asciiTheme="majorHAnsi" w:hAnsiTheme="majorHAnsi"/>
                <w:b w:val="0"/>
                <w:color w:val="000000" w:themeColor="text1"/>
                <w:sz w:val="28"/>
                <w:szCs w:val="28"/>
                <w:lang w:bidi="ar-MA"/>
              </w:rPr>
            </w:pPr>
            <w:r w:rsidRPr="00473F51">
              <w:rPr>
                <w:rFonts w:asciiTheme="majorHAnsi" w:hAnsiTheme="majorHAnsi"/>
                <w:color w:val="000000" w:themeColor="text1"/>
                <w:sz w:val="28"/>
                <w:szCs w:val="28"/>
                <w:lang w:bidi="ar-MA"/>
              </w:rPr>
              <w:t>-4,</w:t>
            </w:r>
            <w:r w:rsidR="00647350">
              <w:rPr>
                <w:rFonts w:asciiTheme="majorHAnsi" w:hAnsiTheme="majorHAnsi"/>
                <w:color w:val="000000" w:themeColor="text1"/>
                <w:sz w:val="28"/>
                <w:szCs w:val="28"/>
                <w:lang w:bidi="ar-MA"/>
              </w:rPr>
              <w:t>5</w:t>
            </w:r>
          </w:p>
          <w:p w:rsidR="00C72ADE" w:rsidRPr="00473F51"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473F51" w:rsidRDefault="00C72ADE" w:rsidP="00647350">
            <w:pPr>
              <w:spacing w:before="100" w:beforeAutospacing="1" w:after="100" w:afterAutospacing="1"/>
              <w:contextualSpacing/>
              <w:jc w:val="center"/>
              <w:rPr>
                <w:rFonts w:asciiTheme="majorHAnsi" w:hAnsiTheme="majorHAnsi"/>
                <w:b w:val="0"/>
                <w:color w:val="000000" w:themeColor="text1"/>
                <w:sz w:val="28"/>
                <w:szCs w:val="28"/>
                <w:lang w:bidi="ar-MA"/>
              </w:rPr>
            </w:pPr>
            <w:r>
              <w:rPr>
                <w:rFonts w:asciiTheme="majorHAnsi" w:hAnsiTheme="majorHAnsi"/>
                <w:color w:val="000000" w:themeColor="text1"/>
                <w:sz w:val="28"/>
                <w:szCs w:val="28"/>
                <w:lang w:bidi="ar-MA"/>
              </w:rPr>
              <w:t>-3,</w:t>
            </w:r>
            <w:r w:rsidR="00647350">
              <w:rPr>
                <w:rFonts w:asciiTheme="majorHAnsi" w:hAnsiTheme="majorHAnsi"/>
                <w:color w:val="000000" w:themeColor="text1"/>
                <w:sz w:val="28"/>
                <w:szCs w:val="28"/>
                <w:lang w:bidi="ar-MA"/>
              </w:rPr>
              <w:t>9</w:t>
            </w:r>
          </w:p>
          <w:p w:rsidR="00C72ADE" w:rsidRPr="00473F51"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473F51" w:rsidRDefault="00C72ADE" w:rsidP="00BF3A87">
            <w:pPr>
              <w:spacing w:before="100" w:beforeAutospacing="1" w:after="100" w:afterAutospacing="1"/>
              <w:contextualSpacing/>
              <w:jc w:val="center"/>
              <w:rPr>
                <w:rFonts w:asciiTheme="majorHAnsi" w:hAnsiTheme="majorHAnsi"/>
                <w:b w:val="0"/>
                <w:color w:val="000000" w:themeColor="text1"/>
                <w:sz w:val="28"/>
                <w:szCs w:val="28"/>
                <w:lang w:bidi="ar-MA"/>
              </w:rPr>
            </w:pPr>
            <w:r>
              <w:rPr>
                <w:rFonts w:asciiTheme="majorHAnsi" w:hAnsiTheme="majorHAnsi"/>
                <w:color w:val="000000" w:themeColor="text1"/>
                <w:sz w:val="28"/>
                <w:szCs w:val="28"/>
                <w:lang w:bidi="ar-MA"/>
              </w:rPr>
              <w:t>82,</w:t>
            </w:r>
            <w:r w:rsidR="00BF3A87">
              <w:rPr>
                <w:rFonts w:asciiTheme="majorHAnsi" w:hAnsiTheme="majorHAnsi"/>
                <w:color w:val="000000" w:themeColor="text1"/>
                <w:sz w:val="28"/>
                <w:szCs w:val="28"/>
                <w:lang w:bidi="ar-MA"/>
              </w:rPr>
              <w:t>2</w:t>
            </w:r>
          </w:p>
          <w:p w:rsidR="00C72ADE" w:rsidRPr="00473F51"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Default="00C72ADE" w:rsidP="00BF3A87">
            <w:pPr>
              <w:spacing w:before="100" w:beforeAutospacing="1" w:after="100" w:afterAutospacing="1"/>
              <w:contextualSpacing/>
              <w:jc w:val="center"/>
              <w:rPr>
                <w:rFonts w:asciiTheme="majorHAnsi" w:hAnsiTheme="majorHAnsi"/>
                <w:color w:val="000000" w:themeColor="text1"/>
                <w:sz w:val="28"/>
                <w:szCs w:val="28"/>
                <w:lang w:bidi="ar-MA"/>
              </w:rPr>
            </w:pPr>
            <w:r>
              <w:rPr>
                <w:rFonts w:asciiTheme="majorHAnsi" w:hAnsiTheme="majorHAnsi"/>
                <w:color w:val="000000" w:themeColor="text1"/>
                <w:sz w:val="28"/>
                <w:szCs w:val="28"/>
                <w:lang w:bidi="ar-MA"/>
              </w:rPr>
              <w:t>6</w:t>
            </w:r>
            <w:r w:rsidR="00BF3A87">
              <w:rPr>
                <w:rFonts w:asciiTheme="majorHAnsi" w:hAnsiTheme="majorHAnsi"/>
                <w:color w:val="000000" w:themeColor="text1"/>
                <w:sz w:val="28"/>
                <w:szCs w:val="28"/>
                <w:lang w:bidi="ar-MA"/>
              </w:rPr>
              <w:t>5,8</w:t>
            </w:r>
          </w:p>
          <w:p w:rsidR="00BF3A87" w:rsidRPr="00473F51" w:rsidRDefault="00BF3A87" w:rsidP="00BF3A8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473F51"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r w:rsidRPr="00473F51">
              <w:rPr>
                <w:rFonts w:asciiTheme="majorHAnsi" w:hAnsiTheme="majorHAnsi"/>
                <w:color w:val="000000" w:themeColor="text1"/>
                <w:sz w:val="28"/>
                <w:szCs w:val="28"/>
                <w:lang w:bidi="ar-MA"/>
              </w:rPr>
              <w:t>4,</w:t>
            </w:r>
            <w:r>
              <w:rPr>
                <w:rFonts w:asciiTheme="majorHAnsi" w:hAnsiTheme="majorHAnsi"/>
                <w:color w:val="000000" w:themeColor="text1"/>
                <w:sz w:val="28"/>
                <w:szCs w:val="28"/>
                <w:lang w:bidi="ar-MA"/>
              </w:rPr>
              <w:t>8</w:t>
            </w:r>
          </w:p>
        </w:tc>
        <w:tc>
          <w:tcPr>
            <w:tcW w:w="1559" w:type="dxa"/>
            <w:shd w:val="clear" w:color="auto" w:fill="C6D9F1" w:themeFill="text2" w:themeFillTint="33"/>
          </w:tcPr>
          <w:p w:rsidR="00C72ADE" w:rsidRPr="00473F51"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r w:rsidRPr="00473F51">
              <w:rPr>
                <w:rFonts w:asciiTheme="majorHAnsi" w:hAnsiTheme="majorHAnsi"/>
                <w:color w:val="000000" w:themeColor="text1"/>
                <w:sz w:val="28"/>
                <w:szCs w:val="28"/>
                <w:lang w:bidi="ar-MA"/>
              </w:rPr>
              <w:t>22,</w:t>
            </w:r>
            <w:r>
              <w:rPr>
                <w:rFonts w:asciiTheme="majorHAnsi" w:hAnsiTheme="majorHAnsi"/>
                <w:color w:val="000000" w:themeColor="text1"/>
                <w:sz w:val="28"/>
                <w:szCs w:val="28"/>
                <w:lang w:bidi="ar-MA"/>
              </w:rPr>
              <w:t>2</w:t>
            </w:r>
          </w:p>
          <w:p w:rsidR="00C72ADE" w:rsidRPr="00473F51"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473F51"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r>
              <w:rPr>
                <w:rFonts w:asciiTheme="majorHAnsi" w:hAnsiTheme="majorHAnsi"/>
                <w:color w:val="000000" w:themeColor="text1"/>
                <w:sz w:val="28"/>
                <w:szCs w:val="28"/>
                <w:lang w:bidi="ar-MA"/>
              </w:rPr>
              <w:t>27,7</w:t>
            </w:r>
          </w:p>
          <w:p w:rsidR="00C72ADE" w:rsidRPr="00473F51"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473F51" w:rsidRDefault="00C72ADE" w:rsidP="00871C30">
            <w:pPr>
              <w:spacing w:before="100" w:beforeAutospacing="1" w:after="100" w:afterAutospacing="1"/>
              <w:contextualSpacing/>
              <w:jc w:val="center"/>
              <w:rPr>
                <w:rFonts w:asciiTheme="majorHAnsi" w:hAnsiTheme="majorHAnsi"/>
                <w:b w:val="0"/>
                <w:color w:val="000000" w:themeColor="text1"/>
                <w:sz w:val="28"/>
                <w:szCs w:val="28"/>
                <w:lang w:bidi="ar-MA"/>
              </w:rPr>
            </w:pPr>
            <w:r w:rsidRPr="00473F51">
              <w:rPr>
                <w:rFonts w:asciiTheme="majorHAnsi" w:hAnsiTheme="majorHAnsi"/>
                <w:color w:val="000000" w:themeColor="text1"/>
                <w:sz w:val="28"/>
                <w:szCs w:val="28"/>
                <w:lang w:bidi="ar-MA"/>
              </w:rPr>
              <w:t>32,</w:t>
            </w:r>
            <w:r w:rsidR="00871C30">
              <w:rPr>
                <w:rFonts w:asciiTheme="majorHAnsi" w:hAnsiTheme="majorHAnsi"/>
                <w:color w:val="000000" w:themeColor="text1"/>
                <w:sz w:val="28"/>
                <w:szCs w:val="28"/>
                <w:lang w:bidi="ar-MA"/>
              </w:rPr>
              <w:t>0</w:t>
            </w:r>
          </w:p>
          <w:p w:rsidR="00C72ADE" w:rsidRPr="00473F51"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473F51" w:rsidRDefault="00C72ADE" w:rsidP="00647350">
            <w:pPr>
              <w:spacing w:before="100" w:beforeAutospacing="1" w:after="100" w:afterAutospacing="1"/>
              <w:contextualSpacing/>
              <w:jc w:val="center"/>
              <w:rPr>
                <w:rFonts w:asciiTheme="majorHAnsi" w:hAnsiTheme="majorHAnsi"/>
                <w:b w:val="0"/>
                <w:color w:val="000000" w:themeColor="text1"/>
                <w:sz w:val="28"/>
                <w:szCs w:val="28"/>
                <w:lang w:bidi="ar-MA"/>
              </w:rPr>
            </w:pPr>
            <w:r w:rsidRPr="00473F51">
              <w:rPr>
                <w:rFonts w:asciiTheme="majorHAnsi" w:hAnsiTheme="majorHAnsi"/>
                <w:color w:val="000000" w:themeColor="text1"/>
                <w:sz w:val="28"/>
                <w:szCs w:val="28"/>
                <w:lang w:bidi="ar-MA"/>
              </w:rPr>
              <w:t>-4,</w:t>
            </w:r>
            <w:r w:rsidR="00647350">
              <w:rPr>
                <w:rFonts w:asciiTheme="majorHAnsi" w:hAnsiTheme="majorHAnsi"/>
                <w:color w:val="000000" w:themeColor="text1"/>
                <w:sz w:val="28"/>
                <w:szCs w:val="28"/>
                <w:lang w:bidi="ar-MA"/>
              </w:rPr>
              <w:t>3</w:t>
            </w:r>
          </w:p>
          <w:p w:rsidR="00C72ADE" w:rsidRPr="00473F51"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473F51" w:rsidRDefault="00C72ADE" w:rsidP="00BF3A87">
            <w:pPr>
              <w:spacing w:before="100" w:beforeAutospacing="1" w:after="100" w:afterAutospacing="1"/>
              <w:contextualSpacing/>
              <w:jc w:val="center"/>
              <w:rPr>
                <w:rFonts w:asciiTheme="majorHAnsi" w:hAnsiTheme="majorHAnsi"/>
                <w:b w:val="0"/>
                <w:color w:val="000000" w:themeColor="text1"/>
                <w:sz w:val="28"/>
                <w:szCs w:val="28"/>
                <w:lang w:bidi="ar-MA"/>
              </w:rPr>
            </w:pPr>
            <w:r w:rsidRPr="00473F51">
              <w:rPr>
                <w:rFonts w:asciiTheme="majorHAnsi" w:hAnsiTheme="majorHAnsi"/>
                <w:color w:val="000000" w:themeColor="text1"/>
                <w:sz w:val="28"/>
                <w:szCs w:val="28"/>
                <w:lang w:bidi="ar-MA"/>
              </w:rPr>
              <w:t>-3,</w:t>
            </w:r>
            <w:r w:rsidR="00BF3A87">
              <w:rPr>
                <w:rFonts w:asciiTheme="majorHAnsi" w:hAnsiTheme="majorHAnsi"/>
                <w:color w:val="000000" w:themeColor="text1"/>
                <w:sz w:val="28"/>
                <w:szCs w:val="28"/>
                <w:lang w:bidi="ar-MA"/>
              </w:rPr>
              <w:t>7</w:t>
            </w:r>
          </w:p>
          <w:p w:rsidR="00C72ADE" w:rsidRPr="00473F51"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473F51" w:rsidRDefault="00C72ADE" w:rsidP="00BF3A87">
            <w:pPr>
              <w:spacing w:before="100" w:beforeAutospacing="1" w:after="100" w:afterAutospacing="1"/>
              <w:contextualSpacing/>
              <w:jc w:val="center"/>
              <w:rPr>
                <w:rFonts w:asciiTheme="majorHAnsi" w:hAnsiTheme="majorHAnsi"/>
                <w:b w:val="0"/>
                <w:color w:val="000000" w:themeColor="text1"/>
                <w:sz w:val="28"/>
                <w:szCs w:val="28"/>
                <w:lang w:bidi="ar-MA"/>
              </w:rPr>
            </w:pPr>
            <w:r>
              <w:rPr>
                <w:rFonts w:asciiTheme="majorHAnsi" w:hAnsiTheme="majorHAnsi"/>
                <w:color w:val="000000" w:themeColor="text1"/>
                <w:sz w:val="28"/>
                <w:szCs w:val="28"/>
                <w:lang w:bidi="ar-MA"/>
              </w:rPr>
              <w:t>82,</w:t>
            </w:r>
            <w:r w:rsidR="00BF3A87">
              <w:rPr>
                <w:rFonts w:asciiTheme="majorHAnsi" w:hAnsiTheme="majorHAnsi"/>
                <w:color w:val="000000" w:themeColor="text1"/>
                <w:sz w:val="28"/>
                <w:szCs w:val="28"/>
                <w:lang w:bidi="ar-MA"/>
              </w:rPr>
              <w:t>5</w:t>
            </w:r>
          </w:p>
          <w:p w:rsidR="00C72ADE" w:rsidRPr="00473F51"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473F51" w:rsidRDefault="00C72ADE" w:rsidP="00BF3A87">
            <w:pPr>
              <w:spacing w:before="100" w:beforeAutospacing="1" w:after="100" w:afterAutospacing="1"/>
              <w:contextualSpacing/>
              <w:jc w:val="center"/>
              <w:rPr>
                <w:rFonts w:asciiTheme="majorHAnsi" w:hAnsiTheme="majorHAnsi"/>
                <w:b w:val="0"/>
                <w:color w:val="000000" w:themeColor="text1"/>
                <w:sz w:val="28"/>
                <w:szCs w:val="28"/>
                <w:lang w:bidi="ar-MA"/>
              </w:rPr>
            </w:pPr>
            <w:r w:rsidRPr="00473F51">
              <w:rPr>
                <w:rFonts w:asciiTheme="majorHAnsi" w:hAnsiTheme="majorHAnsi"/>
                <w:color w:val="000000" w:themeColor="text1"/>
                <w:sz w:val="28"/>
                <w:szCs w:val="28"/>
                <w:lang w:bidi="ar-MA"/>
              </w:rPr>
              <w:t>66,</w:t>
            </w:r>
            <w:r w:rsidR="00BF3A87">
              <w:rPr>
                <w:rFonts w:asciiTheme="majorHAnsi" w:hAnsiTheme="majorHAnsi"/>
                <w:color w:val="000000" w:themeColor="text1"/>
                <w:sz w:val="28"/>
                <w:szCs w:val="28"/>
                <w:lang w:bidi="ar-MA"/>
              </w:rPr>
              <w:t>1</w:t>
            </w:r>
          </w:p>
          <w:p w:rsidR="00C72ADE" w:rsidRPr="00473F51"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p>
          <w:p w:rsidR="00C72ADE" w:rsidRPr="00473F51" w:rsidRDefault="00C72ADE" w:rsidP="001F6107">
            <w:pPr>
              <w:spacing w:before="100" w:beforeAutospacing="1" w:after="100" w:afterAutospacing="1"/>
              <w:contextualSpacing/>
              <w:jc w:val="center"/>
              <w:rPr>
                <w:rFonts w:asciiTheme="majorHAnsi" w:hAnsiTheme="majorHAnsi"/>
                <w:b w:val="0"/>
                <w:color w:val="000000" w:themeColor="text1"/>
                <w:sz w:val="28"/>
                <w:szCs w:val="28"/>
                <w:lang w:bidi="ar-MA"/>
              </w:rPr>
            </w:pPr>
            <w:r w:rsidRPr="00473F51">
              <w:rPr>
                <w:rFonts w:asciiTheme="majorHAnsi" w:hAnsiTheme="majorHAnsi"/>
                <w:color w:val="000000" w:themeColor="text1"/>
                <w:sz w:val="28"/>
                <w:szCs w:val="28"/>
                <w:lang w:bidi="ar-MA"/>
              </w:rPr>
              <w:t>4,</w:t>
            </w:r>
            <w:r>
              <w:rPr>
                <w:rFonts w:asciiTheme="majorHAnsi" w:hAnsiTheme="majorHAnsi"/>
                <w:color w:val="000000" w:themeColor="text1"/>
                <w:sz w:val="28"/>
                <w:szCs w:val="28"/>
                <w:lang w:bidi="ar-MA"/>
              </w:rPr>
              <w:t>6</w:t>
            </w:r>
          </w:p>
        </w:tc>
      </w:tr>
    </w:tbl>
    <w:p w:rsidR="00C72ADE" w:rsidRPr="00B57F6E" w:rsidRDefault="00C72ADE" w:rsidP="00C72ADE">
      <w:pPr>
        <w:rPr>
          <w:rFonts w:asciiTheme="majorHAnsi" w:hAnsiTheme="majorHAnsi"/>
          <w:b w:val="0"/>
          <w:color w:val="000000" w:themeColor="text1"/>
          <w:sz w:val="18"/>
          <w:szCs w:val="18"/>
        </w:rPr>
      </w:pPr>
      <w:r w:rsidRPr="00B57F6E">
        <w:rPr>
          <w:rFonts w:asciiTheme="majorHAnsi" w:hAnsiTheme="majorHAnsi"/>
          <w:color w:val="000000" w:themeColor="text1"/>
          <w:sz w:val="18"/>
          <w:szCs w:val="18"/>
        </w:rPr>
        <w:t>(*) : Estimation pour 2018    (**) : Prévisions</w:t>
      </w:r>
      <w:r w:rsidRPr="00B57F6E">
        <w:rPr>
          <w:rFonts w:asciiTheme="majorHAnsi" w:hAnsiTheme="majorHAnsi"/>
          <w:color w:val="000000" w:themeColor="text1"/>
          <w:sz w:val="18"/>
          <w:szCs w:val="18"/>
          <w:lang w:bidi="ar-MA"/>
        </w:rPr>
        <w:t xml:space="preserve"> établies par le Haut Commissariat au Plan pour 2019. </w:t>
      </w:r>
    </w:p>
    <w:p w:rsidR="00C72ADE" w:rsidRPr="00B57F6E" w:rsidRDefault="00C72ADE" w:rsidP="00C72ADE">
      <w:pPr>
        <w:rPr>
          <w:rFonts w:asciiTheme="majorHAnsi" w:hAnsiTheme="majorHAnsi"/>
          <w:b w:val="0"/>
          <w:color w:val="000000" w:themeColor="text1"/>
          <w:sz w:val="28"/>
          <w:szCs w:val="28"/>
        </w:rPr>
      </w:pPr>
    </w:p>
    <w:p w:rsidR="00C72ADE" w:rsidRPr="00B57F6E" w:rsidRDefault="00C72ADE" w:rsidP="00C72ADE">
      <w:pPr>
        <w:rPr>
          <w:b w:val="0"/>
          <w:color w:val="000000" w:themeColor="text1"/>
        </w:rPr>
      </w:pPr>
    </w:p>
    <w:p w:rsidR="00C72ADE" w:rsidRPr="00B57F6E" w:rsidRDefault="00C72ADE" w:rsidP="00C72ADE">
      <w:pPr>
        <w:rPr>
          <w:color w:val="000000" w:themeColor="text1"/>
          <w:u w:val="single"/>
        </w:rPr>
      </w:pPr>
    </w:p>
    <w:p w:rsidR="00C72ADE" w:rsidRPr="00B57F6E" w:rsidRDefault="00C72ADE" w:rsidP="00C72ADE">
      <w:pPr>
        <w:pStyle w:val="Titre"/>
        <w:tabs>
          <w:tab w:val="left" w:pos="993"/>
        </w:tabs>
        <w:spacing w:before="100" w:beforeAutospacing="1" w:after="100" w:afterAutospacing="1"/>
        <w:ind w:firstLine="284"/>
        <w:contextualSpacing/>
        <w:jc w:val="left"/>
        <w:rPr>
          <w:rFonts w:asciiTheme="majorHAnsi" w:hAnsiTheme="majorHAnsi"/>
          <w:caps/>
          <w:shadow/>
          <w:color w:val="000000" w:themeColor="text1"/>
          <w:kern w:val="16"/>
          <w:sz w:val="30"/>
          <w:szCs w:val="30"/>
          <w:u w:val="single"/>
        </w:rPr>
      </w:pPr>
    </w:p>
    <w:p w:rsidR="00C72ADE" w:rsidRPr="00B57F6E" w:rsidRDefault="00C72ADE" w:rsidP="00C72ADE">
      <w:pPr>
        <w:pStyle w:val="Titre"/>
        <w:tabs>
          <w:tab w:val="left" w:pos="993"/>
        </w:tabs>
        <w:spacing w:before="100" w:beforeAutospacing="1" w:after="100" w:afterAutospacing="1"/>
        <w:ind w:firstLine="284"/>
        <w:contextualSpacing/>
        <w:jc w:val="left"/>
        <w:rPr>
          <w:rFonts w:asciiTheme="majorHAnsi" w:hAnsiTheme="majorHAnsi"/>
          <w:caps/>
          <w:shadow/>
          <w:color w:val="000000" w:themeColor="text1"/>
          <w:kern w:val="16"/>
          <w:sz w:val="30"/>
          <w:szCs w:val="30"/>
          <w:u w:val="single"/>
        </w:rPr>
      </w:pPr>
    </w:p>
    <w:p w:rsidR="00C72ADE" w:rsidRPr="00B57F6E" w:rsidRDefault="00C72ADE" w:rsidP="00C72ADE">
      <w:pPr>
        <w:pStyle w:val="Titre"/>
        <w:tabs>
          <w:tab w:val="left" w:pos="993"/>
        </w:tabs>
        <w:spacing w:before="100" w:beforeAutospacing="1" w:after="100" w:afterAutospacing="1"/>
        <w:ind w:firstLine="284"/>
        <w:contextualSpacing/>
        <w:jc w:val="left"/>
        <w:rPr>
          <w:rFonts w:asciiTheme="majorHAnsi" w:hAnsiTheme="majorHAnsi"/>
          <w:caps/>
          <w:shadow/>
          <w:color w:val="000000" w:themeColor="text1"/>
          <w:kern w:val="16"/>
          <w:sz w:val="30"/>
          <w:szCs w:val="30"/>
          <w:u w:val="single"/>
        </w:rPr>
      </w:pPr>
    </w:p>
    <w:p w:rsidR="00C72ADE" w:rsidRPr="00B57F6E" w:rsidRDefault="00C72ADE" w:rsidP="00C72ADE">
      <w:pPr>
        <w:pStyle w:val="Titre"/>
        <w:tabs>
          <w:tab w:val="left" w:pos="993"/>
        </w:tabs>
        <w:spacing w:before="100" w:beforeAutospacing="1" w:after="100" w:afterAutospacing="1"/>
        <w:ind w:firstLine="284"/>
        <w:contextualSpacing/>
        <w:jc w:val="left"/>
        <w:rPr>
          <w:rFonts w:asciiTheme="majorHAnsi" w:hAnsiTheme="majorHAnsi"/>
          <w:caps/>
          <w:shadow/>
          <w:color w:val="000000" w:themeColor="text1"/>
          <w:kern w:val="16"/>
          <w:sz w:val="30"/>
          <w:szCs w:val="30"/>
          <w:u w:val="single"/>
        </w:rPr>
      </w:pPr>
    </w:p>
    <w:p w:rsidR="00C72ADE" w:rsidRPr="00B57F6E" w:rsidRDefault="00C72ADE" w:rsidP="00C72ADE">
      <w:pPr>
        <w:pStyle w:val="Titre"/>
        <w:tabs>
          <w:tab w:val="left" w:pos="993"/>
        </w:tabs>
        <w:spacing w:before="100" w:beforeAutospacing="1" w:after="100" w:afterAutospacing="1"/>
        <w:ind w:firstLine="284"/>
        <w:contextualSpacing/>
        <w:jc w:val="left"/>
        <w:rPr>
          <w:rFonts w:asciiTheme="majorHAnsi" w:hAnsiTheme="majorHAnsi"/>
          <w:caps/>
          <w:shadow/>
          <w:color w:val="000000" w:themeColor="text1"/>
          <w:kern w:val="16"/>
          <w:sz w:val="30"/>
          <w:szCs w:val="30"/>
          <w:u w:val="single"/>
        </w:rPr>
      </w:pPr>
    </w:p>
    <w:p w:rsidR="00C72ADE" w:rsidRPr="00B57F6E" w:rsidRDefault="00C72ADE" w:rsidP="00C72ADE">
      <w:pPr>
        <w:pStyle w:val="Titre"/>
        <w:tabs>
          <w:tab w:val="left" w:pos="993"/>
        </w:tabs>
        <w:spacing w:before="100" w:beforeAutospacing="1" w:after="100" w:afterAutospacing="1"/>
        <w:ind w:firstLine="284"/>
        <w:contextualSpacing/>
        <w:jc w:val="left"/>
        <w:rPr>
          <w:rFonts w:asciiTheme="majorHAnsi" w:hAnsiTheme="majorHAnsi"/>
          <w:caps/>
          <w:shadow/>
          <w:color w:val="000000" w:themeColor="text1"/>
          <w:kern w:val="16"/>
          <w:sz w:val="30"/>
          <w:szCs w:val="30"/>
          <w:u w:val="single"/>
        </w:rPr>
      </w:pPr>
    </w:p>
    <w:p w:rsidR="00C72ADE" w:rsidRPr="00B57F6E" w:rsidRDefault="00C72ADE" w:rsidP="00C72ADE">
      <w:pPr>
        <w:pStyle w:val="Titre"/>
        <w:tabs>
          <w:tab w:val="left" w:pos="993"/>
        </w:tabs>
        <w:spacing w:before="100" w:beforeAutospacing="1" w:after="100" w:afterAutospacing="1"/>
        <w:ind w:firstLine="284"/>
        <w:contextualSpacing/>
        <w:jc w:val="left"/>
        <w:rPr>
          <w:rFonts w:asciiTheme="majorHAnsi" w:hAnsiTheme="majorHAnsi"/>
          <w:caps/>
          <w:shadow/>
          <w:color w:val="000000" w:themeColor="text1"/>
          <w:kern w:val="16"/>
          <w:sz w:val="30"/>
          <w:szCs w:val="30"/>
          <w:u w:val="single"/>
        </w:rPr>
      </w:pPr>
    </w:p>
    <w:p w:rsidR="00C72ADE" w:rsidRPr="00B57F6E" w:rsidRDefault="00C72ADE" w:rsidP="00C72ADE">
      <w:pPr>
        <w:pStyle w:val="Titre"/>
        <w:tabs>
          <w:tab w:val="left" w:pos="993"/>
        </w:tabs>
        <w:spacing w:before="100" w:beforeAutospacing="1" w:after="100" w:afterAutospacing="1"/>
        <w:ind w:firstLine="284"/>
        <w:contextualSpacing/>
        <w:jc w:val="left"/>
        <w:rPr>
          <w:rFonts w:asciiTheme="majorHAnsi" w:hAnsiTheme="majorHAnsi"/>
          <w:caps/>
          <w:shadow/>
          <w:color w:val="000000" w:themeColor="text1"/>
          <w:kern w:val="16"/>
          <w:sz w:val="30"/>
          <w:szCs w:val="30"/>
          <w:u w:val="single"/>
        </w:rPr>
      </w:pPr>
    </w:p>
    <w:p w:rsidR="00C72ADE" w:rsidRPr="00B57F6E" w:rsidRDefault="00C72ADE" w:rsidP="00C72ADE">
      <w:pPr>
        <w:pStyle w:val="Titre"/>
        <w:tabs>
          <w:tab w:val="left" w:pos="993"/>
        </w:tabs>
        <w:spacing w:before="100" w:beforeAutospacing="1" w:after="100" w:afterAutospacing="1"/>
        <w:ind w:firstLine="284"/>
        <w:contextualSpacing/>
        <w:jc w:val="left"/>
        <w:rPr>
          <w:rFonts w:asciiTheme="majorHAnsi" w:hAnsiTheme="majorHAnsi"/>
          <w:b w:val="0"/>
          <w:bCs w:val="0"/>
          <w:color w:val="000000" w:themeColor="text1"/>
          <w:sz w:val="30"/>
          <w:szCs w:val="30"/>
        </w:rPr>
      </w:pPr>
    </w:p>
    <w:p w:rsidR="00225BA8" w:rsidRPr="00B57F6E" w:rsidRDefault="00225BA8" w:rsidP="00C72ADE">
      <w:pPr>
        <w:pStyle w:val="Titre"/>
        <w:tabs>
          <w:tab w:val="left" w:pos="993"/>
        </w:tabs>
        <w:spacing w:before="100" w:beforeAutospacing="1" w:after="100" w:afterAutospacing="1"/>
        <w:ind w:firstLine="284"/>
        <w:contextualSpacing/>
        <w:rPr>
          <w:rFonts w:asciiTheme="majorHAnsi" w:hAnsiTheme="majorHAnsi"/>
          <w:b w:val="0"/>
          <w:bCs w:val="0"/>
          <w:color w:val="000000" w:themeColor="text1"/>
          <w:sz w:val="30"/>
          <w:szCs w:val="30"/>
        </w:rPr>
      </w:pPr>
    </w:p>
    <w:sectPr w:rsidR="00225BA8" w:rsidRPr="00B57F6E" w:rsidSect="00411EFA">
      <w:footerReference w:type="even" r:id="rId8"/>
      <w:footerReference w:type="default" r:id="rId9"/>
      <w:pgSz w:w="11906" w:h="16838" w:code="9"/>
      <w:pgMar w:top="719" w:right="1418" w:bottom="1418" w:left="1418"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A3A" w:rsidRDefault="00255A3A">
      <w:r>
        <w:separator/>
      </w:r>
    </w:p>
  </w:endnote>
  <w:endnote w:type="continuationSeparator" w:id="1">
    <w:p w:rsidR="00255A3A" w:rsidRDefault="00255A3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GaramondPro-Reg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9E" w:rsidRDefault="009D7DD8" w:rsidP="00625996">
    <w:pPr>
      <w:pStyle w:val="Pieddepage"/>
      <w:framePr w:wrap="around" w:vAnchor="text" w:hAnchor="margin" w:xAlign="center" w:y="1"/>
      <w:rPr>
        <w:rStyle w:val="Numrodepage"/>
      </w:rPr>
    </w:pPr>
    <w:r>
      <w:rPr>
        <w:rStyle w:val="Numrodepage"/>
      </w:rPr>
      <w:fldChar w:fldCharType="begin"/>
    </w:r>
    <w:r w:rsidR="00AB049E">
      <w:rPr>
        <w:rStyle w:val="Numrodepage"/>
      </w:rPr>
      <w:instrText xml:space="preserve">PAGE  </w:instrText>
    </w:r>
    <w:r>
      <w:rPr>
        <w:rStyle w:val="Numrodepage"/>
      </w:rPr>
      <w:fldChar w:fldCharType="end"/>
    </w:r>
  </w:p>
  <w:p w:rsidR="00AB049E" w:rsidRDefault="00AB049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9E" w:rsidRDefault="009D7DD8" w:rsidP="00625996">
    <w:pPr>
      <w:pStyle w:val="Pieddepage"/>
      <w:framePr w:wrap="around" w:vAnchor="text" w:hAnchor="margin" w:xAlign="center" w:y="1"/>
      <w:rPr>
        <w:rStyle w:val="Numrodepage"/>
      </w:rPr>
    </w:pPr>
    <w:r>
      <w:rPr>
        <w:rStyle w:val="Numrodepage"/>
      </w:rPr>
      <w:fldChar w:fldCharType="begin"/>
    </w:r>
    <w:r w:rsidR="00AB049E">
      <w:rPr>
        <w:rStyle w:val="Numrodepage"/>
      </w:rPr>
      <w:instrText xml:space="preserve">PAGE  </w:instrText>
    </w:r>
    <w:r>
      <w:rPr>
        <w:rStyle w:val="Numrodepage"/>
      </w:rPr>
      <w:fldChar w:fldCharType="separate"/>
    </w:r>
    <w:r w:rsidR="00B362C7">
      <w:rPr>
        <w:rStyle w:val="Numrodepage"/>
        <w:noProof/>
      </w:rPr>
      <w:t>8</w:t>
    </w:r>
    <w:r>
      <w:rPr>
        <w:rStyle w:val="Numrodepage"/>
      </w:rPr>
      <w:fldChar w:fldCharType="end"/>
    </w:r>
  </w:p>
  <w:p w:rsidR="00AB049E" w:rsidRDefault="00AB049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A3A" w:rsidRDefault="00255A3A">
      <w:r>
        <w:separator/>
      </w:r>
    </w:p>
  </w:footnote>
  <w:footnote w:type="continuationSeparator" w:id="1">
    <w:p w:rsidR="00255A3A" w:rsidRDefault="00255A3A">
      <w:r>
        <w:continuationSeparator/>
      </w:r>
    </w:p>
  </w:footnote>
  <w:footnote w:id="2">
    <w:p w:rsidR="00AB049E" w:rsidRDefault="00AB049E" w:rsidP="00A963E5">
      <w:pPr>
        <w:pStyle w:val="Notedebasdepage"/>
      </w:pPr>
      <w:r>
        <w:rPr>
          <w:rStyle w:val="Appelnotedebasdep"/>
        </w:rPr>
        <w:footnoteRef/>
      </w:r>
      <w:r>
        <w:t xml:space="preserve">PIB en volume (2010 PPP WEIGHT) selon la Banque mondiale- Janvier 2019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A2F5"/>
      </v:shape>
    </w:pict>
  </w:numPicBullet>
  <w:abstractNum w:abstractNumId="0">
    <w:nsid w:val="05D56805"/>
    <w:multiLevelType w:val="hybridMultilevel"/>
    <w:tmpl w:val="A392BD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A075AB8"/>
    <w:multiLevelType w:val="hybridMultilevel"/>
    <w:tmpl w:val="0BBC6CB6"/>
    <w:lvl w:ilvl="0" w:tplc="031C97B2">
      <w:numFmt w:val="bullet"/>
      <w:lvlText w:val="-"/>
      <w:lvlJc w:val="left"/>
      <w:pPr>
        <w:ind w:left="504" w:hanging="360"/>
      </w:pPr>
      <w:rPr>
        <w:rFonts w:ascii="Cambria" w:eastAsiaTheme="minorHAnsi" w:hAnsi="Cambria" w:cstheme="minorBidi" w:hint="default"/>
      </w:rPr>
    </w:lvl>
    <w:lvl w:ilvl="1" w:tplc="040C0003" w:tentative="1">
      <w:start w:val="1"/>
      <w:numFmt w:val="bullet"/>
      <w:lvlText w:val="o"/>
      <w:lvlJc w:val="left"/>
      <w:pPr>
        <w:ind w:left="1224" w:hanging="360"/>
      </w:pPr>
      <w:rPr>
        <w:rFonts w:ascii="Courier New" w:hAnsi="Courier New" w:cs="Courier New" w:hint="default"/>
      </w:rPr>
    </w:lvl>
    <w:lvl w:ilvl="2" w:tplc="040C0005" w:tentative="1">
      <w:start w:val="1"/>
      <w:numFmt w:val="bullet"/>
      <w:lvlText w:val=""/>
      <w:lvlJc w:val="left"/>
      <w:pPr>
        <w:ind w:left="1944" w:hanging="360"/>
      </w:pPr>
      <w:rPr>
        <w:rFonts w:ascii="Wingdings" w:hAnsi="Wingdings" w:hint="default"/>
      </w:rPr>
    </w:lvl>
    <w:lvl w:ilvl="3" w:tplc="040C0001" w:tentative="1">
      <w:start w:val="1"/>
      <w:numFmt w:val="bullet"/>
      <w:lvlText w:val=""/>
      <w:lvlJc w:val="left"/>
      <w:pPr>
        <w:ind w:left="2664" w:hanging="360"/>
      </w:pPr>
      <w:rPr>
        <w:rFonts w:ascii="Symbol" w:hAnsi="Symbol" w:hint="default"/>
      </w:rPr>
    </w:lvl>
    <w:lvl w:ilvl="4" w:tplc="040C0003" w:tentative="1">
      <w:start w:val="1"/>
      <w:numFmt w:val="bullet"/>
      <w:lvlText w:val="o"/>
      <w:lvlJc w:val="left"/>
      <w:pPr>
        <w:ind w:left="3384" w:hanging="360"/>
      </w:pPr>
      <w:rPr>
        <w:rFonts w:ascii="Courier New" w:hAnsi="Courier New" w:cs="Courier New" w:hint="default"/>
      </w:rPr>
    </w:lvl>
    <w:lvl w:ilvl="5" w:tplc="040C0005" w:tentative="1">
      <w:start w:val="1"/>
      <w:numFmt w:val="bullet"/>
      <w:lvlText w:val=""/>
      <w:lvlJc w:val="left"/>
      <w:pPr>
        <w:ind w:left="4104" w:hanging="360"/>
      </w:pPr>
      <w:rPr>
        <w:rFonts w:ascii="Wingdings" w:hAnsi="Wingdings" w:hint="default"/>
      </w:rPr>
    </w:lvl>
    <w:lvl w:ilvl="6" w:tplc="040C0001" w:tentative="1">
      <w:start w:val="1"/>
      <w:numFmt w:val="bullet"/>
      <w:lvlText w:val=""/>
      <w:lvlJc w:val="left"/>
      <w:pPr>
        <w:ind w:left="4824" w:hanging="360"/>
      </w:pPr>
      <w:rPr>
        <w:rFonts w:ascii="Symbol" w:hAnsi="Symbol" w:hint="default"/>
      </w:rPr>
    </w:lvl>
    <w:lvl w:ilvl="7" w:tplc="040C0003" w:tentative="1">
      <w:start w:val="1"/>
      <w:numFmt w:val="bullet"/>
      <w:lvlText w:val="o"/>
      <w:lvlJc w:val="left"/>
      <w:pPr>
        <w:ind w:left="5544" w:hanging="360"/>
      </w:pPr>
      <w:rPr>
        <w:rFonts w:ascii="Courier New" w:hAnsi="Courier New" w:cs="Courier New" w:hint="default"/>
      </w:rPr>
    </w:lvl>
    <w:lvl w:ilvl="8" w:tplc="040C0005" w:tentative="1">
      <w:start w:val="1"/>
      <w:numFmt w:val="bullet"/>
      <w:lvlText w:val=""/>
      <w:lvlJc w:val="left"/>
      <w:pPr>
        <w:ind w:left="6264" w:hanging="360"/>
      </w:pPr>
      <w:rPr>
        <w:rFonts w:ascii="Wingdings" w:hAnsi="Wingdings" w:hint="default"/>
      </w:rPr>
    </w:lvl>
  </w:abstractNum>
  <w:abstractNum w:abstractNumId="2">
    <w:nsid w:val="0A4F2C18"/>
    <w:multiLevelType w:val="hybridMultilevel"/>
    <w:tmpl w:val="909C154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11751E"/>
    <w:multiLevelType w:val="hybridMultilevel"/>
    <w:tmpl w:val="AC221E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0133E0"/>
    <w:multiLevelType w:val="hybridMultilevel"/>
    <w:tmpl w:val="675A5A16"/>
    <w:lvl w:ilvl="0" w:tplc="040C000F">
      <w:start w:val="4"/>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24AC26CB"/>
    <w:multiLevelType w:val="hybridMultilevel"/>
    <w:tmpl w:val="2814151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254E4F00"/>
    <w:multiLevelType w:val="hybridMultilevel"/>
    <w:tmpl w:val="DA0A4AA4"/>
    <w:lvl w:ilvl="0" w:tplc="040C000F">
      <w:start w:val="1"/>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nsid w:val="264C5A2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167522"/>
    <w:multiLevelType w:val="hybridMultilevel"/>
    <w:tmpl w:val="29A4FF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33B1B1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9796EAC"/>
    <w:multiLevelType w:val="hybridMultilevel"/>
    <w:tmpl w:val="FE6E5B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0C55DF5"/>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1BE3F9A"/>
    <w:multiLevelType w:val="hybridMultilevel"/>
    <w:tmpl w:val="8E3AC7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575A5A6F"/>
    <w:multiLevelType w:val="hybridMultilevel"/>
    <w:tmpl w:val="4366183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nsid w:val="64491BA6"/>
    <w:multiLevelType w:val="hybridMultilevel"/>
    <w:tmpl w:val="E32CB19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55B1E7F"/>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80E398D"/>
    <w:multiLevelType w:val="hybridMultilevel"/>
    <w:tmpl w:val="AE30E8EC"/>
    <w:lvl w:ilvl="0" w:tplc="C66E0AF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5"/>
  </w:num>
  <w:num w:numId="4">
    <w:abstractNumId w:val="7"/>
  </w:num>
  <w:num w:numId="5">
    <w:abstractNumId w:val="16"/>
  </w:num>
  <w:num w:numId="6">
    <w:abstractNumId w:val="1"/>
  </w:num>
  <w:num w:numId="7">
    <w:abstractNumId w:val="10"/>
  </w:num>
  <w:num w:numId="8">
    <w:abstractNumId w:val="5"/>
  </w:num>
  <w:num w:numId="9">
    <w:abstractNumId w:val="8"/>
  </w:num>
  <w:num w:numId="10">
    <w:abstractNumId w:val="14"/>
  </w:num>
  <w:num w:numId="11">
    <w:abstractNumId w:val="3"/>
  </w:num>
  <w:num w:numId="12">
    <w:abstractNumId w:val="13"/>
  </w:num>
  <w:num w:numId="13">
    <w:abstractNumId w:val="12"/>
  </w:num>
  <w:num w:numId="14">
    <w:abstractNumId w:val="11"/>
  </w:num>
  <w:num w:numId="15">
    <w:abstractNumId w:val="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68610"/>
  </w:hdrShapeDefaults>
  <w:footnotePr>
    <w:footnote w:id="0"/>
    <w:footnote w:id="1"/>
  </w:footnotePr>
  <w:endnotePr>
    <w:endnote w:id="0"/>
    <w:endnote w:id="1"/>
  </w:endnotePr>
  <w:compat/>
  <w:rsids>
    <w:rsidRoot w:val="00605B3C"/>
    <w:rsid w:val="000000A3"/>
    <w:rsid w:val="00001181"/>
    <w:rsid w:val="0000171D"/>
    <w:rsid w:val="0000185B"/>
    <w:rsid w:val="00003D85"/>
    <w:rsid w:val="000048E7"/>
    <w:rsid w:val="00004D0B"/>
    <w:rsid w:val="00005F68"/>
    <w:rsid w:val="00006728"/>
    <w:rsid w:val="0000771B"/>
    <w:rsid w:val="000101A5"/>
    <w:rsid w:val="00010B69"/>
    <w:rsid w:val="00010BCB"/>
    <w:rsid w:val="00010D0C"/>
    <w:rsid w:val="0001119C"/>
    <w:rsid w:val="00011B27"/>
    <w:rsid w:val="00011C31"/>
    <w:rsid w:val="0001289F"/>
    <w:rsid w:val="000153D5"/>
    <w:rsid w:val="000160AC"/>
    <w:rsid w:val="00021CFE"/>
    <w:rsid w:val="00022081"/>
    <w:rsid w:val="00022A1A"/>
    <w:rsid w:val="00022E0F"/>
    <w:rsid w:val="000244BE"/>
    <w:rsid w:val="000257B9"/>
    <w:rsid w:val="000327B3"/>
    <w:rsid w:val="00033E3E"/>
    <w:rsid w:val="00034316"/>
    <w:rsid w:val="00035AE8"/>
    <w:rsid w:val="00035BAA"/>
    <w:rsid w:val="00036A80"/>
    <w:rsid w:val="00040550"/>
    <w:rsid w:val="000406C9"/>
    <w:rsid w:val="00040CB3"/>
    <w:rsid w:val="00040DE3"/>
    <w:rsid w:val="00041E60"/>
    <w:rsid w:val="00042BA6"/>
    <w:rsid w:val="00043526"/>
    <w:rsid w:val="00043538"/>
    <w:rsid w:val="00043CB4"/>
    <w:rsid w:val="000442B6"/>
    <w:rsid w:val="00044382"/>
    <w:rsid w:val="00044D2B"/>
    <w:rsid w:val="0004585C"/>
    <w:rsid w:val="00045B54"/>
    <w:rsid w:val="00045D1F"/>
    <w:rsid w:val="00046221"/>
    <w:rsid w:val="000468DA"/>
    <w:rsid w:val="00046C13"/>
    <w:rsid w:val="00050399"/>
    <w:rsid w:val="00050BA0"/>
    <w:rsid w:val="000512B8"/>
    <w:rsid w:val="000519C9"/>
    <w:rsid w:val="00052E2E"/>
    <w:rsid w:val="0005409E"/>
    <w:rsid w:val="0005509F"/>
    <w:rsid w:val="00056239"/>
    <w:rsid w:val="0005757A"/>
    <w:rsid w:val="000623B8"/>
    <w:rsid w:val="000625F2"/>
    <w:rsid w:val="00063219"/>
    <w:rsid w:val="0006321A"/>
    <w:rsid w:val="0006498B"/>
    <w:rsid w:val="00066D1D"/>
    <w:rsid w:val="000671B3"/>
    <w:rsid w:val="00070B55"/>
    <w:rsid w:val="00072434"/>
    <w:rsid w:val="0007255B"/>
    <w:rsid w:val="00072784"/>
    <w:rsid w:val="00073FD8"/>
    <w:rsid w:val="00074B26"/>
    <w:rsid w:val="00074CD8"/>
    <w:rsid w:val="00075840"/>
    <w:rsid w:val="00076FCC"/>
    <w:rsid w:val="000774C9"/>
    <w:rsid w:val="000774D8"/>
    <w:rsid w:val="0008076D"/>
    <w:rsid w:val="00081A78"/>
    <w:rsid w:val="00081DD3"/>
    <w:rsid w:val="0008251A"/>
    <w:rsid w:val="00083079"/>
    <w:rsid w:val="00083CC2"/>
    <w:rsid w:val="00084232"/>
    <w:rsid w:val="000846EF"/>
    <w:rsid w:val="0008599B"/>
    <w:rsid w:val="000861D4"/>
    <w:rsid w:val="00086CD4"/>
    <w:rsid w:val="000870CE"/>
    <w:rsid w:val="00087DF6"/>
    <w:rsid w:val="0009032B"/>
    <w:rsid w:val="0009060A"/>
    <w:rsid w:val="00090DB9"/>
    <w:rsid w:val="00092BDA"/>
    <w:rsid w:val="00093360"/>
    <w:rsid w:val="00093B77"/>
    <w:rsid w:val="00093D25"/>
    <w:rsid w:val="000941EC"/>
    <w:rsid w:val="00095CBB"/>
    <w:rsid w:val="00095D4D"/>
    <w:rsid w:val="000966B7"/>
    <w:rsid w:val="00097A41"/>
    <w:rsid w:val="00097BCD"/>
    <w:rsid w:val="000A053D"/>
    <w:rsid w:val="000A0718"/>
    <w:rsid w:val="000A1096"/>
    <w:rsid w:val="000A12AD"/>
    <w:rsid w:val="000A37CA"/>
    <w:rsid w:val="000A4572"/>
    <w:rsid w:val="000A4885"/>
    <w:rsid w:val="000A5BC3"/>
    <w:rsid w:val="000A6E7F"/>
    <w:rsid w:val="000B03DB"/>
    <w:rsid w:val="000B1B5E"/>
    <w:rsid w:val="000B2605"/>
    <w:rsid w:val="000B2C3A"/>
    <w:rsid w:val="000B3102"/>
    <w:rsid w:val="000B5DD7"/>
    <w:rsid w:val="000B7586"/>
    <w:rsid w:val="000B77B8"/>
    <w:rsid w:val="000C184D"/>
    <w:rsid w:val="000C21A3"/>
    <w:rsid w:val="000C2F9B"/>
    <w:rsid w:val="000C347A"/>
    <w:rsid w:val="000C3900"/>
    <w:rsid w:val="000C4199"/>
    <w:rsid w:val="000C4340"/>
    <w:rsid w:val="000C6077"/>
    <w:rsid w:val="000C624B"/>
    <w:rsid w:val="000C7700"/>
    <w:rsid w:val="000C7A62"/>
    <w:rsid w:val="000D235A"/>
    <w:rsid w:val="000D4433"/>
    <w:rsid w:val="000D5320"/>
    <w:rsid w:val="000D547E"/>
    <w:rsid w:val="000D54D7"/>
    <w:rsid w:val="000D58EF"/>
    <w:rsid w:val="000E107E"/>
    <w:rsid w:val="000E2486"/>
    <w:rsid w:val="000E4010"/>
    <w:rsid w:val="000E4556"/>
    <w:rsid w:val="000E5292"/>
    <w:rsid w:val="000E5E83"/>
    <w:rsid w:val="000E670C"/>
    <w:rsid w:val="000E6E48"/>
    <w:rsid w:val="000E7E50"/>
    <w:rsid w:val="000F05DB"/>
    <w:rsid w:val="000F0871"/>
    <w:rsid w:val="000F103E"/>
    <w:rsid w:val="000F107C"/>
    <w:rsid w:val="000F1834"/>
    <w:rsid w:val="000F22C5"/>
    <w:rsid w:val="000F2BD0"/>
    <w:rsid w:val="000F2D27"/>
    <w:rsid w:val="000F2DDF"/>
    <w:rsid w:val="000F30FE"/>
    <w:rsid w:val="000F4384"/>
    <w:rsid w:val="000F5818"/>
    <w:rsid w:val="001006F8"/>
    <w:rsid w:val="0010162E"/>
    <w:rsid w:val="00102A39"/>
    <w:rsid w:val="0010301E"/>
    <w:rsid w:val="001051C5"/>
    <w:rsid w:val="00105E1D"/>
    <w:rsid w:val="00105F94"/>
    <w:rsid w:val="00106C9C"/>
    <w:rsid w:val="00111343"/>
    <w:rsid w:val="00111BC5"/>
    <w:rsid w:val="00112112"/>
    <w:rsid w:val="00112904"/>
    <w:rsid w:val="001154DD"/>
    <w:rsid w:val="00115B2F"/>
    <w:rsid w:val="00117316"/>
    <w:rsid w:val="00120193"/>
    <w:rsid w:val="0012071C"/>
    <w:rsid w:val="00120E9A"/>
    <w:rsid w:val="00122785"/>
    <w:rsid w:val="0012602E"/>
    <w:rsid w:val="00130C8A"/>
    <w:rsid w:val="00131484"/>
    <w:rsid w:val="0013276B"/>
    <w:rsid w:val="001329B2"/>
    <w:rsid w:val="00133B09"/>
    <w:rsid w:val="0013581C"/>
    <w:rsid w:val="00136FB8"/>
    <w:rsid w:val="0013797D"/>
    <w:rsid w:val="0014355E"/>
    <w:rsid w:val="00143742"/>
    <w:rsid w:val="0014549D"/>
    <w:rsid w:val="001462CB"/>
    <w:rsid w:val="00146CF1"/>
    <w:rsid w:val="001500E1"/>
    <w:rsid w:val="00150C64"/>
    <w:rsid w:val="00150D68"/>
    <w:rsid w:val="00150E8C"/>
    <w:rsid w:val="00153BFD"/>
    <w:rsid w:val="00157690"/>
    <w:rsid w:val="00157F5D"/>
    <w:rsid w:val="00162794"/>
    <w:rsid w:val="0016302E"/>
    <w:rsid w:val="00170A7D"/>
    <w:rsid w:val="0017145B"/>
    <w:rsid w:val="0017175E"/>
    <w:rsid w:val="0017254F"/>
    <w:rsid w:val="00172D73"/>
    <w:rsid w:val="0017375B"/>
    <w:rsid w:val="00173AD1"/>
    <w:rsid w:val="00173FED"/>
    <w:rsid w:val="0017628A"/>
    <w:rsid w:val="001802A2"/>
    <w:rsid w:val="001818CB"/>
    <w:rsid w:val="00182BD3"/>
    <w:rsid w:val="00182FEA"/>
    <w:rsid w:val="0018389B"/>
    <w:rsid w:val="00183C51"/>
    <w:rsid w:val="00185628"/>
    <w:rsid w:val="00186DFD"/>
    <w:rsid w:val="00187AAA"/>
    <w:rsid w:val="00190151"/>
    <w:rsid w:val="00192FF4"/>
    <w:rsid w:val="001940E4"/>
    <w:rsid w:val="001951DA"/>
    <w:rsid w:val="001970A4"/>
    <w:rsid w:val="0019774F"/>
    <w:rsid w:val="001A20EC"/>
    <w:rsid w:val="001A25CD"/>
    <w:rsid w:val="001A25F4"/>
    <w:rsid w:val="001A3266"/>
    <w:rsid w:val="001A35E4"/>
    <w:rsid w:val="001A4050"/>
    <w:rsid w:val="001A420D"/>
    <w:rsid w:val="001A4A8B"/>
    <w:rsid w:val="001A50AE"/>
    <w:rsid w:val="001A5A54"/>
    <w:rsid w:val="001B0FDE"/>
    <w:rsid w:val="001B178E"/>
    <w:rsid w:val="001B3389"/>
    <w:rsid w:val="001B39CF"/>
    <w:rsid w:val="001B3E85"/>
    <w:rsid w:val="001B4DF1"/>
    <w:rsid w:val="001B4FB6"/>
    <w:rsid w:val="001C00A6"/>
    <w:rsid w:val="001C0CFB"/>
    <w:rsid w:val="001C14EE"/>
    <w:rsid w:val="001C2AD1"/>
    <w:rsid w:val="001C2F96"/>
    <w:rsid w:val="001C37E1"/>
    <w:rsid w:val="001C424B"/>
    <w:rsid w:val="001C42D0"/>
    <w:rsid w:val="001C4701"/>
    <w:rsid w:val="001C659C"/>
    <w:rsid w:val="001C66F2"/>
    <w:rsid w:val="001C6898"/>
    <w:rsid w:val="001D0DF4"/>
    <w:rsid w:val="001D23F3"/>
    <w:rsid w:val="001D2E77"/>
    <w:rsid w:val="001D4286"/>
    <w:rsid w:val="001D531A"/>
    <w:rsid w:val="001D61DD"/>
    <w:rsid w:val="001D68D7"/>
    <w:rsid w:val="001D7A2F"/>
    <w:rsid w:val="001E0903"/>
    <w:rsid w:val="001E4165"/>
    <w:rsid w:val="001E55EA"/>
    <w:rsid w:val="001F035E"/>
    <w:rsid w:val="001F0A4E"/>
    <w:rsid w:val="001F3962"/>
    <w:rsid w:val="001F46B4"/>
    <w:rsid w:val="001F58E8"/>
    <w:rsid w:val="001F6052"/>
    <w:rsid w:val="001F6107"/>
    <w:rsid w:val="00200F80"/>
    <w:rsid w:val="00201F5F"/>
    <w:rsid w:val="002023E5"/>
    <w:rsid w:val="00202AB1"/>
    <w:rsid w:val="002037FA"/>
    <w:rsid w:val="00203A05"/>
    <w:rsid w:val="00204AB8"/>
    <w:rsid w:val="00206941"/>
    <w:rsid w:val="00211EE6"/>
    <w:rsid w:val="00213CDC"/>
    <w:rsid w:val="00214E5A"/>
    <w:rsid w:val="0021519B"/>
    <w:rsid w:val="00215E90"/>
    <w:rsid w:val="002161DE"/>
    <w:rsid w:val="0021657F"/>
    <w:rsid w:val="002173DB"/>
    <w:rsid w:val="002200DD"/>
    <w:rsid w:val="0022018B"/>
    <w:rsid w:val="00220E50"/>
    <w:rsid w:val="00225BA8"/>
    <w:rsid w:val="0022638D"/>
    <w:rsid w:val="00226A4B"/>
    <w:rsid w:val="00226A88"/>
    <w:rsid w:val="00226DF7"/>
    <w:rsid w:val="00226F0D"/>
    <w:rsid w:val="0022720A"/>
    <w:rsid w:val="0023243E"/>
    <w:rsid w:val="00233A32"/>
    <w:rsid w:val="00234F97"/>
    <w:rsid w:val="00235124"/>
    <w:rsid w:val="00235223"/>
    <w:rsid w:val="00240090"/>
    <w:rsid w:val="00240867"/>
    <w:rsid w:val="00241888"/>
    <w:rsid w:val="00241A4D"/>
    <w:rsid w:val="00242023"/>
    <w:rsid w:val="00243189"/>
    <w:rsid w:val="0024451A"/>
    <w:rsid w:val="00244A34"/>
    <w:rsid w:val="00245AE1"/>
    <w:rsid w:val="00245D05"/>
    <w:rsid w:val="00246A99"/>
    <w:rsid w:val="00246BB2"/>
    <w:rsid w:val="002514E2"/>
    <w:rsid w:val="00251E90"/>
    <w:rsid w:val="00251EB8"/>
    <w:rsid w:val="00253151"/>
    <w:rsid w:val="002531BD"/>
    <w:rsid w:val="00254A82"/>
    <w:rsid w:val="0025502E"/>
    <w:rsid w:val="00255258"/>
    <w:rsid w:val="00255A3A"/>
    <w:rsid w:val="00256C78"/>
    <w:rsid w:val="00256DF6"/>
    <w:rsid w:val="0025733F"/>
    <w:rsid w:val="002573D6"/>
    <w:rsid w:val="00260352"/>
    <w:rsid w:val="00260C46"/>
    <w:rsid w:val="00260EF8"/>
    <w:rsid w:val="00260F51"/>
    <w:rsid w:val="002629DF"/>
    <w:rsid w:val="00262F72"/>
    <w:rsid w:val="0026335D"/>
    <w:rsid w:val="00263AC6"/>
    <w:rsid w:val="002650C3"/>
    <w:rsid w:val="00265123"/>
    <w:rsid w:val="002651CC"/>
    <w:rsid w:val="00266390"/>
    <w:rsid w:val="00266D5C"/>
    <w:rsid w:val="00267C7B"/>
    <w:rsid w:val="00270649"/>
    <w:rsid w:val="0027216C"/>
    <w:rsid w:val="00272515"/>
    <w:rsid w:val="00274454"/>
    <w:rsid w:val="00274B0D"/>
    <w:rsid w:val="0027510F"/>
    <w:rsid w:val="00275120"/>
    <w:rsid w:val="002772D5"/>
    <w:rsid w:val="002776CC"/>
    <w:rsid w:val="00280930"/>
    <w:rsid w:val="002815D3"/>
    <w:rsid w:val="002818DA"/>
    <w:rsid w:val="00282368"/>
    <w:rsid w:val="00283599"/>
    <w:rsid w:val="00284175"/>
    <w:rsid w:val="00284B57"/>
    <w:rsid w:val="00286C6F"/>
    <w:rsid w:val="00286E73"/>
    <w:rsid w:val="00287F90"/>
    <w:rsid w:val="002914F9"/>
    <w:rsid w:val="002943A8"/>
    <w:rsid w:val="002946F2"/>
    <w:rsid w:val="002950E0"/>
    <w:rsid w:val="0029515E"/>
    <w:rsid w:val="00295464"/>
    <w:rsid w:val="00295629"/>
    <w:rsid w:val="00295F2D"/>
    <w:rsid w:val="002964DA"/>
    <w:rsid w:val="0029687D"/>
    <w:rsid w:val="002976DF"/>
    <w:rsid w:val="002977D6"/>
    <w:rsid w:val="002A18AD"/>
    <w:rsid w:val="002A1996"/>
    <w:rsid w:val="002A1DE5"/>
    <w:rsid w:val="002A26C7"/>
    <w:rsid w:val="002A3E7F"/>
    <w:rsid w:val="002A4CB9"/>
    <w:rsid w:val="002A5ECC"/>
    <w:rsid w:val="002A61C7"/>
    <w:rsid w:val="002A6A34"/>
    <w:rsid w:val="002B0B16"/>
    <w:rsid w:val="002B366A"/>
    <w:rsid w:val="002B48C4"/>
    <w:rsid w:val="002B4F2E"/>
    <w:rsid w:val="002B54CA"/>
    <w:rsid w:val="002B62FC"/>
    <w:rsid w:val="002B6583"/>
    <w:rsid w:val="002B6667"/>
    <w:rsid w:val="002C0AB2"/>
    <w:rsid w:val="002C12D0"/>
    <w:rsid w:val="002C19B5"/>
    <w:rsid w:val="002C19F8"/>
    <w:rsid w:val="002C38EF"/>
    <w:rsid w:val="002C3B2C"/>
    <w:rsid w:val="002C4DD0"/>
    <w:rsid w:val="002C5606"/>
    <w:rsid w:val="002C584D"/>
    <w:rsid w:val="002D2954"/>
    <w:rsid w:val="002D698A"/>
    <w:rsid w:val="002E07C3"/>
    <w:rsid w:val="002E1432"/>
    <w:rsid w:val="002E2360"/>
    <w:rsid w:val="002E37A2"/>
    <w:rsid w:val="002E3DB0"/>
    <w:rsid w:val="002E43C3"/>
    <w:rsid w:val="002E4A4B"/>
    <w:rsid w:val="002E64DA"/>
    <w:rsid w:val="002F0549"/>
    <w:rsid w:val="002F0D29"/>
    <w:rsid w:val="002F2050"/>
    <w:rsid w:val="002F2136"/>
    <w:rsid w:val="002F3497"/>
    <w:rsid w:val="002F35B6"/>
    <w:rsid w:val="002F48EE"/>
    <w:rsid w:val="002F4CE8"/>
    <w:rsid w:val="002F66AC"/>
    <w:rsid w:val="002F6A32"/>
    <w:rsid w:val="00300E9B"/>
    <w:rsid w:val="00301DCE"/>
    <w:rsid w:val="003020EC"/>
    <w:rsid w:val="00302495"/>
    <w:rsid w:val="003037E3"/>
    <w:rsid w:val="00305060"/>
    <w:rsid w:val="003053DF"/>
    <w:rsid w:val="00306B6C"/>
    <w:rsid w:val="00310265"/>
    <w:rsid w:val="00311243"/>
    <w:rsid w:val="003112E6"/>
    <w:rsid w:val="00313C1C"/>
    <w:rsid w:val="00313ED7"/>
    <w:rsid w:val="0031414F"/>
    <w:rsid w:val="00314762"/>
    <w:rsid w:val="00315727"/>
    <w:rsid w:val="00315E7C"/>
    <w:rsid w:val="0031663F"/>
    <w:rsid w:val="00316C86"/>
    <w:rsid w:val="00317E4B"/>
    <w:rsid w:val="003204FB"/>
    <w:rsid w:val="00320C18"/>
    <w:rsid w:val="003221E6"/>
    <w:rsid w:val="00323168"/>
    <w:rsid w:val="00323D1B"/>
    <w:rsid w:val="003267FE"/>
    <w:rsid w:val="003273C8"/>
    <w:rsid w:val="00330386"/>
    <w:rsid w:val="003310BC"/>
    <w:rsid w:val="0033148C"/>
    <w:rsid w:val="00331BA5"/>
    <w:rsid w:val="003320D4"/>
    <w:rsid w:val="00333675"/>
    <w:rsid w:val="00336D61"/>
    <w:rsid w:val="003412AE"/>
    <w:rsid w:val="003415F9"/>
    <w:rsid w:val="003418D6"/>
    <w:rsid w:val="00341F6C"/>
    <w:rsid w:val="00343B68"/>
    <w:rsid w:val="00345158"/>
    <w:rsid w:val="00347342"/>
    <w:rsid w:val="00347D07"/>
    <w:rsid w:val="00350A54"/>
    <w:rsid w:val="003510F3"/>
    <w:rsid w:val="003513A8"/>
    <w:rsid w:val="00351DA5"/>
    <w:rsid w:val="0035323F"/>
    <w:rsid w:val="003533E6"/>
    <w:rsid w:val="00356076"/>
    <w:rsid w:val="00356411"/>
    <w:rsid w:val="00357A78"/>
    <w:rsid w:val="00360367"/>
    <w:rsid w:val="0036176D"/>
    <w:rsid w:val="003629B4"/>
    <w:rsid w:val="00362BE1"/>
    <w:rsid w:val="0036365D"/>
    <w:rsid w:val="003644F2"/>
    <w:rsid w:val="0036464C"/>
    <w:rsid w:val="00365283"/>
    <w:rsid w:val="00366C9F"/>
    <w:rsid w:val="00366E24"/>
    <w:rsid w:val="00366FAE"/>
    <w:rsid w:val="00367161"/>
    <w:rsid w:val="003671E2"/>
    <w:rsid w:val="003704A8"/>
    <w:rsid w:val="00370698"/>
    <w:rsid w:val="00370F9D"/>
    <w:rsid w:val="00371A98"/>
    <w:rsid w:val="00371CF4"/>
    <w:rsid w:val="0037656F"/>
    <w:rsid w:val="00377CC3"/>
    <w:rsid w:val="00380606"/>
    <w:rsid w:val="003812E5"/>
    <w:rsid w:val="0038161F"/>
    <w:rsid w:val="00381AE3"/>
    <w:rsid w:val="00381C4F"/>
    <w:rsid w:val="0038234A"/>
    <w:rsid w:val="00382ACA"/>
    <w:rsid w:val="00384580"/>
    <w:rsid w:val="0038463E"/>
    <w:rsid w:val="00384E08"/>
    <w:rsid w:val="00385557"/>
    <w:rsid w:val="00386A39"/>
    <w:rsid w:val="003901B4"/>
    <w:rsid w:val="003908D3"/>
    <w:rsid w:val="003915A1"/>
    <w:rsid w:val="00391BCE"/>
    <w:rsid w:val="00391D55"/>
    <w:rsid w:val="00392146"/>
    <w:rsid w:val="00393D15"/>
    <w:rsid w:val="0039455A"/>
    <w:rsid w:val="0039494E"/>
    <w:rsid w:val="00394D2F"/>
    <w:rsid w:val="003950E4"/>
    <w:rsid w:val="00395967"/>
    <w:rsid w:val="00397118"/>
    <w:rsid w:val="003A105A"/>
    <w:rsid w:val="003A1110"/>
    <w:rsid w:val="003A1A34"/>
    <w:rsid w:val="003A3975"/>
    <w:rsid w:val="003A4DA3"/>
    <w:rsid w:val="003A5372"/>
    <w:rsid w:val="003A549C"/>
    <w:rsid w:val="003A784E"/>
    <w:rsid w:val="003B1946"/>
    <w:rsid w:val="003B259C"/>
    <w:rsid w:val="003B2BDA"/>
    <w:rsid w:val="003B3DE2"/>
    <w:rsid w:val="003B45E6"/>
    <w:rsid w:val="003B5029"/>
    <w:rsid w:val="003B68C9"/>
    <w:rsid w:val="003B7392"/>
    <w:rsid w:val="003C4982"/>
    <w:rsid w:val="003C5AFE"/>
    <w:rsid w:val="003C5E52"/>
    <w:rsid w:val="003C6552"/>
    <w:rsid w:val="003D0A43"/>
    <w:rsid w:val="003D187B"/>
    <w:rsid w:val="003D1AA3"/>
    <w:rsid w:val="003D2182"/>
    <w:rsid w:val="003D38EF"/>
    <w:rsid w:val="003D55B5"/>
    <w:rsid w:val="003D635D"/>
    <w:rsid w:val="003D63B9"/>
    <w:rsid w:val="003D6A78"/>
    <w:rsid w:val="003E06F8"/>
    <w:rsid w:val="003E2AD6"/>
    <w:rsid w:val="003E2E79"/>
    <w:rsid w:val="003E30C7"/>
    <w:rsid w:val="003E3CD5"/>
    <w:rsid w:val="003E60CC"/>
    <w:rsid w:val="003E64C2"/>
    <w:rsid w:val="003F1D1C"/>
    <w:rsid w:val="003F4AAE"/>
    <w:rsid w:val="003F4D4A"/>
    <w:rsid w:val="003F567C"/>
    <w:rsid w:val="003F5F6E"/>
    <w:rsid w:val="003F6315"/>
    <w:rsid w:val="003F6AC3"/>
    <w:rsid w:val="003F6E20"/>
    <w:rsid w:val="003F6E7D"/>
    <w:rsid w:val="003F7009"/>
    <w:rsid w:val="003F7FFC"/>
    <w:rsid w:val="00400864"/>
    <w:rsid w:val="0040233D"/>
    <w:rsid w:val="00402F84"/>
    <w:rsid w:val="00403605"/>
    <w:rsid w:val="0040698E"/>
    <w:rsid w:val="00406A32"/>
    <w:rsid w:val="004114CB"/>
    <w:rsid w:val="0041188C"/>
    <w:rsid w:val="00411EFA"/>
    <w:rsid w:val="00412CE2"/>
    <w:rsid w:val="00413C66"/>
    <w:rsid w:val="00414E0F"/>
    <w:rsid w:val="00416721"/>
    <w:rsid w:val="00421078"/>
    <w:rsid w:val="00423E38"/>
    <w:rsid w:val="004274B8"/>
    <w:rsid w:val="0042774F"/>
    <w:rsid w:val="00430C49"/>
    <w:rsid w:val="00431377"/>
    <w:rsid w:val="004313A9"/>
    <w:rsid w:val="0043207D"/>
    <w:rsid w:val="004334D1"/>
    <w:rsid w:val="00434125"/>
    <w:rsid w:val="004353A7"/>
    <w:rsid w:val="0043607F"/>
    <w:rsid w:val="004365A8"/>
    <w:rsid w:val="004373FD"/>
    <w:rsid w:val="004403A6"/>
    <w:rsid w:val="004441EC"/>
    <w:rsid w:val="0044445E"/>
    <w:rsid w:val="0044527C"/>
    <w:rsid w:val="00445900"/>
    <w:rsid w:val="00445F48"/>
    <w:rsid w:val="00446DF1"/>
    <w:rsid w:val="00447432"/>
    <w:rsid w:val="00450351"/>
    <w:rsid w:val="00450420"/>
    <w:rsid w:val="00450DAC"/>
    <w:rsid w:val="004510C3"/>
    <w:rsid w:val="004517ED"/>
    <w:rsid w:val="0045183D"/>
    <w:rsid w:val="00452177"/>
    <w:rsid w:val="00452F28"/>
    <w:rsid w:val="0045321C"/>
    <w:rsid w:val="00453975"/>
    <w:rsid w:val="00453DE2"/>
    <w:rsid w:val="00455C56"/>
    <w:rsid w:val="00456A56"/>
    <w:rsid w:val="00460C57"/>
    <w:rsid w:val="00460CDD"/>
    <w:rsid w:val="004632E1"/>
    <w:rsid w:val="00464DE6"/>
    <w:rsid w:val="004663D0"/>
    <w:rsid w:val="004674FB"/>
    <w:rsid w:val="00470845"/>
    <w:rsid w:val="00470F78"/>
    <w:rsid w:val="00471B41"/>
    <w:rsid w:val="004727BB"/>
    <w:rsid w:val="00473F51"/>
    <w:rsid w:val="004751E3"/>
    <w:rsid w:val="004755EC"/>
    <w:rsid w:val="0047583B"/>
    <w:rsid w:val="00477E0D"/>
    <w:rsid w:val="00480174"/>
    <w:rsid w:val="00480AE5"/>
    <w:rsid w:val="00481042"/>
    <w:rsid w:val="00481E85"/>
    <w:rsid w:val="00482024"/>
    <w:rsid w:val="004824FC"/>
    <w:rsid w:val="004826EA"/>
    <w:rsid w:val="00482A65"/>
    <w:rsid w:val="0048400B"/>
    <w:rsid w:val="00484F03"/>
    <w:rsid w:val="0048521B"/>
    <w:rsid w:val="00486B07"/>
    <w:rsid w:val="00487435"/>
    <w:rsid w:val="0048771F"/>
    <w:rsid w:val="004904AE"/>
    <w:rsid w:val="00490889"/>
    <w:rsid w:val="00490F67"/>
    <w:rsid w:val="0049132C"/>
    <w:rsid w:val="00492080"/>
    <w:rsid w:val="00492310"/>
    <w:rsid w:val="004932C6"/>
    <w:rsid w:val="00493852"/>
    <w:rsid w:val="00494F1C"/>
    <w:rsid w:val="00494FB1"/>
    <w:rsid w:val="00496FE4"/>
    <w:rsid w:val="004971E4"/>
    <w:rsid w:val="0049779B"/>
    <w:rsid w:val="004A0D29"/>
    <w:rsid w:val="004A1296"/>
    <w:rsid w:val="004A3514"/>
    <w:rsid w:val="004A6764"/>
    <w:rsid w:val="004A7AF6"/>
    <w:rsid w:val="004B2B98"/>
    <w:rsid w:val="004B3E7E"/>
    <w:rsid w:val="004B46D1"/>
    <w:rsid w:val="004B4BC5"/>
    <w:rsid w:val="004B4FD1"/>
    <w:rsid w:val="004B5D27"/>
    <w:rsid w:val="004C11FF"/>
    <w:rsid w:val="004C2E19"/>
    <w:rsid w:val="004C3178"/>
    <w:rsid w:val="004C3412"/>
    <w:rsid w:val="004C4D45"/>
    <w:rsid w:val="004C541B"/>
    <w:rsid w:val="004C61E7"/>
    <w:rsid w:val="004C6BCA"/>
    <w:rsid w:val="004C71AA"/>
    <w:rsid w:val="004C7F20"/>
    <w:rsid w:val="004D2723"/>
    <w:rsid w:val="004D3467"/>
    <w:rsid w:val="004D43C1"/>
    <w:rsid w:val="004D4BD6"/>
    <w:rsid w:val="004D4DA5"/>
    <w:rsid w:val="004D6142"/>
    <w:rsid w:val="004D62A8"/>
    <w:rsid w:val="004D6BC0"/>
    <w:rsid w:val="004E0149"/>
    <w:rsid w:val="004E128D"/>
    <w:rsid w:val="004E14F9"/>
    <w:rsid w:val="004E2D06"/>
    <w:rsid w:val="004E404C"/>
    <w:rsid w:val="004E474E"/>
    <w:rsid w:val="004E4D63"/>
    <w:rsid w:val="004E5618"/>
    <w:rsid w:val="004E79FD"/>
    <w:rsid w:val="004F0831"/>
    <w:rsid w:val="004F1848"/>
    <w:rsid w:val="004F272E"/>
    <w:rsid w:val="004F32B4"/>
    <w:rsid w:val="004F349B"/>
    <w:rsid w:val="004F36AA"/>
    <w:rsid w:val="004F3905"/>
    <w:rsid w:val="004F4295"/>
    <w:rsid w:val="004F45A0"/>
    <w:rsid w:val="004F73EF"/>
    <w:rsid w:val="004F7803"/>
    <w:rsid w:val="00500F47"/>
    <w:rsid w:val="0050206F"/>
    <w:rsid w:val="005021F1"/>
    <w:rsid w:val="0050316C"/>
    <w:rsid w:val="005033C0"/>
    <w:rsid w:val="00504DBB"/>
    <w:rsid w:val="00505190"/>
    <w:rsid w:val="00505C16"/>
    <w:rsid w:val="00507985"/>
    <w:rsid w:val="00507E5B"/>
    <w:rsid w:val="00511CDE"/>
    <w:rsid w:val="00511E80"/>
    <w:rsid w:val="005128B4"/>
    <w:rsid w:val="005144BF"/>
    <w:rsid w:val="005146C5"/>
    <w:rsid w:val="00514958"/>
    <w:rsid w:val="00514E32"/>
    <w:rsid w:val="005151FD"/>
    <w:rsid w:val="0051526E"/>
    <w:rsid w:val="00515CC4"/>
    <w:rsid w:val="00516020"/>
    <w:rsid w:val="00517BE8"/>
    <w:rsid w:val="00517E73"/>
    <w:rsid w:val="00523013"/>
    <w:rsid w:val="005233D3"/>
    <w:rsid w:val="00524527"/>
    <w:rsid w:val="005256D2"/>
    <w:rsid w:val="00525982"/>
    <w:rsid w:val="005267E0"/>
    <w:rsid w:val="0052788C"/>
    <w:rsid w:val="00531C1B"/>
    <w:rsid w:val="00532163"/>
    <w:rsid w:val="00532A48"/>
    <w:rsid w:val="00533BDC"/>
    <w:rsid w:val="00534A0A"/>
    <w:rsid w:val="00534C4E"/>
    <w:rsid w:val="005352F8"/>
    <w:rsid w:val="00535374"/>
    <w:rsid w:val="00535AB7"/>
    <w:rsid w:val="00535E38"/>
    <w:rsid w:val="00536669"/>
    <w:rsid w:val="00537B07"/>
    <w:rsid w:val="00543863"/>
    <w:rsid w:val="00543D96"/>
    <w:rsid w:val="0055044C"/>
    <w:rsid w:val="00552548"/>
    <w:rsid w:val="00553948"/>
    <w:rsid w:val="00554738"/>
    <w:rsid w:val="00554CB1"/>
    <w:rsid w:val="0055514B"/>
    <w:rsid w:val="005551FD"/>
    <w:rsid w:val="00555326"/>
    <w:rsid w:val="005563A7"/>
    <w:rsid w:val="00556DD7"/>
    <w:rsid w:val="005575D0"/>
    <w:rsid w:val="00557D3C"/>
    <w:rsid w:val="00560F71"/>
    <w:rsid w:val="0056144C"/>
    <w:rsid w:val="00563CE3"/>
    <w:rsid w:val="00563E02"/>
    <w:rsid w:val="00567411"/>
    <w:rsid w:val="00567AC1"/>
    <w:rsid w:val="00567F09"/>
    <w:rsid w:val="0057038B"/>
    <w:rsid w:val="00570C3F"/>
    <w:rsid w:val="0057282A"/>
    <w:rsid w:val="00573437"/>
    <w:rsid w:val="00573DFF"/>
    <w:rsid w:val="00575420"/>
    <w:rsid w:val="00575921"/>
    <w:rsid w:val="005768FC"/>
    <w:rsid w:val="00576EAE"/>
    <w:rsid w:val="005778D1"/>
    <w:rsid w:val="00577941"/>
    <w:rsid w:val="0058013D"/>
    <w:rsid w:val="005805BB"/>
    <w:rsid w:val="005815A2"/>
    <w:rsid w:val="00583135"/>
    <w:rsid w:val="0058397D"/>
    <w:rsid w:val="0058416D"/>
    <w:rsid w:val="00585B09"/>
    <w:rsid w:val="0058607E"/>
    <w:rsid w:val="00587E4C"/>
    <w:rsid w:val="005919D2"/>
    <w:rsid w:val="0059268B"/>
    <w:rsid w:val="005937E1"/>
    <w:rsid w:val="00593F68"/>
    <w:rsid w:val="0059458F"/>
    <w:rsid w:val="00594ADD"/>
    <w:rsid w:val="00594F31"/>
    <w:rsid w:val="0059562A"/>
    <w:rsid w:val="005958CD"/>
    <w:rsid w:val="00595902"/>
    <w:rsid w:val="0059725E"/>
    <w:rsid w:val="0059773B"/>
    <w:rsid w:val="005A00E5"/>
    <w:rsid w:val="005A0646"/>
    <w:rsid w:val="005A0A29"/>
    <w:rsid w:val="005A176B"/>
    <w:rsid w:val="005A1CD5"/>
    <w:rsid w:val="005A221F"/>
    <w:rsid w:val="005A3EA4"/>
    <w:rsid w:val="005A4314"/>
    <w:rsid w:val="005A500A"/>
    <w:rsid w:val="005A5222"/>
    <w:rsid w:val="005A6DCD"/>
    <w:rsid w:val="005A6FAA"/>
    <w:rsid w:val="005B098D"/>
    <w:rsid w:val="005B35DC"/>
    <w:rsid w:val="005B3EFE"/>
    <w:rsid w:val="005B4936"/>
    <w:rsid w:val="005B4D2C"/>
    <w:rsid w:val="005B4DE0"/>
    <w:rsid w:val="005B674A"/>
    <w:rsid w:val="005B6DBF"/>
    <w:rsid w:val="005C05A5"/>
    <w:rsid w:val="005C0F05"/>
    <w:rsid w:val="005C1191"/>
    <w:rsid w:val="005C2445"/>
    <w:rsid w:val="005C247F"/>
    <w:rsid w:val="005C291E"/>
    <w:rsid w:val="005C3534"/>
    <w:rsid w:val="005C3537"/>
    <w:rsid w:val="005C4406"/>
    <w:rsid w:val="005C6F87"/>
    <w:rsid w:val="005C755E"/>
    <w:rsid w:val="005D275D"/>
    <w:rsid w:val="005D2C56"/>
    <w:rsid w:val="005D3880"/>
    <w:rsid w:val="005D59BA"/>
    <w:rsid w:val="005D6EC9"/>
    <w:rsid w:val="005D7EA1"/>
    <w:rsid w:val="005E0512"/>
    <w:rsid w:val="005E077B"/>
    <w:rsid w:val="005E356E"/>
    <w:rsid w:val="005E3B02"/>
    <w:rsid w:val="005E734E"/>
    <w:rsid w:val="005E7E76"/>
    <w:rsid w:val="005F0855"/>
    <w:rsid w:val="005F0A3A"/>
    <w:rsid w:val="005F0EE6"/>
    <w:rsid w:val="005F2B01"/>
    <w:rsid w:val="005F2EDD"/>
    <w:rsid w:val="005F3847"/>
    <w:rsid w:val="005F473B"/>
    <w:rsid w:val="005F5B12"/>
    <w:rsid w:val="005F6716"/>
    <w:rsid w:val="005F7CAB"/>
    <w:rsid w:val="005F7F1B"/>
    <w:rsid w:val="00600035"/>
    <w:rsid w:val="006004A5"/>
    <w:rsid w:val="00601A3F"/>
    <w:rsid w:val="00601A4E"/>
    <w:rsid w:val="00602354"/>
    <w:rsid w:val="006039F2"/>
    <w:rsid w:val="00605290"/>
    <w:rsid w:val="00605B3C"/>
    <w:rsid w:val="00607619"/>
    <w:rsid w:val="006115E6"/>
    <w:rsid w:val="00611DB1"/>
    <w:rsid w:val="006125F0"/>
    <w:rsid w:val="00612903"/>
    <w:rsid w:val="006132AD"/>
    <w:rsid w:val="0061487D"/>
    <w:rsid w:val="006154DF"/>
    <w:rsid w:val="006159A1"/>
    <w:rsid w:val="00617999"/>
    <w:rsid w:val="00620505"/>
    <w:rsid w:val="00620605"/>
    <w:rsid w:val="00620D08"/>
    <w:rsid w:val="006222F6"/>
    <w:rsid w:val="0062276D"/>
    <w:rsid w:val="00625996"/>
    <w:rsid w:val="00625A2F"/>
    <w:rsid w:val="00626194"/>
    <w:rsid w:val="00630DF9"/>
    <w:rsid w:val="00630E82"/>
    <w:rsid w:val="006342F3"/>
    <w:rsid w:val="00635391"/>
    <w:rsid w:val="006355C8"/>
    <w:rsid w:val="00636040"/>
    <w:rsid w:val="00636154"/>
    <w:rsid w:val="00640B47"/>
    <w:rsid w:val="00641A78"/>
    <w:rsid w:val="00641BCD"/>
    <w:rsid w:val="00643E24"/>
    <w:rsid w:val="00644C56"/>
    <w:rsid w:val="00646EF8"/>
    <w:rsid w:val="00647350"/>
    <w:rsid w:val="00650555"/>
    <w:rsid w:val="00653BD6"/>
    <w:rsid w:val="006563EE"/>
    <w:rsid w:val="006578B3"/>
    <w:rsid w:val="00660236"/>
    <w:rsid w:val="00661BE9"/>
    <w:rsid w:val="00662E50"/>
    <w:rsid w:val="0066312A"/>
    <w:rsid w:val="0066433F"/>
    <w:rsid w:val="006643FA"/>
    <w:rsid w:val="00664473"/>
    <w:rsid w:val="006653E7"/>
    <w:rsid w:val="00666146"/>
    <w:rsid w:val="00666948"/>
    <w:rsid w:val="006672DE"/>
    <w:rsid w:val="00671B5B"/>
    <w:rsid w:val="00672806"/>
    <w:rsid w:val="00672A7E"/>
    <w:rsid w:val="00673DBF"/>
    <w:rsid w:val="006755C4"/>
    <w:rsid w:val="00675D6B"/>
    <w:rsid w:val="006804BD"/>
    <w:rsid w:val="00682709"/>
    <w:rsid w:val="006844A3"/>
    <w:rsid w:val="00684F13"/>
    <w:rsid w:val="006854CC"/>
    <w:rsid w:val="00685A00"/>
    <w:rsid w:val="0068606A"/>
    <w:rsid w:val="00686A0B"/>
    <w:rsid w:val="00687A1C"/>
    <w:rsid w:val="0069012A"/>
    <w:rsid w:val="00691B1D"/>
    <w:rsid w:val="00692EB8"/>
    <w:rsid w:val="0069306A"/>
    <w:rsid w:val="00693351"/>
    <w:rsid w:val="00693A23"/>
    <w:rsid w:val="00693DA8"/>
    <w:rsid w:val="006943DC"/>
    <w:rsid w:val="00694566"/>
    <w:rsid w:val="00695097"/>
    <w:rsid w:val="006962A7"/>
    <w:rsid w:val="006968D8"/>
    <w:rsid w:val="00697478"/>
    <w:rsid w:val="00697F5F"/>
    <w:rsid w:val="006A2049"/>
    <w:rsid w:val="006A2D92"/>
    <w:rsid w:val="006A2DD3"/>
    <w:rsid w:val="006A3949"/>
    <w:rsid w:val="006A5634"/>
    <w:rsid w:val="006A67A8"/>
    <w:rsid w:val="006A72A6"/>
    <w:rsid w:val="006A7428"/>
    <w:rsid w:val="006A783A"/>
    <w:rsid w:val="006B0567"/>
    <w:rsid w:val="006B0CDC"/>
    <w:rsid w:val="006B0F37"/>
    <w:rsid w:val="006B10AF"/>
    <w:rsid w:val="006B154A"/>
    <w:rsid w:val="006B2835"/>
    <w:rsid w:val="006B294A"/>
    <w:rsid w:val="006B469E"/>
    <w:rsid w:val="006B47BF"/>
    <w:rsid w:val="006B5020"/>
    <w:rsid w:val="006B5477"/>
    <w:rsid w:val="006C144F"/>
    <w:rsid w:val="006C1B97"/>
    <w:rsid w:val="006C2257"/>
    <w:rsid w:val="006C227D"/>
    <w:rsid w:val="006C3238"/>
    <w:rsid w:val="006C3706"/>
    <w:rsid w:val="006C3CEF"/>
    <w:rsid w:val="006C4BFE"/>
    <w:rsid w:val="006C6321"/>
    <w:rsid w:val="006C6EFB"/>
    <w:rsid w:val="006C71B9"/>
    <w:rsid w:val="006D0A7E"/>
    <w:rsid w:val="006D148C"/>
    <w:rsid w:val="006D1B71"/>
    <w:rsid w:val="006D1E9C"/>
    <w:rsid w:val="006D2A09"/>
    <w:rsid w:val="006D2CA2"/>
    <w:rsid w:val="006D369C"/>
    <w:rsid w:val="006D4087"/>
    <w:rsid w:val="006D5C8A"/>
    <w:rsid w:val="006E1286"/>
    <w:rsid w:val="006E2E06"/>
    <w:rsid w:val="006E4B50"/>
    <w:rsid w:val="006E4BD5"/>
    <w:rsid w:val="006E55E0"/>
    <w:rsid w:val="006E5F29"/>
    <w:rsid w:val="006E72CF"/>
    <w:rsid w:val="006F0431"/>
    <w:rsid w:val="006F094F"/>
    <w:rsid w:val="006F1805"/>
    <w:rsid w:val="006F1CBF"/>
    <w:rsid w:val="006F25E2"/>
    <w:rsid w:val="006F32B6"/>
    <w:rsid w:val="006F3349"/>
    <w:rsid w:val="006F7223"/>
    <w:rsid w:val="00700FB0"/>
    <w:rsid w:val="00701E9A"/>
    <w:rsid w:val="007021B4"/>
    <w:rsid w:val="00702959"/>
    <w:rsid w:val="007041A8"/>
    <w:rsid w:val="00706356"/>
    <w:rsid w:val="00706CED"/>
    <w:rsid w:val="00707175"/>
    <w:rsid w:val="00710501"/>
    <w:rsid w:val="00710A57"/>
    <w:rsid w:val="00712B37"/>
    <w:rsid w:val="00712ECF"/>
    <w:rsid w:val="00714E9D"/>
    <w:rsid w:val="007151FD"/>
    <w:rsid w:val="007152E4"/>
    <w:rsid w:val="00715353"/>
    <w:rsid w:val="007156AA"/>
    <w:rsid w:val="00715E99"/>
    <w:rsid w:val="007204D2"/>
    <w:rsid w:val="00721AFB"/>
    <w:rsid w:val="00723151"/>
    <w:rsid w:val="0072327E"/>
    <w:rsid w:val="00727184"/>
    <w:rsid w:val="007272C7"/>
    <w:rsid w:val="00730DD2"/>
    <w:rsid w:val="00731FAB"/>
    <w:rsid w:val="0073298E"/>
    <w:rsid w:val="007332C7"/>
    <w:rsid w:val="00733CE6"/>
    <w:rsid w:val="007340E7"/>
    <w:rsid w:val="0073425D"/>
    <w:rsid w:val="00734E88"/>
    <w:rsid w:val="00735B9F"/>
    <w:rsid w:val="00735F40"/>
    <w:rsid w:val="007363A5"/>
    <w:rsid w:val="00736C71"/>
    <w:rsid w:val="00736CE1"/>
    <w:rsid w:val="007375FD"/>
    <w:rsid w:val="00737B45"/>
    <w:rsid w:val="00737FEA"/>
    <w:rsid w:val="007400A5"/>
    <w:rsid w:val="00741A70"/>
    <w:rsid w:val="00741CB6"/>
    <w:rsid w:val="007429BC"/>
    <w:rsid w:val="00742CBF"/>
    <w:rsid w:val="00743633"/>
    <w:rsid w:val="00745238"/>
    <w:rsid w:val="00746010"/>
    <w:rsid w:val="00746592"/>
    <w:rsid w:val="00746BC8"/>
    <w:rsid w:val="007512EB"/>
    <w:rsid w:val="0075359A"/>
    <w:rsid w:val="00753E5C"/>
    <w:rsid w:val="007542DB"/>
    <w:rsid w:val="00755894"/>
    <w:rsid w:val="00756100"/>
    <w:rsid w:val="007563CB"/>
    <w:rsid w:val="0075759E"/>
    <w:rsid w:val="0076081F"/>
    <w:rsid w:val="0076094E"/>
    <w:rsid w:val="00761769"/>
    <w:rsid w:val="00765002"/>
    <w:rsid w:val="007655BB"/>
    <w:rsid w:val="00765641"/>
    <w:rsid w:val="00766FC4"/>
    <w:rsid w:val="007702CD"/>
    <w:rsid w:val="00770919"/>
    <w:rsid w:val="00770D0C"/>
    <w:rsid w:val="007711EF"/>
    <w:rsid w:val="007719BE"/>
    <w:rsid w:val="00771CE0"/>
    <w:rsid w:val="00772209"/>
    <w:rsid w:val="00772C66"/>
    <w:rsid w:val="007742ED"/>
    <w:rsid w:val="007749DB"/>
    <w:rsid w:val="00774F6F"/>
    <w:rsid w:val="00775A11"/>
    <w:rsid w:val="007762DC"/>
    <w:rsid w:val="00776D72"/>
    <w:rsid w:val="007774FB"/>
    <w:rsid w:val="00777B26"/>
    <w:rsid w:val="00780936"/>
    <w:rsid w:val="00780C88"/>
    <w:rsid w:val="00781F47"/>
    <w:rsid w:val="007831F2"/>
    <w:rsid w:val="00783499"/>
    <w:rsid w:val="00784BEB"/>
    <w:rsid w:val="00785A6A"/>
    <w:rsid w:val="0078702E"/>
    <w:rsid w:val="007871DA"/>
    <w:rsid w:val="00787384"/>
    <w:rsid w:val="00790E62"/>
    <w:rsid w:val="00791588"/>
    <w:rsid w:val="0079170F"/>
    <w:rsid w:val="007924D8"/>
    <w:rsid w:val="00793F7E"/>
    <w:rsid w:val="0079479E"/>
    <w:rsid w:val="00796B8A"/>
    <w:rsid w:val="007971CA"/>
    <w:rsid w:val="007A0666"/>
    <w:rsid w:val="007A1045"/>
    <w:rsid w:val="007A10A1"/>
    <w:rsid w:val="007A1DF8"/>
    <w:rsid w:val="007A1E6E"/>
    <w:rsid w:val="007A20E5"/>
    <w:rsid w:val="007A30A6"/>
    <w:rsid w:val="007A40F1"/>
    <w:rsid w:val="007A4FE1"/>
    <w:rsid w:val="007A5779"/>
    <w:rsid w:val="007A70E2"/>
    <w:rsid w:val="007A7561"/>
    <w:rsid w:val="007A77A4"/>
    <w:rsid w:val="007A7AFB"/>
    <w:rsid w:val="007B0697"/>
    <w:rsid w:val="007B07D4"/>
    <w:rsid w:val="007B1A7E"/>
    <w:rsid w:val="007B25E0"/>
    <w:rsid w:val="007B34A0"/>
    <w:rsid w:val="007B3624"/>
    <w:rsid w:val="007B406B"/>
    <w:rsid w:val="007B40D6"/>
    <w:rsid w:val="007B43F3"/>
    <w:rsid w:val="007B79F1"/>
    <w:rsid w:val="007C052F"/>
    <w:rsid w:val="007C1820"/>
    <w:rsid w:val="007C2117"/>
    <w:rsid w:val="007C372D"/>
    <w:rsid w:val="007C4BC9"/>
    <w:rsid w:val="007C5509"/>
    <w:rsid w:val="007C5B3F"/>
    <w:rsid w:val="007C5F86"/>
    <w:rsid w:val="007C600B"/>
    <w:rsid w:val="007C7127"/>
    <w:rsid w:val="007C7443"/>
    <w:rsid w:val="007D0951"/>
    <w:rsid w:val="007D1025"/>
    <w:rsid w:val="007D14AD"/>
    <w:rsid w:val="007D15CE"/>
    <w:rsid w:val="007D19EF"/>
    <w:rsid w:val="007D2B08"/>
    <w:rsid w:val="007D499E"/>
    <w:rsid w:val="007D4A6D"/>
    <w:rsid w:val="007D55C2"/>
    <w:rsid w:val="007D5DEE"/>
    <w:rsid w:val="007D6AE6"/>
    <w:rsid w:val="007E2E14"/>
    <w:rsid w:val="007E3661"/>
    <w:rsid w:val="007E4EB3"/>
    <w:rsid w:val="007E5AF9"/>
    <w:rsid w:val="007F1B2E"/>
    <w:rsid w:val="007F2692"/>
    <w:rsid w:val="007F29A4"/>
    <w:rsid w:val="007F2E1B"/>
    <w:rsid w:val="007F396D"/>
    <w:rsid w:val="007F3C3F"/>
    <w:rsid w:val="007F53C1"/>
    <w:rsid w:val="007F5B07"/>
    <w:rsid w:val="007F5EDC"/>
    <w:rsid w:val="007F6138"/>
    <w:rsid w:val="007F63C8"/>
    <w:rsid w:val="0080068E"/>
    <w:rsid w:val="0080168E"/>
    <w:rsid w:val="008032D3"/>
    <w:rsid w:val="008060F0"/>
    <w:rsid w:val="008061BB"/>
    <w:rsid w:val="00806BFA"/>
    <w:rsid w:val="00810234"/>
    <w:rsid w:val="00812081"/>
    <w:rsid w:val="00813620"/>
    <w:rsid w:val="008145C0"/>
    <w:rsid w:val="00814EBB"/>
    <w:rsid w:val="00815617"/>
    <w:rsid w:val="0081580A"/>
    <w:rsid w:val="00815F01"/>
    <w:rsid w:val="00816998"/>
    <w:rsid w:val="00816C74"/>
    <w:rsid w:val="008218ED"/>
    <w:rsid w:val="0082194D"/>
    <w:rsid w:val="0082397C"/>
    <w:rsid w:val="00823EBA"/>
    <w:rsid w:val="0082432B"/>
    <w:rsid w:val="00826043"/>
    <w:rsid w:val="00830090"/>
    <w:rsid w:val="00830981"/>
    <w:rsid w:val="00830A41"/>
    <w:rsid w:val="00832BBA"/>
    <w:rsid w:val="00833262"/>
    <w:rsid w:val="0083353F"/>
    <w:rsid w:val="00834AF9"/>
    <w:rsid w:val="00836F72"/>
    <w:rsid w:val="008371DF"/>
    <w:rsid w:val="00837454"/>
    <w:rsid w:val="00837C00"/>
    <w:rsid w:val="00840D4C"/>
    <w:rsid w:val="008429FD"/>
    <w:rsid w:val="00844CA7"/>
    <w:rsid w:val="0084599E"/>
    <w:rsid w:val="0084682D"/>
    <w:rsid w:val="00846C96"/>
    <w:rsid w:val="008500FB"/>
    <w:rsid w:val="00850260"/>
    <w:rsid w:val="00851009"/>
    <w:rsid w:val="00851141"/>
    <w:rsid w:val="00851157"/>
    <w:rsid w:val="0085240B"/>
    <w:rsid w:val="008528C6"/>
    <w:rsid w:val="008534E3"/>
    <w:rsid w:val="00854A40"/>
    <w:rsid w:val="00857B52"/>
    <w:rsid w:val="0086063C"/>
    <w:rsid w:val="00860A99"/>
    <w:rsid w:val="00861B28"/>
    <w:rsid w:val="008625CE"/>
    <w:rsid w:val="008628A3"/>
    <w:rsid w:val="00862F05"/>
    <w:rsid w:val="00862F83"/>
    <w:rsid w:val="008635BD"/>
    <w:rsid w:val="0086426C"/>
    <w:rsid w:val="00865BC3"/>
    <w:rsid w:val="008677BC"/>
    <w:rsid w:val="00870D44"/>
    <w:rsid w:val="00870E1D"/>
    <w:rsid w:val="00871C30"/>
    <w:rsid w:val="00871CA9"/>
    <w:rsid w:val="0087325C"/>
    <w:rsid w:val="00873DC4"/>
    <w:rsid w:val="00876A01"/>
    <w:rsid w:val="00876B38"/>
    <w:rsid w:val="00877020"/>
    <w:rsid w:val="008829DB"/>
    <w:rsid w:val="008836CC"/>
    <w:rsid w:val="00884640"/>
    <w:rsid w:val="00885F48"/>
    <w:rsid w:val="008875BC"/>
    <w:rsid w:val="00892C16"/>
    <w:rsid w:val="00893144"/>
    <w:rsid w:val="00893402"/>
    <w:rsid w:val="00893FE9"/>
    <w:rsid w:val="00895316"/>
    <w:rsid w:val="00895992"/>
    <w:rsid w:val="00895DFF"/>
    <w:rsid w:val="00896AF2"/>
    <w:rsid w:val="00896DDD"/>
    <w:rsid w:val="008971ED"/>
    <w:rsid w:val="008A0850"/>
    <w:rsid w:val="008A0E65"/>
    <w:rsid w:val="008A0EC3"/>
    <w:rsid w:val="008A1F88"/>
    <w:rsid w:val="008A2697"/>
    <w:rsid w:val="008A3373"/>
    <w:rsid w:val="008A384F"/>
    <w:rsid w:val="008A3DFF"/>
    <w:rsid w:val="008A3EDA"/>
    <w:rsid w:val="008A54EB"/>
    <w:rsid w:val="008A5F02"/>
    <w:rsid w:val="008A758F"/>
    <w:rsid w:val="008A7E82"/>
    <w:rsid w:val="008A7E8C"/>
    <w:rsid w:val="008B1DED"/>
    <w:rsid w:val="008B3335"/>
    <w:rsid w:val="008B42C6"/>
    <w:rsid w:val="008B449C"/>
    <w:rsid w:val="008B5C8B"/>
    <w:rsid w:val="008B714F"/>
    <w:rsid w:val="008C03E1"/>
    <w:rsid w:val="008C16FE"/>
    <w:rsid w:val="008C537D"/>
    <w:rsid w:val="008C771D"/>
    <w:rsid w:val="008D1DD9"/>
    <w:rsid w:val="008D2AA1"/>
    <w:rsid w:val="008D340C"/>
    <w:rsid w:val="008D35C9"/>
    <w:rsid w:val="008D371A"/>
    <w:rsid w:val="008D5125"/>
    <w:rsid w:val="008D51E2"/>
    <w:rsid w:val="008D5527"/>
    <w:rsid w:val="008D6F26"/>
    <w:rsid w:val="008D79B0"/>
    <w:rsid w:val="008E1CBE"/>
    <w:rsid w:val="008E2E39"/>
    <w:rsid w:val="008E32DA"/>
    <w:rsid w:val="008E35F0"/>
    <w:rsid w:val="008E4353"/>
    <w:rsid w:val="008E52CE"/>
    <w:rsid w:val="008E55E2"/>
    <w:rsid w:val="008E6A41"/>
    <w:rsid w:val="008F0CDC"/>
    <w:rsid w:val="008F2860"/>
    <w:rsid w:val="008F2ACD"/>
    <w:rsid w:val="008F2C86"/>
    <w:rsid w:val="008F3418"/>
    <w:rsid w:val="008F7023"/>
    <w:rsid w:val="00900240"/>
    <w:rsid w:val="009011EE"/>
    <w:rsid w:val="0090165C"/>
    <w:rsid w:val="00901A7C"/>
    <w:rsid w:val="00904109"/>
    <w:rsid w:val="00904362"/>
    <w:rsid w:val="00906253"/>
    <w:rsid w:val="009071E8"/>
    <w:rsid w:val="00911B11"/>
    <w:rsid w:val="00911E40"/>
    <w:rsid w:val="0091287C"/>
    <w:rsid w:val="009143F7"/>
    <w:rsid w:val="009159F0"/>
    <w:rsid w:val="00920BD3"/>
    <w:rsid w:val="00920EE1"/>
    <w:rsid w:val="00920F3C"/>
    <w:rsid w:val="00921498"/>
    <w:rsid w:val="00921B51"/>
    <w:rsid w:val="00922E85"/>
    <w:rsid w:val="009231E4"/>
    <w:rsid w:val="009231FE"/>
    <w:rsid w:val="009232E1"/>
    <w:rsid w:val="00923D46"/>
    <w:rsid w:val="009244A5"/>
    <w:rsid w:val="00926334"/>
    <w:rsid w:val="009263E7"/>
    <w:rsid w:val="009278FE"/>
    <w:rsid w:val="00930CEC"/>
    <w:rsid w:val="00930EB8"/>
    <w:rsid w:val="00932635"/>
    <w:rsid w:val="00932FE8"/>
    <w:rsid w:val="0093513C"/>
    <w:rsid w:val="009400C3"/>
    <w:rsid w:val="00940905"/>
    <w:rsid w:val="00940C70"/>
    <w:rsid w:val="009423EA"/>
    <w:rsid w:val="00942B70"/>
    <w:rsid w:val="009432DA"/>
    <w:rsid w:val="0094488B"/>
    <w:rsid w:val="009456FF"/>
    <w:rsid w:val="009459B0"/>
    <w:rsid w:val="009467C4"/>
    <w:rsid w:val="00947A8F"/>
    <w:rsid w:val="009500D8"/>
    <w:rsid w:val="00950BE4"/>
    <w:rsid w:val="00952C29"/>
    <w:rsid w:val="00953DA2"/>
    <w:rsid w:val="009551ED"/>
    <w:rsid w:val="00960AAB"/>
    <w:rsid w:val="00961715"/>
    <w:rsid w:val="00961ECA"/>
    <w:rsid w:val="0096213B"/>
    <w:rsid w:val="009645A3"/>
    <w:rsid w:val="009645FC"/>
    <w:rsid w:val="0096468B"/>
    <w:rsid w:val="00964C5A"/>
    <w:rsid w:val="0097024E"/>
    <w:rsid w:val="009711FD"/>
    <w:rsid w:val="00971860"/>
    <w:rsid w:val="0097196F"/>
    <w:rsid w:val="009722C2"/>
    <w:rsid w:val="00974014"/>
    <w:rsid w:val="009749CE"/>
    <w:rsid w:val="00976293"/>
    <w:rsid w:val="00976EC1"/>
    <w:rsid w:val="00977766"/>
    <w:rsid w:val="009806D1"/>
    <w:rsid w:val="00982563"/>
    <w:rsid w:val="00982DE3"/>
    <w:rsid w:val="00982E29"/>
    <w:rsid w:val="0098467F"/>
    <w:rsid w:val="00984AA5"/>
    <w:rsid w:val="00985D62"/>
    <w:rsid w:val="00990373"/>
    <w:rsid w:val="00990CC6"/>
    <w:rsid w:val="009929E3"/>
    <w:rsid w:val="0099387F"/>
    <w:rsid w:val="00994402"/>
    <w:rsid w:val="009948AB"/>
    <w:rsid w:val="0099523F"/>
    <w:rsid w:val="00995B5B"/>
    <w:rsid w:val="00995F93"/>
    <w:rsid w:val="00996EB5"/>
    <w:rsid w:val="009A25C1"/>
    <w:rsid w:val="009A2F20"/>
    <w:rsid w:val="009A3E8D"/>
    <w:rsid w:val="009A4F5E"/>
    <w:rsid w:val="009A7AA8"/>
    <w:rsid w:val="009B019E"/>
    <w:rsid w:val="009B03E0"/>
    <w:rsid w:val="009B082E"/>
    <w:rsid w:val="009B182F"/>
    <w:rsid w:val="009B18BD"/>
    <w:rsid w:val="009B474E"/>
    <w:rsid w:val="009B47F7"/>
    <w:rsid w:val="009B4EDF"/>
    <w:rsid w:val="009B4FAA"/>
    <w:rsid w:val="009B7A22"/>
    <w:rsid w:val="009C2D98"/>
    <w:rsid w:val="009C343C"/>
    <w:rsid w:val="009C34E3"/>
    <w:rsid w:val="009C3DBE"/>
    <w:rsid w:val="009C3DC0"/>
    <w:rsid w:val="009C5CDB"/>
    <w:rsid w:val="009C6AED"/>
    <w:rsid w:val="009C75AA"/>
    <w:rsid w:val="009C76B7"/>
    <w:rsid w:val="009C7D66"/>
    <w:rsid w:val="009D2EF1"/>
    <w:rsid w:val="009D2F0D"/>
    <w:rsid w:val="009D4643"/>
    <w:rsid w:val="009D5BD8"/>
    <w:rsid w:val="009D5D64"/>
    <w:rsid w:val="009D6A4A"/>
    <w:rsid w:val="009D7DD8"/>
    <w:rsid w:val="009E0AAC"/>
    <w:rsid w:val="009E1FE3"/>
    <w:rsid w:val="009E3016"/>
    <w:rsid w:val="009E4E38"/>
    <w:rsid w:val="009E6CDE"/>
    <w:rsid w:val="009F0459"/>
    <w:rsid w:val="009F184A"/>
    <w:rsid w:val="009F1C42"/>
    <w:rsid w:val="009F2940"/>
    <w:rsid w:val="009F32A7"/>
    <w:rsid w:val="009F3F6A"/>
    <w:rsid w:val="009F4D65"/>
    <w:rsid w:val="009F5ABB"/>
    <w:rsid w:val="009F7707"/>
    <w:rsid w:val="00A02413"/>
    <w:rsid w:val="00A05334"/>
    <w:rsid w:val="00A06951"/>
    <w:rsid w:val="00A06C83"/>
    <w:rsid w:val="00A07186"/>
    <w:rsid w:val="00A10553"/>
    <w:rsid w:val="00A116FC"/>
    <w:rsid w:val="00A11716"/>
    <w:rsid w:val="00A1182D"/>
    <w:rsid w:val="00A140FD"/>
    <w:rsid w:val="00A146D9"/>
    <w:rsid w:val="00A14728"/>
    <w:rsid w:val="00A14A73"/>
    <w:rsid w:val="00A15145"/>
    <w:rsid w:val="00A1571D"/>
    <w:rsid w:val="00A210B2"/>
    <w:rsid w:val="00A25773"/>
    <w:rsid w:val="00A26269"/>
    <w:rsid w:val="00A2705A"/>
    <w:rsid w:val="00A30BD9"/>
    <w:rsid w:val="00A31C83"/>
    <w:rsid w:val="00A32CD3"/>
    <w:rsid w:val="00A365B4"/>
    <w:rsid w:val="00A36658"/>
    <w:rsid w:val="00A36EC8"/>
    <w:rsid w:val="00A37136"/>
    <w:rsid w:val="00A37BAC"/>
    <w:rsid w:val="00A4106A"/>
    <w:rsid w:val="00A41900"/>
    <w:rsid w:val="00A4305C"/>
    <w:rsid w:val="00A44720"/>
    <w:rsid w:val="00A44E78"/>
    <w:rsid w:val="00A46D6D"/>
    <w:rsid w:val="00A477AA"/>
    <w:rsid w:val="00A5043F"/>
    <w:rsid w:val="00A51978"/>
    <w:rsid w:val="00A5284B"/>
    <w:rsid w:val="00A52D5D"/>
    <w:rsid w:val="00A53589"/>
    <w:rsid w:val="00A53884"/>
    <w:rsid w:val="00A542BF"/>
    <w:rsid w:val="00A5430D"/>
    <w:rsid w:val="00A5515E"/>
    <w:rsid w:val="00A575B9"/>
    <w:rsid w:val="00A61F03"/>
    <w:rsid w:val="00A6227C"/>
    <w:rsid w:val="00A63359"/>
    <w:rsid w:val="00A6388B"/>
    <w:rsid w:val="00A63FDD"/>
    <w:rsid w:val="00A65568"/>
    <w:rsid w:val="00A65813"/>
    <w:rsid w:val="00A65ACF"/>
    <w:rsid w:val="00A660C9"/>
    <w:rsid w:val="00A66CE2"/>
    <w:rsid w:val="00A66FC3"/>
    <w:rsid w:val="00A72113"/>
    <w:rsid w:val="00A72A9B"/>
    <w:rsid w:val="00A72C2E"/>
    <w:rsid w:val="00A76A05"/>
    <w:rsid w:val="00A76DFF"/>
    <w:rsid w:val="00A77490"/>
    <w:rsid w:val="00A77C28"/>
    <w:rsid w:val="00A81536"/>
    <w:rsid w:val="00A82724"/>
    <w:rsid w:val="00A8296B"/>
    <w:rsid w:val="00A8367E"/>
    <w:rsid w:val="00A83685"/>
    <w:rsid w:val="00A83966"/>
    <w:rsid w:val="00A84C2B"/>
    <w:rsid w:val="00A8757A"/>
    <w:rsid w:val="00A878EA"/>
    <w:rsid w:val="00A87EB2"/>
    <w:rsid w:val="00A905E2"/>
    <w:rsid w:val="00A91772"/>
    <w:rsid w:val="00A93300"/>
    <w:rsid w:val="00A93412"/>
    <w:rsid w:val="00A93A7D"/>
    <w:rsid w:val="00A93C4E"/>
    <w:rsid w:val="00A941A5"/>
    <w:rsid w:val="00A94B3D"/>
    <w:rsid w:val="00A963AE"/>
    <w:rsid w:val="00A963E5"/>
    <w:rsid w:val="00AA0071"/>
    <w:rsid w:val="00AA01FC"/>
    <w:rsid w:val="00AA15AE"/>
    <w:rsid w:val="00AA1E6C"/>
    <w:rsid w:val="00AA34F5"/>
    <w:rsid w:val="00AA39A2"/>
    <w:rsid w:val="00AA465C"/>
    <w:rsid w:val="00AA48E7"/>
    <w:rsid w:val="00AA529D"/>
    <w:rsid w:val="00AA616C"/>
    <w:rsid w:val="00AA6B91"/>
    <w:rsid w:val="00AA75A8"/>
    <w:rsid w:val="00AB049E"/>
    <w:rsid w:val="00AB10FE"/>
    <w:rsid w:val="00AB24DA"/>
    <w:rsid w:val="00AB2AFF"/>
    <w:rsid w:val="00AB3375"/>
    <w:rsid w:val="00AB4E07"/>
    <w:rsid w:val="00AB509D"/>
    <w:rsid w:val="00AB63C5"/>
    <w:rsid w:val="00AB6EAB"/>
    <w:rsid w:val="00AB740B"/>
    <w:rsid w:val="00AC0EAB"/>
    <w:rsid w:val="00AC149A"/>
    <w:rsid w:val="00AC1FF5"/>
    <w:rsid w:val="00AC2091"/>
    <w:rsid w:val="00AC2570"/>
    <w:rsid w:val="00AC4363"/>
    <w:rsid w:val="00AC4B3D"/>
    <w:rsid w:val="00AC4D53"/>
    <w:rsid w:val="00AC6850"/>
    <w:rsid w:val="00AD0788"/>
    <w:rsid w:val="00AD18D3"/>
    <w:rsid w:val="00AD2417"/>
    <w:rsid w:val="00AD2491"/>
    <w:rsid w:val="00AD2B4E"/>
    <w:rsid w:val="00AD2D27"/>
    <w:rsid w:val="00AD3496"/>
    <w:rsid w:val="00AD3C08"/>
    <w:rsid w:val="00AD3E12"/>
    <w:rsid w:val="00AD46E8"/>
    <w:rsid w:val="00AD6855"/>
    <w:rsid w:val="00AD6888"/>
    <w:rsid w:val="00AD78E3"/>
    <w:rsid w:val="00AD7B1B"/>
    <w:rsid w:val="00AE09F2"/>
    <w:rsid w:val="00AE1E9C"/>
    <w:rsid w:val="00AE21DC"/>
    <w:rsid w:val="00AE2471"/>
    <w:rsid w:val="00AE3608"/>
    <w:rsid w:val="00AE392C"/>
    <w:rsid w:val="00AE3A45"/>
    <w:rsid w:val="00AE5091"/>
    <w:rsid w:val="00AE663E"/>
    <w:rsid w:val="00AE704A"/>
    <w:rsid w:val="00AF341C"/>
    <w:rsid w:val="00AF35D3"/>
    <w:rsid w:val="00AF3813"/>
    <w:rsid w:val="00AF59BD"/>
    <w:rsid w:val="00AF5F04"/>
    <w:rsid w:val="00AF6E0A"/>
    <w:rsid w:val="00AF7AED"/>
    <w:rsid w:val="00B00173"/>
    <w:rsid w:val="00B0017E"/>
    <w:rsid w:val="00B00690"/>
    <w:rsid w:val="00B01F07"/>
    <w:rsid w:val="00B02529"/>
    <w:rsid w:val="00B02795"/>
    <w:rsid w:val="00B029EA"/>
    <w:rsid w:val="00B044D7"/>
    <w:rsid w:val="00B04942"/>
    <w:rsid w:val="00B04DFB"/>
    <w:rsid w:val="00B05ABC"/>
    <w:rsid w:val="00B064A0"/>
    <w:rsid w:val="00B07E2F"/>
    <w:rsid w:val="00B10677"/>
    <w:rsid w:val="00B10779"/>
    <w:rsid w:val="00B139FB"/>
    <w:rsid w:val="00B1467A"/>
    <w:rsid w:val="00B147D3"/>
    <w:rsid w:val="00B15C66"/>
    <w:rsid w:val="00B16393"/>
    <w:rsid w:val="00B16758"/>
    <w:rsid w:val="00B168ED"/>
    <w:rsid w:val="00B16941"/>
    <w:rsid w:val="00B16BC8"/>
    <w:rsid w:val="00B17D00"/>
    <w:rsid w:val="00B204D8"/>
    <w:rsid w:val="00B20C25"/>
    <w:rsid w:val="00B211C4"/>
    <w:rsid w:val="00B21F76"/>
    <w:rsid w:val="00B253E4"/>
    <w:rsid w:val="00B32260"/>
    <w:rsid w:val="00B32DA2"/>
    <w:rsid w:val="00B33865"/>
    <w:rsid w:val="00B3488A"/>
    <w:rsid w:val="00B35D59"/>
    <w:rsid w:val="00B362C7"/>
    <w:rsid w:val="00B401AC"/>
    <w:rsid w:val="00B42A1E"/>
    <w:rsid w:val="00B46C9A"/>
    <w:rsid w:val="00B46E69"/>
    <w:rsid w:val="00B47561"/>
    <w:rsid w:val="00B478F1"/>
    <w:rsid w:val="00B4793D"/>
    <w:rsid w:val="00B502F4"/>
    <w:rsid w:val="00B533ED"/>
    <w:rsid w:val="00B5438F"/>
    <w:rsid w:val="00B5584A"/>
    <w:rsid w:val="00B55EC8"/>
    <w:rsid w:val="00B562BB"/>
    <w:rsid w:val="00B57A3A"/>
    <w:rsid w:val="00B57F6E"/>
    <w:rsid w:val="00B602EA"/>
    <w:rsid w:val="00B61E28"/>
    <w:rsid w:val="00B61EC6"/>
    <w:rsid w:val="00B626AE"/>
    <w:rsid w:val="00B62B37"/>
    <w:rsid w:val="00B64055"/>
    <w:rsid w:val="00B6455F"/>
    <w:rsid w:val="00B67658"/>
    <w:rsid w:val="00B70381"/>
    <w:rsid w:val="00B71658"/>
    <w:rsid w:val="00B7190C"/>
    <w:rsid w:val="00B7213D"/>
    <w:rsid w:val="00B72BEB"/>
    <w:rsid w:val="00B72C85"/>
    <w:rsid w:val="00B73D8F"/>
    <w:rsid w:val="00B740A7"/>
    <w:rsid w:val="00B749D1"/>
    <w:rsid w:val="00B75DB8"/>
    <w:rsid w:val="00B763AF"/>
    <w:rsid w:val="00B80359"/>
    <w:rsid w:val="00B80975"/>
    <w:rsid w:val="00B82B0C"/>
    <w:rsid w:val="00B85AB8"/>
    <w:rsid w:val="00B86364"/>
    <w:rsid w:val="00B878E4"/>
    <w:rsid w:val="00B87F3B"/>
    <w:rsid w:val="00B90FEC"/>
    <w:rsid w:val="00B91870"/>
    <w:rsid w:val="00B92780"/>
    <w:rsid w:val="00B92CC8"/>
    <w:rsid w:val="00B92FEA"/>
    <w:rsid w:val="00B948B6"/>
    <w:rsid w:val="00B95E03"/>
    <w:rsid w:val="00B95E6E"/>
    <w:rsid w:val="00B9699D"/>
    <w:rsid w:val="00B96D66"/>
    <w:rsid w:val="00B97937"/>
    <w:rsid w:val="00BA1454"/>
    <w:rsid w:val="00BA2BA8"/>
    <w:rsid w:val="00BA2CD9"/>
    <w:rsid w:val="00BA36E6"/>
    <w:rsid w:val="00BA3DEC"/>
    <w:rsid w:val="00BA5EB6"/>
    <w:rsid w:val="00BA6544"/>
    <w:rsid w:val="00BA66E2"/>
    <w:rsid w:val="00BA6F69"/>
    <w:rsid w:val="00BA7F08"/>
    <w:rsid w:val="00BB2868"/>
    <w:rsid w:val="00BB622D"/>
    <w:rsid w:val="00BB6520"/>
    <w:rsid w:val="00BB6C0C"/>
    <w:rsid w:val="00BB7528"/>
    <w:rsid w:val="00BB7F6B"/>
    <w:rsid w:val="00BC0584"/>
    <w:rsid w:val="00BC0695"/>
    <w:rsid w:val="00BC08C5"/>
    <w:rsid w:val="00BC2B09"/>
    <w:rsid w:val="00BC2D15"/>
    <w:rsid w:val="00BC394F"/>
    <w:rsid w:val="00BC3E3F"/>
    <w:rsid w:val="00BC3ED2"/>
    <w:rsid w:val="00BC439D"/>
    <w:rsid w:val="00BC4624"/>
    <w:rsid w:val="00BC48E1"/>
    <w:rsid w:val="00BC56E2"/>
    <w:rsid w:val="00BD2680"/>
    <w:rsid w:val="00BD2A71"/>
    <w:rsid w:val="00BD2FCF"/>
    <w:rsid w:val="00BD4116"/>
    <w:rsid w:val="00BD4598"/>
    <w:rsid w:val="00BD4BFD"/>
    <w:rsid w:val="00BD5DF2"/>
    <w:rsid w:val="00BD7873"/>
    <w:rsid w:val="00BE1790"/>
    <w:rsid w:val="00BE2DBF"/>
    <w:rsid w:val="00BE2EEA"/>
    <w:rsid w:val="00BE353A"/>
    <w:rsid w:val="00BE3830"/>
    <w:rsid w:val="00BE38D6"/>
    <w:rsid w:val="00BE39C7"/>
    <w:rsid w:val="00BE49A2"/>
    <w:rsid w:val="00BE7258"/>
    <w:rsid w:val="00BE72BB"/>
    <w:rsid w:val="00BE77C8"/>
    <w:rsid w:val="00BF0525"/>
    <w:rsid w:val="00BF19E2"/>
    <w:rsid w:val="00BF1AFB"/>
    <w:rsid w:val="00BF1E79"/>
    <w:rsid w:val="00BF25AD"/>
    <w:rsid w:val="00BF2711"/>
    <w:rsid w:val="00BF2B0A"/>
    <w:rsid w:val="00BF3219"/>
    <w:rsid w:val="00BF3A87"/>
    <w:rsid w:val="00BF46F6"/>
    <w:rsid w:val="00BF64F0"/>
    <w:rsid w:val="00BF6822"/>
    <w:rsid w:val="00C01E67"/>
    <w:rsid w:val="00C0271A"/>
    <w:rsid w:val="00C031DA"/>
    <w:rsid w:val="00C03281"/>
    <w:rsid w:val="00C03A57"/>
    <w:rsid w:val="00C04BB5"/>
    <w:rsid w:val="00C054A4"/>
    <w:rsid w:val="00C0683D"/>
    <w:rsid w:val="00C06B0F"/>
    <w:rsid w:val="00C1171F"/>
    <w:rsid w:val="00C11E4B"/>
    <w:rsid w:val="00C12559"/>
    <w:rsid w:val="00C153D7"/>
    <w:rsid w:val="00C1552B"/>
    <w:rsid w:val="00C158C2"/>
    <w:rsid w:val="00C17299"/>
    <w:rsid w:val="00C17E6C"/>
    <w:rsid w:val="00C2146F"/>
    <w:rsid w:val="00C21CB1"/>
    <w:rsid w:val="00C22455"/>
    <w:rsid w:val="00C23DDC"/>
    <w:rsid w:val="00C2470F"/>
    <w:rsid w:val="00C26607"/>
    <w:rsid w:val="00C27DC3"/>
    <w:rsid w:val="00C30186"/>
    <w:rsid w:val="00C3191C"/>
    <w:rsid w:val="00C32B8E"/>
    <w:rsid w:val="00C32DEE"/>
    <w:rsid w:val="00C32EDB"/>
    <w:rsid w:val="00C33187"/>
    <w:rsid w:val="00C33545"/>
    <w:rsid w:val="00C362E0"/>
    <w:rsid w:val="00C3640E"/>
    <w:rsid w:val="00C370C0"/>
    <w:rsid w:val="00C40CA3"/>
    <w:rsid w:val="00C41886"/>
    <w:rsid w:val="00C42DD0"/>
    <w:rsid w:val="00C45801"/>
    <w:rsid w:val="00C51326"/>
    <w:rsid w:val="00C519DA"/>
    <w:rsid w:val="00C52897"/>
    <w:rsid w:val="00C52ED2"/>
    <w:rsid w:val="00C533D2"/>
    <w:rsid w:val="00C537C5"/>
    <w:rsid w:val="00C549B0"/>
    <w:rsid w:val="00C554DC"/>
    <w:rsid w:val="00C55652"/>
    <w:rsid w:val="00C5669F"/>
    <w:rsid w:val="00C572A9"/>
    <w:rsid w:val="00C572DE"/>
    <w:rsid w:val="00C5753C"/>
    <w:rsid w:val="00C60010"/>
    <w:rsid w:val="00C60580"/>
    <w:rsid w:val="00C6197C"/>
    <w:rsid w:val="00C62634"/>
    <w:rsid w:val="00C6293B"/>
    <w:rsid w:val="00C63C64"/>
    <w:rsid w:val="00C64A58"/>
    <w:rsid w:val="00C64A9C"/>
    <w:rsid w:val="00C66BE4"/>
    <w:rsid w:val="00C66D99"/>
    <w:rsid w:val="00C70459"/>
    <w:rsid w:val="00C71F76"/>
    <w:rsid w:val="00C72ADE"/>
    <w:rsid w:val="00C72E6A"/>
    <w:rsid w:val="00C736EA"/>
    <w:rsid w:val="00C74334"/>
    <w:rsid w:val="00C74F06"/>
    <w:rsid w:val="00C764E1"/>
    <w:rsid w:val="00C7656E"/>
    <w:rsid w:val="00C81181"/>
    <w:rsid w:val="00C81F50"/>
    <w:rsid w:val="00C84185"/>
    <w:rsid w:val="00C849B5"/>
    <w:rsid w:val="00C84FDD"/>
    <w:rsid w:val="00C85B80"/>
    <w:rsid w:val="00C902DE"/>
    <w:rsid w:val="00C91316"/>
    <w:rsid w:val="00C9490D"/>
    <w:rsid w:val="00C974A8"/>
    <w:rsid w:val="00C97CE5"/>
    <w:rsid w:val="00CA023A"/>
    <w:rsid w:val="00CA18BE"/>
    <w:rsid w:val="00CA3506"/>
    <w:rsid w:val="00CA3AA3"/>
    <w:rsid w:val="00CA3C01"/>
    <w:rsid w:val="00CA4121"/>
    <w:rsid w:val="00CA55F6"/>
    <w:rsid w:val="00CA61E3"/>
    <w:rsid w:val="00CA6473"/>
    <w:rsid w:val="00CB117F"/>
    <w:rsid w:val="00CB1B46"/>
    <w:rsid w:val="00CB1C74"/>
    <w:rsid w:val="00CB2650"/>
    <w:rsid w:val="00CB2DCE"/>
    <w:rsid w:val="00CB33BF"/>
    <w:rsid w:val="00CB3743"/>
    <w:rsid w:val="00CB3B67"/>
    <w:rsid w:val="00CB5C50"/>
    <w:rsid w:val="00CC0580"/>
    <w:rsid w:val="00CC1628"/>
    <w:rsid w:val="00CC20AE"/>
    <w:rsid w:val="00CC35E5"/>
    <w:rsid w:val="00CC38E2"/>
    <w:rsid w:val="00CC3D0C"/>
    <w:rsid w:val="00CC4591"/>
    <w:rsid w:val="00CC509F"/>
    <w:rsid w:val="00CC59C8"/>
    <w:rsid w:val="00CC5ACB"/>
    <w:rsid w:val="00CC5DFD"/>
    <w:rsid w:val="00CC636D"/>
    <w:rsid w:val="00CC6A49"/>
    <w:rsid w:val="00CC6E24"/>
    <w:rsid w:val="00CC70A7"/>
    <w:rsid w:val="00CC7400"/>
    <w:rsid w:val="00CC7410"/>
    <w:rsid w:val="00CC75AE"/>
    <w:rsid w:val="00CC7973"/>
    <w:rsid w:val="00CC7D07"/>
    <w:rsid w:val="00CC7EFF"/>
    <w:rsid w:val="00CD096D"/>
    <w:rsid w:val="00CD15C8"/>
    <w:rsid w:val="00CD4081"/>
    <w:rsid w:val="00CD40D3"/>
    <w:rsid w:val="00CD41FA"/>
    <w:rsid w:val="00CD5618"/>
    <w:rsid w:val="00CD5658"/>
    <w:rsid w:val="00CD5BCE"/>
    <w:rsid w:val="00CD6DD6"/>
    <w:rsid w:val="00CD6DF2"/>
    <w:rsid w:val="00CD78AA"/>
    <w:rsid w:val="00CE0B1E"/>
    <w:rsid w:val="00CE139A"/>
    <w:rsid w:val="00CE16FC"/>
    <w:rsid w:val="00CE214D"/>
    <w:rsid w:val="00CE52DC"/>
    <w:rsid w:val="00CE556B"/>
    <w:rsid w:val="00CE6030"/>
    <w:rsid w:val="00CE6B77"/>
    <w:rsid w:val="00CE7238"/>
    <w:rsid w:val="00CE7276"/>
    <w:rsid w:val="00CE7E69"/>
    <w:rsid w:val="00CF14F9"/>
    <w:rsid w:val="00CF1FD1"/>
    <w:rsid w:val="00CF415B"/>
    <w:rsid w:val="00CF5688"/>
    <w:rsid w:val="00CF595C"/>
    <w:rsid w:val="00CF5EB7"/>
    <w:rsid w:val="00CF6812"/>
    <w:rsid w:val="00D00BC0"/>
    <w:rsid w:val="00D04BC0"/>
    <w:rsid w:val="00D04BD0"/>
    <w:rsid w:val="00D05E14"/>
    <w:rsid w:val="00D073CD"/>
    <w:rsid w:val="00D07675"/>
    <w:rsid w:val="00D11536"/>
    <w:rsid w:val="00D132D5"/>
    <w:rsid w:val="00D13456"/>
    <w:rsid w:val="00D14245"/>
    <w:rsid w:val="00D14BF9"/>
    <w:rsid w:val="00D16923"/>
    <w:rsid w:val="00D16986"/>
    <w:rsid w:val="00D169C1"/>
    <w:rsid w:val="00D16DD6"/>
    <w:rsid w:val="00D17C33"/>
    <w:rsid w:val="00D20E16"/>
    <w:rsid w:val="00D2147C"/>
    <w:rsid w:val="00D21893"/>
    <w:rsid w:val="00D21E8F"/>
    <w:rsid w:val="00D25F1D"/>
    <w:rsid w:val="00D2728D"/>
    <w:rsid w:val="00D2735F"/>
    <w:rsid w:val="00D300CA"/>
    <w:rsid w:val="00D3187D"/>
    <w:rsid w:val="00D32965"/>
    <w:rsid w:val="00D3350C"/>
    <w:rsid w:val="00D33E29"/>
    <w:rsid w:val="00D36028"/>
    <w:rsid w:val="00D3696E"/>
    <w:rsid w:val="00D41529"/>
    <w:rsid w:val="00D41B55"/>
    <w:rsid w:val="00D41ECB"/>
    <w:rsid w:val="00D41F37"/>
    <w:rsid w:val="00D41F58"/>
    <w:rsid w:val="00D43101"/>
    <w:rsid w:val="00D43205"/>
    <w:rsid w:val="00D43AA5"/>
    <w:rsid w:val="00D44067"/>
    <w:rsid w:val="00D451B1"/>
    <w:rsid w:val="00D4612C"/>
    <w:rsid w:val="00D470B3"/>
    <w:rsid w:val="00D470CA"/>
    <w:rsid w:val="00D51421"/>
    <w:rsid w:val="00D516EE"/>
    <w:rsid w:val="00D52567"/>
    <w:rsid w:val="00D52713"/>
    <w:rsid w:val="00D53364"/>
    <w:rsid w:val="00D535E4"/>
    <w:rsid w:val="00D54911"/>
    <w:rsid w:val="00D558ED"/>
    <w:rsid w:val="00D5681E"/>
    <w:rsid w:val="00D5690D"/>
    <w:rsid w:val="00D57543"/>
    <w:rsid w:val="00D57677"/>
    <w:rsid w:val="00D576ED"/>
    <w:rsid w:val="00D578BD"/>
    <w:rsid w:val="00D57E23"/>
    <w:rsid w:val="00D60E1A"/>
    <w:rsid w:val="00D60FE4"/>
    <w:rsid w:val="00D618AD"/>
    <w:rsid w:val="00D636BB"/>
    <w:rsid w:val="00D63E36"/>
    <w:rsid w:val="00D66D57"/>
    <w:rsid w:val="00D66F16"/>
    <w:rsid w:val="00D70D07"/>
    <w:rsid w:val="00D72834"/>
    <w:rsid w:val="00D72884"/>
    <w:rsid w:val="00D7320F"/>
    <w:rsid w:val="00D73E28"/>
    <w:rsid w:val="00D73F6F"/>
    <w:rsid w:val="00D744DD"/>
    <w:rsid w:val="00D74DE6"/>
    <w:rsid w:val="00D75798"/>
    <w:rsid w:val="00D75871"/>
    <w:rsid w:val="00D7658A"/>
    <w:rsid w:val="00D76E49"/>
    <w:rsid w:val="00D76EED"/>
    <w:rsid w:val="00D77BF3"/>
    <w:rsid w:val="00D8172D"/>
    <w:rsid w:val="00D81E32"/>
    <w:rsid w:val="00D83D34"/>
    <w:rsid w:val="00D83D86"/>
    <w:rsid w:val="00D855F5"/>
    <w:rsid w:val="00D864E0"/>
    <w:rsid w:val="00D86911"/>
    <w:rsid w:val="00D8762F"/>
    <w:rsid w:val="00D918E5"/>
    <w:rsid w:val="00D93543"/>
    <w:rsid w:val="00D936DA"/>
    <w:rsid w:val="00D93BF9"/>
    <w:rsid w:val="00D947C0"/>
    <w:rsid w:val="00D947CF"/>
    <w:rsid w:val="00D94EE7"/>
    <w:rsid w:val="00D957EB"/>
    <w:rsid w:val="00D95994"/>
    <w:rsid w:val="00D97968"/>
    <w:rsid w:val="00D97A9D"/>
    <w:rsid w:val="00DA1FDA"/>
    <w:rsid w:val="00DA426C"/>
    <w:rsid w:val="00DA4B5C"/>
    <w:rsid w:val="00DA6A44"/>
    <w:rsid w:val="00DA6D6A"/>
    <w:rsid w:val="00DA76B7"/>
    <w:rsid w:val="00DA790B"/>
    <w:rsid w:val="00DB2A05"/>
    <w:rsid w:val="00DB5BB6"/>
    <w:rsid w:val="00DB5BD5"/>
    <w:rsid w:val="00DB7388"/>
    <w:rsid w:val="00DB7B73"/>
    <w:rsid w:val="00DB7F32"/>
    <w:rsid w:val="00DC0033"/>
    <w:rsid w:val="00DC16BF"/>
    <w:rsid w:val="00DC255C"/>
    <w:rsid w:val="00DC267E"/>
    <w:rsid w:val="00DC2904"/>
    <w:rsid w:val="00DC2E6A"/>
    <w:rsid w:val="00DC3A6B"/>
    <w:rsid w:val="00DC46D2"/>
    <w:rsid w:val="00DC5342"/>
    <w:rsid w:val="00DC568D"/>
    <w:rsid w:val="00DC5966"/>
    <w:rsid w:val="00DC5A7B"/>
    <w:rsid w:val="00DC631F"/>
    <w:rsid w:val="00DC6F42"/>
    <w:rsid w:val="00DD254C"/>
    <w:rsid w:val="00DD3047"/>
    <w:rsid w:val="00DD34ED"/>
    <w:rsid w:val="00DD3CD4"/>
    <w:rsid w:val="00DD3EF5"/>
    <w:rsid w:val="00DD4C8A"/>
    <w:rsid w:val="00DD59F4"/>
    <w:rsid w:val="00DD6238"/>
    <w:rsid w:val="00DD6805"/>
    <w:rsid w:val="00DE02C5"/>
    <w:rsid w:val="00DE303F"/>
    <w:rsid w:val="00DE34B7"/>
    <w:rsid w:val="00DE4247"/>
    <w:rsid w:val="00DE439A"/>
    <w:rsid w:val="00DE455A"/>
    <w:rsid w:val="00DE494B"/>
    <w:rsid w:val="00DE5350"/>
    <w:rsid w:val="00DE661A"/>
    <w:rsid w:val="00DE7366"/>
    <w:rsid w:val="00DE776A"/>
    <w:rsid w:val="00DE7FBD"/>
    <w:rsid w:val="00DF0195"/>
    <w:rsid w:val="00DF0869"/>
    <w:rsid w:val="00DF1D27"/>
    <w:rsid w:val="00DF23B2"/>
    <w:rsid w:val="00DF506A"/>
    <w:rsid w:val="00DF525B"/>
    <w:rsid w:val="00DF729A"/>
    <w:rsid w:val="00E01DF9"/>
    <w:rsid w:val="00E02461"/>
    <w:rsid w:val="00E0285D"/>
    <w:rsid w:val="00E0414B"/>
    <w:rsid w:val="00E0453D"/>
    <w:rsid w:val="00E0701F"/>
    <w:rsid w:val="00E0781F"/>
    <w:rsid w:val="00E109B6"/>
    <w:rsid w:val="00E10D96"/>
    <w:rsid w:val="00E111BC"/>
    <w:rsid w:val="00E11232"/>
    <w:rsid w:val="00E11A42"/>
    <w:rsid w:val="00E12075"/>
    <w:rsid w:val="00E12D61"/>
    <w:rsid w:val="00E14A40"/>
    <w:rsid w:val="00E1518A"/>
    <w:rsid w:val="00E1534A"/>
    <w:rsid w:val="00E15AE7"/>
    <w:rsid w:val="00E15B16"/>
    <w:rsid w:val="00E1673E"/>
    <w:rsid w:val="00E17D37"/>
    <w:rsid w:val="00E2114C"/>
    <w:rsid w:val="00E2140A"/>
    <w:rsid w:val="00E21DF8"/>
    <w:rsid w:val="00E21EB0"/>
    <w:rsid w:val="00E22725"/>
    <w:rsid w:val="00E253B5"/>
    <w:rsid w:val="00E25ECF"/>
    <w:rsid w:val="00E26BEB"/>
    <w:rsid w:val="00E27325"/>
    <w:rsid w:val="00E278DD"/>
    <w:rsid w:val="00E3022A"/>
    <w:rsid w:val="00E31EFF"/>
    <w:rsid w:val="00E32D4A"/>
    <w:rsid w:val="00E32E4E"/>
    <w:rsid w:val="00E34D7B"/>
    <w:rsid w:val="00E35908"/>
    <w:rsid w:val="00E35B38"/>
    <w:rsid w:val="00E35C1F"/>
    <w:rsid w:val="00E36906"/>
    <w:rsid w:val="00E36CCD"/>
    <w:rsid w:val="00E37233"/>
    <w:rsid w:val="00E373F2"/>
    <w:rsid w:val="00E375C7"/>
    <w:rsid w:val="00E40CB7"/>
    <w:rsid w:val="00E41D2B"/>
    <w:rsid w:val="00E41DC6"/>
    <w:rsid w:val="00E43E44"/>
    <w:rsid w:val="00E44EDB"/>
    <w:rsid w:val="00E45585"/>
    <w:rsid w:val="00E45885"/>
    <w:rsid w:val="00E50240"/>
    <w:rsid w:val="00E506A0"/>
    <w:rsid w:val="00E506CB"/>
    <w:rsid w:val="00E5145C"/>
    <w:rsid w:val="00E53BE8"/>
    <w:rsid w:val="00E54F97"/>
    <w:rsid w:val="00E566D7"/>
    <w:rsid w:val="00E56931"/>
    <w:rsid w:val="00E56DC8"/>
    <w:rsid w:val="00E571A6"/>
    <w:rsid w:val="00E5767D"/>
    <w:rsid w:val="00E57DBB"/>
    <w:rsid w:val="00E615D7"/>
    <w:rsid w:val="00E61CAA"/>
    <w:rsid w:val="00E62DE4"/>
    <w:rsid w:val="00E63211"/>
    <w:rsid w:val="00E642E2"/>
    <w:rsid w:val="00E650B3"/>
    <w:rsid w:val="00E65CB2"/>
    <w:rsid w:val="00E6615A"/>
    <w:rsid w:val="00E66A88"/>
    <w:rsid w:val="00E6749C"/>
    <w:rsid w:val="00E67F61"/>
    <w:rsid w:val="00E70FC4"/>
    <w:rsid w:val="00E7130D"/>
    <w:rsid w:val="00E74EA3"/>
    <w:rsid w:val="00E754A6"/>
    <w:rsid w:val="00E76D7D"/>
    <w:rsid w:val="00E7713D"/>
    <w:rsid w:val="00E80554"/>
    <w:rsid w:val="00E806A7"/>
    <w:rsid w:val="00E80D6B"/>
    <w:rsid w:val="00E811AB"/>
    <w:rsid w:val="00E82026"/>
    <w:rsid w:val="00E8213F"/>
    <w:rsid w:val="00E82BC7"/>
    <w:rsid w:val="00E843CF"/>
    <w:rsid w:val="00E864AD"/>
    <w:rsid w:val="00E90B66"/>
    <w:rsid w:val="00E91A11"/>
    <w:rsid w:val="00E92F14"/>
    <w:rsid w:val="00E9395D"/>
    <w:rsid w:val="00E95517"/>
    <w:rsid w:val="00E963B0"/>
    <w:rsid w:val="00E9793D"/>
    <w:rsid w:val="00EA1F11"/>
    <w:rsid w:val="00EA2344"/>
    <w:rsid w:val="00EA2734"/>
    <w:rsid w:val="00EA384F"/>
    <w:rsid w:val="00EA3B09"/>
    <w:rsid w:val="00EA4DBF"/>
    <w:rsid w:val="00EA540C"/>
    <w:rsid w:val="00EA56A6"/>
    <w:rsid w:val="00EA56ED"/>
    <w:rsid w:val="00EB0622"/>
    <w:rsid w:val="00EB13A0"/>
    <w:rsid w:val="00EB1F6E"/>
    <w:rsid w:val="00EB3F6E"/>
    <w:rsid w:val="00EB506D"/>
    <w:rsid w:val="00EB5090"/>
    <w:rsid w:val="00EB5731"/>
    <w:rsid w:val="00EB6A93"/>
    <w:rsid w:val="00EC05B3"/>
    <w:rsid w:val="00EC1370"/>
    <w:rsid w:val="00EC3192"/>
    <w:rsid w:val="00EC3C8D"/>
    <w:rsid w:val="00EC3E7B"/>
    <w:rsid w:val="00EC3EF1"/>
    <w:rsid w:val="00EC4888"/>
    <w:rsid w:val="00EC506C"/>
    <w:rsid w:val="00EC76B9"/>
    <w:rsid w:val="00ED0084"/>
    <w:rsid w:val="00ED0547"/>
    <w:rsid w:val="00ED0EE1"/>
    <w:rsid w:val="00ED1542"/>
    <w:rsid w:val="00ED238B"/>
    <w:rsid w:val="00ED2448"/>
    <w:rsid w:val="00ED4584"/>
    <w:rsid w:val="00ED7A69"/>
    <w:rsid w:val="00EE06F3"/>
    <w:rsid w:val="00EE0C8B"/>
    <w:rsid w:val="00EE11D1"/>
    <w:rsid w:val="00EE17F0"/>
    <w:rsid w:val="00EE2867"/>
    <w:rsid w:val="00EE38E7"/>
    <w:rsid w:val="00EE497F"/>
    <w:rsid w:val="00EE5008"/>
    <w:rsid w:val="00EE523A"/>
    <w:rsid w:val="00EE6A45"/>
    <w:rsid w:val="00EE77DD"/>
    <w:rsid w:val="00EF2001"/>
    <w:rsid w:val="00EF406B"/>
    <w:rsid w:val="00EF48E5"/>
    <w:rsid w:val="00EF5F80"/>
    <w:rsid w:val="00EF698E"/>
    <w:rsid w:val="00F01189"/>
    <w:rsid w:val="00F04D0A"/>
    <w:rsid w:val="00F05B35"/>
    <w:rsid w:val="00F1002F"/>
    <w:rsid w:val="00F11B44"/>
    <w:rsid w:val="00F13075"/>
    <w:rsid w:val="00F142D5"/>
    <w:rsid w:val="00F161D0"/>
    <w:rsid w:val="00F166C5"/>
    <w:rsid w:val="00F16C41"/>
    <w:rsid w:val="00F17CB6"/>
    <w:rsid w:val="00F2090B"/>
    <w:rsid w:val="00F2092E"/>
    <w:rsid w:val="00F20D26"/>
    <w:rsid w:val="00F227D1"/>
    <w:rsid w:val="00F2377C"/>
    <w:rsid w:val="00F25FC6"/>
    <w:rsid w:val="00F26E5F"/>
    <w:rsid w:val="00F27745"/>
    <w:rsid w:val="00F27DD5"/>
    <w:rsid w:val="00F30DB5"/>
    <w:rsid w:val="00F30E37"/>
    <w:rsid w:val="00F323BE"/>
    <w:rsid w:val="00F339D9"/>
    <w:rsid w:val="00F35D4B"/>
    <w:rsid w:val="00F35F71"/>
    <w:rsid w:val="00F37637"/>
    <w:rsid w:val="00F376C8"/>
    <w:rsid w:val="00F41014"/>
    <w:rsid w:val="00F4267C"/>
    <w:rsid w:val="00F42973"/>
    <w:rsid w:val="00F433A0"/>
    <w:rsid w:val="00F447C8"/>
    <w:rsid w:val="00F44B64"/>
    <w:rsid w:val="00F46389"/>
    <w:rsid w:val="00F475DD"/>
    <w:rsid w:val="00F6021C"/>
    <w:rsid w:val="00F607C3"/>
    <w:rsid w:val="00F626CC"/>
    <w:rsid w:val="00F6336F"/>
    <w:rsid w:val="00F6376F"/>
    <w:rsid w:val="00F645B8"/>
    <w:rsid w:val="00F6715B"/>
    <w:rsid w:val="00F70779"/>
    <w:rsid w:val="00F70B23"/>
    <w:rsid w:val="00F7227C"/>
    <w:rsid w:val="00F73539"/>
    <w:rsid w:val="00F73566"/>
    <w:rsid w:val="00F74118"/>
    <w:rsid w:val="00F746AE"/>
    <w:rsid w:val="00F747B6"/>
    <w:rsid w:val="00F752D4"/>
    <w:rsid w:val="00F76FCE"/>
    <w:rsid w:val="00F77565"/>
    <w:rsid w:val="00F77F92"/>
    <w:rsid w:val="00F77FD4"/>
    <w:rsid w:val="00F8073F"/>
    <w:rsid w:val="00F80778"/>
    <w:rsid w:val="00F80C10"/>
    <w:rsid w:val="00F80F9D"/>
    <w:rsid w:val="00F82B30"/>
    <w:rsid w:val="00F83A8B"/>
    <w:rsid w:val="00F83F0A"/>
    <w:rsid w:val="00F867E4"/>
    <w:rsid w:val="00F90187"/>
    <w:rsid w:val="00F90F41"/>
    <w:rsid w:val="00F91362"/>
    <w:rsid w:val="00F92AF7"/>
    <w:rsid w:val="00F93D9B"/>
    <w:rsid w:val="00F93FB0"/>
    <w:rsid w:val="00F94F34"/>
    <w:rsid w:val="00F95DF3"/>
    <w:rsid w:val="00FA16B2"/>
    <w:rsid w:val="00FA2C21"/>
    <w:rsid w:val="00FA6B22"/>
    <w:rsid w:val="00FA737C"/>
    <w:rsid w:val="00FB237B"/>
    <w:rsid w:val="00FB5B77"/>
    <w:rsid w:val="00FB73C2"/>
    <w:rsid w:val="00FB7ACB"/>
    <w:rsid w:val="00FB7B5E"/>
    <w:rsid w:val="00FB7D42"/>
    <w:rsid w:val="00FC1146"/>
    <w:rsid w:val="00FC5D63"/>
    <w:rsid w:val="00FC70A8"/>
    <w:rsid w:val="00FD1DFF"/>
    <w:rsid w:val="00FD4569"/>
    <w:rsid w:val="00FD4600"/>
    <w:rsid w:val="00FD4760"/>
    <w:rsid w:val="00FD5DBD"/>
    <w:rsid w:val="00FD7D33"/>
    <w:rsid w:val="00FD7D4F"/>
    <w:rsid w:val="00FE002D"/>
    <w:rsid w:val="00FE0FA0"/>
    <w:rsid w:val="00FE2B01"/>
    <w:rsid w:val="00FE5BAD"/>
    <w:rsid w:val="00FE7325"/>
    <w:rsid w:val="00FE7AB0"/>
    <w:rsid w:val="00FE7C71"/>
    <w:rsid w:val="00FF0530"/>
    <w:rsid w:val="00FF22F5"/>
    <w:rsid w:val="00FF2341"/>
    <w:rsid w:val="00FF3373"/>
    <w:rsid w:val="00FF3D65"/>
    <w:rsid w:val="00FF4191"/>
    <w:rsid w:val="00FF5BF1"/>
    <w:rsid w:val="00FF60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B3C"/>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2">
    <w:name w:val="heading 2"/>
    <w:basedOn w:val="Normal"/>
    <w:next w:val="Normal"/>
    <w:link w:val="Titre2Car"/>
    <w:unhideWhenUsed/>
    <w:qFormat/>
    <w:rsid w:val="004C541B"/>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Titre3">
    <w:name w:val="heading 3"/>
    <w:basedOn w:val="Normal"/>
    <w:next w:val="Normal"/>
    <w:link w:val="Titre3Car"/>
    <w:unhideWhenUsed/>
    <w:qFormat/>
    <w:rsid w:val="004C541B"/>
    <w:pPr>
      <w:keepNext/>
      <w:keepLines/>
      <w:spacing w:before="200"/>
      <w:outlineLvl w:val="2"/>
    </w:pPr>
    <w:rPr>
      <w:rFonts w:asciiTheme="majorHAnsi" w:eastAsiaTheme="majorEastAsia" w:hAnsiTheme="majorHAnsi" w:cstheme="majorBidi"/>
      <w:b w:val="0"/>
      <w:bCs w:val="0"/>
      <w:color w:val="4F81BD" w:themeColor="accent1"/>
    </w:rPr>
  </w:style>
  <w:style w:type="paragraph" w:styleId="Titre4">
    <w:name w:val="heading 4"/>
    <w:basedOn w:val="Normal"/>
    <w:next w:val="Normal"/>
    <w:link w:val="Titre4Car"/>
    <w:semiHidden/>
    <w:unhideWhenUsed/>
    <w:qFormat/>
    <w:rsid w:val="004C541B"/>
    <w:pPr>
      <w:keepNext/>
      <w:keepLines/>
      <w:spacing w:before="200"/>
      <w:outlineLvl w:val="3"/>
    </w:pPr>
    <w:rPr>
      <w:rFonts w:asciiTheme="majorHAnsi" w:eastAsiaTheme="majorEastAsia" w:hAnsiTheme="majorHAnsi" w:cstheme="majorBidi"/>
      <w:b w:val="0"/>
      <w:bCs w:val="0"/>
      <w:i/>
      <w:iCs/>
      <w:color w:val="4F81BD" w:themeColor="accent1"/>
    </w:rPr>
  </w:style>
  <w:style w:type="paragraph" w:styleId="Titre5">
    <w:name w:val="heading 5"/>
    <w:basedOn w:val="Normal"/>
    <w:next w:val="Normal"/>
    <w:link w:val="Titre5Car"/>
    <w:semiHidden/>
    <w:unhideWhenUsed/>
    <w:qFormat/>
    <w:rsid w:val="004C541B"/>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4C541B"/>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4C541B"/>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4C541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4C541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605B3C"/>
    <w:pPr>
      <w:tabs>
        <w:tab w:val="center" w:pos="4536"/>
        <w:tab w:val="right" w:pos="9072"/>
      </w:tabs>
    </w:pPr>
    <w:rPr>
      <w:b w:val="0"/>
      <w:bCs w:val="0"/>
    </w:rPr>
  </w:style>
  <w:style w:type="paragraph" w:styleId="Notedebasdepage">
    <w:name w:val="footnote text"/>
    <w:basedOn w:val="Normal"/>
    <w:link w:val="NotedebasdepageCar"/>
    <w:uiPriority w:val="99"/>
    <w:semiHidden/>
    <w:rsid w:val="00605B3C"/>
    <w:rPr>
      <w:b w:val="0"/>
      <w:bCs w:val="0"/>
      <w:sz w:val="20"/>
      <w:szCs w:val="20"/>
    </w:rPr>
  </w:style>
  <w:style w:type="character" w:styleId="Appelnotedebasdep">
    <w:name w:val="footnote reference"/>
    <w:basedOn w:val="Policepardfaut"/>
    <w:uiPriority w:val="99"/>
    <w:semiHidden/>
    <w:rsid w:val="00605B3C"/>
    <w:rPr>
      <w:vertAlign w:val="superscript"/>
    </w:rPr>
  </w:style>
  <w:style w:type="character" w:styleId="Numrodepage">
    <w:name w:val="page number"/>
    <w:basedOn w:val="Policepardfaut"/>
    <w:rsid w:val="00605B3C"/>
  </w:style>
  <w:style w:type="paragraph" w:styleId="Titre">
    <w:name w:val="Title"/>
    <w:basedOn w:val="Normal"/>
    <w:link w:val="TitreCar"/>
    <w:uiPriority w:val="10"/>
    <w:qFormat/>
    <w:rsid w:val="00605B3C"/>
    <w:pPr>
      <w:jc w:val="center"/>
    </w:pPr>
    <w:rPr>
      <w:sz w:val="28"/>
      <w:szCs w:val="28"/>
    </w:rPr>
  </w:style>
  <w:style w:type="character" w:customStyle="1" w:styleId="Titre1Car1">
    <w:name w:val="Titre 1 Car1"/>
    <w:basedOn w:val="Policepardfaut"/>
    <w:link w:val="Titre1"/>
    <w:locked/>
    <w:rsid w:val="00605B3C"/>
    <w:rPr>
      <w:rFonts w:ascii="Arial" w:hAnsi="Arial" w:cs="Arial"/>
      <w:b/>
      <w:bCs/>
      <w:kern w:val="32"/>
      <w:sz w:val="32"/>
      <w:szCs w:val="32"/>
    </w:rPr>
  </w:style>
  <w:style w:type="character" w:customStyle="1" w:styleId="PieddepageCar">
    <w:name w:val="Pied de page Car"/>
    <w:basedOn w:val="Policepardfaut"/>
    <w:link w:val="Pieddepage"/>
    <w:locked/>
    <w:rsid w:val="00605B3C"/>
    <w:rPr>
      <w:sz w:val="24"/>
      <w:szCs w:val="24"/>
      <w:lang w:val="fr-FR" w:eastAsia="fr-FR" w:bidi="ar-SA"/>
    </w:rPr>
  </w:style>
  <w:style w:type="character" w:customStyle="1" w:styleId="NotedebasdepageCar">
    <w:name w:val="Note de bas de page Car"/>
    <w:basedOn w:val="Policepardfaut"/>
    <w:link w:val="Notedebasdepage"/>
    <w:uiPriority w:val="99"/>
    <w:semiHidden/>
    <w:locked/>
    <w:rsid w:val="00605B3C"/>
    <w:rPr>
      <w:lang w:val="fr-FR" w:eastAsia="fr-FR" w:bidi="ar-SA"/>
    </w:rPr>
  </w:style>
  <w:style w:type="character" w:customStyle="1" w:styleId="TitreCar">
    <w:name w:val="Titre Car"/>
    <w:basedOn w:val="Policepardfaut"/>
    <w:link w:val="Titre"/>
    <w:uiPriority w:val="10"/>
    <w:locked/>
    <w:rsid w:val="00605B3C"/>
    <w:rPr>
      <w:b/>
      <w:bCs/>
      <w:sz w:val="28"/>
      <w:szCs w:val="28"/>
      <w:lang w:val="fr-FR" w:eastAsia="fr-FR" w:bidi="ar-SA"/>
    </w:rPr>
  </w:style>
  <w:style w:type="paragraph" w:styleId="En-tte">
    <w:name w:val="header"/>
    <w:basedOn w:val="Normal"/>
    <w:link w:val="En-tteCar"/>
    <w:uiPriority w:val="99"/>
    <w:rsid w:val="00605B3C"/>
    <w:pPr>
      <w:tabs>
        <w:tab w:val="center" w:pos="4536"/>
        <w:tab w:val="right" w:pos="9072"/>
      </w:tabs>
    </w:p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paragraph" w:styleId="Sous-titre">
    <w:name w:val="Subtitle"/>
    <w:basedOn w:val="Normal"/>
    <w:link w:val="Sous-titreCar"/>
    <w:qFormat/>
    <w:rsid w:val="00FE5BAD"/>
    <w:rPr>
      <w:lang w:bidi="ar-MA"/>
    </w:rPr>
  </w:style>
  <w:style w:type="paragraph" w:styleId="Textedebulles">
    <w:name w:val="Balloon Text"/>
    <w:basedOn w:val="Normal"/>
    <w:semiHidden/>
    <w:rsid w:val="00961ECA"/>
    <w:rPr>
      <w:rFonts w:ascii="Tahoma" w:hAnsi="Tahoma" w:cs="Tahoma"/>
      <w:sz w:val="16"/>
      <w:szCs w:val="16"/>
    </w:rPr>
  </w:style>
  <w:style w:type="paragraph" w:styleId="Paragraphedeliste">
    <w:name w:val="List Paragraph"/>
    <w:basedOn w:val="Normal"/>
    <w:uiPriority w:val="34"/>
    <w:qFormat/>
    <w:rsid w:val="00555326"/>
    <w:pPr>
      <w:spacing w:before="200" w:after="200" w:line="276" w:lineRule="auto"/>
      <w:ind w:left="720"/>
      <w:contextualSpacing/>
    </w:pPr>
    <w:rPr>
      <w:rFonts w:asciiTheme="minorHAnsi" w:eastAsiaTheme="minorHAnsi" w:hAnsiTheme="minorHAnsi" w:cstheme="minorBidi"/>
      <w:b w:val="0"/>
      <w:bCs w:val="0"/>
      <w:sz w:val="20"/>
      <w:szCs w:val="20"/>
      <w:lang w:eastAsia="en-US" w:bidi="en-US"/>
    </w:rPr>
  </w:style>
  <w:style w:type="character" w:styleId="Lienhypertexte">
    <w:name w:val="Hyperlink"/>
    <w:basedOn w:val="Policepardfaut"/>
    <w:uiPriority w:val="99"/>
    <w:unhideWhenUsed/>
    <w:rsid w:val="00CC7EFF"/>
    <w:rPr>
      <w:color w:val="0000FF"/>
      <w:u w:val="single"/>
    </w:rPr>
  </w:style>
  <w:style w:type="character" w:customStyle="1" w:styleId="apple-converted-space">
    <w:name w:val="apple-converted-space"/>
    <w:basedOn w:val="Policepardfaut"/>
    <w:rsid w:val="00CC7EFF"/>
  </w:style>
  <w:style w:type="character" w:customStyle="1" w:styleId="print-footnote">
    <w:name w:val="print-footnote"/>
    <w:basedOn w:val="Policepardfaut"/>
    <w:rsid w:val="00CC7EFF"/>
  </w:style>
  <w:style w:type="paragraph" w:styleId="NormalWeb">
    <w:name w:val="Normal (Web)"/>
    <w:basedOn w:val="Normal"/>
    <w:uiPriority w:val="99"/>
    <w:unhideWhenUsed/>
    <w:rsid w:val="00CC7EFF"/>
    <w:pPr>
      <w:spacing w:before="100" w:beforeAutospacing="1" w:after="100" w:afterAutospacing="1"/>
    </w:pPr>
    <w:rPr>
      <w:b w:val="0"/>
      <w:bCs w:val="0"/>
    </w:rPr>
  </w:style>
  <w:style w:type="character" w:styleId="lev">
    <w:name w:val="Strong"/>
    <w:basedOn w:val="Policepardfaut"/>
    <w:uiPriority w:val="22"/>
    <w:qFormat/>
    <w:rsid w:val="00CC7EFF"/>
    <w:rPr>
      <w:b/>
      <w:bCs/>
    </w:rPr>
  </w:style>
  <w:style w:type="character" w:customStyle="1" w:styleId="Sous-titreCar">
    <w:name w:val="Sous-titre Car"/>
    <w:basedOn w:val="Policepardfaut"/>
    <w:link w:val="Sous-titre"/>
    <w:rsid w:val="004E5618"/>
    <w:rPr>
      <w:b/>
      <w:bCs/>
      <w:sz w:val="24"/>
      <w:szCs w:val="24"/>
      <w:lang w:bidi="ar-MA"/>
    </w:rPr>
  </w:style>
  <w:style w:type="paragraph" w:styleId="PrformatHTML">
    <w:name w:val="HTML Preformatted"/>
    <w:basedOn w:val="Normal"/>
    <w:link w:val="PrformatHTMLCar"/>
    <w:uiPriority w:val="99"/>
    <w:unhideWhenUsed/>
    <w:rsid w:val="00310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sz w:val="20"/>
      <w:szCs w:val="20"/>
    </w:rPr>
  </w:style>
  <w:style w:type="character" w:customStyle="1" w:styleId="PrformatHTMLCar">
    <w:name w:val="Préformaté HTML Car"/>
    <w:basedOn w:val="Policepardfaut"/>
    <w:link w:val="PrformatHTML"/>
    <w:uiPriority w:val="99"/>
    <w:rsid w:val="00310265"/>
    <w:rPr>
      <w:rFonts w:ascii="Courier New" w:hAnsi="Courier New" w:cs="Courier New"/>
    </w:rPr>
  </w:style>
  <w:style w:type="character" w:customStyle="1" w:styleId="fontstyle01">
    <w:name w:val="fontstyle01"/>
    <w:basedOn w:val="Policepardfaut"/>
    <w:rsid w:val="007E2E14"/>
    <w:rPr>
      <w:rFonts w:ascii="AGaramondPro-Regular" w:hAnsi="AGaramondPro-Regular" w:hint="default"/>
      <w:b w:val="0"/>
      <w:bCs w:val="0"/>
      <w:i w:val="0"/>
      <w:iCs w:val="0"/>
      <w:color w:val="000000"/>
      <w:sz w:val="20"/>
      <w:szCs w:val="20"/>
    </w:rPr>
  </w:style>
  <w:style w:type="character" w:customStyle="1" w:styleId="Titre2Car">
    <w:name w:val="Titre 2 Car"/>
    <w:basedOn w:val="Policepardfaut"/>
    <w:link w:val="Titre2"/>
    <w:rsid w:val="004C541B"/>
    <w:rPr>
      <w:rFonts w:asciiTheme="majorHAnsi" w:eastAsiaTheme="majorEastAsia" w:hAnsiTheme="majorHAnsi" w:cstheme="majorBidi"/>
      <w:color w:val="4F81BD" w:themeColor="accent1"/>
      <w:sz w:val="26"/>
      <w:szCs w:val="26"/>
    </w:rPr>
  </w:style>
  <w:style w:type="character" w:customStyle="1" w:styleId="Titre3Car">
    <w:name w:val="Titre 3 Car"/>
    <w:basedOn w:val="Policepardfaut"/>
    <w:link w:val="Titre3"/>
    <w:rsid w:val="004C541B"/>
    <w:rPr>
      <w:rFonts w:asciiTheme="majorHAnsi" w:eastAsiaTheme="majorEastAsia" w:hAnsiTheme="majorHAnsi" w:cstheme="majorBidi"/>
      <w:color w:val="4F81BD" w:themeColor="accent1"/>
      <w:sz w:val="24"/>
      <w:szCs w:val="24"/>
    </w:rPr>
  </w:style>
  <w:style w:type="character" w:customStyle="1" w:styleId="Titre4Car">
    <w:name w:val="Titre 4 Car"/>
    <w:basedOn w:val="Policepardfaut"/>
    <w:link w:val="Titre4"/>
    <w:semiHidden/>
    <w:rsid w:val="004C541B"/>
    <w:rPr>
      <w:rFonts w:asciiTheme="majorHAnsi" w:eastAsiaTheme="majorEastAsia" w:hAnsiTheme="majorHAnsi" w:cstheme="majorBidi"/>
      <w:i/>
      <w:iCs/>
      <w:color w:val="4F81BD" w:themeColor="accent1"/>
      <w:sz w:val="24"/>
      <w:szCs w:val="24"/>
    </w:rPr>
  </w:style>
  <w:style w:type="character" w:customStyle="1" w:styleId="Titre5Car">
    <w:name w:val="Titre 5 Car"/>
    <w:basedOn w:val="Policepardfaut"/>
    <w:link w:val="Titre5"/>
    <w:semiHidden/>
    <w:rsid w:val="004C541B"/>
    <w:rPr>
      <w:rFonts w:asciiTheme="majorHAnsi" w:eastAsiaTheme="majorEastAsia" w:hAnsiTheme="majorHAnsi" w:cstheme="majorBidi"/>
      <w:b/>
      <w:bCs/>
      <w:color w:val="243F60" w:themeColor="accent1" w:themeShade="7F"/>
      <w:sz w:val="24"/>
      <w:szCs w:val="24"/>
    </w:rPr>
  </w:style>
  <w:style w:type="character" w:customStyle="1" w:styleId="Titre6Car">
    <w:name w:val="Titre 6 Car"/>
    <w:basedOn w:val="Policepardfaut"/>
    <w:link w:val="Titre6"/>
    <w:semiHidden/>
    <w:rsid w:val="004C541B"/>
    <w:rPr>
      <w:rFonts w:asciiTheme="majorHAnsi" w:eastAsiaTheme="majorEastAsia" w:hAnsiTheme="majorHAnsi" w:cstheme="majorBidi"/>
      <w:b/>
      <w:bCs/>
      <w:i/>
      <w:iCs/>
      <w:color w:val="243F60" w:themeColor="accent1" w:themeShade="7F"/>
      <w:sz w:val="24"/>
      <w:szCs w:val="24"/>
    </w:rPr>
  </w:style>
  <w:style w:type="character" w:customStyle="1" w:styleId="Titre7Car">
    <w:name w:val="Titre 7 Car"/>
    <w:basedOn w:val="Policepardfaut"/>
    <w:link w:val="Titre7"/>
    <w:semiHidden/>
    <w:rsid w:val="004C541B"/>
    <w:rPr>
      <w:rFonts w:asciiTheme="majorHAnsi" w:eastAsiaTheme="majorEastAsia" w:hAnsiTheme="majorHAnsi" w:cstheme="majorBidi"/>
      <w:b/>
      <w:bCs/>
      <w:i/>
      <w:iCs/>
      <w:color w:val="404040" w:themeColor="text1" w:themeTint="BF"/>
      <w:sz w:val="24"/>
      <w:szCs w:val="24"/>
    </w:rPr>
  </w:style>
  <w:style w:type="character" w:customStyle="1" w:styleId="Titre8Car">
    <w:name w:val="Titre 8 Car"/>
    <w:basedOn w:val="Policepardfaut"/>
    <w:link w:val="Titre8"/>
    <w:semiHidden/>
    <w:rsid w:val="004C541B"/>
    <w:rPr>
      <w:rFonts w:asciiTheme="majorHAnsi" w:eastAsiaTheme="majorEastAsia" w:hAnsiTheme="majorHAnsi" w:cstheme="majorBidi"/>
      <w:b/>
      <w:bCs/>
      <w:color w:val="404040" w:themeColor="text1" w:themeTint="BF"/>
    </w:rPr>
  </w:style>
  <w:style w:type="character" w:customStyle="1" w:styleId="Titre9Car">
    <w:name w:val="Titre 9 Car"/>
    <w:basedOn w:val="Policepardfaut"/>
    <w:link w:val="Titre9"/>
    <w:semiHidden/>
    <w:rsid w:val="004C541B"/>
    <w:rPr>
      <w:rFonts w:asciiTheme="majorHAnsi" w:eastAsiaTheme="majorEastAsia" w:hAnsiTheme="majorHAnsi" w:cstheme="majorBidi"/>
      <w:b/>
      <w:bCs/>
      <w:i/>
      <w:iCs/>
      <w:color w:val="404040" w:themeColor="text1" w:themeTint="BF"/>
    </w:rPr>
  </w:style>
  <w:style w:type="character" w:styleId="Rfrenceintense">
    <w:name w:val="Intense Reference"/>
    <w:basedOn w:val="Policepardfaut"/>
    <w:uiPriority w:val="32"/>
    <w:qFormat/>
    <w:rsid w:val="00044382"/>
    <w:rPr>
      <w:b/>
      <w:bCs/>
      <w:smallCaps/>
      <w:color w:val="C0504D" w:themeColor="accent2"/>
      <w:spacing w:val="5"/>
      <w:u w:val="single"/>
    </w:rPr>
  </w:style>
  <w:style w:type="paragraph" w:styleId="Citationintense">
    <w:name w:val="Intense Quote"/>
    <w:basedOn w:val="Normal"/>
    <w:next w:val="Normal"/>
    <w:link w:val="CitationintenseCar"/>
    <w:uiPriority w:val="30"/>
    <w:qFormat/>
    <w:rsid w:val="00044382"/>
    <w:pPr>
      <w:pBdr>
        <w:bottom w:val="single" w:sz="4" w:space="4" w:color="4F81BD" w:themeColor="accent1"/>
      </w:pBdr>
      <w:spacing w:before="200" w:after="280"/>
      <w:ind w:left="936" w:right="936"/>
    </w:pPr>
    <w:rPr>
      <w:b w:val="0"/>
      <w:bCs w:val="0"/>
      <w:i/>
      <w:iCs/>
      <w:color w:val="4F81BD" w:themeColor="accent1"/>
    </w:rPr>
  </w:style>
  <w:style w:type="character" w:customStyle="1" w:styleId="CitationintenseCar">
    <w:name w:val="Citation intense Car"/>
    <w:basedOn w:val="Policepardfaut"/>
    <w:link w:val="Citationintense"/>
    <w:uiPriority w:val="30"/>
    <w:rsid w:val="00044382"/>
    <w:rPr>
      <w:i/>
      <w:iCs/>
      <w:color w:val="4F81BD" w:themeColor="accent1"/>
      <w:sz w:val="24"/>
      <w:szCs w:val="24"/>
    </w:rPr>
  </w:style>
  <w:style w:type="character" w:styleId="Titredulivre">
    <w:name w:val="Book Title"/>
    <w:basedOn w:val="Policepardfaut"/>
    <w:uiPriority w:val="33"/>
    <w:qFormat/>
    <w:rsid w:val="00044382"/>
    <w:rPr>
      <w:b/>
      <w:bCs/>
      <w:smallCaps/>
      <w:spacing w:val="5"/>
    </w:rPr>
  </w:style>
  <w:style w:type="character" w:customStyle="1" w:styleId="En-tteCar">
    <w:name w:val="En-tête Car"/>
    <w:basedOn w:val="Policepardfaut"/>
    <w:link w:val="En-tte"/>
    <w:uiPriority w:val="99"/>
    <w:rsid w:val="00A941A5"/>
    <w:rPr>
      <w:b/>
      <w:bCs/>
      <w:sz w:val="24"/>
      <w:szCs w:val="24"/>
    </w:rPr>
  </w:style>
  <w:style w:type="character" w:styleId="Accentuation">
    <w:name w:val="Emphasis"/>
    <w:basedOn w:val="Policepardfaut"/>
    <w:qFormat/>
    <w:rsid w:val="00A941A5"/>
    <w:rPr>
      <w:i/>
      <w:iCs/>
    </w:rPr>
  </w:style>
  <w:style w:type="paragraph" w:customStyle="1" w:styleId="xydp8b0c442emsonormal">
    <w:name w:val="x_ydp8b0c442emsonormal"/>
    <w:basedOn w:val="Normal"/>
    <w:rsid w:val="005151FD"/>
    <w:pPr>
      <w:spacing w:before="100" w:beforeAutospacing="1" w:after="100" w:afterAutospacing="1"/>
    </w:pPr>
    <w:rPr>
      <w:b w:val="0"/>
      <w:bCs w:val="0"/>
    </w:rPr>
  </w:style>
  <w:style w:type="character" w:customStyle="1" w:styleId="xydp8b0c442efontstyle01">
    <w:name w:val="x_ydp8b0c442efontstyle01"/>
    <w:basedOn w:val="Policepardfaut"/>
    <w:rsid w:val="005151FD"/>
  </w:style>
  <w:style w:type="character" w:customStyle="1" w:styleId="xydp8b0c442efontstyle21">
    <w:name w:val="x_ydp8b0c442efontstyle21"/>
    <w:basedOn w:val="Policepardfaut"/>
    <w:rsid w:val="005151FD"/>
  </w:style>
</w:styles>
</file>

<file path=word/webSettings.xml><?xml version="1.0" encoding="utf-8"?>
<w:webSettings xmlns:r="http://schemas.openxmlformats.org/officeDocument/2006/relationships" xmlns:w="http://schemas.openxmlformats.org/wordprocessingml/2006/main">
  <w:divs>
    <w:div w:id="12457390">
      <w:bodyDiv w:val="1"/>
      <w:marLeft w:val="0"/>
      <w:marRight w:val="0"/>
      <w:marTop w:val="0"/>
      <w:marBottom w:val="0"/>
      <w:divBdr>
        <w:top w:val="none" w:sz="0" w:space="0" w:color="auto"/>
        <w:left w:val="none" w:sz="0" w:space="0" w:color="auto"/>
        <w:bottom w:val="none" w:sz="0" w:space="0" w:color="auto"/>
        <w:right w:val="none" w:sz="0" w:space="0" w:color="auto"/>
      </w:divBdr>
    </w:div>
    <w:div w:id="226918169">
      <w:bodyDiv w:val="1"/>
      <w:marLeft w:val="0"/>
      <w:marRight w:val="0"/>
      <w:marTop w:val="0"/>
      <w:marBottom w:val="0"/>
      <w:divBdr>
        <w:top w:val="none" w:sz="0" w:space="0" w:color="auto"/>
        <w:left w:val="none" w:sz="0" w:space="0" w:color="auto"/>
        <w:bottom w:val="none" w:sz="0" w:space="0" w:color="auto"/>
        <w:right w:val="none" w:sz="0" w:space="0" w:color="auto"/>
      </w:divBdr>
    </w:div>
    <w:div w:id="354618946">
      <w:bodyDiv w:val="1"/>
      <w:marLeft w:val="0"/>
      <w:marRight w:val="0"/>
      <w:marTop w:val="0"/>
      <w:marBottom w:val="0"/>
      <w:divBdr>
        <w:top w:val="none" w:sz="0" w:space="0" w:color="auto"/>
        <w:left w:val="none" w:sz="0" w:space="0" w:color="auto"/>
        <w:bottom w:val="none" w:sz="0" w:space="0" w:color="auto"/>
        <w:right w:val="none" w:sz="0" w:space="0" w:color="auto"/>
      </w:divBdr>
    </w:div>
    <w:div w:id="462504428">
      <w:bodyDiv w:val="1"/>
      <w:marLeft w:val="0"/>
      <w:marRight w:val="0"/>
      <w:marTop w:val="0"/>
      <w:marBottom w:val="0"/>
      <w:divBdr>
        <w:top w:val="none" w:sz="0" w:space="0" w:color="auto"/>
        <w:left w:val="none" w:sz="0" w:space="0" w:color="auto"/>
        <w:bottom w:val="none" w:sz="0" w:space="0" w:color="auto"/>
        <w:right w:val="none" w:sz="0" w:space="0" w:color="auto"/>
      </w:divBdr>
      <w:divsChild>
        <w:div w:id="1205866661">
          <w:marLeft w:val="0"/>
          <w:marRight w:val="0"/>
          <w:marTop w:val="0"/>
          <w:marBottom w:val="0"/>
          <w:divBdr>
            <w:top w:val="none" w:sz="0" w:space="0" w:color="auto"/>
            <w:left w:val="none" w:sz="0" w:space="0" w:color="auto"/>
            <w:bottom w:val="none" w:sz="0" w:space="0" w:color="auto"/>
            <w:right w:val="none" w:sz="0" w:space="0" w:color="auto"/>
          </w:divBdr>
        </w:div>
      </w:divsChild>
    </w:div>
    <w:div w:id="466045449">
      <w:bodyDiv w:val="1"/>
      <w:marLeft w:val="0"/>
      <w:marRight w:val="0"/>
      <w:marTop w:val="0"/>
      <w:marBottom w:val="0"/>
      <w:divBdr>
        <w:top w:val="none" w:sz="0" w:space="0" w:color="auto"/>
        <w:left w:val="none" w:sz="0" w:space="0" w:color="auto"/>
        <w:bottom w:val="none" w:sz="0" w:space="0" w:color="auto"/>
        <w:right w:val="none" w:sz="0" w:space="0" w:color="auto"/>
      </w:divBdr>
    </w:div>
    <w:div w:id="538667900">
      <w:bodyDiv w:val="1"/>
      <w:marLeft w:val="0"/>
      <w:marRight w:val="0"/>
      <w:marTop w:val="0"/>
      <w:marBottom w:val="0"/>
      <w:divBdr>
        <w:top w:val="none" w:sz="0" w:space="0" w:color="auto"/>
        <w:left w:val="none" w:sz="0" w:space="0" w:color="auto"/>
        <w:bottom w:val="none" w:sz="0" w:space="0" w:color="auto"/>
        <w:right w:val="none" w:sz="0" w:space="0" w:color="auto"/>
      </w:divBdr>
    </w:div>
    <w:div w:id="664627519">
      <w:bodyDiv w:val="1"/>
      <w:marLeft w:val="0"/>
      <w:marRight w:val="0"/>
      <w:marTop w:val="0"/>
      <w:marBottom w:val="0"/>
      <w:divBdr>
        <w:top w:val="none" w:sz="0" w:space="0" w:color="auto"/>
        <w:left w:val="none" w:sz="0" w:space="0" w:color="auto"/>
        <w:bottom w:val="none" w:sz="0" w:space="0" w:color="auto"/>
        <w:right w:val="none" w:sz="0" w:space="0" w:color="auto"/>
      </w:divBdr>
    </w:div>
    <w:div w:id="675766462">
      <w:bodyDiv w:val="1"/>
      <w:marLeft w:val="0"/>
      <w:marRight w:val="0"/>
      <w:marTop w:val="0"/>
      <w:marBottom w:val="0"/>
      <w:divBdr>
        <w:top w:val="none" w:sz="0" w:space="0" w:color="auto"/>
        <w:left w:val="none" w:sz="0" w:space="0" w:color="auto"/>
        <w:bottom w:val="none" w:sz="0" w:space="0" w:color="auto"/>
        <w:right w:val="none" w:sz="0" w:space="0" w:color="auto"/>
      </w:divBdr>
      <w:divsChild>
        <w:div w:id="1644429410">
          <w:marLeft w:val="0"/>
          <w:marRight w:val="0"/>
          <w:marTop w:val="0"/>
          <w:marBottom w:val="0"/>
          <w:divBdr>
            <w:top w:val="none" w:sz="0" w:space="0" w:color="auto"/>
            <w:left w:val="none" w:sz="0" w:space="0" w:color="auto"/>
            <w:bottom w:val="none" w:sz="0" w:space="0" w:color="auto"/>
            <w:right w:val="none" w:sz="0" w:space="0" w:color="auto"/>
          </w:divBdr>
        </w:div>
      </w:divsChild>
    </w:div>
    <w:div w:id="753165002">
      <w:bodyDiv w:val="1"/>
      <w:marLeft w:val="0"/>
      <w:marRight w:val="0"/>
      <w:marTop w:val="0"/>
      <w:marBottom w:val="0"/>
      <w:divBdr>
        <w:top w:val="none" w:sz="0" w:space="0" w:color="auto"/>
        <w:left w:val="none" w:sz="0" w:space="0" w:color="auto"/>
        <w:bottom w:val="none" w:sz="0" w:space="0" w:color="auto"/>
        <w:right w:val="none" w:sz="0" w:space="0" w:color="auto"/>
      </w:divBdr>
    </w:div>
    <w:div w:id="1146049184">
      <w:bodyDiv w:val="1"/>
      <w:marLeft w:val="0"/>
      <w:marRight w:val="0"/>
      <w:marTop w:val="0"/>
      <w:marBottom w:val="0"/>
      <w:divBdr>
        <w:top w:val="none" w:sz="0" w:space="0" w:color="auto"/>
        <w:left w:val="none" w:sz="0" w:space="0" w:color="auto"/>
        <w:bottom w:val="none" w:sz="0" w:space="0" w:color="auto"/>
        <w:right w:val="none" w:sz="0" w:space="0" w:color="auto"/>
      </w:divBdr>
    </w:div>
    <w:div w:id="1168210127">
      <w:bodyDiv w:val="1"/>
      <w:marLeft w:val="0"/>
      <w:marRight w:val="0"/>
      <w:marTop w:val="0"/>
      <w:marBottom w:val="0"/>
      <w:divBdr>
        <w:top w:val="none" w:sz="0" w:space="0" w:color="auto"/>
        <w:left w:val="none" w:sz="0" w:space="0" w:color="auto"/>
        <w:bottom w:val="none" w:sz="0" w:space="0" w:color="auto"/>
        <w:right w:val="none" w:sz="0" w:space="0" w:color="auto"/>
      </w:divBdr>
    </w:div>
    <w:div w:id="1232084194">
      <w:bodyDiv w:val="1"/>
      <w:marLeft w:val="0"/>
      <w:marRight w:val="0"/>
      <w:marTop w:val="0"/>
      <w:marBottom w:val="0"/>
      <w:divBdr>
        <w:top w:val="none" w:sz="0" w:space="0" w:color="auto"/>
        <w:left w:val="none" w:sz="0" w:space="0" w:color="auto"/>
        <w:bottom w:val="none" w:sz="0" w:space="0" w:color="auto"/>
        <w:right w:val="none" w:sz="0" w:space="0" w:color="auto"/>
      </w:divBdr>
    </w:div>
    <w:div w:id="1233588145">
      <w:bodyDiv w:val="1"/>
      <w:marLeft w:val="0"/>
      <w:marRight w:val="0"/>
      <w:marTop w:val="0"/>
      <w:marBottom w:val="0"/>
      <w:divBdr>
        <w:top w:val="none" w:sz="0" w:space="0" w:color="auto"/>
        <w:left w:val="none" w:sz="0" w:space="0" w:color="auto"/>
        <w:bottom w:val="none" w:sz="0" w:space="0" w:color="auto"/>
        <w:right w:val="none" w:sz="0" w:space="0" w:color="auto"/>
      </w:divBdr>
    </w:div>
    <w:div w:id="1250189205">
      <w:bodyDiv w:val="1"/>
      <w:marLeft w:val="0"/>
      <w:marRight w:val="0"/>
      <w:marTop w:val="0"/>
      <w:marBottom w:val="0"/>
      <w:divBdr>
        <w:top w:val="none" w:sz="0" w:space="0" w:color="auto"/>
        <w:left w:val="none" w:sz="0" w:space="0" w:color="auto"/>
        <w:bottom w:val="none" w:sz="0" w:space="0" w:color="auto"/>
        <w:right w:val="none" w:sz="0" w:space="0" w:color="auto"/>
      </w:divBdr>
    </w:div>
    <w:div w:id="1268150021">
      <w:bodyDiv w:val="1"/>
      <w:marLeft w:val="0"/>
      <w:marRight w:val="0"/>
      <w:marTop w:val="0"/>
      <w:marBottom w:val="0"/>
      <w:divBdr>
        <w:top w:val="none" w:sz="0" w:space="0" w:color="auto"/>
        <w:left w:val="none" w:sz="0" w:space="0" w:color="auto"/>
        <w:bottom w:val="none" w:sz="0" w:space="0" w:color="auto"/>
        <w:right w:val="none" w:sz="0" w:space="0" w:color="auto"/>
      </w:divBdr>
    </w:div>
    <w:div w:id="1350990680">
      <w:bodyDiv w:val="1"/>
      <w:marLeft w:val="0"/>
      <w:marRight w:val="0"/>
      <w:marTop w:val="0"/>
      <w:marBottom w:val="0"/>
      <w:divBdr>
        <w:top w:val="none" w:sz="0" w:space="0" w:color="auto"/>
        <w:left w:val="none" w:sz="0" w:space="0" w:color="auto"/>
        <w:bottom w:val="none" w:sz="0" w:space="0" w:color="auto"/>
        <w:right w:val="none" w:sz="0" w:space="0" w:color="auto"/>
      </w:divBdr>
    </w:div>
    <w:div w:id="1463424364">
      <w:bodyDiv w:val="1"/>
      <w:marLeft w:val="0"/>
      <w:marRight w:val="0"/>
      <w:marTop w:val="0"/>
      <w:marBottom w:val="0"/>
      <w:divBdr>
        <w:top w:val="none" w:sz="0" w:space="0" w:color="auto"/>
        <w:left w:val="none" w:sz="0" w:space="0" w:color="auto"/>
        <w:bottom w:val="none" w:sz="0" w:space="0" w:color="auto"/>
        <w:right w:val="none" w:sz="0" w:space="0" w:color="auto"/>
      </w:divBdr>
    </w:div>
    <w:div w:id="1480271697">
      <w:bodyDiv w:val="1"/>
      <w:marLeft w:val="0"/>
      <w:marRight w:val="0"/>
      <w:marTop w:val="0"/>
      <w:marBottom w:val="0"/>
      <w:divBdr>
        <w:top w:val="none" w:sz="0" w:space="0" w:color="auto"/>
        <w:left w:val="none" w:sz="0" w:space="0" w:color="auto"/>
        <w:bottom w:val="none" w:sz="0" w:space="0" w:color="auto"/>
        <w:right w:val="none" w:sz="0" w:space="0" w:color="auto"/>
      </w:divBdr>
    </w:div>
    <w:div w:id="1494029971">
      <w:bodyDiv w:val="1"/>
      <w:marLeft w:val="0"/>
      <w:marRight w:val="0"/>
      <w:marTop w:val="0"/>
      <w:marBottom w:val="0"/>
      <w:divBdr>
        <w:top w:val="none" w:sz="0" w:space="0" w:color="auto"/>
        <w:left w:val="none" w:sz="0" w:space="0" w:color="auto"/>
        <w:bottom w:val="none" w:sz="0" w:space="0" w:color="auto"/>
        <w:right w:val="none" w:sz="0" w:space="0" w:color="auto"/>
      </w:divBdr>
    </w:div>
    <w:div w:id="1495298762">
      <w:bodyDiv w:val="1"/>
      <w:marLeft w:val="0"/>
      <w:marRight w:val="0"/>
      <w:marTop w:val="0"/>
      <w:marBottom w:val="0"/>
      <w:divBdr>
        <w:top w:val="none" w:sz="0" w:space="0" w:color="auto"/>
        <w:left w:val="none" w:sz="0" w:space="0" w:color="auto"/>
        <w:bottom w:val="none" w:sz="0" w:space="0" w:color="auto"/>
        <w:right w:val="none" w:sz="0" w:space="0" w:color="auto"/>
      </w:divBdr>
    </w:div>
    <w:div w:id="1566188059">
      <w:bodyDiv w:val="1"/>
      <w:marLeft w:val="0"/>
      <w:marRight w:val="0"/>
      <w:marTop w:val="0"/>
      <w:marBottom w:val="0"/>
      <w:divBdr>
        <w:top w:val="none" w:sz="0" w:space="0" w:color="auto"/>
        <w:left w:val="none" w:sz="0" w:space="0" w:color="auto"/>
        <w:bottom w:val="none" w:sz="0" w:space="0" w:color="auto"/>
        <w:right w:val="none" w:sz="0" w:space="0" w:color="auto"/>
      </w:divBdr>
      <w:divsChild>
        <w:div w:id="236404246">
          <w:marLeft w:val="0"/>
          <w:marRight w:val="0"/>
          <w:marTop w:val="0"/>
          <w:marBottom w:val="0"/>
          <w:divBdr>
            <w:top w:val="none" w:sz="0" w:space="0" w:color="auto"/>
            <w:left w:val="none" w:sz="0" w:space="0" w:color="auto"/>
            <w:bottom w:val="none" w:sz="0" w:space="0" w:color="auto"/>
            <w:right w:val="none" w:sz="0" w:space="0" w:color="auto"/>
          </w:divBdr>
          <w:divsChild>
            <w:div w:id="1776516001">
              <w:marLeft w:val="0"/>
              <w:marRight w:val="0"/>
              <w:marTop w:val="0"/>
              <w:marBottom w:val="0"/>
              <w:divBdr>
                <w:top w:val="none" w:sz="0" w:space="0" w:color="auto"/>
                <w:left w:val="none" w:sz="0" w:space="0" w:color="auto"/>
                <w:bottom w:val="none" w:sz="0" w:space="0" w:color="auto"/>
                <w:right w:val="none" w:sz="0" w:space="0" w:color="auto"/>
              </w:divBdr>
              <w:divsChild>
                <w:div w:id="1162160183">
                  <w:marLeft w:val="0"/>
                  <w:marRight w:val="0"/>
                  <w:marTop w:val="0"/>
                  <w:marBottom w:val="0"/>
                  <w:divBdr>
                    <w:top w:val="none" w:sz="0" w:space="0" w:color="auto"/>
                    <w:left w:val="none" w:sz="0" w:space="0" w:color="auto"/>
                    <w:bottom w:val="none" w:sz="0" w:space="0" w:color="auto"/>
                    <w:right w:val="none" w:sz="0" w:space="0" w:color="auto"/>
                  </w:divBdr>
                  <w:divsChild>
                    <w:div w:id="1370061764">
                      <w:marLeft w:val="0"/>
                      <w:marRight w:val="0"/>
                      <w:marTop w:val="0"/>
                      <w:marBottom w:val="0"/>
                      <w:divBdr>
                        <w:top w:val="none" w:sz="0" w:space="0" w:color="auto"/>
                        <w:left w:val="none" w:sz="0" w:space="0" w:color="auto"/>
                        <w:bottom w:val="none" w:sz="0" w:space="0" w:color="auto"/>
                        <w:right w:val="none" w:sz="0" w:space="0" w:color="auto"/>
                      </w:divBdr>
                      <w:divsChild>
                        <w:div w:id="1362321267">
                          <w:marLeft w:val="0"/>
                          <w:marRight w:val="0"/>
                          <w:marTop w:val="0"/>
                          <w:marBottom w:val="0"/>
                          <w:divBdr>
                            <w:top w:val="none" w:sz="0" w:space="0" w:color="auto"/>
                            <w:left w:val="none" w:sz="0" w:space="0" w:color="auto"/>
                            <w:bottom w:val="none" w:sz="0" w:space="0" w:color="auto"/>
                            <w:right w:val="none" w:sz="0" w:space="0" w:color="auto"/>
                          </w:divBdr>
                          <w:divsChild>
                            <w:div w:id="151682956">
                              <w:marLeft w:val="0"/>
                              <w:marRight w:val="0"/>
                              <w:marTop w:val="0"/>
                              <w:marBottom w:val="0"/>
                              <w:divBdr>
                                <w:top w:val="none" w:sz="0" w:space="0" w:color="auto"/>
                                <w:left w:val="none" w:sz="0" w:space="0" w:color="auto"/>
                                <w:bottom w:val="none" w:sz="0" w:space="0" w:color="auto"/>
                                <w:right w:val="none" w:sz="0" w:space="0" w:color="auto"/>
                              </w:divBdr>
                              <w:divsChild>
                                <w:div w:id="36517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63557">
                          <w:marLeft w:val="0"/>
                          <w:marRight w:val="0"/>
                          <w:marTop w:val="0"/>
                          <w:marBottom w:val="0"/>
                          <w:divBdr>
                            <w:top w:val="none" w:sz="0" w:space="0" w:color="auto"/>
                            <w:left w:val="none" w:sz="0" w:space="0" w:color="auto"/>
                            <w:bottom w:val="none" w:sz="0" w:space="0" w:color="auto"/>
                            <w:right w:val="none" w:sz="0" w:space="0" w:color="auto"/>
                          </w:divBdr>
                          <w:divsChild>
                            <w:div w:id="67726049">
                              <w:marLeft w:val="0"/>
                              <w:marRight w:val="0"/>
                              <w:marTop w:val="0"/>
                              <w:marBottom w:val="0"/>
                              <w:divBdr>
                                <w:top w:val="none" w:sz="0" w:space="0" w:color="auto"/>
                                <w:left w:val="none" w:sz="0" w:space="0" w:color="auto"/>
                                <w:bottom w:val="none" w:sz="0" w:space="0" w:color="auto"/>
                                <w:right w:val="none" w:sz="0" w:space="0" w:color="auto"/>
                              </w:divBdr>
                              <w:divsChild>
                                <w:div w:id="722169850">
                                  <w:marLeft w:val="0"/>
                                  <w:marRight w:val="0"/>
                                  <w:marTop w:val="0"/>
                                  <w:marBottom w:val="0"/>
                                  <w:divBdr>
                                    <w:top w:val="none" w:sz="0" w:space="0" w:color="auto"/>
                                    <w:left w:val="none" w:sz="0" w:space="0" w:color="auto"/>
                                    <w:bottom w:val="none" w:sz="0" w:space="0" w:color="auto"/>
                                    <w:right w:val="none" w:sz="0" w:space="0" w:color="auto"/>
                                  </w:divBdr>
                                  <w:divsChild>
                                    <w:div w:id="180315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392191">
                      <w:marLeft w:val="0"/>
                      <w:marRight w:val="0"/>
                      <w:marTop w:val="0"/>
                      <w:marBottom w:val="0"/>
                      <w:divBdr>
                        <w:top w:val="none" w:sz="0" w:space="0" w:color="auto"/>
                        <w:left w:val="none" w:sz="0" w:space="0" w:color="auto"/>
                        <w:bottom w:val="none" w:sz="0" w:space="0" w:color="auto"/>
                        <w:right w:val="none" w:sz="0" w:space="0" w:color="auto"/>
                      </w:divBdr>
                      <w:divsChild>
                        <w:div w:id="157393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94365">
          <w:marLeft w:val="0"/>
          <w:marRight w:val="0"/>
          <w:marTop w:val="0"/>
          <w:marBottom w:val="0"/>
          <w:divBdr>
            <w:top w:val="none" w:sz="0" w:space="0" w:color="auto"/>
            <w:left w:val="none" w:sz="0" w:space="0" w:color="auto"/>
            <w:bottom w:val="none" w:sz="0" w:space="0" w:color="auto"/>
            <w:right w:val="none" w:sz="0" w:space="0" w:color="auto"/>
          </w:divBdr>
        </w:div>
      </w:divsChild>
    </w:div>
    <w:div w:id="1754089048">
      <w:bodyDiv w:val="1"/>
      <w:marLeft w:val="0"/>
      <w:marRight w:val="0"/>
      <w:marTop w:val="0"/>
      <w:marBottom w:val="0"/>
      <w:divBdr>
        <w:top w:val="none" w:sz="0" w:space="0" w:color="auto"/>
        <w:left w:val="none" w:sz="0" w:space="0" w:color="auto"/>
        <w:bottom w:val="none" w:sz="0" w:space="0" w:color="auto"/>
        <w:right w:val="none" w:sz="0" w:space="0" w:color="auto"/>
      </w:divBdr>
    </w:div>
    <w:div w:id="1837063643">
      <w:bodyDiv w:val="1"/>
      <w:marLeft w:val="0"/>
      <w:marRight w:val="0"/>
      <w:marTop w:val="0"/>
      <w:marBottom w:val="0"/>
      <w:divBdr>
        <w:top w:val="none" w:sz="0" w:space="0" w:color="auto"/>
        <w:left w:val="none" w:sz="0" w:space="0" w:color="auto"/>
        <w:bottom w:val="none" w:sz="0" w:space="0" w:color="auto"/>
        <w:right w:val="none" w:sz="0" w:space="0" w:color="auto"/>
      </w:divBdr>
    </w:div>
    <w:div w:id="1913739089">
      <w:bodyDiv w:val="1"/>
      <w:marLeft w:val="0"/>
      <w:marRight w:val="0"/>
      <w:marTop w:val="0"/>
      <w:marBottom w:val="0"/>
      <w:divBdr>
        <w:top w:val="none" w:sz="0" w:space="0" w:color="auto"/>
        <w:left w:val="none" w:sz="0" w:space="0" w:color="auto"/>
        <w:bottom w:val="none" w:sz="0" w:space="0" w:color="auto"/>
        <w:right w:val="none" w:sz="0" w:space="0" w:color="auto"/>
      </w:divBdr>
    </w:div>
    <w:div w:id="200986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636B0-8662-493F-B2DC-8F1C91824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4664</Words>
  <Characters>25653</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Budget Economique Prévisionnel 2019                                                          Janvier 2019</vt:lpstr>
    </vt:vector>
  </TitlesOfParts>
  <Company>HCP</Company>
  <LinksUpToDate>false</LinksUpToDate>
  <CharactersWithSpaces>30257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Economique Prévisionnel 2019                                                          Janvier 2019</dc:title>
  <dc:creator>hassan el housni</dc:creator>
  <cp:lastModifiedBy>hcp</cp:lastModifiedBy>
  <cp:revision>2</cp:revision>
  <cp:lastPrinted>2019-01-16T13:46:00Z</cp:lastPrinted>
  <dcterms:created xsi:type="dcterms:W3CDTF">2019-01-18T10:22:00Z</dcterms:created>
  <dcterms:modified xsi:type="dcterms:W3CDTF">2019-01-18T10:22:00Z</dcterms:modified>
</cp:coreProperties>
</file>