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39" w:rsidRDefault="00C576BC" w:rsidP="00115E3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    </w:t>
      </w: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Pr="00754D0C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280BAC" w:rsidP="00280BAC">
      <w:pPr>
        <w:bidi w:val="0"/>
        <w:jc w:val="center"/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NOTE D’INFORMATION DU HAUT-COMMIS</w:t>
      </w:r>
      <w:r w:rsidR="00B0570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S</w:t>
      </w:r>
      <w:r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 xml:space="preserve">ARIAT AU PLAN RELATIVE A LA </w:t>
      </w:r>
      <w:r w:rsidR="00232484" w:rsidRPr="0057495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 xml:space="preserve">SITUATION DU MARCHE DU TRAVAIL EN </w:t>
      </w:r>
      <w:r w:rsidR="00232484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201</w:t>
      </w:r>
      <w:r w:rsidR="00DD5135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8</w:t>
      </w:r>
    </w:p>
    <w:p w:rsidR="00DD5135" w:rsidRDefault="00DD5135" w:rsidP="00DD5135">
      <w:pPr>
        <w:bidi w:val="0"/>
        <w:jc w:val="center"/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</w:pPr>
    </w:p>
    <w:p w:rsidR="0026467C" w:rsidRPr="00280BAC" w:rsidRDefault="0026467C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Entre 2017 et 2018, </w:t>
      </w:r>
      <w:r w:rsidR="009527C1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>l’économie marocaine a créé 112.000 postes d’emploi, 91.000 en milieu urbain et 21.000 en milieu rural, contre une création de 86.000 une année auparavant.</w:t>
      </w:r>
    </w:p>
    <w:p w:rsidR="0026467C" w:rsidRPr="00280BAC" w:rsidRDefault="0026467C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"services ont créé 65.000 emplois, l’"agriculture, forêt et pêche" </w:t>
      </w:r>
      <w:r w:rsidR="006B7626" w:rsidRPr="00280BAC">
        <w:rPr>
          <w:rFonts w:ascii="Book Antiqua" w:hAnsi="Book Antiqua" w:cstheme="majorBidi"/>
          <w:color w:val="0070C0"/>
          <w:sz w:val="28"/>
          <w:szCs w:val="28"/>
        </w:rPr>
        <w:t>19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.000, les  BTP 15.000 et le secteur de l’"industrie y compris l'artisanat" </w:t>
      </w:r>
      <w:r w:rsidR="006B7626" w:rsidRPr="00280BAC">
        <w:rPr>
          <w:rFonts w:ascii="Book Antiqua" w:hAnsi="Book Antiqua" w:cstheme="majorBidi"/>
          <w:color w:val="0070C0"/>
          <w:sz w:val="28"/>
          <w:szCs w:val="28"/>
        </w:rPr>
        <w:t>13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.000. </w:t>
      </w:r>
    </w:p>
    <w:p w:rsidR="0026467C" w:rsidRPr="00280BAC" w:rsidRDefault="0026467C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>Dans ce contexte, entre les deux périodes, avec une baisse de 25.000 personnes en milieu urbain et 23.000 en milieu rural, le nombre total des chômeurs a reculé de 48.000 personnes au niveau national, s’établissant à 1.168.000 chômeurs.</w:t>
      </w:r>
    </w:p>
    <w:p w:rsidR="0026467C" w:rsidRPr="00280BAC" w:rsidRDefault="0026467C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Le taux de chômage est ainsi passé, entre 2017 et 2018, de 10,2% à 9,8% au niveau national ; de 14,7% à 14,2% en milieu urbain et de 4% à 3,5% en milieu rural. Les baisses les plus importantes du taux de chômage ont été relevées parmi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personnes ayant un diplôme (-0,8 point), les femmes (-0,7 point) et 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>les jeunes âgés de 15 à 24 ans (-0,5 point)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. En revanche, l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 xml:space="preserve">es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hausse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l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 xml:space="preserve">es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plus importante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du taux de chômage 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 xml:space="preserve">ont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été enregistrée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parmi </w:t>
      </w:r>
      <w:r w:rsidR="00EF611F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diplômés de</w:t>
      </w:r>
      <w:r w:rsidR="00654B6B" w:rsidRPr="00280BAC">
        <w:rPr>
          <w:rFonts w:ascii="Book Antiqua" w:hAnsi="Book Antiqua" w:cstheme="majorBidi"/>
          <w:color w:val="0070C0"/>
          <w:sz w:val="28"/>
          <w:szCs w:val="28"/>
        </w:rPr>
        <w:t xml:space="preserve">s 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faculté</w:t>
      </w:r>
      <w:r w:rsidR="00654B6B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 xml:space="preserve"> (+0,6 point) et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jeunes citadins </w:t>
      </w:r>
      <w:r w:rsidR="00825A49" w:rsidRPr="00280BAC">
        <w:rPr>
          <w:rFonts w:ascii="Book Antiqua" w:hAnsi="Book Antiqua" w:cstheme="majorBidi"/>
          <w:color w:val="0070C0"/>
          <w:sz w:val="28"/>
          <w:szCs w:val="28"/>
        </w:rPr>
        <w:t xml:space="preserve">âgés de 15 à 24 ans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(+0,4 point)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>.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</w:p>
    <w:p w:rsidR="005B36A7" w:rsidRPr="00280BAC" w:rsidRDefault="00D46545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>Le</w:t>
      </w:r>
      <w:r w:rsidR="001E6B87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 xml:space="preserve"> taux de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 chômage 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>les plus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 élevé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>s sont relevés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 parmi </w:t>
      </w:r>
      <w:r w:rsidR="00592C17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</w:t>
      </w:r>
      <w:r w:rsidR="00C42C7E" w:rsidRPr="00280BAC">
        <w:rPr>
          <w:rFonts w:ascii="Book Antiqua" w:hAnsi="Book Antiqua" w:cstheme="majorBidi"/>
          <w:color w:val="0070C0"/>
          <w:sz w:val="28"/>
          <w:szCs w:val="28"/>
        </w:rPr>
        <w:t>femmes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F515E6" w:rsidRPr="00280BAC">
        <w:rPr>
          <w:rFonts w:ascii="Book Antiqua" w:hAnsi="Book Antiqua" w:cstheme="majorBidi"/>
          <w:color w:val="0070C0"/>
          <w:sz w:val="28"/>
          <w:szCs w:val="28"/>
        </w:rPr>
        <w:t xml:space="preserve">avec 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>14%,</w:t>
      </w:r>
      <w:r w:rsidR="00C42C7E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B23865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diplômés avec 17,1% et </w:t>
      </w:r>
      <w:r w:rsidR="00C42C7E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</w:t>
      </w:r>
      <w:r w:rsidR="00592C17" w:rsidRPr="00280BAC">
        <w:rPr>
          <w:rFonts w:ascii="Book Antiqua" w:hAnsi="Book Antiqua" w:cstheme="majorBidi"/>
          <w:color w:val="0070C0"/>
          <w:sz w:val="28"/>
          <w:szCs w:val="28"/>
        </w:rPr>
        <w:t>jeunes âgés de 15 à 24 ans</w:t>
      </w:r>
      <w:r w:rsidR="00B23865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F515E6" w:rsidRPr="00280BAC">
        <w:rPr>
          <w:rFonts w:ascii="Book Antiqua" w:hAnsi="Book Antiqua" w:cstheme="majorBidi"/>
          <w:color w:val="0070C0"/>
          <w:sz w:val="28"/>
          <w:szCs w:val="28"/>
        </w:rPr>
        <w:t xml:space="preserve">avec 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>26%</w:t>
      </w:r>
      <w:r w:rsidR="00B23865" w:rsidRPr="00280BAC">
        <w:rPr>
          <w:rFonts w:ascii="Book Antiqua" w:hAnsi="Book Antiqua" w:cstheme="majorBidi"/>
          <w:color w:val="0070C0"/>
          <w:sz w:val="28"/>
          <w:szCs w:val="28"/>
        </w:rPr>
        <w:t>.</w:t>
      </w:r>
      <w:r w:rsidR="00443CB9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</w:p>
    <w:p w:rsidR="00341C10" w:rsidRPr="00280BAC" w:rsidRDefault="00341C10" w:rsidP="00280BAC">
      <w:pPr>
        <w:bidi w:val="0"/>
        <w:jc w:val="both"/>
        <w:rPr>
          <w:rFonts w:ascii="Book Antiqua" w:hAnsi="Book Antiqua" w:cs="Times New Roman"/>
          <w:b/>
          <w:bCs/>
          <w:noProof w:val="0"/>
          <w:color w:val="0070C0"/>
          <w:sz w:val="32"/>
          <w:szCs w:val="32"/>
        </w:rPr>
      </w:pPr>
      <w:r w:rsidRPr="00280BAC">
        <w:rPr>
          <w:rFonts w:ascii="Book Antiqua" w:hAnsi="Book Antiqua" w:cs="Times New Roman"/>
          <w:b/>
          <w:bCs/>
          <w:noProof w:val="0"/>
          <w:color w:val="0070C0"/>
          <w:sz w:val="32"/>
          <w:szCs w:val="32"/>
        </w:rPr>
        <w:br w:type="page"/>
      </w:r>
    </w:p>
    <w:p w:rsidR="00F24677" w:rsidRPr="00F21B80" w:rsidRDefault="009F7607" w:rsidP="00137670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C</w:t>
      </w:r>
      <w:r w:rsidR="00AB2206"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réation nette d’emplois </w:t>
      </w:r>
      <w:r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et</w:t>
      </w:r>
      <w:r w:rsidR="00AB2206"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persistan</w:t>
      </w:r>
      <w:r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c</w:t>
      </w:r>
      <w:r w:rsidR="00AB2206"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e </w:t>
      </w:r>
      <w:r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de la baisse </w:t>
      </w:r>
      <w:r w:rsidR="00F24677"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des taux d’activité et d’emploi</w:t>
      </w:r>
    </w:p>
    <w:p w:rsidR="00B1139E" w:rsidRDefault="00BA6DCD" w:rsidP="00701B4F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201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>8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a situation du marché de travail 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 xml:space="preserve">a été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marquée par la persistance à la baisse des taux d’activité et d’emploi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.</w:t>
      </w:r>
      <w:r w:rsidR="00EB794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 xml:space="preserve">La population en âge d’activité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(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15 ans et plus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 xml:space="preserve"> s’est accrue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,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par rapport à 201</w:t>
      </w:r>
      <w:r w:rsidR="00892057">
        <w:rPr>
          <w:rFonts w:ascii="Book Antiqua" w:hAnsi="Book Antiqua" w:cs="Times New Roman"/>
          <w:noProof w:val="0"/>
          <w:sz w:val="26"/>
          <w:szCs w:val="26"/>
        </w:rPr>
        <w:t>7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, à un rythme plus important (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+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 xml:space="preserve">1,7%) que celui de la 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population active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(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+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0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5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%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EB794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e taux 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 xml:space="preserve">d’activité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a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>,</w:t>
      </w:r>
      <w:r w:rsidR="00DB21D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ainsi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>,</w:t>
      </w:r>
      <w:r w:rsidR="00DB21D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reculé</w:t>
      </w:r>
      <w:r w:rsidR="00DB21D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46,7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2</w:t>
      </w:r>
      <w:r>
        <w:rPr>
          <w:rFonts w:ascii="Book Antiqua" w:hAnsi="Book Antiqua" w:cs="Times New Roman"/>
          <w:noProof w:val="0"/>
          <w:sz w:val="26"/>
          <w:szCs w:val="26"/>
        </w:rPr>
        <w:t>% (-0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>entre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2017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2018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Il a baissé 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42,4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41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>,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8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 (-0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6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et d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54,1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53,9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n milieu rural (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-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0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,2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)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.</w:t>
      </w:r>
      <w:r w:rsidR="00DB21D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Entre hommes et femmes, l’écart des </w:t>
      </w:r>
      <w:r w:rsidR="00CF1EBE" w:rsidRPr="00284DFF">
        <w:rPr>
          <w:rFonts w:ascii="Book Antiqua" w:hAnsi="Book Antiqua" w:cs="Times New Roman"/>
          <w:noProof w:val="0"/>
          <w:sz w:val="26"/>
          <w:szCs w:val="26"/>
        </w:rPr>
        <w:t>taux d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>’activité est de 4</w:t>
      </w:r>
      <w:r w:rsidR="0056470F">
        <w:rPr>
          <w:rFonts w:ascii="Book Antiqua" w:hAnsi="Book Antiqua" w:cs="Times New Roman"/>
          <w:noProof w:val="0"/>
          <w:sz w:val="26"/>
          <w:szCs w:val="26"/>
        </w:rPr>
        <w:t>8,7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 points (respectivement </w:t>
      </w:r>
      <w:r w:rsidR="0056470F">
        <w:rPr>
          <w:rFonts w:ascii="Book Antiqua" w:hAnsi="Book Antiqua" w:cs="Times New Roman"/>
          <w:noProof w:val="0"/>
          <w:sz w:val="26"/>
          <w:szCs w:val="26"/>
        </w:rPr>
        <w:t>70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>,</w:t>
      </w:r>
      <w:r w:rsidR="0056470F">
        <w:rPr>
          <w:rFonts w:ascii="Book Antiqua" w:hAnsi="Book Antiqua" w:cs="Times New Roman"/>
          <w:noProof w:val="0"/>
          <w:sz w:val="26"/>
          <w:szCs w:val="26"/>
        </w:rPr>
        <w:t>9% et 22,2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>%).</w:t>
      </w:r>
    </w:p>
    <w:p w:rsidR="00332164" w:rsidRDefault="00092F8D" w:rsidP="00332164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 volume de l’emploi s’est accru de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1</w:t>
      </w:r>
      <w:r w:rsidR="00332164">
        <w:rPr>
          <w:rFonts w:ascii="Book Antiqua" w:hAnsi="Book Antiqua" w:cs="Times New Roman"/>
          <w:noProof w:val="0"/>
          <w:sz w:val="26"/>
          <w:szCs w:val="26"/>
        </w:rPr>
        <w:t>1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2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postes,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91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21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.000 en milieu rural, contre une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 xml:space="preserve">création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nette de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86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.000 postes une année auparavant. </w:t>
      </w:r>
      <w:r w:rsidR="00332164">
        <w:rPr>
          <w:rFonts w:ascii="Book Antiqua" w:hAnsi="Book Antiqua" w:cs="Times New Roman"/>
          <w:noProof w:val="0"/>
          <w:sz w:val="26"/>
          <w:szCs w:val="26"/>
        </w:rPr>
        <w:t xml:space="preserve">Ces emplois ont profité </w:t>
      </w:r>
      <w:r w:rsidR="00332164" w:rsidRPr="00C46DE0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="00332164">
        <w:rPr>
          <w:rFonts w:ascii="Book Antiqua" w:hAnsi="Book Antiqua" w:cs="Times New Roman"/>
          <w:noProof w:val="0"/>
          <w:sz w:val="26"/>
          <w:szCs w:val="26"/>
        </w:rPr>
        <w:t>85</w:t>
      </w:r>
      <w:r w:rsidR="00332164" w:rsidRPr="00C46DE0">
        <w:rPr>
          <w:rFonts w:ascii="Book Antiqua" w:hAnsi="Book Antiqua" w:cs="Times New Roman"/>
          <w:noProof w:val="0"/>
          <w:sz w:val="26"/>
          <w:szCs w:val="26"/>
        </w:rPr>
        <w:t xml:space="preserve">.000 hommes </w:t>
      </w:r>
      <w:r w:rsidR="00332164">
        <w:rPr>
          <w:rFonts w:ascii="Book Antiqua" w:hAnsi="Book Antiqua" w:cs="Times New Roman"/>
          <w:noProof w:val="0"/>
          <w:sz w:val="26"/>
          <w:szCs w:val="26"/>
        </w:rPr>
        <w:t>et à 27</w:t>
      </w:r>
      <w:r w:rsidR="00332164" w:rsidRPr="00C46DE0">
        <w:rPr>
          <w:rFonts w:ascii="Book Antiqua" w:hAnsi="Book Antiqua" w:cs="Times New Roman"/>
          <w:noProof w:val="0"/>
          <w:sz w:val="26"/>
          <w:szCs w:val="26"/>
        </w:rPr>
        <w:t>.000 femmes.</w:t>
      </w:r>
    </w:p>
    <w:p w:rsidR="00332164" w:rsidRDefault="00332164" w:rsidP="00974C81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Selon le statut d’emploi</w:t>
      </w:r>
      <w:r w:rsidRPr="002A5B68">
        <w:rPr>
          <w:rFonts w:ascii="Book Antiqua" w:hAnsi="Book Antiqua" w:cs="Times New Roman"/>
          <w:noProof w:val="0"/>
          <w:sz w:val="26"/>
          <w:szCs w:val="26"/>
        </w:rPr>
        <w:t xml:space="preserve">, 126.000 postes d’emploi rémunérés ont été créés au cours de la période, 89.000 en milieu urbain et 37.000 en milieu rural. L’emploi non rémunéré, composé d’environ 98% d’aides familiales, a en revanche enregistré une baisse de 14.000 postes, </w:t>
      </w:r>
      <w:r w:rsidR="00974C81" w:rsidRPr="002A5B68">
        <w:rPr>
          <w:rFonts w:ascii="Book Antiqua" w:hAnsi="Book Antiqua" w:cs="Times New Roman"/>
          <w:noProof w:val="0"/>
          <w:sz w:val="26"/>
          <w:szCs w:val="26"/>
        </w:rPr>
        <w:t xml:space="preserve">résultant d’une création de </w:t>
      </w:r>
      <w:r w:rsidRPr="002A5B68">
        <w:rPr>
          <w:rFonts w:ascii="Book Antiqua" w:hAnsi="Book Antiqua" w:cs="Times New Roman"/>
          <w:noProof w:val="0"/>
          <w:sz w:val="26"/>
          <w:szCs w:val="26"/>
        </w:rPr>
        <w:t xml:space="preserve">2.000 en zones urbaines et </w:t>
      </w:r>
      <w:r w:rsidR="00974C81" w:rsidRPr="002A5B68">
        <w:rPr>
          <w:rFonts w:ascii="Book Antiqua" w:hAnsi="Book Antiqua" w:cs="Times New Roman"/>
          <w:noProof w:val="0"/>
          <w:sz w:val="26"/>
          <w:szCs w:val="26"/>
        </w:rPr>
        <w:t>d’une perte de 16</w:t>
      </w:r>
      <w:r w:rsidRPr="002A5B68">
        <w:rPr>
          <w:rFonts w:ascii="Book Antiqua" w:hAnsi="Book Antiqua" w:cs="Times New Roman"/>
          <w:noProof w:val="0"/>
          <w:sz w:val="26"/>
          <w:szCs w:val="26"/>
        </w:rPr>
        <w:t>.000 en zones rurales.</w:t>
      </w:r>
    </w:p>
    <w:p w:rsidR="00050424" w:rsidRDefault="00092F8D" w:rsidP="00A44652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Malgré 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l’accroissement du volume de la population active occupée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522B80">
        <w:rPr>
          <w:rFonts w:ascii="Book Antiqua" w:hAnsi="Book Antiqua" w:cs="Times New Roman"/>
          <w:noProof w:val="0"/>
          <w:sz w:val="26"/>
          <w:szCs w:val="26"/>
        </w:rPr>
        <w:t xml:space="preserve">e taux d’emploi a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baissé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41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,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9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% à 41,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7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% (-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>0,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2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)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Ce taux a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également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baissé de 0,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2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 point e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 xml:space="preserve">n milieu urbain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et a 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 xml:space="preserve">connu une stagnation 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>e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>n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 milieu ru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ral.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 Entre hommes et femmes, l</w:t>
      </w:r>
      <w:r w:rsidR="006A7914">
        <w:rPr>
          <w:rFonts w:ascii="Book Antiqua" w:hAnsi="Book Antiqua" w:cs="Times New Roman"/>
          <w:noProof w:val="0"/>
          <w:sz w:val="26"/>
          <w:szCs w:val="26"/>
        </w:rPr>
        <w:t xml:space="preserve">’écart 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d</w:t>
      </w:r>
      <w:r w:rsidR="009A0C9A">
        <w:rPr>
          <w:rFonts w:ascii="Book Antiqua" w:hAnsi="Book Antiqua" w:cs="Times New Roman"/>
          <w:noProof w:val="0"/>
          <w:sz w:val="26"/>
          <w:szCs w:val="26"/>
        </w:rPr>
        <w:t>e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s</w:t>
      </w:r>
      <w:r w:rsidR="0089205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>taux d’emploi</w:t>
      </w:r>
      <w:r w:rsidR="0089205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est </w:t>
      </w:r>
      <w:r w:rsidR="008E5B0A">
        <w:rPr>
          <w:rFonts w:ascii="Book Antiqua" w:hAnsi="Book Antiqua" w:cs="Times New Roman"/>
          <w:noProof w:val="0"/>
          <w:sz w:val="26"/>
          <w:szCs w:val="26"/>
        </w:rPr>
        <w:t>de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 xml:space="preserve"> 46 points 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(respectivement 65% et 19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</w:p>
    <w:p w:rsidR="009B7BDC" w:rsidRPr="00754D0C" w:rsidRDefault="009B7BDC" w:rsidP="00A4465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1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 : Création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>2018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type d’emploi et le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milieu de résidence</w:t>
      </w:r>
    </w:p>
    <w:p w:rsidR="009B7BDC" w:rsidRPr="00E45B5D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12"/>
          <w:szCs w:val="12"/>
          <w:highlight w:val="yellow"/>
        </w:rPr>
      </w:pPr>
    </w:p>
    <w:p w:rsidR="009B7BDC" w:rsidRDefault="00A44652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A44652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2810" cy="1860550"/>
            <wp:effectExtent l="19050" t="0" r="27940" b="63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4652" w:rsidRPr="00280BAC" w:rsidRDefault="00A44652" w:rsidP="00317185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280BA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Contribution de tous les secteurs d’activité économique à la création nette d’emplois</w:t>
      </w:r>
    </w:p>
    <w:p w:rsidR="001E6B87" w:rsidRDefault="009E4CE7" w:rsidP="006B7626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E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 xml:space="preserve">ntre </w:t>
      </w:r>
      <w:r>
        <w:rPr>
          <w:rFonts w:ascii="Book Antiqua" w:hAnsi="Book Antiqua" w:cstheme="majorBidi"/>
          <w:noProof w:val="0"/>
          <w:sz w:val="26"/>
          <w:szCs w:val="26"/>
        </w:rPr>
        <w:t>2017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 xml:space="preserve"> et </w:t>
      </w:r>
      <w:r>
        <w:rPr>
          <w:rFonts w:ascii="Book Antiqua" w:hAnsi="Book Antiqua" w:cstheme="majorBidi"/>
          <w:noProof w:val="0"/>
          <w:sz w:val="26"/>
          <w:szCs w:val="26"/>
        </w:rPr>
        <w:t>2018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 w:rsidR="003827A2">
        <w:rPr>
          <w:rFonts w:ascii="Book Antiqua" w:hAnsi="Book Antiqua" w:cstheme="majorBidi"/>
          <w:noProof w:val="0"/>
          <w:sz w:val="26"/>
          <w:szCs w:val="26"/>
        </w:rPr>
        <w:t>l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e secteur des "</w:t>
      </w:r>
      <w:r w:rsidR="001E6B87" w:rsidRPr="00A071A7">
        <w:rPr>
          <w:rFonts w:ascii="Book Antiqua" w:hAnsi="Book Antiqua" w:cstheme="majorBidi"/>
          <w:b/>
          <w:bCs/>
          <w:noProof w:val="0"/>
          <w:sz w:val="26"/>
          <w:szCs w:val="26"/>
        </w:rPr>
        <w:t>services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", avec une moyenne annuelle de 90.000 postes durant la période 200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8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 xml:space="preserve">-2013 et de 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35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.000 durant la période 2014-201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7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 xml:space="preserve">, a enregistré une création nette de 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65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 xml:space="preserve">.000 postes, 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62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 xml:space="preserve">.000 en milieu urbain et 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3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.000 en milieu rural</w:t>
      </w:r>
      <w:r w:rsidR="001063BA" w:rsidRPr="00E92F6B">
        <w:rPr>
          <w:rFonts w:ascii="Book Antiqua" w:hAnsi="Book Antiqua" w:cstheme="majorBidi"/>
          <w:noProof w:val="0"/>
          <w:sz w:val="26"/>
          <w:szCs w:val="26"/>
        </w:rPr>
        <w:t>, ce qui correspond à une hausse de 1,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4</w:t>
      </w:r>
      <w:r w:rsidR="001063BA" w:rsidRPr="00E92F6B">
        <w:rPr>
          <w:rFonts w:ascii="Book Antiqua" w:hAnsi="Book Antiqua" w:cstheme="majorBidi"/>
          <w:noProof w:val="0"/>
          <w:sz w:val="26"/>
          <w:szCs w:val="26"/>
        </w:rPr>
        <w:t>% du volume d’emploi d</w:t>
      </w:r>
      <w:r w:rsidR="006B7626">
        <w:rPr>
          <w:rFonts w:ascii="Book Antiqua" w:hAnsi="Book Antiqua" w:cstheme="majorBidi"/>
          <w:noProof w:val="0"/>
          <w:sz w:val="26"/>
          <w:szCs w:val="26"/>
        </w:rPr>
        <w:t xml:space="preserve">ans ce </w:t>
      </w:r>
      <w:r w:rsidR="001063BA" w:rsidRPr="00E92F6B">
        <w:rPr>
          <w:rFonts w:ascii="Book Antiqua" w:hAnsi="Book Antiqua" w:cstheme="majorBidi"/>
          <w:noProof w:val="0"/>
          <w:sz w:val="26"/>
          <w:szCs w:val="26"/>
        </w:rPr>
        <w:t xml:space="preserve"> secteur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.</w:t>
      </w:r>
      <w:r w:rsidR="002B007C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Ces nouveaux postes ont été créés principalement par les branches de "commerce de détail hors magasin" (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>34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.000 postes)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 xml:space="preserve">, des "services personnels et domestiques" (13.000 postes) 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 xml:space="preserve">de la 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"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>restauration et hôtellerie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" (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>12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.000 postes).</w:t>
      </w:r>
    </w:p>
    <w:p w:rsidR="003827A2" w:rsidRPr="001E6B87" w:rsidRDefault="00EF611F" w:rsidP="00317185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Durant la même période, l</w:t>
      </w:r>
      <w:r w:rsidR="00280988" w:rsidRPr="00B35F84">
        <w:rPr>
          <w:rFonts w:ascii="Book Antiqua" w:hAnsi="Book Antiqua" w:cstheme="majorBidi"/>
          <w:noProof w:val="0"/>
          <w:sz w:val="26"/>
          <w:szCs w:val="26"/>
        </w:rPr>
        <w:t xml:space="preserve">e secteur de </w:t>
      </w:r>
      <w:r w:rsidR="00280988" w:rsidRPr="00EF724F">
        <w:rPr>
          <w:rFonts w:ascii="Book Antiqua" w:hAnsi="Book Antiqua" w:cstheme="majorBidi"/>
          <w:noProof w:val="0"/>
          <w:sz w:val="26"/>
          <w:szCs w:val="26"/>
        </w:rPr>
        <w:t>l’</w:t>
      </w:r>
      <w:r w:rsidR="00280988" w:rsidRPr="00EF724F">
        <w:rPr>
          <w:rFonts w:ascii="Book Antiqua" w:hAnsi="Book Antiqua" w:cstheme="majorBidi"/>
          <w:b/>
          <w:noProof w:val="0"/>
          <w:sz w:val="26"/>
          <w:szCs w:val="26"/>
        </w:rPr>
        <w:t>"agriculture forêt et pêche</w:t>
      </w:r>
      <w:r>
        <w:rPr>
          <w:rFonts w:ascii="Book Antiqua" w:hAnsi="Book Antiqua" w:cstheme="majorBidi"/>
          <w:b/>
          <w:noProof w:val="0"/>
          <w:sz w:val="26"/>
          <w:szCs w:val="26"/>
        </w:rPr>
        <w:t xml:space="preserve"> </w:t>
      </w:r>
      <w:r w:rsidR="00280988">
        <w:rPr>
          <w:rFonts w:ascii="Book Antiqua" w:hAnsi="Book Antiqua" w:cstheme="majorBidi"/>
          <w:noProof w:val="0"/>
          <w:sz w:val="26"/>
          <w:szCs w:val="26"/>
        </w:rPr>
        <w:t xml:space="preserve">a créé </w:t>
      </w:r>
      <w:r w:rsidR="006B7626">
        <w:rPr>
          <w:rFonts w:ascii="Book Antiqua" w:hAnsi="Book Antiqua" w:cstheme="majorBidi"/>
          <w:noProof w:val="0"/>
          <w:sz w:val="26"/>
          <w:szCs w:val="26"/>
        </w:rPr>
        <w:t>19</w:t>
      </w:r>
      <w:r w:rsidR="003827A2" w:rsidRPr="001E6B87">
        <w:rPr>
          <w:rFonts w:ascii="Book Antiqua" w:hAnsi="Book Antiqua" w:cstheme="majorBidi"/>
          <w:noProof w:val="0"/>
          <w:sz w:val="26"/>
          <w:szCs w:val="26"/>
        </w:rPr>
        <w:t xml:space="preserve">.000 </w:t>
      </w:r>
      <w:r w:rsidR="00280988">
        <w:rPr>
          <w:rFonts w:ascii="Book Antiqua" w:hAnsi="Book Antiqua" w:cstheme="majorBidi"/>
          <w:noProof w:val="0"/>
          <w:sz w:val="26"/>
          <w:szCs w:val="26"/>
        </w:rPr>
        <w:t>emplois</w:t>
      </w:r>
      <w:r w:rsidR="003827A2" w:rsidRPr="001E6B87">
        <w:rPr>
          <w:rFonts w:ascii="Book Antiqua" w:hAnsi="Book Antiqua" w:cstheme="majorBidi"/>
          <w:noProof w:val="0"/>
          <w:sz w:val="26"/>
          <w:szCs w:val="26"/>
        </w:rPr>
        <w:t xml:space="preserve"> au niveau national</w:t>
      </w:r>
      <w:r w:rsidR="003827A2"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 w:rsidR="00552818">
        <w:rPr>
          <w:rFonts w:ascii="Book Antiqua" w:hAnsi="Book Antiqua" w:cs="Times New Roman"/>
          <w:noProof w:val="0"/>
          <w:sz w:val="26"/>
          <w:szCs w:val="26"/>
        </w:rPr>
        <w:t>15</w:t>
      </w:r>
      <w:r w:rsidR="003827A2" w:rsidRPr="001E6B87">
        <w:rPr>
          <w:rFonts w:ascii="Book Antiqua" w:hAnsi="Book Antiqua" w:cs="Times New Roman"/>
          <w:noProof w:val="0"/>
          <w:sz w:val="26"/>
          <w:szCs w:val="26"/>
        </w:rPr>
        <w:t>.000 en milieu rural et 4.000 en milieu urbain</w:t>
      </w:r>
      <w:r w:rsidR="003827A2" w:rsidRPr="001E6B87">
        <w:rPr>
          <w:rFonts w:ascii="Book Antiqua" w:hAnsi="Book Antiqua" w:cstheme="majorBidi"/>
          <w:noProof w:val="0"/>
          <w:sz w:val="26"/>
          <w:szCs w:val="26"/>
        </w:rPr>
        <w:t xml:space="preserve">, contre </w:t>
      </w:r>
      <w:r w:rsidR="003827A2">
        <w:rPr>
          <w:rFonts w:ascii="Book Antiqua" w:hAnsi="Book Antiqua" w:cstheme="majorBidi"/>
          <w:noProof w:val="0"/>
          <w:sz w:val="26"/>
          <w:szCs w:val="26"/>
        </w:rPr>
        <w:t xml:space="preserve">une </w:t>
      </w:r>
      <w:r w:rsidR="003827A2" w:rsidRPr="00EF724F">
        <w:rPr>
          <w:rFonts w:ascii="Book Antiqua" w:hAnsi="Book Antiqua" w:cstheme="majorBidi"/>
          <w:noProof w:val="0"/>
          <w:sz w:val="26"/>
          <w:szCs w:val="26"/>
        </w:rPr>
        <w:t xml:space="preserve">création de </w:t>
      </w:r>
      <w:r w:rsidR="003827A2">
        <w:rPr>
          <w:rFonts w:ascii="Book Antiqua" w:hAnsi="Book Antiqua" w:cstheme="majorBidi"/>
          <w:noProof w:val="0"/>
          <w:sz w:val="26"/>
          <w:szCs w:val="26"/>
        </w:rPr>
        <w:t>42</w:t>
      </w:r>
      <w:r w:rsidR="003827A2" w:rsidRPr="00EF724F">
        <w:rPr>
          <w:rFonts w:ascii="Book Antiqua" w:hAnsi="Book Antiqua" w:cstheme="majorBidi"/>
          <w:noProof w:val="0"/>
          <w:sz w:val="26"/>
          <w:szCs w:val="26"/>
        </w:rPr>
        <w:t xml:space="preserve">.000 emplois 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une année auparavant </w:t>
      </w:r>
      <w:r w:rsidR="003827A2">
        <w:rPr>
          <w:rFonts w:ascii="Book Antiqua" w:hAnsi="Book Antiqua" w:cstheme="majorBidi"/>
          <w:noProof w:val="0"/>
          <w:sz w:val="26"/>
          <w:szCs w:val="26"/>
        </w:rPr>
        <w:t xml:space="preserve">et </w:t>
      </w:r>
      <w:r w:rsidR="003827A2" w:rsidRPr="001E6B87">
        <w:rPr>
          <w:rFonts w:ascii="Book Antiqua" w:hAnsi="Book Antiqua" w:cstheme="majorBidi"/>
          <w:noProof w:val="0"/>
          <w:sz w:val="26"/>
          <w:szCs w:val="26"/>
        </w:rPr>
        <w:t>une perte annuelle moyenne d’environ 75.000 postes en 2015 et 2016.</w:t>
      </w:r>
    </w:p>
    <w:p w:rsidR="00853E6F" w:rsidRDefault="002B007C" w:rsidP="00987A2A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E92F6B">
        <w:rPr>
          <w:rFonts w:ascii="Book Antiqua" w:hAnsi="Book Antiqua" w:cstheme="majorBidi"/>
          <w:noProof w:val="0"/>
          <w:sz w:val="26"/>
          <w:szCs w:val="26"/>
        </w:rPr>
        <w:t>De son côté, le secteur des BTP a créé, entre le</w:t>
      </w:r>
      <w:r>
        <w:rPr>
          <w:rFonts w:ascii="Book Antiqua" w:hAnsi="Book Antiqua" w:cstheme="majorBidi"/>
          <w:noProof w:val="0"/>
          <w:sz w:val="26"/>
          <w:szCs w:val="26"/>
        </w:rPr>
        <w:t>s années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 xml:space="preserve"> 2017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 et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 xml:space="preserve"> 2018, </w:t>
      </w:r>
      <w:r w:rsidR="006B7626">
        <w:rPr>
          <w:rFonts w:ascii="Book Antiqua" w:hAnsi="Book Antiqua" w:cstheme="majorBidi"/>
          <w:noProof w:val="0"/>
          <w:sz w:val="26"/>
          <w:szCs w:val="26"/>
        </w:rPr>
        <w:t>15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>.000 postes d’emploi au niveau national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>
        <w:rPr>
          <w:rFonts w:ascii="Book Antiqua" w:hAnsi="Book Antiqua" w:cs="Times New Roman"/>
          <w:noProof w:val="0"/>
          <w:sz w:val="26"/>
          <w:szCs w:val="26"/>
        </w:rPr>
        <w:t>14</w:t>
      </w:r>
      <w:r w:rsidRPr="00E92F6B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>
        <w:rPr>
          <w:rFonts w:ascii="Book Antiqua" w:hAnsi="Book Antiqua" w:cs="Times New Roman"/>
          <w:noProof w:val="0"/>
          <w:sz w:val="26"/>
          <w:szCs w:val="26"/>
        </w:rPr>
        <w:t>1</w:t>
      </w:r>
      <w:r w:rsidRPr="00E92F6B">
        <w:rPr>
          <w:rFonts w:ascii="Book Antiqua" w:hAnsi="Book Antiqua" w:cs="Times New Roman"/>
          <w:noProof w:val="0"/>
          <w:sz w:val="26"/>
          <w:szCs w:val="26"/>
        </w:rPr>
        <w:t>.000 en milieu rural</w:t>
      </w:r>
      <w:r w:rsidR="00853E6F" w:rsidRPr="00853E6F">
        <w:rPr>
          <w:rFonts w:ascii="Book Antiqua" w:hAnsi="Book Antiqua" w:cstheme="majorBidi"/>
          <w:noProof w:val="0"/>
          <w:sz w:val="26"/>
          <w:szCs w:val="26"/>
        </w:rPr>
        <w:t>, après</w:t>
      </w:r>
      <w:r w:rsidR="003827A2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853E6F" w:rsidRPr="00853E6F">
        <w:rPr>
          <w:rFonts w:ascii="Book Antiqua" w:hAnsi="Book Antiqua" w:cstheme="majorBidi"/>
          <w:noProof w:val="0"/>
          <w:sz w:val="26"/>
          <w:szCs w:val="26"/>
        </w:rPr>
        <w:t xml:space="preserve">une création annuelle moyenne de </w:t>
      </w:r>
      <w:r>
        <w:rPr>
          <w:rFonts w:ascii="Book Antiqua" w:hAnsi="Book Antiqua" w:cstheme="majorBidi"/>
          <w:noProof w:val="0"/>
          <w:sz w:val="26"/>
          <w:szCs w:val="26"/>
        </w:rPr>
        <w:t>22</w:t>
      </w:r>
      <w:r w:rsidR="00853E6F" w:rsidRPr="00853E6F">
        <w:rPr>
          <w:rFonts w:ascii="Book Antiqua" w:hAnsi="Book Antiqua" w:cstheme="majorBidi"/>
          <w:noProof w:val="0"/>
          <w:sz w:val="26"/>
          <w:szCs w:val="26"/>
        </w:rPr>
        <w:t>.000 postes au cours de la période 201</w:t>
      </w:r>
      <w:r>
        <w:rPr>
          <w:rFonts w:ascii="Book Antiqua" w:hAnsi="Book Antiqua" w:cstheme="majorBidi"/>
          <w:noProof w:val="0"/>
          <w:sz w:val="26"/>
          <w:szCs w:val="26"/>
        </w:rPr>
        <w:t>5-2017</w:t>
      </w:r>
      <w:r w:rsidR="00853E6F" w:rsidRPr="00853E6F">
        <w:rPr>
          <w:rFonts w:ascii="Book Antiqua" w:hAnsi="Book Antiqua" w:cstheme="majorBidi"/>
          <w:noProof w:val="0"/>
          <w:sz w:val="26"/>
          <w:szCs w:val="26"/>
        </w:rPr>
        <w:t>.</w:t>
      </w:r>
    </w:p>
    <w:p w:rsidR="00B35F84" w:rsidRDefault="00986BE9" w:rsidP="00552818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>e secteur de l’</w:t>
      </w:r>
      <w:r w:rsidR="00B35F84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"industrie</w:t>
      </w:r>
      <w:r w:rsidR="00F821AB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 y compris l’artisanat</w:t>
      </w:r>
      <w:r w:rsidR="00B35F84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</w:t>
      </w:r>
      <w:r w:rsidR="003827A2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 </w:t>
      </w:r>
      <w:r w:rsidR="00F821AB">
        <w:rPr>
          <w:rFonts w:ascii="Book Antiqua" w:hAnsi="Book Antiqua" w:cstheme="majorBidi"/>
          <w:noProof w:val="0"/>
          <w:sz w:val="26"/>
          <w:szCs w:val="26"/>
        </w:rPr>
        <w:t xml:space="preserve">a </w:t>
      </w:r>
      <w:r w:rsidR="00B35F84">
        <w:rPr>
          <w:rFonts w:ascii="Book Antiqua" w:hAnsi="Book Antiqua" w:cstheme="majorBidi"/>
          <w:noProof w:val="0"/>
          <w:sz w:val="26"/>
          <w:szCs w:val="26"/>
        </w:rPr>
        <w:t>créé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quant à lui, </w:t>
      </w:r>
      <w:r w:rsidR="006B7626">
        <w:rPr>
          <w:rFonts w:ascii="Book Antiqua" w:hAnsi="Book Antiqua" w:cstheme="majorBidi"/>
          <w:noProof w:val="0"/>
          <w:sz w:val="26"/>
          <w:szCs w:val="26"/>
        </w:rPr>
        <w:t>13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>.000 emploi</w:t>
      </w:r>
      <w:r w:rsidR="00FF4B28">
        <w:rPr>
          <w:rFonts w:ascii="Book Antiqua" w:hAnsi="Book Antiqua" w:cstheme="majorBidi"/>
          <w:noProof w:val="0"/>
          <w:sz w:val="26"/>
          <w:szCs w:val="26"/>
        </w:rPr>
        <w:t>s</w:t>
      </w:r>
      <w:r w:rsidR="009E4CE7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>(</w:t>
      </w:r>
      <w:r w:rsidR="00552818">
        <w:rPr>
          <w:rFonts w:ascii="Book Antiqua" w:hAnsi="Book Antiqua" w:cs="Times New Roman"/>
          <w:noProof w:val="0"/>
          <w:sz w:val="26"/>
          <w:szCs w:val="26"/>
        </w:rPr>
        <w:t>11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552818">
        <w:rPr>
          <w:rFonts w:ascii="Book Antiqua" w:hAnsi="Book Antiqua" w:cs="Times New Roman"/>
          <w:noProof w:val="0"/>
          <w:sz w:val="26"/>
          <w:szCs w:val="26"/>
        </w:rPr>
        <w:t>2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>.000 en milieu rural)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 xml:space="preserve">, contre une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 xml:space="preserve">création annuelle moyenne </w:t>
      </w:r>
      <w:r>
        <w:rPr>
          <w:rFonts w:ascii="Book Antiqua" w:hAnsi="Book Antiqua" w:cstheme="majorBidi"/>
          <w:noProof w:val="0"/>
          <w:sz w:val="26"/>
          <w:szCs w:val="26"/>
        </w:rPr>
        <w:t>de</w:t>
      </w:r>
      <w:r w:rsidR="006B7626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10</w:t>
      </w:r>
      <w:r w:rsidR="00B35F84">
        <w:rPr>
          <w:rFonts w:ascii="Book Antiqua" w:hAnsi="Book Antiqua" w:cstheme="majorBidi"/>
          <w:noProof w:val="0"/>
          <w:sz w:val="26"/>
          <w:szCs w:val="26"/>
        </w:rPr>
        <w:t xml:space="preserve">.000 postes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au cours des années 2015 et 201</w:t>
      </w:r>
      <w:r w:rsidR="00552818">
        <w:rPr>
          <w:rFonts w:ascii="Book Antiqua" w:hAnsi="Book Antiqua" w:cstheme="majorBidi"/>
          <w:noProof w:val="0"/>
          <w:sz w:val="26"/>
          <w:szCs w:val="26"/>
        </w:rPr>
        <w:t>7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 xml:space="preserve">.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Ces nouveaux postes </w:t>
      </w:r>
      <w:r w:rsidR="00907294">
        <w:rPr>
          <w:rFonts w:ascii="Book Antiqua" w:hAnsi="Book Antiqua" w:cs="Times New Roman"/>
          <w:noProof w:val="0"/>
          <w:sz w:val="26"/>
          <w:szCs w:val="26"/>
        </w:rPr>
        <w:t xml:space="preserve">ont été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créés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principalement </w:t>
      </w:r>
      <w:r>
        <w:rPr>
          <w:rFonts w:ascii="Book Antiqua" w:hAnsi="Book Antiqua" w:cs="Times New Roman"/>
          <w:noProof w:val="0"/>
          <w:sz w:val="26"/>
          <w:szCs w:val="26"/>
        </w:rPr>
        <w:t>par</w:t>
      </w:r>
      <w:r w:rsidR="006B7626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la branche d</w:t>
      </w:r>
      <w:r w:rsidR="00EC130F">
        <w:rPr>
          <w:rFonts w:ascii="Book Antiqua" w:hAnsi="Book Antiqua" w:cs="Times New Roman"/>
          <w:noProof w:val="0"/>
          <w:sz w:val="26"/>
          <w:szCs w:val="26"/>
        </w:rPr>
        <w:t>e</w:t>
      </w:r>
      <w:r w:rsidR="006B7626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"</w:t>
      </w:r>
      <w:r w:rsidR="006B7626">
        <w:rPr>
          <w:rFonts w:ascii="Book Antiqua" w:hAnsi="Book Antiqua" w:cs="Times New Roman"/>
          <w:noProof w:val="0"/>
          <w:sz w:val="26"/>
          <w:szCs w:val="26"/>
        </w:rPr>
        <w:t>t</w:t>
      </w:r>
      <w:r w:rsidR="006B7626" w:rsidRPr="006B7626">
        <w:rPr>
          <w:rFonts w:ascii="Book Antiqua" w:hAnsi="Book Antiqua" w:cs="Times New Roman"/>
          <w:noProof w:val="0"/>
          <w:sz w:val="26"/>
          <w:szCs w:val="26"/>
        </w:rPr>
        <w:t>extile bonneterie et habillement</w:t>
      </w:r>
      <w:r w:rsidR="006B7626" w:rsidRPr="00D12A1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" </w:t>
      </w:r>
      <w:r>
        <w:rPr>
          <w:rFonts w:ascii="Book Antiqua" w:hAnsi="Book Antiqua" w:cs="Times New Roman"/>
          <w:noProof w:val="0"/>
          <w:sz w:val="26"/>
          <w:szCs w:val="26"/>
        </w:rPr>
        <w:t>(</w:t>
      </w:r>
      <w:r w:rsidR="00552818">
        <w:rPr>
          <w:rFonts w:ascii="Book Antiqua" w:hAnsi="Book Antiqua" w:cs="Times New Roman"/>
          <w:noProof w:val="0"/>
          <w:sz w:val="26"/>
          <w:szCs w:val="26"/>
        </w:rPr>
        <w:t>11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.000 postes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.</w:t>
      </w:r>
      <w:r w:rsidR="006B7626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</w:p>
    <w:p w:rsidR="00162307" w:rsidRDefault="009B7BDC" w:rsidP="00A4465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2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. Création nette d’emploi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="00A82335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>2018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8E0846" w:rsidRPr="006B7626" w:rsidRDefault="008E0846" w:rsidP="008E084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4"/>
          <w:szCs w:val="4"/>
        </w:rPr>
      </w:pPr>
    </w:p>
    <w:p w:rsidR="009B7BDC" w:rsidRPr="00754D0C" w:rsidRDefault="006B7626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6B7626">
        <w:rPr>
          <w:rFonts w:ascii="Book Antiqua" w:hAnsi="Book Antiqua"/>
        </w:rPr>
        <w:drawing>
          <wp:inline distT="0" distB="0" distL="0" distR="0">
            <wp:extent cx="5972810" cy="2178050"/>
            <wp:effectExtent l="19050" t="0" r="2794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7A2A" w:rsidRDefault="00987A2A" w:rsidP="00D61BEC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ED2740" w:rsidRPr="002A0415" w:rsidRDefault="00D61BEC" w:rsidP="00987A2A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2A0415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R</w:t>
      </w:r>
      <w:r w:rsidR="00ED2740" w:rsidRPr="002A0415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ecul du chômage </w:t>
      </w:r>
    </w:p>
    <w:p w:rsidR="00ED2740" w:rsidRPr="00A0113F" w:rsidRDefault="00ED2740" w:rsidP="00ED2740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ED2740" w:rsidRPr="00701B4F" w:rsidRDefault="00ED2740" w:rsidP="00701B4F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 xml:space="preserve">Avec une baisse de 48.000 personnes, 25.000 en milieu urbain et 23.000 en milieu rural, le nombre de chômeurs est passé de 1.216.000 à 1.168.000 personnes entre les années 2017 et 2018. Le taux de chômage est ainsi passé de 10,2% à 9,8% au niveau national, de 14,7% à 14,2% en milieu urbain et de 4% à 3,5% en milieu rural. </w:t>
      </w:r>
    </w:p>
    <w:p w:rsidR="00521514" w:rsidRPr="00701B4F" w:rsidRDefault="00521514" w:rsidP="003C12E5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 xml:space="preserve">Les baisses les plus importantes du taux de chômage ont été relevées parmi les personnes ayant un diplôme (-0,8 point), les femmes (-0,7 point) et les jeunes âgés de 15 à 24 ans (-0,5 point). En revanche, les hausses les plus importantes du taux de chômage ont été enregistrées parmi </w:t>
      </w:r>
      <w:r w:rsidR="00EF611F">
        <w:rPr>
          <w:rFonts w:ascii="Book Antiqua" w:hAnsi="Book Antiqua" w:cstheme="majorBidi"/>
          <w:sz w:val="26"/>
          <w:szCs w:val="26"/>
        </w:rPr>
        <w:t xml:space="preserve">les </w:t>
      </w:r>
      <w:r w:rsidRPr="00701B4F">
        <w:rPr>
          <w:rFonts w:ascii="Book Antiqua" w:hAnsi="Book Antiqua" w:cstheme="majorBidi"/>
          <w:sz w:val="26"/>
          <w:szCs w:val="26"/>
        </w:rPr>
        <w:t>diplômés de</w:t>
      </w:r>
      <w:r w:rsidR="003C12E5">
        <w:rPr>
          <w:rFonts w:ascii="Book Antiqua" w:hAnsi="Book Antiqua" w:cstheme="majorBidi"/>
          <w:sz w:val="26"/>
          <w:szCs w:val="26"/>
        </w:rPr>
        <w:t xml:space="preserve">s </w:t>
      </w:r>
      <w:r w:rsidRPr="00701B4F">
        <w:rPr>
          <w:rFonts w:ascii="Book Antiqua" w:hAnsi="Book Antiqua" w:cstheme="majorBidi"/>
          <w:sz w:val="26"/>
          <w:szCs w:val="26"/>
        </w:rPr>
        <w:t>faculté</w:t>
      </w:r>
      <w:r w:rsidR="003C12E5">
        <w:rPr>
          <w:rFonts w:ascii="Book Antiqua" w:hAnsi="Book Antiqua" w:cstheme="majorBidi"/>
          <w:sz w:val="26"/>
          <w:szCs w:val="26"/>
        </w:rPr>
        <w:t>s</w:t>
      </w:r>
      <w:r w:rsidRPr="00701B4F">
        <w:rPr>
          <w:rFonts w:ascii="Book Antiqua" w:hAnsi="Book Antiqua" w:cstheme="majorBidi"/>
          <w:sz w:val="26"/>
          <w:szCs w:val="26"/>
        </w:rPr>
        <w:t xml:space="preserve"> (+0,6 point) et les jeunes citadins âgés de 15 à 24 ans (+0,4 point)</w:t>
      </w:r>
    </w:p>
    <w:p w:rsidR="00ED2740" w:rsidRPr="00701B4F" w:rsidRDefault="00ED2740" w:rsidP="00701B4F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>Les taux de chômage les plus élevés sont relevés, en particulier, parmi les femmes (</w:t>
      </w:r>
      <w:r w:rsidR="00521514" w:rsidRPr="00701B4F">
        <w:rPr>
          <w:rFonts w:ascii="Book Antiqua" w:hAnsi="Book Antiqua" w:cstheme="majorBidi"/>
          <w:sz w:val="26"/>
          <w:szCs w:val="26"/>
        </w:rPr>
        <w:t>14</w:t>
      </w:r>
      <w:r w:rsidRPr="00701B4F">
        <w:rPr>
          <w:rFonts w:ascii="Book Antiqua" w:hAnsi="Book Antiqua" w:cstheme="majorBidi"/>
          <w:sz w:val="26"/>
          <w:szCs w:val="26"/>
        </w:rPr>
        <w:t>% contre 8</w:t>
      </w:r>
      <w:r w:rsidR="00521514" w:rsidRPr="00701B4F">
        <w:rPr>
          <w:rFonts w:ascii="Book Antiqua" w:hAnsi="Book Antiqua" w:cstheme="majorBidi"/>
          <w:sz w:val="26"/>
          <w:szCs w:val="26"/>
        </w:rPr>
        <w:t>,4</w:t>
      </w:r>
      <w:r w:rsidRPr="00701B4F">
        <w:rPr>
          <w:rFonts w:ascii="Book Antiqua" w:hAnsi="Book Antiqua" w:cstheme="majorBidi"/>
          <w:sz w:val="26"/>
          <w:szCs w:val="26"/>
        </w:rPr>
        <w:t>% parmi les hommes), les jeunes âgés de 15 à 24 ans (</w:t>
      </w:r>
      <w:r w:rsidR="00815971" w:rsidRPr="00701B4F">
        <w:rPr>
          <w:rFonts w:ascii="Book Antiqua" w:hAnsi="Book Antiqua" w:cstheme="majorBidi"/>
          <w:sz w:val="26"/>
          <w:szCs w:val="26"/>
        </w:rPr>
        <w:t>26</w:t>
      </w:r>
      <w:r w:rsidRPr="00701B4F">
        <w:rPr>
          <w:rFonts w:ascii="Book Antiqua" w:hAnsi="Book Antiqua" w:cstheme="majorBidi"/>
          <w:sz w:val="26"/>
          <w:szCs w:val="26"/>
        </w:rPr>
        <w:t xml:space="preserve">% contre </w:t>
      </w:r>
      <w:r w:rsidR="00815971" w:rsidRPr="00701B4F">
        <w:rPr>
          <w:rFonts w:ascii="Book Antiqua" w:hAnsi="Book Antiqua" w:cstheme="majorBidi"/>
          <w:sz w:val="26"/>
          <w:szCs w:val="26"/>
        </w:rPr>
        <w:t>7,2</w:t>
      </w:r>
      <w:r w:rsidRPr="00701B4F">
        <w:rPr>
          <w:rFonts w:ascii="Book Antiqua" w:hAnsi="Book Antiqua" w:cstheme="majorBidi"/>
          <w:sz w:val="26"/>
          <w:szCs w:val="26"/>
        </w:rPr>
        <w:t>% parmi les personnes âgées de 25 ans et plus) et les détenteurs d’un diplôme (</w:t>
      </w:r>
      <w:r w:rsidR="00815971" w:rsidRPr="00701B4F">
        <w:rPr>
          <w:rFonts w:ascii="Book Antiqua" w:hAnsi="Book Antiqua" w:cstheme="majorBidi"/>
          <w:sz w:val="26"/>
          <w:szCs w:val="26"/>
        </w:rPr>
        <w:t>17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815971" w:rsidRPr="00701B4F">
        <w:rPr>
          <w:rFonts w:ascii="Book Antiqua" w:hAnsi="Book Antiqua" w:cstheme="majorBidi"/>
          <w:sz w:val="26"/>
          <w:szCs w:val="26"/>
        </w:rPr>
        <w:t>1</w:t>
      </w:r>
      <w:r w:rsidRPr="00701B4F">
        <w:rPr>
          <w:rFonts w:ascii="Book Antiqua" w:hAnsi="Book Antiqua" w:cstheme="majorBidi"/>
          <w:sz w:val="26"/>
          <w:szCs w:val="26"/>
        </w:rPr>
        <w:t xml:space="preserve">% contre </w:t>
      </w:r>
      <w:r w:rsidR="00815971" w:rsidRPr="00701B4F">
        <w:rPr>
          <w:rFonts w:ascii="Book Antiqua" w:hAnsi="Book Antiqua" w:cstheme="majorBidi"/>
          <w:sz w:val="26"/>
          <w:szCs w:val="26"/>
        </w:rPr>
        <w:t>3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815971" w:rsidRPr="00701B4F">
        <w:rPr>
          <w:rFonts w:ascii="Book Antiqua" w:hAnsi="Book Antiqua" w:cstheme="majorBidi"/>
          <w:sz w:val="26"/>
          <w:szCs w:val="26"/>
        </w:rPr>
        <w:t>5</w:t>
      </w:r>
      <w:r w:rsidRPr="00701B4F">
        <w:rPr>
          <w:rFonts w:ascii="Book Antiqua" w:hAnsi="Book Antiqua" w:cstheme="majorBidi"/>
          <w:sz w:val="26"/>
          <w:szCs w:val="26"/>
        </w:rPr>
        <w:t xml:space="preserve">% parmi les personnes n’ayant aucun diplôme). </w:t>
      </w:r>
    </w:p>
    <w:p w:rsidR="00ED2740" w:rsidRPr="00ED2740" w:rsidRDefault="00ED2740" w:rsidP="00ED2740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162307" w:rsidRDefault="009B7BDC" w:rsidP="0081597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3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chômage 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 w:rsidR="00815971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="004A44FB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815971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2018 </w:t>
      </w:r>
      <w:r w:rsidR="004A44FB">
        <w:rPr>
          <w:rFonts w:ascii="Book Antiqua" w:hAnsi="Book Antiqua" w:cs="Times New Roman"/>
          <w:b/>
          <w:bCs/>
          <w:noProof w:val="0"/>
          <w:sz w:val="24"/>
          <w:szCs w:val="24"/>
        </w:rPr>
        <w:t>parmi cert</w:t>
      </w:r>
      <w:r w:rsidR="006F30DB">
        <w:rPr>
          <w:rFonts w:ascii="Book Antiqua" w:hAnsi="Book Antiqua" w:cs="Times New Roman"/>
          <w:b/>
          <w:bCs/>
          <w:noProof w:val="0"/>
          <w:sz w:val="24"/>
          <w:szCs w:val="24"/>
        </w:rPr>
        <w:t>aines catégories de la population active</w:t>
      </w:r>
      <w:r w:rsidR="00815971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701B4F" w:rsidRPr="00701B4F" w:rsidRDefault="00701B4F" w:rsidP="00701B4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4"/>
          <w:szCs w:val="4"/>
        </w:rPr>
      </w:pPr>
    </w:p>
    <w:p w:rsidR="009B7BDC" w:rsidRDefault="0018570D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18570D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6007100" cy="2000250"/>
            <wp:effectExtent l="19050" t="0" r="12700" b="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4837" w:rsidRPr="00701B4F" w:rsidRDefault="00E84837" w:rsidP="00E8483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4"/>
          <w:szCs w:val="4"/>
        </w:rPr>
      </w:pPr>
    </w:p>
    <w:p w:rsidR="002A425B" w:rsidRPr="002A0415" w:rsidRDefault="002A425B" w:rsidP="00D61BEC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</w:p>
    <w:p w:rsidR="003C12E5" w:rsidRDefault="003C12E5" w:rsidP="003C12E5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280BAC" w:rsidRDefault="00280BAC" w:rsidP="003C12E5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2A425B" w:rsidRDefault="002A425B" w:rsidP="00280BAC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661EE6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Un chômage élevé parmi les diplômés de la formation professionnelle</w:t>
      </w:r>
    </w:p>
    <w:p w:rsidR="002A425B" w:rsidRPr="002A425B" w:rsidRDefault="002A425B" w:rsidP="002A425B">
      <w:pPr>
        <w:bidi w:val="0"/>
        <w:rPr>
          <w:rFonts w:ascii="Book Antiqua" w:hAnsi="Book Antiqua" w:cs="Times New Roman"/>
          <w:noProof w:val="0"/>
          <w:color w:val="0070C0"/>
          <w:sz w:val="12"/>
          <w:szCs w:val="12"/>
        </w:rPr>
      </w:pPr>
    </w:p>
    <w:p w:rsidR="002A425B" w:rsidRPr="002A425B" w:rsidRDefault="006E4B30" w:rsidP="00FF2B59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>
        <w:rPr>
          <w:rFonts w:ascii="Book Antiqua" w:hAnsi="Book Antiqua" w:cstheme="majorBidi"/>
          <w:sz w:val="26"/>
          <w:szCs w:val="26"/>
        </w:rPr>
        <w:t>L</w:t>
      </w:r>
      <w:r w:rsidR="002A425B" w:rsidRPr="002A425B">
        <w:rPr>
          <w:rFonts w:ascii="Book Antiqua" w:hAnsi="Book Antiqua" w:cstheme="majorBidi"/>
          <w:sz w:val="26"/>
          <w:szCs w:val="26"/>
        </w:rPr>
        <w:t>e taux de chômage des détenteurs d'un diplôme de formation professionnelle (23,</w:t>
      </w:r>
      <w:r w:rsidR="00CA014C">
        <w:rPr>
          <w:rFonts w:ascii="Book Antiqua" w:hAnsi="Book Antiqua" w:cstheme="majorBidi"/>
          <w:sz w:val="26"/>
          <w:szCs w:val="26"/>
        </w:rPr>
        <w:t>3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%) est supérieur </w:t>
      </w:r>
      <w:r w:rsidR="00FF2B59">
        <w:rPr>
          <w:rFonts w:ascii="Book Antiqua" w:hAnsi="Book Antiqua" w:cstheme="majorBidi"/>
          <w:sz w:val="26"/>
          <w:szCs w:val="26"/>
        </w:rPr>
        <w:t xml:space="preserve">aussi bien 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à </w:t>
      </w:r>
      <w:r w:rsidR="002A425B" w:rsidRPr="00987A2A">
        <w:rPr>
          <w:rFonts w:ascii="Book Antiqua" w:hAnsi="Book Antiqua" w:cstheme="majorBidi"/>
          <w:sz w:val="26"/>
          <w:szCs w:val="26"/>
        </w:rPr>
        <w:t>celui de</w:t>
      </w:r>
      <w:r w:rsidRPr="00987A2A">
        <w:rPr>
          <w:rFonts w:ascii="Book Antiqua" w:hAnsi="Book Antiqua" w:cstheme="majorBidi"/>
          <w:sz w:val="26"/>
          <w:szCs w:val="26"/>
        </w:rPr>
        <w:t>s diplômés de l’enseignement général (</w:t>
      </w:r>
      <w:r w:rsidR="00C02DD5" w:rsidRPr="00987A2A">
        <w:rPr>
          <w:rFonts w:ascii="Book Antiqua" w:hAnsi="Book Antiqua" w:cstheme="majorBidi"/>
          <w:sz w:val="26"/>
          <w:szCs w:val="26"/>
        </w:rPr>
        <w:t>15,4%</w:t>
      </w:r>
      <w:r w:rsidRPr="00987A2A">
        <w:rPr>
          <w:rFonts w:ascii="Book Antiqua" w:hAnsi="Book Antiqua" w:cstheme="majorBidi"/>
          <w:sz w:val="26"/>
          <w:szCs w:val="26"/>
        </w:rPr>
        <w:t>)</w:t>
      </w:r>
      <w:r>
        <w:rPr>
          <w:rFonts w:ascii="Book Antiqua" w:hAnsi="Book Antiqua" w:cstheme="majorBidi"/>
          <w:sz w:val="26"/>
          <w:szCs w:val="26"/>
        </w:rPr>
        <w:t xml:space="preserve"> 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 </w:t>
      </w:r>
      <w:r w:rsidR="00FF2B59">
        <w:rPr>
          <w:rFonts w:ascii="Book Antiqua" w:hAnsi="Book Antiqua" w:cstheme="majorBidi"/>
          <w:sz w:val="26"/>
          <w:szCs w:val="26"/>
        </w:rPr>
        <w:t xml:space="preserve">qu’à </w:t>
      </w:r>
      <w:r>
        <w:rPr>
          <w:rFonts w:ascii="Book Antiqua" w:hAnsi="Book Antiqua" w:cstheme="majorBidi"/>
          <w:sz w:val="26"/>
          <w:szCs w:val="26"/>
        </w:rPr>
        <w:t xml:space="preserve">celui de </w:t>
      </w:r>
      <w:r w:rsidR="002A425B" w:rsidRPr="002A425B">
        <w:rPr>
          <w:rFonts w:ascii="Book Antiqua" w:hAnsi="Book Antiqua" w:cstheme="majorBidi"/>
          <w:sz w:val="26"/>
          <w:szCs w:val="26"/>
        </w:rPr>
        <w:t>l'ensemble des diplômés âgés de 15 ans et plus (17,1%). Il est nettement plus élevé parmi les femmes (</w:t>
      </w:r>
      <w:r w:rsidR="00CA014C">
        <w:rPr>
          <w:rFonts w:ascii="Book Antiqua" w:hAnsi="Book Antiqua" w:cstheme="majorBidi"/>
          <w:sz w:val="26"/>
          <w:szCs w:val="26"/>
        </w:rPr>
        <w:t>34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CA014C">
        <w:rPr>
          <w:rFonts w:ascii="Book Antiqua" w:hAnsi="Book Antiqua" w:cstheme="majorBidi"/>
          <w:sz w:val="26"/>
          <w:szCs w:val="26"/>
        </w:rPr>
        <w:t>2</w:t>
      </w:r>
      <w:r w:rsidR="002A425B" w:rsidRPr="002A425B">
        <w:rPr>
          <w:rFonts w:ascii="Book Antiqua" w:hAnsi="Book Antiqua" w:cstheme="majorBidi"/>
          <w:sz w:val="26"/>
          <w:szCs w:val="26"/>
        </w:rPr>
        <w:t>%) que les hommes (19,</w:t>
      </w:r>
      <w:r w:rsidR="00CA014C">
        <w:rPr>
          <w:rFonts w:ascii="Book Antiqua" w:hAnsi="Book Antiqua" w:cstheme="majorBidi"/>
          <w:sz w:val="26"/>
          <w:szCs w:val="26"/>
        </w:rPr>
        <w:t>1</w:t>
      </w:r>
      <w:r w:rsidR="002A425B" w:rsidRPr="002A425B">
        <w:rPr>
          <w:rFonts w:ascii="Book Antiqua" w:hAnsi="Book Antiqua" w:cstheme="majorBidi"/>
          <w:sz w:val="26"/>
          <w:szCs w:val="26"/>
        </w:rPr>
        <w:t>%) et parmi les citadins (</w:t>
      </w:r>
      <w:r w:rsidR="00CA014C">
        <w:rPr>
          <w:rFonts w:ascii="Book Antiqua" w:hAnsi="Book Antiqua" w:cstheme="majorBidi"/>
          <w:sz w:val="26"/>
          <w:szCs w:val="26"/>
        </w:rPr>
        <w:t>23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CA014C">
        <w:rPr>
          <w:rFonts w:ascii="Book Antiqua" w:hAnsi="Book Antiqua" w:cstheme="majorBidi"/>
          <w:sz w:val="26"/>
          <w:szCs w:val="26"/>
        </w:rPr>
        <w:t>7</w:t>
      </w:r>
      <w:r w:rsidR="002A425B" w:rsidRPr="002A425B">
        <w:rPr>
          <w:rFonts w:ascii="Book Antiqua" w:hAnsi="Book Antiqua" w:cstheme="majorBidi"/>
          <w:sz w:val="26"/>
          <w:szCs w:val="26"/>
        </w:rPr>
        <w:t>%) que les ruraux (</w:t>
      </w:r>
      <w:r w:rsidR="00CA014C">
        <w:rPr>
          <w:rFonts w:ascii="Book Antiqua" w:hAnsi="Book Antiqua" w:cstheme="majorBidi"/>
          <w:sz w:val="26"/>
          <w:szCs w:val="26"/>
        </w:rPr>
        <w:t>18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CA014C">
        <w:rPr>
          <w:rFonts w:ascii="Book Antiqua" w:hAnsi="Book Antiqua" w:cstheme="majorBidi"/>
          <w:sz w:val="26"/>
          <w:szCs w:val="26"/>
        </w:rPr>
        <w:t>1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%). Parmi cette catégorie, le chômage affecte beaucoup plus les jeunes âgés de 15 à 29 ans, avec un taux de </w:t>
      </w:r>
      <w:r w:rsidR="00CA014C">
        <w:rPr>
          <w:rFonts w:ascii="Book Antiqua" w:hAnsi="Book Antiqua" w:cstheme="majorBidi"/>
          <w:sz w:val="26"/>
          <w:szCs w:val="26"/>
        </w:rPr>
        <w:t>41</w:t>
      </w:r>
      <w:r w:rsidR="002A425B" w:rsidRPr="002A425B">
        <w:rPr>
          <w:rFonts w:ascii="Book Antiqua" w:hAnsi="Book Antiqua" w:cstheme="majorBidi"/>
          <w:sz w:val="26"/>
          <w:szCs w:val="26"/>
        </w:rPr>
        <w:t>,6% (</w:t>
      </w:r>
      <w:r w:rsidR="009819CE">
        <w:rPr>
          <w:rFonts w:ascii="Book Antiqua" w:hAnsi="Book Antiqua" w:cstheme="majorBidi"/>
          <w:sz w:val="26"/>
          <w:szCs w:val="26"/>
        </w:rPr>
        <w:t>49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,3% </w:t>
      </w:r>
      <w:r w:rsidR="002A425B" w:rsidRPr="002A425B">
        <w:rPr>
          <w:rFonts w:ascii="Book Antiqua" w:hAnsi="Book Antiqua" w:cstheme="majorBidi"/>
          <w:sz w:val="26"/>
          <w:szCs w:val="26"/>
        </w:rPr>
        <w:lastRenderedPageBreak/>
        <w:t xml:space="preserve">parmi les femmes et  37,7% parmi les  hommes). Il est de </w:t>
      </w:r>
      <w:r w:rsidR="009819CE">
        <w:rPr>
          <w:rFonts w:ascii="Book Antiqua" w:hAnsi="Book Antiqua" w:cstheme="majorBidi"/>
          <w:sz w:val="26"/>
          <w:szCs w:val="26"/>
        </w:rPr>
        <w:t>13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9819CE">
        <w:rPr>
          <w:rFonts w:ascii="Book Antiqua" w:hAnsi="Book Antiqua" w:cstheme="majorBidi"/>
          <w:sz w:val="26"/>
          <w:szCs w:val="26"/>
        </w:rPr>
        <w:t>9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% parmi les personnes âgées de 30 à 44 ans et de </w:t>
      </w:r>
      <w:r w:rsidR="009819CE">
        <w:rPr>
          <w:rFonts w:ascii="Book Antiqua" w:hAnsi="Book Antiqua" w:cstheme="majorBidi"/>
          <w:sz w:val="26"/>
          <w:szCs w:val="26"/>
        </w:rPr>
        <w:t>2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9819CE">
        <w:rPr>
          <w:rFonts w:ascii="Book Antiqua" w:hAnsi="Book Antiqua" w:cstheme="majorBidi"/>
          <w:sz w:val="26"/>
          <w:szCs w:val="26"/>
        </w:rPr>
        <w:t>8</w:t>
      </w:r>
      <w:r w:rsidR="002A425B" w:rsidRPr="002A425B">
        <w:rPr>
          <w:rFonts w:ascii="Book Antiqua" w:hAnsi="Book Antiqua" w:cstheme="majorBidi"/>
          <w:sz w:val="26"/>
          <w:szCs w:val="26"/>
        </w:rPr>
        <w:t>% parmi celles âgées de  45 ans et plus.</w:t>
      </w:r>
    </w:p>
    <w:p w:rsidR="00D61BEC" w:rsidRPr="00661EE6" w:rsidRDefault="00D61BEC" w:rsidP="002A425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661EE6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Un chômage de longue durée et de première insertion</w:t>
      </w:r>
    </w:p>
    <w:p w:rsidR="00D61BEC" w:rsidRPr="0090502A" w:rsidRDefault="00D61BEC" w:rsidP="00D61BE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D61BEC" w:rsidRPr="00701B4F" w:rsidRDefault="00D61BEC" w:rsidP="00132790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>Près de six chômeurs sur dix (5</w:t>
      </w:r>
      <w:r w:rsidR="009E77B9">
        <w:rPr>
          <w:rFonts w:ascii="Book Antiqua" w:hAnsi="Book Antiqua" w:cstheme="majorBidi"/>
          <w:sz w:val="26"/>
          <w:szCs w:val="26"/>
        </w:rPr>
        <w:t>7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9E77B9">
        <w:rPr>
          <w:rFonts w:ascii="Book Antiqua" w:hAnsi="Book Antiqua" w:cstheme="majorBidi"/>
          <w:sz w:val="26"/>
          <w:szCs w:val="26"/>
        </w:rPr>
        <w:t>9</w:t>
      </w:r>
      <w:r w:rsidRPr="00701B4F">
        <w:rPr>
          <w:rFonts w:ascii="Book Antiqua" w:hAnsi="Book Antiqua" w:cstheme="majorBidi"/>
          <w:sz w:val="26"/>
          <w:szCs w:val="26"/>
        </w:rPr>
        <w:t>%) sont à la recherche de leur premier emploi (</w:t>
      </w:r>
      <w:r w:rsidR="0001692A">
        <w:rPr>
          <w:rFonts w:ascii="Book Antiqua" w:hAnsi="Book Antiqua" w:cstheme="majorBidi"/>
          <w:sz w:val="26"/>
          <w:szCs w:val="26"/>
        </w:rPr>
        <w:t>51,8</w:t>
      </w:r>
      <w:r w:rsidRPr="00701B4F">
        <w:rPr>
          <w:rFonts w:ascii="Book Antiqua" w:hAnsi="Book Antiqua" w:cstheme="majorBidi"/>
          <w:sz w:val="26"/>
          <w:szCs w:val="26"/>
        </w:rPr>
        <w:t>% parmi les hommes et 69,</w:t>
      </w:r>
      <w:r w:rsidR="0001692A">
        <w:rPr>
          <w:rFonts w:ascii="Book Antiqua" w:hAnsi="Book Antiqua" w:cstheme="majorBidi"/>
          <w:sz w:val="26"/>
          <w:szCs w:val="26"/>
        </w:rPr>
        <w:t>1</w:t>
      </w:r>
      <w:r w:rsidRPr="00701B4F">
        <w:rPr>
          <w:rFonts w:ascii="Book Antiqua" w:hAnsi="Book Antiqua" w:cstheme="majorBidi"/>
          <w:sz w:val="26"/>
          <w:szCs w:val="26"/>
        </w:rPr>
        <w:t>% parmi les femmes). Plus des deux-tiers des chômeurs (6</w:t>
      </w:r>
      <w:r w:rsidR="0001692A">
        <w:rPr>
          <w:rFonts w:ascii="Book Antiqua" w:hAnsi="Book Antiqua" w:cstheme="majorBidi"/>
          <w:sz w:val="26"/>
          <w:szCs w:val="26"/>
        </w:rPr>
        <w:t>7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01692A">
        <w:rPr>
          <w:rFonts w:ascii="Book Antiqua" w:hAnsi="Book Antiqua" w:cstheme="majorBidi"/>
          <w:sz w:val="26"/>
          <w:szCs w:val="26"/>
        </w:rPr>
        <w:t>6</w:t>
      </w:r>
      <w:r w:rsidRPr="00701B4F">
        <w:rPr>
          <w:rFonts w:ascii="Book Antiqua" w:hAnsi="Book Antiqua" w:cstheme="majorBidi"/>
          <w:sz w:val="26"/>
          <w:szCs w:val="26"/>
        </w:rPr>
        <w:t>%) attendent d’être embauchés depuis une année ou plus (6</w:t>
      </w:r>
      <w:r w:rsidR="0001692A">
        <w:rPr>
          <w:rFonts w:ascii="Book Antiqua" w:hAnsi="Book Antiqua" w:cstheme="majorBidi"/>
          <w:sz w:val="26"/>
          <w:szCs w:val="26"/>
        </w:rPr>
        <w:t>3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01692A">
        <w:rPr>
          <w:rFonts w:ascii="Book Antiqua" w:hAnsi="Book Antiqua" w:cstheme="majorBidi"/>
          <w:sz w:val="26"/>
          <w:szCs w:val="26"/>
        </w:rPr>
        <w:t>5</w:t>
      </w:r>
      <w:r w:rsidRPr="00701B4F">
        <w:rPr>
          <w:rFonts w:ascii="Book Antiqua" w:hAnsi="Book Antiqua" w:cstheme="majorBidi"/>
          <w:sz w:val="26"/>
          <w:szCs w:val="26"/>
        </w:rPr>
        <w:t>% parmi les hommes et 7</w:t>
      </w:r>
      <w:r w:rsidR="0001692A">
        <w:rPr>
          <w:rFonts w:ascii="Book Antiqua" w:hAnsi="Book Antiqua" w:cstheme="majorBidi"/>
          <w:sz w:val="26"/>
          <w:szCs w:val="26"/>
        </w:rPr>
        <w:t>5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01692A">
        <w:rPr>
          <w:rFonts w:ascii="Book Antiqua" w:hAnsi="Book Antiqua" w:cstheme="majorBidi"/>
          <w:sz w:val="26"/>
          <w:szCs w:val="26"/>
        </w:rPr>
        <w:t>4</w:t>
      </w:r>
      <w:r w:rsidRPr="00701B4F">
        <w:rPr>
          <w:rFonts w:ascii="Book Antiqua" w:hAnsi="Book Antiqua" w:cstheme="majorBidi"/>
          <w:sz w:val="26"/>
          <w:szCs w:val="26"/>
        </w:rPr>
        <w:t xml:space="preserve">% parmi les femmes). D’un autre côté, </w:t>
      </w:r>
      <w:r w:rsidR="00132790">
        <w:rPr>
          <w:rFonts w:ascii="Book Antiqua" w:hAnsi="Book Antiqua" w:cstheme="majorBidi"/>
          <w:sz w:val="26"/>
          <w:szCs w:val="26"/>
        </w:rPr>
        <w:t>30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132790">
        <w:rPr>
          <w:rFonts w:ascii="Book Antiqua" w:hAnsi="Book Antiqua" w:cstheme="majorBidi"/>
          <w:sz w:val="26"/>
          <w:szCs w:val="26"/>
        </w:rPr>
        <w:t>4</w:t>
      </w:r>
      <w:r w:rsidRPr="00701B4F">
        <w:rPr>
          <w:rFonts w:ascii="Book Antiqua" w:hAnsi="Book Antiqua" w:cstheme="majorBidi"/>
          <w:sz w:val="26"/>
          <w:szCs w:val="26"/>
        </w:rPr>
        <w:t>% parmi les chômeurs se sont retrouvés dans l’inactivité suite à des licenciements (</w:t>
      </w:r>
      <w:r w:rsidR="00132790">
        <w:rPr>
          <w:rFonts w:ascii="Book Antiqua" w:hAnsi="Book Antiqua" w:cstheme="majorBidi"/>
          <w:sz w:val="26"/>
          <w:szCs w:val="26"/>
        </w:rPr>
        <w:t>24,3</w:t>
      </w:r>
      <w:r w:rsidRPr="00701B4F">
        <w:rPr>
          <w:rFonts w:ascii="Book Antiqua" w:hAnsi="Book Antiqua" w:cstheme="majorBidi"/>
          <w:sz w:val="26"/>
          <w:szCs w:val="26"/>
        </w:rPr>
        <w:t>%) ou l’arrêt de l’activité de l’établissement employeur (</w:t>
      </w:r>
      <w:r w:rsidR="00132790">
        <w:rPr>
          <w:rFonts w:ascii="Book Antiqua" w:hAnsi="Book Antiqua" w:cstheme="majorBidi"/>
          <w:sz w:val="26"/>
          <w:szCs w:val="26"/>
        </w:rPr>
        <w:t>6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132790">
        <w:rPr>
          <w:rFonts w:ascii="Book Antiqua" w:hAnsi="Book Antiqua" w:cstheme="majorBidi"/>
          <w:sz w:val="26"/>
          <w:szCs w:val="26"/>
        </w:rPr>
        <w:t>1</w:t>
      </w:r>
      <w:r w:rsidRPr="00701B4F">
        <w:rPr>
          <w:rFonts w:ascii="Book Antiqua" w:hAnsi="Book Antiqua" w:cstheme="majorBidi"/>
          <w:sz w:val="26"/>
          <w:szCs w:val="26"/>
        </w:rPr>
        <w:t xml:space="preserve">%). </w:t>
      </w:r>
    </w:p>
    <w:p w:rsidR="00D61BEC" w:rsidRDefault="00D61BEC" w:rsidP="00E677B1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 xml:space="preserve">Par ailleurs, 7,2% des chômeurs, totalisant </w:t>
      </w:r>
      <w:r w:rsidR="00E677B1">
        <w:rPr>
          <w:rFonts w:ascii="Book Antiqua" w:hAnsi="Book Antiqua" w:cstheme="majorBidi"/>
          <w:sz w:val="26"/>
          <w:szCs w:val="26"/>
        </w:rPr>
        <w:t>84</w:t>
      </w:r>
      <w:r w:rsidRPr="00701B4F">
        <w:rPr>
          <w:rFonts w:ascii="Book Antiqua" w:hAnsi="Book Antiqua" w:cstheme="majorBidi"/>
          <w:sz w:val="26"/>
          <w:szCs w:val="26"/>
        </w:rPr>
        <w:t xml:space="preserve">.000 personnes </w:t>
      </w:r>
      <w:r w:rsidR="00662D11">
        <w:rPr>
          <w:rFonts w:ascii="Book Antiqua" w:hAnsi="Book Antiqua" w:cstheme="majorBidi"/>
          <w:sz w:val="26"/>
          <w:szCs w:val="26"/>
        </w:rPr>
        <w:t xml:space="preserve">en </w:t>
      </w:r>
      <w:r w:rsidRPr="00701B4F">
        <w:rPr>
          <w:rFonts w:ascii="Book Antiqua" w:hAnsi="Book Antiqua" w:cstheme="majorBidi"/>
          <w:sz w:val="26"/>
          <w:szCs w:val="26"/>
        </w:rPr>
        <w:t xml:space="preserve">2018, sont découragés par la recherche active d’un emploi, contre 7% une année auparavant. Ils sont à environ 87% citadins, </w:t>
      </w:r>
      <w:r w:rsidR="00E677B1">
        <w:rPr>
          <w:rFonts w:ascii="Book Antiqua" w:hAnsi="Book Antiqua" w:cstheme="majorBidi"/>
          <w:sz w:val="26"/>
          <w:szCs w:val="26"/>
        </w:rPr>
        <w:t>52</w:t>
      </w:r>
      <w:r w:rsidRPr="00701B4F">
        <w:rPr>
          <w:rFonts w:ascii="Book Antiqua" w:hAnsi="Book Antiqua" w:cstheme="majorBidi"/>
          <w:sz w:val="26"/>
          <w:szCs w:val="26"/>
        </w:rPr>
        <w:t xml:space="preserve">% femmes, 53% jeunes âgés de 15 à 29 ans et </w:t>
      </w:r>
      <w:r w:rsidR="00E677B1">
        <w:rPr>
          <w:rFonts w:ascii="Book Antiqua" w:hAnsi="Book Antiqua" w:cstheme="majorBidi"/>
          <w:sz w:val="26"/>
          <w:szCs w:val="26"/>
        </w:rPr>
        <w:t>81</w:t>
      </w:r>
      <w:r w:rsidRPr="00701B4F">
        <w:rPr>
          <w:rFonts w:ascii="Book Antiqua" w:hAnsi="Book Antiqua" w:cstheme="majorBidi"/>
          <w:sz w:val="26"/>
          <w:szCs w:val="26"/>
        </w:rPr>
        <w:t>% diplômés.</w:t>
      </w:r>
      <w:r w:rsidRPr="00844ABD">
        <w:rPr>
          <w:rFonts w:ascii="Book Antiqua" w:hAnsi="Book Antiqua" w:cstheme="majorBidi"/>
          <w:sz w:val="26"/>
          <w:szCs w:val="26"/>
        </w:rPr>
        <w:t xml:space="preserve">  </w:t>
      </w:r>
    </w:p>
    <w:p w:rsidR="009E77B9" w:rsidRDefault="009E77B9" w:rsidP="009E77B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2A425B" w:rsidRPr="002A425B" w:rsidRDefault="002A425B" w:rsidP="002B3519">
      <w:pPr>
        <w:bidi w:val="0"/>
        <w:rPr>
          <w:rFonts w:ascii="Book Antiqua" w:hAnsi="Book Antiqua" w:cs="Times New Roman"/>
          <w:noProof w:val="0"/>
          <w:color w:val="0070C0"/>
          <w:sz w:val="12"/>
          <w:szCs w:val="12"/>
        </w:rPr>
      </w:pPr>
    </w:p>
    <w:p w:rsidR="002B3519" w:rsidRPr="002A425B" w:rsidRDefault="002B3519" w:rsidP="00341C10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2A425B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Situation</w:t>
      </w:r>
      <w:r w:rsidR="006C5857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  <w:r w:rsidRPr="002A425B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régionale</w:t>
      </w:r>
      <w:r w:rsidR="00EF611F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  <w:r w:rsidRPr="002A425B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du marché du travail</w:t>
      </w:r>
      <w:r w:rsidRPr="002A425B">
        <w:rPr>
          <w:rStyle w:val="Appelnotedebasdep"/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footnoteReference w:id="2"/>
      </w:r>
    </w:p>
    <w:p w:rsidR="002B3519" w:rsidRDefault="002B3519" w:rsidP="002B3519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</w:p>
    <w:p w:rsidR="002B3519" w:rsidRPr="002A425B" w:rsidRDefault="002B3519" w:rsidP="001E77B5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2A425B">
        <w:rPr>
          <w:rFonts w:ascii="Book Antiqua" w:hAnsi="Book Antiqua" w:cstheme="majorBidi"/>
          <w:sz w:val="26"/>
          <w:szCs w:val="26"/>
        </w:rPr>
        <w:t xml:space="preserve">Cinq régions du Royaume abritent </w:t>
      </w:r>
      <w:r w:rsidR="00520CF7">
        <w:rPr>
          <w:rFonts w:ascii="Book Antiqua" w:hAnsi="Book Antiqua" w:cstheme="majorBidi"/>
          <w:sz w:val="26"/>
          <w:szCs w:val="26"/>
        </w:rPr>
        <w:t>environ les trois quarts (</w:t>
      </w:r>
      <w:r w:rsidRPr="002A425B">
        <w:rPr>
          <w:rFonts w:ascii="Book Antiqua" w:hAnsi="Book Antiqua" w:cstheme="majorBidi"/>
          <w:sz w:val="26"/>
          <w:szCs w:val="26"/>
        </w:rPr>
        <w:t>72,</w:t>
      </w:r>
      <w:r w:rsidR="00520CF7">
        <w:rPr>
          <w:rFonts w:ascii="Book Antiqua" w:hAnsi="Book Antiqua" w:cstheme="majorBidi"/>
          <w:sz w:val="26"/>
          <w:szCs w:val="26"/>
        </w:rPr>
        <w:t>4</w:t>
      </w:r>
      <w:r w:rsidRPr="002A425B">
        <w:rPr>
          <w:rFonts w:ascii="Book Antiqua" w:hAnsi="Book Antiqua" w:cstheme="majorBidi"/>
          <w:sz w:val="26"/>
          <w:szCs w:val="26"/>
        </w:rPr>
        <w:t>%</w:t>
      </w:r>
      <w:r w:rsidR="00520CF7">
        <w:rPr>
          <w:rFonts w:ascii="Book Antiqua" w:hAnsi="Book Antiqua" w:cstheme="majorBidi"/>
          <w:sz w:val="26"/>
          <w:szCs w:val="26"/>
        </w:rPr>
        <w:t>)</w:t>
      </w:r>
      <w:r w:rsidRPr="002A425B">
        <w:rPr>
          <w:rFonts w:ascii="Book Antiqua" w:hAnsi="Book Antiqua" w:cstheme="majorBidi"/>
          <w:sz w:val="26"/>
          <w:szCs w:val="26"/>
        </w:rPr>
        <w:t xml:space="preserve"> de l’ensemble des actifs âgés de 15 ans et plus sur le territoire national. La région de Casablanca-Settat vient en première  position avec 22,</w:t>
      </w:r>
      <w:r w:rsidR="00520CF7">
        <w:rPr>
          <w:rFonts w:ascii="Book Antiqua" w:hAnsi="Book Antiqua" w:cstheme="majorBidi"/>
          <w:sz w:val="26"/>
          <w:szCs w:val="26"/>
        </w:rPr>
        <w:t>4</w:t>
      </w:r>
      <w:r w:rsidRPr="002A425B">
        <w:rPr>
          <w:rFonts w:ascii="Book Antiqua" w:hAnsi="Book Antiqua" w:cstheme="majorBidi"/>
          <w:sz w:val="26"/>
          <w:szCs w:val="26"/>
        </w:rPr>
        <w:t xml:space="preserve">% d’actifs, suivie de Marrakech-Safi (14%), Rabat-Salé-Kénitra (13,4%), Fès-Meknès </w:t>
      </w:r>
      <w:r w:rsidR="001E77B5" w:rsidRPr="002A425B">
        <w:rPr>
          <w:rFonts w:ascii="Book Antiqua" w:hAnsi="Book Antiqua" w:cstheme="majorBidi"/>
          <w:sz w:val="26"/>
          <w:szCs w:val="26"/>
        </w:rPr>
        <w:t>(11,</w:t>
      </w:r>
      <w:r w:rsidR="001E77B5">
        <w:rPr>
          <w:rFonts w:ascii="Book Antiqua" w:hAnsi="Book Antiqua" w:cstheme="majorBidi"/>
          <w:sz w:val="26"/>
          <w:szCs w:val="26"/>
        </w:rPr>
        <w:t>5</w:t>
      </w:r>
      <w:r w:rsidR="001E77B5" w:rsidRPr="002A425B">
        <w:rPr>
          <w:rFonts w:ascii="Book Antiqua" w:hAnsi="Book Antiqua" w:cstheme="majorBidi"/>
          <w:sz w:val="26"/>
          <w:szCs w:val="26"/>
        </w:rPr>
        <w:t xml:space="preserve">%) et Tanger-Tétouan-Al Hoceima </w:t>
      </w:r>
      <w:r w:rsidRPr="002A425B">
        <w:rPr>
          <w:rFonts w:ascii="Book Antiqua" w:hAnsi="Book Antiqua" w:cstheme="majorBidi"/>
          <w:sz w:val="26"/>
          <w:szCs w:val="26"/>
        </w:rPr>
        <w:t>(11,</w:t>
      </w:r>
      <w:r w:rsidR="001E77B5">
        <w:rPr>
          <w:rFonts w:ascii="Book Antiqua" w:hAnsi="Book Antiqua" w:cstheme="majorBidi"/>
          <w:sz w:val="26"/>
          <w:szCs w:val="26"/>
        </w:rPr>
        <w:t>1</w:t>
      </w:r>
      <w:r w:rsidRPr="002A425B">
        <w:rPr>
          <w:rFonts w:ascii="Book Antiqua" w:hAnsi="Book Antiqua" w:cstheme="majorBidi"/>
          <w:sz w:val="26"/>
          <w:szCs w:val="26"/>
        </w:rPr>
        <w:t>%).</w:t>
      </w:r>
    </w:p>
    <w:p w:rsidR="00064697" w:rsidRPr="002A425B" w:rsidRDefault="002B3519" w:rsidP="00773C5D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2A425B">
        <w:rPr>
          <w:rFonts w:ascii="Book Antiqua" w:hAnsi="Book Antiqua" w:cstheme="majorBidi"/>
          <w:sz w:val="26"/>
          <w:szCs w:val="26"/>
        </w:rPr>
        <w:t>Quatre régions affichent des taux d’activité plus élevés que  la  moyenne  nationale (4</w:t>
      </w:r>
      <w:r w:rsidR="00486123">
        <w:rPr>
          <w:rFonts w:ascii="Book Antiqua" w:hAnsi="Book Antiqua" w:cstheme="majorBidi"/>
          <w:sz w:val="26"/>
          <w:szCs w:val="26"/>
        </w:rPr>
        <w:t>6,2</w:t>
      </w:r>
      <w:r w:rsidRPr="002A425B">
        <w:rPr>
          <w:rFonts w:ascii="Book Antiqua" w:hAnsi="Book Antiqua" w:cstheme="majorBidi"/>
          <w:sz w:val="26"/>
          <w:szCs w:val="26"/>
        </w:rPr>
        <w:t>%) ; Eddakhla-Oued Eddahab (</w:t>
      </w:r>
      <w:r w:rsidR="00486123">
        <w:rPr>
          <w:rFonts w:ascii="Book Antiqua" w:hAnsi="Book Antiqua" w:cstheme="majorBidi"/>
          <w:sz w:val="26"/>
          <w:szCs w:val="26"/>
        </w:rPr>
        <w:t>69,4</w:t>
      </w:r>
      <w:r w:rsidRPr="002A425B">
        <w:rPr>
          <w:rFonts w:ascii="Book Antiqua" w:hAnsi="Book Antiqua" w:cstheme="majorBidi"/>
          <w:sz w:val="26"/>
          <w:szCs w:val="26"/>
        </w:rPr>
        <w:t>%), Casablanca-Settat (</w:t>
      </w:r>
      <w:r w:rsidR="00486123">
        <w:rPr>
          <w:rFonts w:ascii="Book Antiqua" w:hAnsi="Book Antiqua" w:cstheme="majorBidi"/>
          <w:sz w:val="26"/>
          <w:szCs w:val="26"/>
        </w:rPr>
        <w:t>49,</w:t>
      </w:r>
      <w:r w:rsidR="00773C5D">
        <w:rPr>
          <w:rFonts w:ascii="Book Antiqua" w:hAnsi="Book Antiqua" w:cstheme="majorBidi"/>
          <w:sz w:val="26"/>
          <w:szCs w:val="26"/>
        </w:rPr>
        <w:t>8</w:t>
      </w:r>
      <w:r w:rsidRPr="002A425B">
        <w:rPr>
          <w:rFonts w:ascii="Book Antiqua" w:hAnsi="Book Antiqua" w:cstheme="majorBidi"/>
          <w:sz w:val="26"/>
          <w:szCs w:val="26"/>
        </w:rPr>
        <w:t>%), Marrakech-Safi (</w:t>
      </w:r>
      <w:r w:rsidR="00486123">
        <w:rPr>
          <w:rFonts w:ascii="Book Antiqua" w:hAnsi="Book Antiqua" w:cstheme="majorBidi"/>
          <w:sz w:val="26"/>
          <w:szCs w:val="26"/>
        </w:rPr>
        <w:t>48</w:t>
      </w:r>
      <w:r w:rsidRPr="002A425B">
        <w:rPr>
          <w:rFonts w:ascii="Book Antiqua" w:hAnsi="Book Antiqua" w:cstheme="majorBidi"/>
          <w:sz w:val="26"/>
          <w:szCs w:val="26"/>
        </w:rPr>
        <w:t>,</w:t>
      </w:r>
      <w:r w:rsidR="00486123">
        <w:rPr>
          <w:rFonts w:ascii="Book Antiqua" w:hAnsi="Book Antiqua" w:cstheme="majorBidi"/>
          <w:sz w:val="26"/>
          <w:szCs w:val="26"/>
        </w:rPr>
        <w:t>6</w:t>
      </w:r>
      <w:r w:rsidRPr="002A425B">
        <w:rPr>
          <w:rFonts w:ascii="Book Antiqua" w:hAnsi="Book Antiqua" w:cstheme="majorBidi"/>
          <w:sz w:val="26"/>
          <w:szCs w:val="26"/>
        </w:rPr>
        <w:t>%) et Tanger-Tétouan-Al Hoceima (</w:t>
      </w:r>
      <w:r w:rsidR="00486123">
        <w:rPr>
          <w:rFonts w:ascii="Book Antiqua" w:hAnsi="Book Antiqua" w:cstheme="majorBidi"/>
          <w:sz w:val="26"/>
          <w:szCs w:val="26"/>
        </w:rPr>
        <w:t>46</w:t>
      </w:r>
      <w:r w:rsidRPr="002A425B">
        <w:rPr>
          <w:rFonts w:ascii="Book Antiqua" w:hAnsi="Book Antiqua" w:cstheme="majorBidi"/>
          <w:sz w:val="26"/>
          <w:szCs w:val="26"/>
        </w:rPr>
        <w:t>,</w:t>
      </w:r>
      <w:r w:rsidR="00486123">
        <w:rPr>
          <w:rFonts w:ascii="Book Antiqua" w:hAnsi="Book Antiqua" w:cstheme="majorBidi"/>
          <w:sz w:val="26"/>
          <w:szCs w:val="26"/>
        </w:rPr>
        <w:t>7</w:t>
      </w:r>
      <w:r w:rsidRPr="002A425B">
        <w:rPr>
          <w:rFonts w:ascii="Book Antiqua" w:hAnsi="Book Antiqua" w:cstheme="majorBidi"/>
          <w:sz w:val="26"/>
          <w:szCs w:val="26"/>
        </w:rPr>
        <w:t xml:space="preserve">%). En revanche, les taux les plus bas sont enregistrés dans les régions </w:t>
      </w:r>
      <w:r w:rsidR="00486123" w:rsidRPr="002A425B">
        <w:rPr>
          <w:rFonts w:ascii="Book Antiqua" w:hAnsi="Book Antiqua" w:cstheme="majorBidi"/>
          <w:sz w:val="26"/>
          <w:szCs w:val="26"/>
        </w:rPr>
        <w:t>de Drâa-Tafilalet (41,</w:t>
      </w:r>
      <w:r w:rsidR="00486123">
        <w:rPr>
          <w:rFonts w:ascii="Book Antiqua" w:hAnsi="Book Antiqua" w:cstheme="majorBidi"/>
          <w:sz w:val="26"/>
          <w:szCs w:val="26"/>
        </w:rPr>
        <w:t>3</w:t>
      </w:r>
      <w:r w:rsidR="00486123" w:rsidRPr="002A425B">
        <w:rPr>
          <w:rFonts w:ascii="Book Antiqua" w:hAnsi="Book Antiqua" w:cstheme="majorBidi"/>
          <w:sz w:val="26"/>
          <w:szCs w:val="26"/>
        </w:rPr>
        <w:t>%)</w:t>
      </w:r>
      <w:r w:rsidR="00486123">
        <w:rPr>
          <w:rFonts w:ascii="Book Antiqua" w:hAnsi="Book Antiqua" w:cstheme="majorBidi"/>
          <w:sz w:val="26"/>
          <w:szCs w:val="26"/>
        </w:rPr>
        <w:t xml:space="preserve"> </w:t>
      </w:r>
      <w:r w:rsidR="00486123" w:rsidRPr="002A425B">
        <w:rPr>
          <w:rFonts w:ascii="Book Antiqua" w:hAnsi="Book Antiqua" w:cstheme="majorBidi"/>
          <w:sz w:val="26"/>
          <w:szCs w:val="26"/>
        </w:rPr>
        <w:t xml:space="preserve">et </w:t>
      </w:r>
      <w:r w:rsidRPr="002A425B">
        <w:rPr>
          <w:rFonts w:ascii="Book Antiqua" w:hAnsi="Book Antiqua" w:cstheme="majorBidi"/>
          <w:sz w:val="26"/>
          <w:szCs w:val="26"/>
        </w:rPr>
        <w:t>de Laayoune-Sakia El Hamra (</w:t>
      </w:r>
      <w:r w:rsidR="00486123">
        <w:rPr>
          <w:rFonts w:ascii="Book Antiqua" w:hAnsi="Book Antiqua" w:cstheme="majorBidi"/>
          <w:sz w:val="26"/>
          <w:szCs w:val="26"/>
        </w:rPr>
        <w:t>41,5</w:t>
      </w:r>
      <w:r w:rsidRPr="002A425B">
        <w:rPr>
          <w:rFonts w:ascii="Book Antiqua" w:hAnsi="Book Antiqua" w:cstheme="majorBidi"/>
          <w:sz w:val="26"/>
          <w:szCs w:val="26"/>
        </w:rPr>
        <w:t>%).</w:t>
      </w:r>
    </w:p>
    <w:p w:rsidR="00D65ED2" w:rsidRDefault="00D65ED2">
      <w:pPr>
        <w:bidi w:val="0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sz w:val="24"/>
          <w:szCs w:val="24"/>
        </w:rPr>
        <w:br w:type="page"/>
      </w:r>
    </w:p>
    <w:p w:rsidR="002B3519" w:rsidRDefault="002B3519" w:rsidP="00A735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lastRenderedPageBreak/>
        <w:t xml:space="preserve">Figure </w:t>
      </w:r>
      <w:r w:rsidR="00A73511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> : Taux d’activité selon les régions et le milieu de résidence (en%)</w:t>
      </w:r>
    </w:p>
    <w:p w:rsidR="00C13AF4" w:rsidRPr="00C13AF4" w:rsidRDefault="00C13AF4" w:rsidP="00C13AF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2B3519" w:rsidRPr="00EA2710" w:rsidRDefault="002B3519" w:rsidP="002B3519">
      <w:pPr>
        <w:autoSpaceDE w:val="0"/>
        <w:autoSpaceDN w:val="0"/>
        <w:bidi w:val="0"/>
        <w:adjustRightInd w:val="0"/>
        <w:jc w:val="center"/>
        <w:rPr>
          <w:sz w:val="8"/>
          <w:szCs w:val="8"/>
        </w:rPr>
      </w:pPr>
    </w:p>
    <w:p w:rsidR="002B3519" w:rsidRDefault="009B123A" w:rsidP="002B3519">
      <w:pPr>
        <w:jc w:val="right"/>
      </w:pPr>
      <w:r w:rsidRPr="009B123A">
        <w:rPr>
          <w:rtl/>
        </w:rPr>
        <w:drawing>
          <wp:inline distT="0" distB="0" distL="0" distR="0">
            <wp:extent cx="6051550" cy="2349500"/>
            <wp:effectExtent l="19050" t="0" r="25400" b="0"/>
            <wp:docPr id="19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3519" w:rsidRPr="006A44B7" w:rsidRDefault="002B3519" w:rsidP="002B3519">
      <w:pPr>
        <w:jc w:val="right"/>
        <w:rPr>
          <w:sz w:val="8"/>
          <w:szCs w:val="8"/>
        </w:rPr>
      </w:pPr>
    </w:p>
    <w:p w:rsidR="002B3519" w:rsidRDefault="002B3519" w:rsidP="002B3519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>*</w:t>
      </w:r>
      <w:r>
        <w:rPr>
          <w:sz w:val="16"/>
          <w:szCs w:val="16"/>
        </w:rPr>
        <w:t> : I</w:t>
      </w:r>
      <w:r w:rsidRPr="005B3E54">
        <w:rPr>
          <w:sz w:val="16"/>
          <w:szCs w:val="16"/>
        </w:rPr>
        <w:t xml:space="preserve">nformation non significative </w:t>
      </w:r>
      <w:r>
        <w:rPr>
          <w:sz w:val="16"/>
          <w:szCs w:val="16"/>
        </w:rPr>
        <w:t xml:space="preserve">pour le </w:t>
      </w:r>
      <w:r w:rsidRPr="005B3E54">
        <w:rPr>
          <w:sz w:val="16"/>
          <w:szCs w:val="16"/>
        </w:rPr>
        <w:t>milieu rural</w:t>
      </w:r>
    </w:p>
    <w:p w:rsidR="00C13AF4" w:rsidRDefault="00C13AF4" w:rsidP="002B2EF4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12"/>
          <w:szCs w:val="12"/>
        </w:rPr>
      </w:pPr>
    </w:p>
    <w:p w:rsidR="00A868B6" w:rsidRPr="002A425B" w:rsidRDefault="00A868B6" w:rsidP="008A721B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>
        <w:rPr>
          <w:rFonts w:ascii="Book Antiqua" w:hAnsi="Book Antiqua" w:cstheme="majorBidi"/>
          <w:sz w:val="26"/>
          <w:szCs w:val="26"/>
        </w:rPr>
        <w:t>En termes de création nette d’emplois, t</w:t>
      </w:r>
      <w:r w:rsidRPr="0081411B">
        <w:rPr>
          <w:rFonts w:ascii="Book Antiqua" w:hAnsi="Book Antiqua" w:cstheme="majorBidi"/>
          <w:sz w:val="26"/>
          <w:szCs w:val="26"/>
        </w:rPr>
        <w:t>rois régions</w:t>
      </w:r>
      <w:r>
        <w:rPr>
          <w:rFonts w:ascii="Book Antiqua" w:hAnsi="Book Antiqua" w:cstheme="majorBidi"/>
          <w:sz w:val="26"/>
          <w:szCs w:val="26"/>
        </w:rPr>
        <w:t xml:space="preserve"> y contribuent </w:t>
      </w:r>
      <w:r w:rsidR="00703ADE">
        <w:rPr>
          <w:rFonts w:ascii="Book Antiqua" w:hAnsi="Book Antiqua" w:cstheme="majorBidi"/>
          <w:sz w:val="26"/>
          <w:szCs w:val="26"/>
        </w:rPr>
        <w:t>pour près d</w:t>
      </w:r>
      <w:r>
        <w:rPr>
          <w:rFonts w:ascii="Book Antiqua" w:hAnsi="Book Antiqua" w:cstheme="majorBidi"/>
          <w:sz w:val="26"/>
          <w:szCs w:val="26"/>
        </w:rPr>
        <w:t xml:space="preserve">es </w:t>
      </w:r>
      <w:r w:rsidRPr="002A425B">
        <w:rPr>
          <w:rFonts w:ascii="Book Antiqua" w:hAnsi="Book Antiqua" w:cstheme="majorBidi"/>
          <w:sz w:val="26"/>
          <w:szCs w:val="26"/>
        </w:rPr>
        <w:t>trois quarts</w:t>
      </w:r>
      <w:r>
        <w:rPr>
          <w:rFonts w:ascii="Book Antiqua" w:hAnsi="Book Antiqua" w:cstheme="majorBidi"/>
          <w:sz w:val="26"/>
          <w:szCs w:val="26"/>
        </w:rPr>
        <w:t xml:space="preserve"> (74,1%). </w:t>
      </w:r>
      <w:r w:rsidR="00703ADE">
        <w:rPr>
          <w:rFonts w:ascii="Book Antiqua" w:hAnsi="Book Antiqua" w:cstheme="majorBidi"/>
          <w:sz w:val="26"/>
          <w:szCs w:val="26"/>
        </w:rPr>
        <w:t xml:space="preserve">Il s’agit de </w:t>
      </w:r>
      <w:r w:rsidRPr="002A425B">
        <w:rPr>
          <w:rFonts w:ascii="Book Antiqua" w:hAnsi="Book Antiqua" w:cstheme="majorBidi"/>
          <w:sz w:val="26"/>
          <w:szCs w:val="26"/>
        </w:rPr>
        <w:t xml:space="preserve">Marrakech-Safi avec </w:t>
      </w:r>
      <w:r>
        <w:rPr>
          <w:rFonts w:ascii="Book Antiqua" w:hAnsi="Book Antiqua" w:cstheme="majorBidi"/>
          <w:sz w:val="26"/>
          <w:szCs w:val="26"/>
        </w:rPr>
        <w:t>38.000 emplois</w:t>
      </w:r>
      <w:r w:rsidRPr="002A425B">
        <w:rPr>
          <w:rFonts w:ascii="Book Antiqua" w:hAnsi="Book Antiqua" w:cstheme="majorBidi"/>
          <w:sz w:val="26"/>
          <w:szCs w:val="26"/>
        </w:rPr>
        <w:t>, suivie d</w:t>
      </w:r>
      <w:r>
        <w:rPr>
          <w:rFonts w:ascii="Book Antiqua" w:hAnsi="Book Antiqua" w:cstheme="majorBidi"/>
          <w:sz w:val="26"/>
          <w:szCs w:val="26"/>
        </w:rPr>
        <w:t xml:space="preserve">u </w:t>
      </w:r>
      <w:r w:rsidRPr="0081411B">
        <w:rPr>
          <w:rFonts w:ascii="Book Antiqua" w:hAnsi="Book Antiqua" w:cstheme="majorBidi"/>
          <w:sz w:val="26"/>
          <w:szCs w:val="26"/>
        </w:rPr>
        <w:t>Grand Casablanca-Settat</w:t>
      </w:r>
      <w:r w:rsidRPr="002A425B">
        <w:rPr>
          <w:rFonts w:ascii="Book Antiqua" w:hAnsi="Book Antiqua" w:cstheme="majorBidi"/>
          <w:sz w:val="26"/>
          <w:szCs w:val="26"/>
        </w:rPr>
        <w:t xml:space="preserve"> (</w:t>
      </w:r>
      <w:r>
        <w:rPr>
          <w:rFonts w:ascii="Book Antiqua" w:hAnsi="Book Antiqua" w:cstheme="majorBidi"/>
          <w:sz w:val="26"/>
          <w:szCs w:val="26"/>
        </w:rPr>
        <w:t>28.000 emplois</w:t>
      </w:r>
      <w:r w:rsidRPr="002A425B">
        <w:rPr>
          <w:rFonts w:ascii="Book Antiqua" w:hAnsi="Book Antiqua" w:cstheme="majorBidi"/>
          <w:sz w:val="26"/>
          <w:szCs w:val="26"/>
        </w:rPr>
        <w:t>)</w:t>
      </w:r>
      <w:r>
        <w:rPr>
          <w:rFonts w:ascii="Book Antiqua" w:hAnsi="Book Antiqua" w:cstheme="majorBidi"/>
          <w:sz w:val="26"/>
          <w:szCs w:val="26"/>
        </w:rPr>
        <w:t xml:space="preserve"> et la région de </w:t>
      </w:r>
      <w:r w:rsidRPr="0081411B">
        <w:rPr>
          <w:rFonts w:ascii="Book Antiqua" w:hAnsi="Book Antiqua" w:cstheme="majorBidi"/>
          <w:sz w:val="26"/>
          <w:szCs w:val="26"/>
        </w:rPr>
        <w:t>Drâa-Tafilalet</w:t>
      </w:r>
      <w:r>
        <w:rPr>
          <w:rFonts w:ascii="Book Antiqua" w:hAnsi="Book Antiqua" w:cstheme="majorBidi"/>
          <w:sz w:val="26"/>
          <w:szCs w:val="26"/>
        </w:rPr>
        <w:t xml:space="preserve"> </w:t>
      </w:r>
      <w:r w:rsidRPr="002A425B">
        <w:rPr>
          <w:rFonts w:ascii="Book Antiqua" w:hAnsi="Book Antiqua" w:cstheme="majorBidi"/>
          <w:sz w:val="26"/>
          <w:szCs w:val="26"/>
        </w:rPr>
        <w:t>(</w:t>
      </w:r>
      <w:r>
        <w:rPr>
          <w:rFonts w:ascii="Book Antiqua" w:hAnsi="Book Antiqua" w:cstheme="majorBidi"/>
          <w:sz w:val="26"/>
          <w:szCs w:val="26"/>
        </w:rPr>
        <w:t>17.000 emplois</w:t>
      </w:r>
      <w:r w:rsidRPr="002A425B">
        <w:rPr>
          <w:rFonts w:ascii="Book Antiqua" w:hAnsi="Book Antiqua" w:cstheme="majorBidi"/>
          <w:sz w:val="26"/>
          <w:szCs w:val="26"/>
        </w:rPr>
        <w:t>).</w:t>
      </w:r>
      <w:r>
        <w:rPr>
          <w:rFonts w:ascii="Book Antiqua" w:hAnsi="Book Antiqua" w:cstheme="majorBidi"/>
          <w:sz w:val="26"/>
          <w:szCs w:val="26"/>
        </w:rPr>
        <w:t xml:space="preserve"> </w:t>
      </w:r>
      <w:r w:rsidR="008A721B">
        <w:rPr>
          <w:rFonts w:ascii="Book Antiqua" w:hAnsi="Book Antiqua" w:cstheme="majorBidi"/>
          <w:sz w:val="26"/>
          <w:szCs w:val="26"/>
        </w:rPr>
        <w:t>De leurs parts, l</w:t>
      </w:r>
      <w:r>
        <w:rPr>
          <w:rFonts w:ascii="Book Antiqua" w:hAnsi="Book Antiqua" w:cstheme="majorBidi"/>
          <w:sz w:val="26"/>
          <w:szCs w:val="26"/>
        </w:rPr>
        <w:t xml:space="preserve">es régions de </w:t>
      </w:r>
      <w:r w:rsidRPr="0081411B">
        <w:rPr>
          <w:rFonts w:ascii="Book Antiqua" w:hAnsi="Book Antiqua" w:cstheme="majorBidi"/>
          <w:sz w:val="26"/>
          <w:szCs w:val="26"/>
        </w:rPr>
        <w:t>Béni Mellal-Khénifra</w:t>
      </w:r>
      <w:r>
        <w:rPr>
          <w:rFonts w:ascii="Book Antiqua" w:hAnsi="Book Antiqua" w:cstheme="majorBidi"/>
          <w:sz w:val="26"/>
          <w:szCs w:val="26"/>
        </w:rPr>
        <w:t xml:space="preserve"> et de </w:t>
      </w:r>
      <w:r w:rsidRPr="0081411B">
        <w:rPr>
          <w:rFonts w:ascii="Book Antiqua" w:hAnsi="Book Antiqua" w:cstheme="majorBidi"/>
          <w:sz w:val="26"/>
          <w:szCs w:val="26"/>
        </w:rPr>
        <w:t>Eddakhla-Oued Eddahab</w:t>
      </w:r>
      <w:r>
        <w:rPr>
          <w:rFonts w:ascii="Book Antiqua" w:hAnsi="Book Antiqua" w:cstheme="majorBidi"/>
          <w:sz w:val="26"/>
          <w:szCs w:val="26"/>
        </w:rPr>
        <w:t xml:space="preserve"> ont connu des pertes d’emploi, respectivement 8.000 et 5.000 emplois.</w:t>
      </w:r>
    </w:p>
    <w:p w:rsidR="00A868B6" w:rsidRDefault="00A868B6" w:rsidP="00A868B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064697" w:rsidRDefault="00064697" w:rsidP="00A735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FF2B59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A73511">
        <w:rPr>
          <w:rFonts w:ascii="Book Antiqua" w:hAnsi="Book Antiqua" w:cs="Times New Roman"/>
          <w:b/>
          <w:bCs/>
          <w:noProof w:val="0"/>
          <w:sz w:val="24"/>
          <w:szCs w:val="24"/>
        </w:rPr>
        <w:t>5</w:t>
      </w:r>
      <w:r w:rsidRPr="00FF2B59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. Création nette d’emplois entre 2017 et 2018 par </w:t>
      </w:r>
      <w:r w:rsidR="001800DB" w:rsidRPr="00FF2B59">
        <w:rPr>
          <w:rFonts w:ascii="Book Antiqua" w:hAnsi="Book Antiqua" w:cs="Times New Roman"/>
          <w:b/>
          <w:bCs/>
          <w:noProof w:val="0"/>
          <w:sz w:val="24"/>
          <w:szCs w:val="24"/>
        </w:rPr>
        <w:t>région</w:t>
      </w:r>
    </w:p>
    <w:p w:rsidR="003A5F26" w:rsidRDefault="003A5F26" w:rsidP="003A5F26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12"/>
          <w:szCs w:val="12"/>
        </w:rPr>
      </w:pPr>
    </w:p>
    <w:p w:rsidR="001800DB" w:rsidRDefault="001800DB" w:rsidP="001800DB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12"/>
          <w:szCs w:val="12"/>
        </w:rPr>
      </w:pPr>
      <w:r w:rsidRPr="001800DB">
        <w:rPr>
          <w:rFonts w:ascii="Book Antiqua" w:hAnsi="Book Antiqua" w:cstheme="majorBidi"/>
          <w:sz w:val="12"/>
          <w:szCs w:val="12"/>
        </w:rPr>
        <w:drawing>
          <wp:inline distT="0" distB="0" distL="0" distR="0">
            <wp:extent cx="5824903" cy="2740270"/>
            <wp:effectExtent l="19050" t="0" r="23447" b="293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2B59" w:rsidRDefault="00FF2B59" w:rsidP="0081411B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</w:p>
    <w:p w:rsidR="002B3519" w:rsidRPr="002A425B" w:rsidRDefault="00A868B6" w:rsidP="00434A19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>
        <w:rPr>
          <w:rFonts w:ascii="Book Antiqua" w:hAnsi="Book Antiqua" w:cstheme="majorBidi"/>
          <w:sz w:val="26"/>
          <w:szCs w:val="26"/>
        </w:rPr>
        <w:t xml:space="preserve">S’agissant du </w:t>
      </w:r>
      <w:r w:rsidR="00434A19">
        <w:rPr>
          <w:rFonts w:ascii="Book Antiqua" w:hAnsi="Book Antiqua" w:cstheme="majorBidi"/>
          <w:sz w:val="26"/>
          <w:szCs w:val="26"/>
        </w:rPr>
        <w:t xml:space="preserve">chômage, </w:t>
      </w:r>
      <w:r w:rsidR="00434A19" w:rsidRPr="002A425B">
        <w:rPr>
          <w:rFonts w:ascii="Book Antiqua" w:hAnsi="Book Antiqua" w:cstheme="majorBidi"/>
          <w:sz w:val="26"/>
          <w:szCs w:val="26"/>
        </w:rPr>
        <w:t>cinq régions du Royaume</w:t>
      </w:r>
      <w:r w:rsidR="00434A19">
        <w:rPr>
          <w:rFonts w:ascii="Book Antiqua" w:hAnsi="Book Antiqua" w:cstheme="majorBidi"/>
          <w:sz w:val="26"/>
          <w:szCs w:val="26"/>
        </w:rPr>
        <w:t xml:space="preserve"> concentrent p</w:t>
      </w:r>
      <w:r w:rsidR="00EF611F">
        <w:rPr>
          <w:rFonts w:ascii="Book Antiqua" w:hAnsi="Book Antiqua" w:cstheme="majorBidi"/>
          <w:sz w:val="26"/>
          <w:szCs w:val="26"/>
        </w:rPr>
        <w:t>rès d</w:t>
      </w:r>
      <w:r w:rsidR="002B3519" w:rsidRPr="002A425B">
        <w:rPr>
          <w:rFonts w:ascii="Book Antiqua" w:hAnsi="Book Antiqua" w:cstheme="majorBidi"/>
          <w:sz w:val="26"/>
          <w:szCs w:val="26"/>
        </w:rPr>
        <w:t>es trois quarts des chômeurs (7</w:t>
      </w:r>
      <w:r w:rsidR="00C13AF4">
        <w:rPr>
          <w:rFonts w:ascii="Book Antiqua" w:hAnsi="Book Antiqua" w:cstheme="majorBidi"/>
          <w:sz w:val="26"/>
          <w:szCs w:val="26"/>
        </w:rPr>
        <w:t>3</w:t>
      </w:r>
      <w:r w:rsidR="002B3519" w:rsidRPr="002A425B">
        <w:rPr>
          <w:rFonts w:ascii="Book Antiqua" w:hAnsi="Book Antiqua" w:cstheme="majorBidi"/>
          <w:sz w:val="26"/>
          <w:szCs w:val="26"/>
        </w:rPr>
        <w:t>,</w:t>
      </w:r>
      <w:r w:rsidR="00C13AF4">
        <w:rPr>
          <w:rFonts w:ascii="Book Antiqua" w:hAnsi="Book Antiqua" w:cstheme="majorBidi"/>
          <w:sz w:val="26"/>
          <w:szCs w:val="26"/>
        </w:rPr>
        <w:t>3</w:t>
      </w:r>
      <w:r w:rsidR="002B3519" w:rsidRPr="002A425B">
        <w:rPr>
          <w:rFonts w:ascii="Book Antiqua" w:hAnsi="Book Antiqua" w:cstheme="majorBidi"/>
          <w:sz w:val="26"/>
          <w:szCs w:val="26"/>
        </w:rPr>
        <w:t>%); Casablanca-Settat vient en  première  position  avec 24</w:t>
      </w:r>
      <w:r w:rsidR="00C13AF4">
        <w:rPr>
          <w:rFonts w:ascii="Book Antiqua" w:hAnsi="Book Antiqua" w:cstheme="majorBidi"/>
          <w:sz w:val="26"/>
          <w:szCs w:val="26"/>
        </w:rPr>
        <w:t>,6</w:t>
      </w:r>
      <w:r w:rsidR="002B3519" w:rsidRPr="002A425B">
        <w:rPr>
          <w:rFonts w:ascii="Book Antiqua" w:hAnsi="Book Antiqua" w:cstheme="majorBidi"/>
          <w:sz w:val="26"/>
          <w:szCs w:val="26"/>
        </w:rPr>
        <w:t xml:space="preserve">% </w:t>
      </w:r>
      <w:r w:rsidR="002B3519" w:rsidRPr="002A425B">
        <w:rPr>
          <w:rFonts w:ascii="Book Antiqua" w:hAnsi="Book Antiqua" w:cstheme="majorBidi"/>
          <w:sz w:val="26"/>
          <w:szCs w:val="26"/>
        </w:rPr>
        <w:lastRenderedPageBreak/>
        <w:t>de chômeurs, suivie de Rabat-Salé-Kénitra (16,</w:t>
      </w:r>
      <w:r w:rsidR="00C13AF4">
        <w:rPr>
          <w:rFonts w:ascii="Book Antiqua" w:hAnsi="Book Antiqua" w:cstheme="majorBidi"/>
          <w:sz w:val="26"/>
          <w:szCs w:val="26"/>
        </w:rPr>
        <w:t>6</w:t>
      </w:r>
      <w:r w:rsidR="002B3519" w:rsidRPr="002A425B">
        <w:rPr>
          <w:rFonts w:ascii="Book Antiqua" w:hAnsi="Book Antiqua" w:cstheme="majorBidi"/>
          <w:sz w:val="26"/>
          <w:szCs w:val="26"/>
        </w:rPr>
        <w:t xml:space="preserve">%), </w:t>
      </w:r>
      <w:r w:rsidR="00C13AF4" w:rsidRPr="002A425B">
        <w:rPr>
          <w:rFonts w:ascii="Book Antiqua" w:hAnsi="Book Antiqua" w:cstheme="majorBidi"/>
          <w:sz w:val="26"/>
          <w:szCs w:val="26"/>
        </w:rPr>
        <w:t>l’Oriental (11,2%)</w:t>
      </w:r>
      <w:r w:rsidR="00C13AF4">
        <w:rPr>
          <w:rFonts w:ascii="Book Antiqua" w:hAnsi="Book Antiqua" w:cstheme="majorBidi"/>
          <w:sz w:val="26"/>
          <w:szCs w:val="26"/>
        </w:rPr>
        <w:t xml:space="preserve">, </w:t>
      </w:r>
      <w:r w:rsidR="002B3519" w:rsidRPr="002A425B">
        <w:rPr>
          <w:rFonts w:ascii="Book Antiqua" w:hAnsi="Book Antiqua" w:cstheme="majorBidi"/>
          <w:sz w:val="26"/>
          <w:szCs w:val="26"/>
        </w:rPr>
        <w:t>Fès-Meknès (11%)</w:t>
      </w:r>
      <w:r w:rsidR="00C13AF4">
        <w:rPr>
          <w:rFonts w:ascii="Book Antiqua" w:hAnsi="Book Antiqua" w:cstheme="majorBidi"/>
          <w:sz w:val="26"/>
          <w:szCs w:val="26"/>
        </w:rPr>
        <w:t xml:space="preserve"> </w:t>
      </w:r>
      <w:r w:rsidR="002B3519" w:rsidRPr="002A425B">
        <w:rPr>
          <w:rFonts w:ascii="Book Antiqua" w:hAnsi="Book Antiqua" w:cstheme="majorBidi"/>
          <w:sz w:val="26"/>
          <w:szCs w:val="26"/>
        </w:rPr>
        <w:t xml:space="preserve">et </w:t>
      </w:r>
      <w:r w:rsidR="00C13AF4" w:rsidRPr="002A425B">
        <w:rPr>
          <w:rFonts w:ascii="Book Antiqua" w:hAnsi="Book Antiqua" w:cstheme="majorBidi"/>
          <w:sz w:val="26"/>
          <w:szCs w:val="26"/>
        </w:rPr>
        <w:t>Marrakech-Safi (</w:t>
      </w:r>
      <w:r w:rsidR="00C13AF4">
        <w:rPr>
          <w:rFonts w:ascii="Book Antiqua" w:hAnsi="Book Antiqua" w:cstheme="majorBidi"/>
          <w:sz w:val="26"/>
          <w:szCs w:val="26"/>
        </w:rPr>
        <w:t>10</w:t>
      </w:r>
      <w:r w:rsidR="00C13AF4" w:rsidRPr="002A425B">
        <w:rPr>
          <w:rFonts w:ascii="Book Antiqua" w:hAnsi="Book Antiqua" w:cstheme="majorBidi"/>
          <w:sz w:val="26"/>
          <w:szCs w:val="26"/>
        </w:rPr>
        <w:t>%)</w:t>
      </w:r>
      <w:r w:rsidR="002B3519" w:rsidRPr="002A425B">
        <w:rPr>
          <w:rFonts w:ascii="Book Antiqua" w:hAnsi="Book Antiqua" w:cstheme="majorBidi"/>
          <w:sz w:val="26"/>
          <w:szCs w:val="26"/>
        </w:rPr>
        <w:t>.</w:t>
      </w:r>
    </w:p>
    <w:p w:rsidR="008A721B" w:rsidRDefault="002B3519" w:rsidP="00341C10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2A425B">
        <w:rPr>
          <w:rFonts w:ascii="Book Antiqua" w:hAnsi="Book Antiqua" w:cstheme="majorBidi"/>
          <w:sz w:val="26"/>
          <w:szCs w:val="26"/>
        </w:rPr>
        <w:t xml:space="preserve">Les taux de chômage les plus élevés sont observés dans les régions de </w:t>
      </w:r>
      <w:r w:rsidR="008370DE" w:rsidRPr="002A425B">
        <w:rPr>
          <w:rFonts w:ascii="Book Antiqua" w:hAnsi="Book Antiqua" w:cstheme="majorBidi"/>
          <w:sz w:val="26"/>
          <w:szCs w:val="26"/>
        </w:rPr>
        <w:t>Guelmim-Oued Noun</w:t>
      </w:r>
      <w:r w:rsidR="008370DE">
        <w:rPr>
          <w:rFonts w:ascii="Book Antiqua" w:hAnsi="Book Antiqua" w:cstheme="majorBidi"/>
          <w:sz w:val="26"/>
          <w:szCs w:val="26"/>
        </w:rPr>
        <w:t xml:space="preserve"> </w:t>
      </w:r>
      <w:r w:rsidR="008370DE" w:rsidRPr="002A425B">
        <w:rPr>
          <w:rFonts w:ascii="Book Antiqua" w:hAnsi="Book Antiqua" w:cstheme="majorBidi"/>
          <w:sz w:val="26"/>
          <w:szCs w:val="26"/>
        </w:rPr>
        <w:t>(</w:t>
      </w:r>
      <w:r w:rsidR="008370DE">
        <w:rPr>
          <w:rFonts w:ascii="Book Antiqua" w:hAnsi="Book Antiqua" w:cstheme="majorBidi"/>
          <w:sz w:val="26"/>
          <w:szCs w:val="26"/>
        </w:rPr>
        <w:t>18,9</w:t>
      </w:r>
      <w:r w:rsidR="008370DE" w:rsidRPr="002A425B">
        <w:rPr>
          <w:rFonts w:ascii="Book Antiqua" w:hAnsi="Book Antiqua" w:cstheme="majorBidi"/>
          <w:sz w:val="26"/>
          <w:szCs w:val="26"/>
        </w:rPr>
        <w:t xml:space="preserve">%) </w:t>
      </w:r>
      <w:r w:rsidRPr="002A425B">
        <w:rPr>
          <w:rFonts w:ascii="Book Antiqua" w:hAnsi="Book Antiqua" w:cstheme="majorBidi"/>
          <w:sz w:val="26"/>
          <w:szCs w:val="26"/>
        </w:rPr>
        <w:t>et de l’Oriental (</w:t>
      </w:r>
      <w:r w:rsidR="008370DE">
        <w:rPr>
          <w:rFonts w:ascii="Book Antiqua" w:hAnsi="Book Antiqua" w:cstheme="majorBidi"/>
          <w:sz w:val="26"/>
          <w:szCs w:val="26"/>
        </w:rPr>
        <w:t>16,3</w:t>
      </w:r>
      <w:r w:rsidRPr="002A425B">
        <w:rPr>
          <w:rFonts w:ascii="Book Antiqua" w:hAnsi="Book Antiqua" w:cstheme="majorBidi"/>
          <w:sz w:val="26"/>
          <w:szCs w:val="26"/>
        </w:rPr>
        <w:t>%). Avec moins d’acuité, quatre autres régions dépassent la moyenne nationale (9,</w:t>
      </w:r>
      <w:r w:rsidR="008370DE">
        <w:rPr>
          <w:rFonts w:ascii="Book Antiqua" w:hAnsi="Book Antiqua" w:cstheme="majorBidi"/>
          <w:sz w:val="26"/>
          <w:szCs w:val="26"/>
        </w:rPr>
        <w:t>8</w:t>
      </w:r>
      <w:r w:rsidRPr="002A425B">
        <w:rPr>
          <w:rFonts w:ascii="Book Antiqua" w:hAnsi="Book Antiqua" w:cstheme="majorBidi"/>
          <w:sz w:val="26"/>
          <w:szCs w:val="26"/>
        </w:rPr>
        <w:t xml:space="preserve">%) à savoir </w:t>
      </w:r>
      <w:r w:rsidR="008370DE" w:rsidRPr="002A425B">
        <w:rPr>
          <w:rFonts w:ascii="Book Antiqua" w:hAnsi="Book Antiqua" w:cstheme="majorBidi"/>
          <w:sz w:val="26"/>
          <w:szCs w:val="26"/>
        </w:rPr>
        <w:t xml:space="preserve">Laayoune-Sakia El Hamra </w:t>
      </w:r>
      <w:r w:rsidRPr="002A425B">
        <w:rPr>
          <w:rFonts w:ascii="Book Antiqua" w:hAnsi="Book Antiqua" w:cstheme="majorBidi"/>
          <w:sz w:val="26"/>
          <w:szCs w:val="26"/>
        </w:rPr>
        <w:t>(</w:t>
      </w:r>
      <w:r w:rsidR="008370DE">
        <w:rPr>
          <w:rFonts w:ascii="Book Antiqua" w:hAnsi="Book Antiqua" w:cstheme="majorBidi"/>
          <w:sz w:val="26"/>
          <w:szCs w:val="26"/>
        </w:rPr>
        <w:t>13</w:t>
      </w:r>
      <w:r w:rsidRPr="002A425B">
        <w:rPr>
          <w:rFonts w:ascii="Book Antiqua" w:hAnsi="Book Antiqua" w:cstheme="majorBidi"/>
          <w:sz w:val="26"/>
          <w:szCs w:val="26"/>
        </w:rPr>
        <w:t>,</w:t>
      </w:r>
      <w:r w:rsidR="008370DE">
        <w:rPr>
          <w:rFonts w:ascii="Book Antiqua" w:hAnsi="Book Antiqua" w:cstheme="majorBidi"/>
          <w:sz w:val="26"/>
          <w:szCs w:val="26"/>
        </w:rPr>
        <w:t>5</w:t>
      </w:r>
      <w:r w:rsidRPr="002A425B">
        <w:rPr>
          <w:rFonts w:ascii="Book Antiqua" w:hAnsi="Book Antiqua" w:cstheme="majorBidi"/>
          <w:sz w:val="26"/>
          <w:szCs w:val="26"/>
        </w:rPr>
        <w:t>%), Rabat-Salé-Kénitra (11</w:t>
      </w:r>
      <w:r w:rsidR="008370DE">
        <w:rPr>
          <w:rFonts w:ascii="Book Antiqua" w:hAnsi="Book Antiqua" w:cstheme="majorBidi"/>
          <w:sz w:val="26"/>
          <w:szCs w:val="26"/>
        </w:rPr>
        <w:t>,8</w:t>
      </w:r>
      <w:r w:rsidRPr="002A425B">
        <w:rPr>
          <w:rFonts w:ascii="Book Antiqua" w:hAnsi="Book Antiqua" w:cstheme="majorBidi"/>
          <w:sz w:val="26"/>
          <w:szCs w:val="26"/>
        </w:rPr>
        <w:t>%), Casablanca-Settat (</w:t>
      </w:r>
      <w:r w:rsidR="008370DE">
        <w:rPr>
          <w:rFonts w:ascii="Book Antiqua" w:hAnsi="Book Antiqua" w:cstheme="majorBidi"/>
          <w:sz w:val="26"/>
          <w:szCs w:val="26"/>
        </w:rPr>
        <w:t>10</w:t>
      </w:r>
      <w:r w:rsidRPr="002A425B">
        <w:rPr>
          <w:rFonts w:ascii="Book Antiqua" w:hAnsi="Book Antiqua" w:cstheme="majorBidi"/>
          <w:sz w:val="26"/>
          <w:szCs w:val="26"/>
        </w:rPr>
        <w:t xml:space="preserve">,6%) et </w:t>
      </w:r>
      <w:r w:rsidR="008370DE" w:rsidRPr="008370DE">
        <w:rPr>
          <w:rFonts w:ascii="Book Antiqua" w:hAnsi="Book Antiqua" w:cstheme="majorBidi"/>
          <w:sz w:val="26"/>
          <w:szCs w:val="26"/>
        </w:rPr>
        <w:t xml:space="preserve">Souss-Massa </w:t>
      </w:r>
      <w:r w:rsidRPr="002A425B">
        <w:rPr>
          <w:rFonts w:ascii="Book Antiqua" w:hAnsi="Book Antiqua" w:cstheme="majorBidi"/>
          <w:sz w:val="26"/>
          <w:szCs w:val="26"/>
        </w:rPr>
        <w:t>(</w:t>
      </w:r>
      <w:r w:rsidR="008370DE">
        <w:rPr>
          <w:rFonts w:ascii="Book Antiqua" w:hAnsi="Book Antiqua" w:cstheme="majorBidi"/>
          <w:sz w:val="26"/>
          <w:szCs w:val="26"/>
        </w:rPr>
        <w:t>10</w:t>
      </w:r>
      <w:r w:rsidRPr="002A425B">
        <w:rPr>
          <w:rFonts w:ascii="Book Antiqua" w:hAnsi="Book Antiqua" w:cstheme="majorBidi"/>
          <w:sz w:val="26"/>
          <w:szCs w:val="26"/>
        </w:rPr>
        <w:t xml:space="preserve">%). En revanche, les régions de </w:t>
      </w:r>
      <w:r w:rsidR="008370DE" w:rsidRPr="002A425B">
        <w:rPr>
          <w:rFonts w:ascii="Book Antiqua" w:hAnsi="Book Antiqua" w:cstheme="majorBidi"/>
          <w:sz w:val="26"/>
          <w:szCs w:val="26"/>
        </w:rPr>
        <w:t xml:space="preserve">Béni Mellal- Khénifra </w:t>
      </w:r>
      <w:r w:rsidR="008370DE">
        <w:rPr>
          <w:rFonts w:ascii="Book Antiqua" w:hAnsi="Book Antiqua" w:cstheme="majorBidi"/>
          <w:sz w:val="26"/>
          <w:szCs w:val="26"/>
        </w:rPr>
        <w:t xml:space="preserve">et de </w:t>
      </w:r>
      <w:r w:rsidRPr="002A425B">
        <w:rPr>
          <w:rFonts w:ascii="Book Antiqua" w:hAnsi="Book Antiqua" w:cstheme="majorBidi"/>
          <w:sz w:val="26"/>
          <w:szCs w:val="26"/>
        </w:rPr>
        <w:t xml:space="preserve">Drâa-Tafilalet enregistrent les taux les plus bas avec respectivement </w:t>
      </w:r>
      <w:r w:rsidR="008370DE">
        <w:rPr>
          <w:rFonts w:ascii="Book Antiqua" w:hAnsi="Book Antiqua" w:cstheme="majorBidi"/>
          <w:sz w:val="26"/>
          <w:szCs w:val="26"/>
        </w:rPr>
        <w:t>5</w:t>
      </w:r>
      <w:r w:rsidRPr="002A425B">
        <w:rPr>
          <w:rFonts w:ascii="Book Antiqua" w:hAnsi="Book Antiqua" w:cstheme="majorBidi"/>
          <w:sz w:val="26"/>
          <w:szCs w:val="26"/>
        </w:rPr>
        <w:t>,</w:t>
      </w:r>
      <w:r w:rsidR="008370DE">
        <w:rPr>
          <w:rFonts w:ascii="Book Antiqua" w:hAnsi="Book Antiqua" w:cstheme="majorBidi"/>
          <w:sz w:val="26"/>
          <w:szCs w:val="26"/>
        </w:rPr>
        <w:t>4</w:t>
      </w:r>
      <w:r w:rsidRPr="002A425B">
        <w:rPr>
          <w:rFonts w:ascii="Book Antiqua" w:hAnsi="Book Antiqua" w:cstheme="majorBidi"/>
          <w:sz w:val="26"/>
          <w:szCs w:val="26"/>
        </w:rPr>
        <w:t>% et 5,</w:t>
      </w:r>
      <w:r w:rsidR="008370DE">
        <w:rPr>
          <w:rFonts w:ascii="Book Antiqua" w:hAnsi="Book Antiqua" w:cstheme="majorBidi"/>
          <w:sz w:val="26"/>
          <w:szCs w:val="26"/>
        </w:rPr>
        <w:t>9</w:t>
      </w:r>
      <w:r w:rsidRPr="002A425B">
        <w:rPr>
          <w:rFonts w:ascii="Book Antiqua" w:hAnsi="Book Antiqua" w:cstheme="majorBidi"/>
          <w:sz w:val="26"/>
          <w:szCs w:val="26"/>
        </w:rPr>
        <w:t xml:space="preserve">%. </w:t>
      </w:r>
    </w:p>
    <w:p w:rsidR="008A721B" w:rsidRDefault="008A721B" w:rsidP="008A721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2B3519" w:rsidRDefault="002B3519" w:rsidP="00A735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A73511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> : Taux de chômage selon les régions et le milieu de résidence (en%)</w:t>
      </w:r>
    </w:p>
    <w:p w:rsidR="001E77B5" w:rsidRPr="001E77B5" w:rsidRDefault="001E77B5" w:rsidP="001E77B5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2B3519" w:rsidRDefault="009B123A" w:rsidP="002B3519">
      <w:pPr>
        <w:bidi w:val="0"/>
        <w:ind w:right="76"/>
        <w:jc w:val="both"/>
        <w:rPr>
          <w:rFonts w:ascii="Book Antiqua" w:hAnsi="Book Antiqua" w:cs="Times New Roman"/>
          <w:sz w:val="24"/>
          <w:szCs w:val="24"/>
        </w:rPr>
      </w:pPr>
      <w:r w:rsidRPr="009B123A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6045200" cy="2741930"/>
            <wp:effectExtent l="19050" t="0" r="12700" b="1270"/>
            <wp:docPr id="20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B3519" w:rsidRPr="00031DFB" w:rsidRDefault="002B3519" w:rsidP="002B3519">
      <w:pPr>
        <w:bidi w:val="0"/>
        <w:ind w:left="116" w:right="76"/>
        <w:jc w:val="both"/>
        <w:rPr>
          <w:rFonts w:ascii="Book Antiqua" w:hAnsi="Book Antiqua" w:cs="Times New Roman"/>
          <w:sz w:val="8"/>
          <w:szCs w:val="8"/>
        </w:rPr>
      </w:pPr>
    </w:p>
    <w:p w:rsidR="002B3519" w:rsidRDefault="002B3519" w:rsidP="002B3519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>*</w:t>
      </w:r>
      <w:r>
        <w:rPr>
          <w:sz w:val="16"/>
          <w:szCs w:val="16"/>
        </w:rPr>
        <w:t> : I</w:t>
      </w:r>
      <w:r w:rsidRPr="005B3E54">
        <w:rPr>
          <w:sz w:val="16"/>
          <w:szCs w:val="16"/>
        </w:rPr>
        <w:t xml:space="preserve">nformation non significative </w:t>
      </w:r>
      <w:r>
        <w:rPr>
          <w:sz w:val="16"/>
          <w:szCs w:val="16"/>
        </w:rPr>
        <w:t xml:space="preserve">pour le </w:t>
      </w:r>
      <w:r w:rsidRPr="005B3E54">
        <w:rPr>
          <w:sz w:val="16"/>
          <w:szCs w:val="16"/>
        </w:rPr>
        <w:t>milieu rural</w:t>
      </w:r>
    </w:p>
    <w:p w:rsidR="002B3519" w:rsidRPr="0018257C" w:rsidRDefault="002B3519" w:rsidP="002B3519">
      <w:pPr>
        <w:jc w:val="right"/>
        <w:rPr>
          <w:sz w:val="8"/>
          <w:szCs w:val="8"/>
        </w:rPr>
      </w:pPr>
    </w:p>
    <w:p w:rsidR="002B3519" w:rsidRPr="007362C4" w:rsidRDefault="002B3519" w:rsidP="002B3519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2B3519" w:rsidRPr="00E94782" w:rsidRDefault="002B3519" w:rsidP="00A735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2B3519" w:rsidRPr="009C447E" w:rsidRDefault="002B3519" w:rsidP="002B3519">
      <w:pPr>
        <w:bidi w:val="0"/>
        <w:rPr>
          <w:rFonts w:ascii="Book Antiqua" w:hAnsi="Book Antiqua" w:cs="Times New Roman"/>
          <w:sz w:val="12"/>
          <w:szCs w:val="12"/>
        </w:rPr>
      </w:pPr>
    </w:p>
    <w:p w:rsidR="002B3519" w:rsidRDefault="002B3519" w:rsidP="002B3519">
      <w:pPr>
        <w:bidi w:val="0"/>
        <w:rPr>
          <w:rFonts w:ascii="Book Antiqua" w:hAnsi="Book Antiqua" w:cs="Times New Roman"/>
          <w:sz w:val="24"/>
          <w:szCs w:val="24"/>
        </w:rPr>
      </w:pPr>
    </w:p>
    <w:p w:rsidR="002B3519" w:rsidRPr="0018257C" w:rsidRDefault="002B3519" w:rsidP="002B3519">
      <w:pPr>
        <w:jc w:val="right"/>
        <w:rPr>
          <w:sz w:val="8"/>
          <w:szCs w:val="8"/>
        </w:rPr>
      </w:pPr>
    </w:p>
    <w:p w:rsidR="002B3519" w:rsidRDefault="002B3519" w:rsidP="002B3519">
      <w:pPr>
        <w:bidi w:val="0"/>
        <w:rPr>
          <w:sz w:val="16"/>
          <w:szCs w:val="16"/>
        </w:rPr>
      </w:pPr>
    </w:p>
    <w:p w:rsidR="002B3519" w:rsidRDefault="002B3519" w:rsidP="002B3519">
      <w:pPr>
        <w:bidi w:val="0"/>
        <w:rPr>
          <w:sz w:val="16"/>
          <w:szCs w:val="16"/>
        </w:rPr>
      </w:pPr>
    </w:p>
    <w:p w:rsidR="008A721B" w:rsidRDefault="008A721B" w:rsidP="003A5F26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D65ED2" w:rsidRDefault="00D65ED2">
      <w:pPr>
        <w:bidi w:val="0"/>
        <w:rPr>
          <w:rFonts w:ascii="Book Antiqua" w:hAnsi="Book Antiqua" w:cs="Times New Roman"/>
          <w:color w:val="0070C0"/>
          <w:sz w:val="21"/>
          <w:szCs w:val="21"/>
        </w:rPr>
      </w:pPr>
      <w:r>
        <w:rPr>
          <w:rFonts w:ascii="Book Antiqua" w:hAnsi="Book Antiqua" w:cs="Times New Roman"/>
          <w:color w:val="0070C0"/>
          <w:sz w:val="21"/>
          <w:szCs w:val="21"/>
        </w:rPr>
        <w:br w:type="page"/>
      </w:r>
    </w:p>
    <w:p w:rsidR="009B7BDC" w:rsidRPr="00661EE6" w:rsidRDefault="003A5F26" w:rsidP="008A721B">
      <w:pPr>
        <w:bidi w:val="0"/>
        <w:jc w:val="center"/>
        <w:rPr>
          <w:rFonts w:ascii="Book Antiqua" w:hAnsi="Book Antiqua"/>
          <w:b/>
          <w:bCs/>
          <w:sz w:val="22"/>
          <w:szCs w:val="22"/>
        </w:rPr>
      </w:pPr>
      <w:r w:rsidRP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lastRenderedPageBreak/>
        <w:t xml:space="preserve">Tableau 1: </w:t>
      </w:r>
      <w:r w:rsidR="009B7BDC" w:rsidRPr="00661EE6">
        <w:rPr>
          <w:rFonts w:ascii="Book Antiqua" w:hAnsi="Book Antiqua" w:cs="Times New Roman"/>
          <w:b/>
          <w:bCs/>
          <w:color w:val="0070C0"/>
          <w:sz w:val="22"/>
          <w:szCs w:val="22"/>
        </w:rPr>
        <w:t xml:space="preserve">Indicateurs </w:t>
      </w:r>
      <w:r w:rsidR="00E45B5D" w:rsidRPr="00661EE6">
        <w:rPr>
          <w:rFonts w:ascii="Book Antiqua" w:hAnsi="Book Antiqua" w:cs="Times New Roman"/>
          <w:b/>
          <w:bCs/>
          <w:color w:val="0070C0"/>
          <w:sz w:val="22"/>
          <w:szCs w:val="22"/>
        </w:rPr>
        <w:t>annuels</w:t>
      </w:r>
      <w:r w:rsidR="009B7BDC" w:rsidRPr="00661EE6">
        <w:rPr>
          <w:rFonts w:ascii="Book Antiqua" w:hAnsi="Book Antiqua" w:cs="Times New Roman"/>
          <w:b/>
          <w:bCs/>
          <w:color w:val="0070C0"/>
          <w:sz w:val="22"/>
          <w:szCs w:val="22"/>
        </w:rPr>
        <w:t xml:space="preserve"> d'activité, d’emploi et de chômage par milieu de résidence </w:t>
      </w:r>
      <w:r w:rsidR="009B7BDC" w:rsidRPr="00661EE6">
        <w:rPr>
          <w:rFonts w:ascii="Book Antiqua" w:hAnsi="Book Antiqua" w:cs="Times New Roman"/>
          <w:b/>
          <w:bCs/>
          <w:color w:val="0070C0"/>
          <w:sz w:val="22"/>
          <w:szCs w:val="22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 w:cs="Times New Roman"/>
          <w:sz w:val="18"/>
          <w:szCs w:val="18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6"/>
        <w:gridCol w:w="849"/>
        <w:gridCol w:w="952"/>
        <w:gridCol w:w="1123"/>
        <w:gridCol w:w="1124"/>
        <w:gridCol w:w="1122"/>
        <w:gridCol w:w="1123"/>
      </w:tblGrid>
      <w:tr w:rsidR="00E45B5D" w:rsidRPr="00245A41" w:rsidTr="00416BCB">
        <w:trPr>
          <w:jc w:val="center"/>
        </w:trPr>
        <w:tc>
          <w:tcPr>
            <w:tcW w:w="3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DD5135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Année </w:t>
            </w:r>
            <w:r w:rsidR="00DD5135">
              <w:rPr>
                <w:rFonts w:ascii="Garamond" w:hAnsi="Garamond" w:cs="Times New Roman"/>
                <w:b/>
                <w:spacing w:val="-2"/>
              </w:rPr>
              <w:t>2017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DD5135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Année </w:t>
            </w:r>
            <w:r w:rsidR="00DD5135">
              <w:rPr>
                <w:rFonts w:ascii="Garamond" w:hAnsi="Garamond" w:cs="Times New Roman"/>
                <w:b/>
                <w:spacing w:val="-2"/>
              </w:rPr>
              <w:t>2018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Ensemble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Ensemble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</w:tr>
      <w:tr w:rsidR="00DD5135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A921D2">
              <w:rPr>
                <w:rFonts w:ascii="Garamond" w:hAnsi="Garamond" w:cs="Times New Roman"/>
                <w:b/>
                <w:spacing w:val="-2"/>
              </w:rPr>
              <w:t>- Population en âge d’activité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16244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25533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B8073B" w:rsidRDefault="00AB5B28" w:rsidP="00AB5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16630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B8073B" w:rsidRDefault="00AB5B28" w:rsidP="00AB5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9320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B8073B" w:rsidRDefault="00AB5B28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25950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6887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5028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11915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6953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5026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11979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féminisation de la population</w:t>
            </w:r>
          </w:p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24,4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42,4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46,2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77,9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70,9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18,4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29,7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22,2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15 - 24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sz w:val="22"/>
                <w:szCs w:val="22"/>
                <w:rtl/>
              </w:rPr>
              <w:t>36,2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sz w:val="22"/>
                <w:szCs w:val="22"/>
                <w:rtl/>
              </w:rPr>
              <w:t>28,2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sz w:val="22"/>
                <w:szCs w:val="22"/>
                <w:rtl/>
              </w:rPr>
              <w:t>35,6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sz w:val="22"/>
                <w:szCs w:val="22"/>
                <w:rtl/>
              </w:rPr>
              <w:t>27,3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58,9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60,1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58,0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60,7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42,3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56,7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56,3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45,7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47,1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48,1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47,6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46,8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225FC4">
              <w:rPr>
                <w:rFonts w:ascii="Garamond" w:hAnsi="Garamond" w:cs="Times New Roman"/>
                <w:b/>
                <w:spacing w:val="-2"/>
              </w:rPr>
              <w:t xml:space="preserve">Population active occupée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5872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4827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10699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5963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4848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10811</w:t>
            </w:r>
          </w:p>
        </w:tc>
      </w:tr>
      <w:tr w:rsidR="00A921D2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D2" w:rsidRPr="00A921D2" w:rsidRDefault="00A921D2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A921D2">
              <w:rPr>
                <w:rFonts w:ascii="Garamond" w:hAnsi="Garamond" w:cs="Times New Roman"/>
                <w:b/>
                <w:spacing w:val="-2"/>
              </w:rPr>
              <w:t>-Taux de féminisation des actifs occupés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D2" w:rsidRPr="00B8073B" w:rsidRDefault="00A921D2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D2" w:rsidRPr="00B8073B" w:rsidRDefault="00A921D2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D2" w:rsidRPr="00B8073B" w:rsidRDefault="00A921D2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D2" w:rsidRPr="00A921D2" w:rsidRDefault="00A921D2">
            <w:pPr>
              <w:jc w:val="center"/>
              <w:rPr>
                <w:color w:val="000000"/>
                <w:sz w:val="22"/>
                <w:szCs w:val="22"/>
              </w:rPr>
            </w:pPr>
            <w:r w:rsidRPr="00A921D2">
              <w:rPr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D2" w:rsidRPr="00A921D2" w:rsidRDefault="00A921D2">
            <w:pPr>
              <w:jc w:val="center"/>
              <w:rPr>
                <w:color w:val="000000"/>
                <w:sz w:val="22"/>
                <w:szCs w:val="22"/>
              </w:rPr>
            </w:pPr>
            <w:r w:rsidRPr="00A921D2">
              <w:rPr>
                <w:color w:val="000000"/>
                <w:sz w:val="22"/>
                <w:szCs w:val="22"/>
                <w:rtl/>
              </w:rPr>
              <w:t>27,7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D2" w:rsidRPr="00A921D2" w:rsidRDefault="00A921D2">
            <w:pPr>
              <w:jc w:val="center"/>
              <w:rPr>
                <w:color w:val="000000"/>
                <w:sz w:val="22"/>
                <w:szCs w:val="22"/>
              </w:rPr>
            </w:pPr>
            <w:r w:rsidRPr="00A921D2">
              <w:rPr>
                <w:color w:val="000000"/>
                <w:sz w:val="22"/>
                <w:szCs w:val="22"/>
                <w:rtl/>
              </w:rPr>
              <w:t>23,2</w:t>
            </w:r>
          </w:p>
        </w:tc>
      </w:tr>
      <w:tr w:rsidR="00DD5135" w:rsidRPr="00245A41" w:rsidTr="008F71B5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36,1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41,7</w:t>
            </w:r>
          </w:p>
        </w:tc>
      </w:tr>
      <w:tr w:rsidR="00DD5135" w:rsidRPr="00245A41" w:rsidTr="008F71B5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Part de l’emploi  rémunéré dans </w:t>
            </w:r>
          </w:p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l’emploi total. Dont 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83,5</w:t>
            </w:r>
          </w:p>
        </w:tc>
      </w:tr>
      <w:tr w:rsidR="00DD5135" w:rsidRPr="00245A41" w:rsidTr="008F71B5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42,8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58,4</w:t>
            </w:r>
          </w:p>
        </w:tc>
      </w:tr>
      <w:tr w:rsidR="00DD5135" w:rsidRPr="00245A41" w:rsidTr="008F71B5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57,2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41,6</w:t>
            </w:r>
          </w:p>
        </w:tc>
      </w:tr>
      <w:tr w:rsidR="00DD5135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9E4CE7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9E4CE7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9E4CE7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en chômage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1015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1216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990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178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1168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19,0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35,1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14,2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9,8</w:t>
            </w:r>
          </w:p>
        </w:tc>
      </w:tr>
      <w:tr w:rsidR="00DD5135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9E4CE7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9E4CE7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9E4CE7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8,4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25,0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14,0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42,8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11,4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10,4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26,0</w:t>
            </w:r>
          </w:p>
        </w:tc>
      </w:tr>
      <w:tr w:rsidR="008F71B5" w:rsidRPr="00245A41" w:rsidTr="009E4CE7">
        <w:trPr>
          <w:trHeight w:val="91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4,5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15,1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4,7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2,4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3,5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8F71B5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8F71B5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10,7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8F71B5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19,1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17,1</w:t>
            </w:r>
          </w:p>
        </w:tc>
      </w:tr>
    </w:tbl>
    <w:p w:rsidR="00E45B5D" w:rsidRDefault="00E45B5D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pacing w:val="-2"/>
          <w:sz w:val="16"/>
          <w:szCs w:val="16"/>
          <w:u w:val="single"/>
        </w:rPr>
      </w:pPr>
    </w:p>
    <w:p w:rsidR="009B7BDC" w:rsidRDefault="006F30DB" w:rsidP="00661EE6">
      <w:pPr>
        <w:tabs>
          <w:tab w:val="left" w:pos="-720"/>
        </w:tabs>
        <w:suppressAutoHyphens/>
        <w:jc w:val="right"/>
      </w:pPr>
      <w:r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661EE6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 xml:space="preserve">  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>:Enquête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4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E33AE0" w:rsidRDefault="00E33AE0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</w:p>
    <w:p w:rsidR="002B3519" w:rsidRDefault="002B3519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</w:p>
    <w:p w:rsidR="00341C10" w:rsidRDefault="00341C10">
      <w:pPr>
        <w:bidi w:val="0"/>
        <w:rPr>
          <w:rFonts w:ascii="Book Antiqua" w:hAnsi="Book Antiqua" w:cs="Times New Roman"/>
          <w:color w:val="0070C0"/>
          <w:sz w:val="21"/>
          <w:szCs w:val="21"/>
        </w:rPr>
      </w:pPr>
      <w:r>
        <w:rPr>
          <w:rFonts w:ascii="Book Antiqua" w:hAnsi="Book Antiqua" w:cs="Times New Roman"/>
          <w:color w:val="0070C0"/>
          <w:sz w:val="21"/>
          <w:szCs w:val="21"/>
        </w:rPr>
        <w:br w:type="page"/>
      </w:r>
    </w:p>
    <w:p w:rsidR="0077521D" w:rsidRPr="00661EE6" w:rsidRDefault="0077521D" w:rsidP="00661EE6">
      <w:pPr>
        <w:bidi w:val="0"/>
        <w:ind w:left="-567"/>
        <w:jc w:val="center"/>
        <w:rPr>
          <w:rFonts w:ascii="Book Antiqua" w:hAnsi="Book Antiqua" w:cs="Times New Roman"/>
          <w:b/>
          <w:bCs/>
          <w:color w:val="0070C0"/>
          <w:sz w:val="21"/>
          <w:szCs w:val="21"/>
          <w:vertAlign w:val="superscript"/>
        </w:rPr>
      </w:pPr>
      <w:r w:rsidRP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lastRenderedPageBreak/>
        <w:t>Tablea</w:t>
      </w:r>
      <w:r w:rsidR="00341C10" w:rsidRP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t xml:space="preserve">u 2: Taux d'activité, d’emploi et </w:t>
      </w:r>
      <w:r w:rsidRP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t>de chômage par région et milieu de résidence (en%)</w:t>
      </w:r>
      <w:r w:rsid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t>.</w:t>
      </w:r>
    </w:p>
    <w:p w:rsidR="0077521D" w:rsidRPr="0021012C" w:rsidRDefault="0077521D" w:rsidP="0077521D">
      <w:pPr>
        <w:bidi w:val="0"/>
        <w:ind w:left="-567"/>
        <w:jc w:val="center"/>
        <w:rPr>
          <w:rFonts w:ascii="Book Antiqua" w:hAnsi="Book Antiqua" w:cs="Times New Roman"/>
          <w:color w:val="0070C0"/>
          <w:sz w:val="6"/>
          <w:szCs w:val="6"/>
          <w:vertAlign w:val="superscript"/>
        </w:rPr>
      </w:pPr>
    </w:p>
    <w:p w:rsidR="0077521D" w:rsidRPr="00145E01" w:rsidRDefault="0077521D" w:rsidP="0077521D">
      <w:pPr>
        <w:pStyle w:val="Corpsdetexte2"/>
        <w:jc w:val="both"/>
        <w:rPr>
          <w:rFonts w:ascii="Book Antiqua" w:hAnsi="Book Antiqua" w:cs="Times New Roman"/>
          <w:sz w:val="4"/>
          <w:szCs w:val="4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77521D" w:rsidRPr="00341C10" w:rsidTr="002A425B">
        <w:trPr>
          <w:trHeight w:val="170"/>
          <w:jc w:val="center"/>
        </w:trPr>
        <w:tc>
          <w:tcPr>
            <w:tcW w:w="4348" w:type="dxa"/>
            <w:vMerge w:val="restart"/>
            <w:vAlign w:val="center"/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Indicateurs</w:t>
            </w:r>
          </w:p>
        </w:tc>
        <w:tc>
          <w:tcPr>
            <w:tcW w:w="2924" w:type="dxa"/>
            <w:gridSpan w:val="3"/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341C10">
              <w:rPr>
                <w:rFonts w:ascii="Garamond" w:hAnsi="Garamond"/>
                <w:b/>
                <w:spacing w:val="-2"/>
                <w:sz w:val="22"/>
                <w:szCs w:val="22"/>
              </w:rPr>
              <w:t>2017</w:t>
            </w:r>
          </w:p>
        </w:tc>
        <w:tc>
          <w:tcPr>
            <w:tcW w:w="3369" w:type="dxa"/>
            <w:gridSpan w:val="3"/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341C10">
              <w:rPr>
                <w:rFonts w:ascii="Garamond" w:hAnsi="Garamond"/>
                <w:b/>
                <w:spacing w:val="-2"/>
                <w:sz w:val="22"/>
                <w:szCs w:val="22"/>
              </w:rPr>
              <w:t>2018</w:t>
            </w:r>
          </w:p>
        </w:tc>
      </w:tr>
      <w:tr w:rsidR="0077521D" w:rsidRPr="00341C10" w:rsidTr="0077521D">
        <w:trPr>
          <w:trHeight w:val="170"/>
          <w:jc w:val="center"/>
        </w:trPr>
        <w:tc>
          <w:tcPr>
            <w:tcW w:w="4348" w:type="dxa"/>
            <w:vMerge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National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National</w:t>
            </w:r>
          </w:p>
        </w:tc>
      </w:tr>
      <w:tr w:rsidR="0077521D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/>
                <w:i/>
                <w:color w:val="0070C0"/>
                <w:spacing w:val="-2"/>
                <w:sz w:val="22"/>
                <w:szCs w:val="22"/>
              </w:rPr>
              <w:t xml:space="preserve"> Taux d’activité ( 15 ans et plus 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 : Tanger-Tétouan-Al Hoceima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46,7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2 : Oriental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44,1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3 : Fès-Meknès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42,8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4 : Rabat-Salé-Kénitra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46,1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5 : Béni Mellal-Khénifra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44,5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6 :  Casablanca-Settat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49,7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7 : Marrakech-Safi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48,6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8 : Drâa-Tafilalet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41,3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9 : Souss-Massa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43,2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10 : Guelmim-Oued Noun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42,5</w:t>
            </w:r>
          </w:p>
        </w:tc>
      </w:tr>
      <w:tr w:rsidR="00F924B6" w:rsidRPr="00341C10" w:rsidTr="00654B6B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11 : Laayoune-Sakia El Hamra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41,5</w:t>
            </w:r>
          </w:p>
        </w:tc>
      </w:tr>
      <w:tr w:rsidR="00F924B6" w:rsidRPr="00341C10" w:rsidTr="00654B6B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12 : Eddakhla-Oued Eddahab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69,4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/>
                <w:sz w:val="22"/>
                <w:szCs w:val="22"/>
              </w:rPr>
              <w:t xml:space="preserve">    Total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54,1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53,9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46,2</w:t>
            </w:r>
          </w:p>
        </w:tc>
      </w:tr>
      <w:tr w:rsidR="0077521D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/>
                <w:i/>
                <w:color w:val="0070C0"/>
                <w:spacing w:val="-2"/>
                <w:sz w:val="22"/>
                <w:szCs w:val="22"/>
              </w:rPr>
              <w:t xml:space="preserve"> Taux d’emploi ( 15 ans et plus 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 : Tanger-Tétouan-Al Hoceima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43,1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2 : Oriental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36,9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3 : Fès-Meknès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38,8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4 : Rabat-Salé-Kénitra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40,6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5 : Béni Mellal-Khénifra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41,8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6 :  Casablanca-Settat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44,5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7 : Marrakech-Safi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45,2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8 : Drâa-Tafilalet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39,1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9 : Souss-Massa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38,9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10 : Guelmim-Oued Noun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34,4</w:t>
            </w:r>
          </w:p>
        </w:tc>
      </w:tr>
      <w:tr w:rsidR="00D53AAF" w:rsidRPr="00341C10" w:rsidTr="00654B6B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11 : Laayoune-Sakia El Hamra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35,9</w:t>
            </w:r>
          </w:p>
        </w:tc>
      </w:tr>
      <w:tr w:rsidR="00D53AAF" w:rsidRPr="00341C10" w:rsidTr="00654B6B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12 : Eddakhla-Oued Eddahab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49,4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64,3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Cs/>
                <w:spacing w:val="-2"/>
                <w:sz w:val="22"/>
                <w:szCs w:val="22"/>
              </w:rPr>
              <w:t xml:space="preserve">      </w:t>
            </w:r>
            <w:r w:rsidRPr="00341C10">
              <w:rPr>
                <w:rFonts w:ascii="Book Antiqua" w:hAnsi="Book Antiqua" w:cs="Arial"/>
                <w:b/>
                <w:sz w:val="22"/>
                <w:szCs w:val="22"/>
              </w:rPr>
              <w:t>Total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36,1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41,7</w:t>
            </w:r>
          </w:p>
        </w:tc>
      </w:tr>
      <w:tr w:rsidR="0077521D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/>
                <w:i/>
                <w:color w:val="0070C0"/>
                <w:spacing w:val="-2"/>
                <w:sz w:val="22"/>
                <w:szCs w:val="22"/>
              </w:rPr>
              <w:t xml:space="preserve"> Taux de chômage ( 15 ans et plus 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 : Tanger-Tétouan-Al Hoceima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7,8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2 : Oriental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9,7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16,3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3 : Fès-Meknès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9,3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4 : Rabat-Salé-Kénitra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11,8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5 : Béni Mellal-Khénifra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</w:t>
            </w:r>
            <w:r w:rsidR="00661EE6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6 :  Casablanca-Settat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10,6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7 : Marrakech-Safi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7,1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8 : Drâa-Tafilalet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5,4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9 : Souss-Massa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661EE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  <w:rtl/>
                <w:lang w:bidi="ar-MA"/>
              </w:rPr>
            </w:pPr>
            <w:r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10</w:t>
            </w:r>
            <w:r w:rsidR="00661EE6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10 : Guelmim-Oued Noun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22,9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18,9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11 : Laayoune-Sakia El Hamra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13,5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12 : Eddakhla-Oued Eddahab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7,3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Cs/>
                <w:spacing w:val="-2"/>
                <w:sz w:val="22"/>
                <w:szCs w:val="22"/>
              </w:rPr>
              <w:t xml:space="preserve">      </w:t>
            </w:r>
            <w:r w:rsidRPr="00341C10">
              <w:rPr>
                <w:rFonts w:ascii="Book Antiqua" w:hAnsi="Book Antiqua" w:cs="Arial"/>
                <w:b/>
                <w:sz w:val="22"/>
                <w:szCs w:val="22"/>
              </w:rPr>
              <w:t>Total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9,8</w:t>
            </w:r>
          </w:p>
        </w:tc>
      </w:tr>
    </w:tbl>
    <w:p w:rsidR="0077521D" w:rsidRDefault="00D65ED2" w:rsidP="00341C10">
      <w:pPr>
        <w:tabs>
          <w:tab w:val="left" w:pos="-720"/>
        </w:tabs>
        <w:suppressAutoHyphens/>
        <w:jc w:val="right"/>
      </w:pPr>
      <w:r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77521D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77521D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N</w:t>
      </w:r>
      <w:r w:rsidR="0077521D" w:rsidRPr="00E10ACC">
        <w:rPr>
          <w:rFonts w:ascii="Book Antiqua" w:hAnsi="Book Antiqua" w:cs="Times New Roman"/>
          <w:b/>
          <w:spacing w:val="-2"/>
          <w:sz w:val="16"/>
          <w:szCs w:val="16"/>
        </w:rPr>
        <w:t>ationale sur l'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E</w:t>
      </w:r>
      <w:r w:rsidR="0077521D" w:rsidRPr="00E10ACC">
        <w:rPr>
          <w:rFonts w:ascii="Book Antiqua" w:hAnsi="Book Antiqua" w:cs="Times New Roman"/>
          <w:b/>
          <w:spacing w:val="-2"/>
          <w:sz w:val="16"/>
          <w:szCs w:val="16"/>
        </w:rPr>
        <w:t>mploi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, HCP,DS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. 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*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> :</w:t>
      </w:r>
      <w:r w:rsidR="00661EE6"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I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nformation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N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on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S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>ignificative.</w:t>
      </w:r>
      <w:r w:rsidR="0077521D">
        <w:rPr>
          <w:rFonts w:ascii="Book Antiqua" w:hAnsi="Book Antiqua" w:cs="Times New Roman"/>
          <w:bCs/>
          <w:spacing w:val="-2"/>
          <w:sz w:val="16"/>
          <w:szCs w:val="16"/>
        </w:rPr>
        <w:t xml:space="preserve"> </w:t>
      </w:r>
    </w:p>
    <w:sectPr w:rsidR="0077521D" w:rsidSect="00656156">
      <w:footerReference w:type="even" r:id="rId15"/>
      <w:footerReference w:type="default" r:id="rId16"/>
      <w:pgSz w:w="12240" w:h="15840"/>
      <w:pgMar w:top="1134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56" w:rsidRDefault="00A24F56" w:rsidP="009B7BDC">
      <w:r>
        <w:separator/>
      </w:r>
    </w:p>
  </w:endnote>
  <w:endnote w:type="continuationSeparator" w:id="1">
    <w:p w:rsidR="00A24F56" w:rsidRDefault="00A24F56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10" w:rsidRDefault="00E524A2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341C10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341C10" w:rsidRDefault="00341C1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10" w:rsidRDefault="00E524A2">
    <w:pPr>
      <w:pStyle w:val="Pieddepage"/>
      <w:jc w:val="center"/>
    </w:pPr>
    <w:fldSimple w:instr=" PAGE   \* MERGEFORMAT ">
      <w:r w:rsidR="00A96C64">
        <w:rPr>
          <w:rtl/>
        </w:rPr>
        <w:t>4</w:t>
      </w:r>
    </w:fldSimple>
  </w:p>
  <w:p w:rsidR="00341C10" w:rsidRDefault="00341C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56" w:rsidRDefault="00A24F56" w:rsidP="009B7BDC">
      <w:r>
        <w:separator/>
      </w:r>
    </w:p>
  </w:footnote>
  <w:footnote w:type="continuationSeparator" w:id="1">
    <w:p w:rsidR="00A24F56" w:rsidRDefault="00A24F56" w:rsidP="009B7BDC">
      <w:r>
        <w:continuationSeparator/>
      </w:r>
    </w:p>
  </w:footnote>
  <w:footnote w:id="2">
    <w:p w:rsidR="00341C10" w:rsidRPr="00722A3E" w:rsidRDefault="00341C10" w:rsidP="002B3519">
      <w:pPr>
        <w:pStyle w:val="Notedebasdepage"/>
        <w:rPr>
          <w:sz w:val="18"/>
          <w:szCs w:val="18"/>
        </w:rPr>
      </w:pPr>
      <w:r w:rsidRPr="00722A3E">
        <w:rPr>
          <w:rStyle w:val="Appelnotedebasdep"/>
          <w:sz w:val="18"/>
          <w:szCs w:val="18"/>
        </w:rPr>
        <w:footnoteRef/>
      </w:r>
      <w:r w:rsidRPr="00722A3E">
        <w:rPr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 w:rsidRPr="00722A3E">
        <w:rPr>
          <w:sz w:val="18"/>
          <w:szCs w:val="18"/>
        </w:rPr>
        <w:t xml:space="preserve">es </w:t>
      </w:r>
      <w:r>
        <w:rPr>
          <w:sz w:val="18"/>
          <w:szCs w:val="18"/>
        </w:rPr>
        <w:t xml:space="preserve">principaux indicateurs sur le marché du travail au niveau régional sont disponibles dans le </w:t>
      </w:r>
      <w:r w:rsidRPr="00722A3E">
        <w:rPr>
          <w:sz w:val="18"/>
          <w:szCs w:val="18"/>
        </w:rPr>
        <w:t>Tableau 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12370"/>
    <w:multiLevelType w:val="hybridMultilevel"/>
    <w:tmpl w:val="45867E06"/>
    <w:lvl w:ilvl="0" w:tplc="D82A3C1A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4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22"/>
  </w:num>
  <w:num w:numId="21">
    <w:abstractNumId w:val="19"/>
  </w:num>
  <w:num w:numId="22">
    <w:abstractNumId w:val="25"/>
  </w:num>
  <w:num w:numId="23">
    <w:abstractNumId w:val="14"/>
  </w:num>
  <w:num w:numId="24">
    <w:abstractNumId w:val="10"/>
  </w:num>
  <w:num w:numId="25">
    <w:abstractNumId w:val="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36D5"/>
    <w:rsid w:val="00004F06"/>
    <w:rsid w:val="000067CA"/>
    <w:rsid w:val="00007B6C"/>
    <w:rsid w:val="00011D3D"/>
    <w:rsid w:val="00013BA3"/>
    <w:rsid w:val="00014582"/>
    <w:rsid w:val="00014CF6"/>
    <w:rsid w:val="0001692A"/>
    <w:rsid w:val="000202F5"/>
    <w:rsid w:val="00020912"/>
    <w:rsid w:val="0002267C"/>
    <w:rsid w:val="000232B7"/>
    <w:rsid w:val="00024B90"/>
    <w:rsid w:val="000270BA"/>
    <w:rsid w:val="0003105E"/>
    <w:rsid w:val="00031FF6"/>
    <w:rsid w:val="000321DC"/>
    <w:rsid w:val="00032ECC"/>
    <w:rsid w:val="0003387F"/>
    <w:rsid w:val="00034227"/>
    <w:rsid w:val="0003474C"/>
    <w:rsid w:val="0003694C"/>
    <w:rsid w:val="000371EE"/>
    <w:rsid w:val="00041421"/>
    <w:rsid w:val="00041CFC"/>
    <w:rsid w:val="00043657"/>
    <w:rsid w:val="00044749"/>
    <w:rsid w:val="00045ADB"/>
    <w:rsid w:val="00050424"/>
    <w:rsid w:val="000504B2"/>
    <w:rsid w:val="00050A74"/>
    <w:rsid w:val="00051B7D"/>
    <w:rsid w:val="00053261"/>
    <w:rsid w:val="000535DC"/>
    <w:rsid w:val="00053C02"/>
    <w:rsid w:val="00053E33"/>
    <w:rsid w:val="0005515C"/>
    <w:rsid w:val="00056AFF"/>
    <w:rsid w:val="000602F1"/>
    <w:rsid w:val="00061F04"/>
    <w:rsid w:val="00062969"/>
    <w:rsid w:val="00064697"/>
    <w:rsid w:val="00070C32"/>
    <w:rsid w:val="00072D21"/>
    <w:rsid w:val="000777D9"/>
    <w:rsid w:val="00077CA6"/>
    <w:rsid w:val="00080969"/>
    <w:rsid w:val="000818D5"/>
    <w:rsid w:val="00083DF9"/>
    <w:rsid w:val="0008797F"/>
    <w:rsid w:val="00087A04"/>
    <w:rsid w:val="000900D2"/>
    <w:rsid w:val="00092F8D"/>
    <w:rsid w:val="00093F6E"/>
    <w:rsid w:val="000941F7"/>
    <w:rsid w:val="000956F4"/>
    <w:rsid w:val="00095E28"/>
    <w:rsid w:val="00095F91"/>
    <w:rsid w:val="00096A55"/>
    <w:rsid w:val="00097663"/>
    <w:rsid w:val="000A1756"/>
    <w:rsid w:val="000A2BD0"/>
    <w:rsid w:val="000A7F83"/>
    <w:rsid w:val="000B020E"/>
    <w:rsid w:val="000B03F8"/>
    <w:rsid w:val="000B0723"/>
    <w:rsid w:val="000B0787"/>
    <w:rsid w:val="000B1147"/>
    <w:rsid w:val="000B11D7"/>
    <w:rsid w:val="000B22E0"/>
    <w:rsid w:val="000B4082"/>
    <w:rsid w:val="000B40A9"/>
    <w:rsid w:val="000B61A9"/>
    <w:rsid w:val="000B7C44"/>
    <w:rsid w:val="000C0A3F"/>
    <w:rsid w:val="000C14C7"/>
    <w:rsid w:val="000C1515"/>
    <w:rsid w:val="000C333C"/>
    <w:rsid w:val="000C3880"/>
    <w:rsid w:val="000C3F2F"/>
    <w:rsid w:val="000C4CBF"/>
    <w:rsid w:val="000C67DE"/>
    <w:rsid w:val="000C77C1"/>
    <w:rsid w:val="000D1994"/>
    <w:rsid w:val="000D2029"/>
    <w:rsid w:val="000D32D4"/>
    <w:rsid w:val="000D3D51"/>
    <w:rsid w:val="000D4E21"/>
    <w:rsid w:val="000D620D"/>
    <w:rsid w:val="000D66F8"/>
    <w:rsid w:val="000D6D42"/>
    <w:rsid w:val="000D6E13"/>
    <w:rsid w:val="000E173A"/>
    <w:rsid w:val="000E35C2"/>
    <w:rsid w:val="000E3932"/>
    <w:rsid w:val="000E520F"/>
    <w:rsid w:val="000F06FA"/>
    <w:rsid w:val="000F0F08"/>
    <w:rsid w:val="000F2AC1"/>
    <w:rsid w:val="000F5277"/>
    <w:rsid w:val="00100B48"/>
    <w:rsid w:val="00103D01"/>
    <w:rsid w:val="00104C01"/>
    <w:rsid w:val="00105507"/>
    <w:rsid w:val="00105F5B"/>
    <w:rsid w:val="001063BA"/>
    <w:rsid w:val="00106903"/>
    <w:rsid w:val="0010723B"/>
    <w:rsid w:val="00107266"/>
    <w:rsid w:val="001079B3"/>
    <w:rsid w:val="001142FC"/>
    <w:rsid w:val="001149F3"/>
    <w:rsid w:val="00115E39"/>
    <w:rsid w:val="00121E86"/>
    <w:rsid w:val="00122067"/>
    <w:rsid w:val="00124191"/>
    <w:rsid w:val="00125614"/>
    <w:rsid w:val="00125A7B"/>
    <w:rsid w:val="00130230"/>
    <w:rsid w:val="00132790"/>
    <w:rsid w:val="00134887"/>
    <w:rsid w:val="00135E00"/>
    <w:rsid w:val="00136051"/>
    <w:rsid w:val="00136EF4"/>
    <w:rsid w:val="001370F6"/>
    <w:rsid w:val="00137512"/>
    <w:rsid w:val="00137670"/>
    <w:rsid w:val="001377D7"/>
    <w:rsid w:val="00141451"/>
    <w:rsid w:val="001416AA"/>
    <w:rsid w:val="00141B87"/>
    <w:rsid w:val="00143672"/>
    <w:rsid w:val="0014456F"/>
    <w:rsid w:val="00145712"/>
    <w:rsid w:val="00145F6F"/>
    <w:rsid w:val="001473F7"/>
    <w:rsid w:val="00150331"/>
    <w:rsid w:val="0015532D"/>
    <w:rsid w:val="00155475"/>
    <w:rsid w:val="001567BD"/>
    <w:rsid w:val="001572AE"/>
    <w:rsid w:val="00162307"/>
    <w:rsid w:val="001632B1"/>
    <w:rsid w:val="001642D5"/>
    <w:rsid w:val="00166584"/>
    <w:rsid w:val="00167332"/>
    <w:rsid w:val="001702E4"/>
    <w:rsid w:val="00172C3B"/>
    <w:rsid w:val="0017384A"/>
    <w:rsid w:val="00176A6B"/>
    <w:rsid w:val="001800DB"/>
    <w:rsid w:val="001801C3"/>
    <w:rsid w:val="00180F59"/>
    <w:rsid w:val="00182B14"/>
    <w:rsid w:val="00183B22"/>
    <w:rsid w:val="0018570D"/>
    <w:rsid w:val="00191D38"/>
    <w:rsid w:val="00192C7A"/>
    <w:rsid w:val="00193E74"/>
    <w:rsid w:val="00196031"/>
    <w:rsid w:val="00197DD9"/>
    <w:rsid w:val="001A1000"/>
    <w:rsid w:val="001A26CC"/>
    <w:rsid w:val="001A2FBA"/>
    <w:rsid w:val="001A41FD"/>
    <w:rsid w:val="001A5213"/>
    <w:rsid w:val="001A57B8"/>
    <w:rsid w:val="001A5E86"/>
    <w:rsid w:val="001A79E3"/>
    <w:rsid w:val="001B752F"/>
    <w:rsid w:val="001C1C98"/>
    <w:rsid w:val="001C2022"/>
    <w:rsid w:val="001C2B79"/>
    <w:rsid w:val="001C3191"/>
    <w:rsid w:val="001C369C"/>
    <w:rsid w:val="001C477B"/>
    <w:rsid w:val="001D056F"/>
    <w:rsid w:val="001D0B3C"/>
    <w:rsid w:val="001D50BF"/>
    <w:rsid w:val="001D6147"/>
    <w:rsid w:val="001D6423"/>
    <w:rsid w:val="001D69C5"/>
    <w:rsid w:val="001D6C2B"/>
    <w:rsid w:val="001E29FB"/>
    <w:rsid w:val="001E3468"/>
    <w:rsid w:val="001E5A43"/>
    <w:rsid w:val="001E6700"/>
    <w:rsid w:val="001E6B87"/>
    <w:rsid w:val="001E77B5"/>
    <w:rsid w:val="001F0CDE"/>
    <w:rsid w:val="001F5D2F"/>
    <w:rsid w:val="001F7274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12B1D"/>
    <w:rsid w:val="00213DF5"/>
    <w:rsid w:val="00217A89"/>
    <w:rsid w:val="00223FBD"/>
    <w:rsid w:val="00224A26"/>
    <w:rsid w:val="00226434"/>
    <w:rsid w:val="002266DF"/>
    <w:rsid w:val="00232484"/>
    <w:rsid w:val="002335AD"/>
    <w:rsid w:val="002335BD"/>
    <w:rsid w:val="002362C2"/>
    <w:rsid w:val="002401EC"/>
    <w:rsid w:val="00240C92"/>
    <w:rsid w:val="002418DA"/>
    <w:rsid w:val="00244174"/>
    <w:rsid w:val="00244488"/>
    <w:rsid w:val="00245679"/>
    <w:rsid w:val="00245D10"/>
    <w:rsid w:val="00246DBB"/>
    <w:rsid w:val="00246FAD"/>
    <w:rsid w:val="0024749E"/>
    <w:rsid w:val="00253C9D"/>
    <w:rsid w:val="002541A4"/>
    <w:rsid w:val="00256A0E"/>
    <w:rsid w:val="00260506"/>
    <w:rsid w:val="00262DE6"/>
    <w:rsid w:val="0026467C"/>
    <w:rsid w:val="002658D2"/>
    <w:rsid w:val="00266EC8"/>
    <w:rsid w:val="00271AEC"/>
    <w:rsid w:val="002740C0"/>
    <w:rsid w:val="002751AD"/>
    <w:rsid w:val="002769FA"/>
    <w:rsid w:val="00280727"/>
    <w:rsid w:val="00280988"/>
    <w:rsid w:val="00280BAC"/>
    <w:rsid w:val="002904B2"/>
    <w:rsid w:val="002904D5"/>
    <w:rsid w:val="00291E1C"/>
    <w:rsid w:val="002927C0"/>
    <w:rsid w:val="0029702A"/>
    <w:rsid w:val="00297F0C"/>
    <w:rsid w:val="002A0415"/>
    <w:rsid w:val="002A425B"/>
    <w:rsid w:val="002A5B68"/>
    <w:rsid w:val="002A705A"/>
    <w:rsid w:val="002B007C"/>
    <w:rsid w:val="002B2EF4"/>
    <w:rsid w:val="002B3519"/>
    <w:rsid w:val="002B4A90"/>
    <w:rsid w:val="002B6699"/>
    <w:rsid w:val="002B6766"/>
    <w:rsid w:val="002B7327"/>
    <w:rsid w:val="002C0306"/>
    <w:rsid w:val="002C0E45"/>
    <w:rsid w:val="002C6F14"/>
    <w:rsid w:val="002D215C"/>
    <w:rsid w:val="002D3A05"/>
    <w:rsid w:val="002E3D9E"/>
    <w:rsid w:val="002E5331"/>
    <w:rsid w:val="002E5E89"/>
    <w:rsid w:val="002F0097"/>
    <w:rsid w:val="002F0F38"/>
    <w:rsid w:val="002F1DDA"/>
    <w:rsid w:val="002F2041"/>
    <w:rsid w:val="002F5A6D"/>
    <w:rsid w:val="002F61B0"/>
    <w:rsid w:val="002F6965"/>
    <w:rsid w:val="002F77EA"/>
    <w:rsid w:val="003009BE"/>
    <w:rsid w:val="00300A13"/>
    <w:rsid w:val="003016C7"/>
    <w:rsid w:val="00301C9F"/>
    <w:rsid w:val="00303C6A"/>
    <w:rsid w:val="00303D9A"/>
    <w:rsid w:val="003065F6"/>
    <w:rsid w:val="00307067"/>
    <w:rsid w:val="0030747B"/>
    <w:rsid w:val="00310647"/>
    <w:rsid w:val="00311472"/>
    <w:rsid w:val="0031272B"/>
    <w:rsid w:val="003147DC"/>
    <w:rsid w:val="00317185"/>
    <w:rsid w:val="0031789D"/>
    <w:rsid w:val="00317DA5"/>
    <w:rsid w:val="00321589"/>
    <w:rsid w:val="003234EF"/>
    <w:rsid w:val="003243C6"/>
    <w:rsid w:val="00324D85"/>
    <w:rsid w:val="00326668"/>
    <w:rsid w:val="0033138F"/>
    <w:rsid w:val="00332164"/>
    <w:rsid w:val="003327AC"/>
    <w:rsid w:val="00332FCB"/>
    <w:rsid w:val="003336CF"/>
    <w:rsid w:val="003339D0"/>
    <w:rsid w:val="00333E03"/>
    <w:rsid w:val="00335229"/>
    <w:rsid w:val="003357ED"/>
    <w:rsid w:val="003406FA"/>
    <w:rsid w:val="00341C10"/>
    <w:rsid w:val="00346C90"/>
    <w:rsid w:val="00350E17"/>
    <w:rsid w:val="0035192E"/>
    <w:rsid w:val="0035285B"/>
    <w:rsid w:val="00354F8F"/>
    <w:rsid w:val="003559CF"/>
    <w:rsid w:val="00356D69"/>
    <w:rsid w:val="0035750D"/>
    <w:rsid w:val="00357A08"/>
    <w:rsid w:val="0036114C"/>
    <w:rsid w:val="00365E1C"/>
    <w:rsid w:val="00365F31"/>
    <w:rsid w:val="00366F24"/>
    <w:rsid w:val="00370166"/>
    <w:rsid w:val="00370945"/>
    <w:rsid w:val="00371790"/>
    <w:rsid w:val="00377111"/>
    <w:rsid w:val="00381928"/>
    <w:rsid w:val="003821F6"/>
    <w:rsid w:val="003827A2"/>
    <w:rsid w:val="0038352E"/>
    <w:rsid w:val="00387079"/>
    <w:rsid w:val="003916BC"/>
    <w:rsid w:val="00391E0C"/>
    <w:rsid w:val="00392DE5"/>
    <w:rsid w:val="003947EF"/>
    <w:rsid w:val="003974FC"/>
    <w:rsid w:val="0039754C"/>
    <w:rsid w:val="003A41F5"/>
    <w:rsid w:val="003A4FA4"/>
    <w:rsid w:val="003A5F26"/>
    <w:rsid w:val="003B1344"/>
    <w:rsid w:val="003B14DA"/>
    <w:rsid w:val="003B2C21"/>
    <w:rsid w:val="003B3864"/>
    <w:rsid w:val="003B532C"/>
    <w:rsid w:val="003B6BD1"/>
    <w:rsid w:val="003C12E5"/>
    <w:rsid w:val="003C7C3E"/>
    <w:rsid w:val="003D46ED"/>
    <w:rsid w:val="003D7C3C"/>
    <w:rsid w:val="003E021C"/>
    <w:rsid w:val="003E0955"/>
    <w:rsid w:val="003E0AB3"/>
    <w:rsid w:val="003E439F"/>
    <w:rsid w:val="003E551D"/>
    <w:rsid w:val="003E5801"/>
    <w:rsid w:val="003E663D"/>
    <w:rsid w:val="003E69E3"/>
    <w:rsid w:val="00401B35"/>
    <w:rsid w:val="00402747"/>
    <w:rsid w:val="00402C0A"/>
    <w:rsid w:val="004058D1"/>
    <w:rsid w:val="00407137"/>
    <w:rsid w:val="00407321"/>
    <w:rsid w:val="00411874"/>
    <w:rsid w:val="00415FC5"/>
    <w:rsid w:val="00416531"/>
    <w:rsid w:val="00416BCB"/>
    <w:rsid w:val="0042300F"/>
    <w:rsid w:val="0042398C"/>
    <w:rsid w:val="004239C2"/>
    <w:rsid w:val="00423E9B"/>
    <w:rsid w:val="00426CF9"/>
    <w:rsid w:val="00430900"/>
    <w:rsid w:val="00434A19"/>
    <w:rsid w:val="00435BA4"/>
    <w:rsid w:val="00436005"/>
    <w:rsid w:val="00443063"/>
    <w:rsid w:val="004438FD"/>
    <w:rsid w:val="00443CB9"/>
    <w:rsid w:val="004446EF"/>
    <w:rsid w:val="0044517B"/>
    <w:rsid w:val="00450554"/>
    <w:rsid w:val="004507A2"/>
    <w:rsid w:val="004508A6"/>
    <w:rsid w:val="00451EA7"/>
    <w:rsid w:val="00452148"/>
    <w:rsid w:val="00455DCB"/>
    <w:rsid w:val="00455DD5"/>
    <w:rsid w:val="00457E00"/>
    <w:rsid w:val="00461B8C"/>
    <w:rsid w:val="004624DA"/>
    <w:rsid w:val="0046280A"/>
    <w:rsid w:val="00463923"/>
    <w:rsid w:val="0046540F"/>
    <w:rsid w:val="00466A26"/>
    <w:rsid w:val="0047003F"/>
    <w:rsid w:val="00470E6D"/>
    <w:rsid w:val="004714A7"/>
    <w:rsid w:val="00473081"/>
    <w:rsid w:val="004730E4"/>
    <w:rsid w:val="004731BB"/>
    <w:rsid w:val="004732F7"/>
    <w:rsid w:val="00473D2A"/>
    <w:rsid w:val="00475616"/>
    <w:rsid w:val="00475ADB"/>
    <w:rsid w:val="00480436"/>
    <w:rsid w:val="004818EB"/>
    <w:rsid w:val="00482B77"/>
    <w:rsid w:val="00482CD8"/>
    <w:rsid w:val="0048324E"/>
    <w:rsid w:val="004850F2"/>
    <w:rsid w:val="00485161"/>
    <w:rsid w:val="00485825"/>
    <w:rsid w:val="00486123"/>
    <w:rsid w:val="004865A5"/>
    <w:rsid w:val="00486714"/>
    <w:rsid w:val="00486A69"/>
    <w:rsid w:val="004949BA"/>
    <w:rsid w:val="0049522F"/>
    <w:rsid w:val="004A1C93"/>
    <w:rsid w:val="004A3499"/>
    <w:rsid w:val="004A3846"/>
    <w:rsid w:val="004A44FB"/>
    <w:rsid w:val="004A6379"/>
    <w:rsid w:val="004A6B2B"/>
    <w:rsid w:val="004A76B1"/>
    <w:rsid w:val="004A78A5"/>
    <w:rsid w:val="004B1246"/>
    <w:rsid w:val="004B57CB"/>
    <w:rsid w:val="004C3146"/>
    <w:rsid w:val="004C3E90"/>
    <w:rsid w:val="004C65BB"/>
    <w:rsid w:val="004D5F28"/>
    <w:rsid w:val="004D5FBA"/>
    <w:rsid w:val="004E191F"/>
    <w:rsid w:val="004E57BC"/>
    <w:rsid w:val="004E591D"/>
    <w:rsid w:val="004E5F1B"/>
    <w:rsid w:val="004F1682"/>
    <w:rsid w:val="004F19A4"/>
    <w:rsid w:val="004F377E"/>
    <w:rsid w:val="004F7EDC"/>
    <w:rsid w:val="005049E1"/>
    <w:rsid w:val="0051011B"/>
    <w:rsid w:val="005107C6"/>
    <w:rsid w:val="00511239"/>
    <w:rsid w:val="005146C1"/>
    <w:rsid w:val="00515FF7"/>
    <w:rsid w:val="00516A0D"/>
    <w:rsid w:val="00516ACE"/>
    <w:rsid w:val="005206DF"/>
    <w:rsid w:val="00520CF7"/>
    <w:rsid w:val="00521514"/>
    <w:rsid w:val="0052168E"/>
    <w:rsid w:val="0052199A"/>
    <w:rsid w:val="00522B80"/>
    <w:rsid w:val="00526EC4"/>
    <w:rsid w:val="005271FB"/>
    <w:rsid w:val="0053115F"/>
    <w:rsid w:val="0053260B"/>
    <w:rsid w:val="00532C03"/>
    <w:rsid w:val="00532C83"/>
    <w:rsid w:val="00533A94"/>
    <w:rsid w:val="0053470C"/>
    <w:rsid w:val="00534907"/>
    <w:rsid w:val="00535072"/>
    <w:rsid w:val="00535CDB"/>
    <w:rsid w:val="005450D3"/>
    <w:rsid w:val="0054799F"/>
    <w:rsid w:val="00551DEF"/>
    <w:rsid w:val="00552818"/>
    <w:rsid w:val="0055311A"/>
    <w:rsid w:val="00553EAF"/>
    <w:rsid w:val="00556660"/>
    <w:rsid w:val="00556844"/>
    <w:rsid w:val="005575CD"/>
    <w:rsid w:val="00560D4E"/>
    <w:rsid w:val="00561BBC"/>
    <w:rsid w:val="00562615"/>
    <w:rsid w:val="0056470F"/>
    <w:rsid w:val="00567C6D"/>
    <w:rsid w:val="005712EB"/>
    <w:rsid w:val="00572032"/>
    <w:rsid w:val="0057242B"/>
    <w:rsid w:val="00573B4F"/>
    <w:rsid w:val="005757FC"/>
    <w:rsid w:val="00582A76"/>
    <w:rsid w:val="0058340E"/>
    <w:rsid w:val="0058396E"/>
    <w:rsid w:val="00584554"/>
    <w:rsid w:val="0058541B"/>
    <w:rsid w:val="00586D40"/>
    <w:rsid w:val="00586FB3"/>
    <w:rsid w:val="0058746A"/>
    <w:rsid w:val="00587F1E"/>
    <w:rsid w:val="00591011"/>
    <w:rsid w:val="00592218"/>
    <w:rsid w:val="00592C17"/>
    <w:rsid w:val="00593846"/>
    <w:rsid w:val="00593945"/>
    <w:rsid w:val="0059568E"/>
    <w:rsid w:val="00595BCE"/>
    <w:rsid w:val="005963A3"/>
    <w:rsid w:val="00596488"/>
    <w:rsid w:val="0059727A"/>
    <w:rsid w:val="005A4E3E"/>
    <w:rsid w:val="005A7645"/>
    <w:rsid w:val="005B36A7"/>
    <w:rsid w:val="005B4074"/>
    <w:rsid w:val="005B4762"/>
    <w:rsid w:val="005C004D"/>
    <w:rsid w:val="005C4A2E"/>
    <w:rsid w:val="005C4D04"/>
    <w:rsid w:val="005C4D7A"/>
    <w:rsid w:val="005C4DC4"/>
    <w:rsid w:val="005D0394"/>
    <w:rsid w:val="005D0BB3"/>
    <w:rsid w:val="005D1831"/>
    <w:rsid w:val="005D1F4F"/>
    <w:rsid w:val="005D2D4F"/>
    <w:rsid w:val="005D3E76"/>
    <w:rsid w:val="005D3FBE"/>
    <w:rsid w:val="005D75FA"/>
    <w:rsid w:val="005D7925"/>
    <w:rsid w:val="005D7C6C"/>
    <w:rsid w:val="005E3B8E"/>
    <w:rsid w:val="005E4831"/>
    <w:rsid w:val="005E6EBB"/>
    <w:rsid w:val="005F27BD"/>
    <w:rsid w:val="005F436C"/>
    <w:rsid w:val="005F4871"/>
    <w:rsid w:val="005F5A75"/>
    <w:rsid w:val="005F745D"/>
    <w:rsid w:val="00600239"/>
    <w:rsid w:val="00600CD9"/>
    <w:rsid w:val="006022C1"/>
    <w:rsid w:val="00607AB0"/>
    <w:rsid w:val="00607EFC"/>
    <w:rsid w:val="006104CC"/>
    <w:rsid w:val="0061151B"/>
    <w:rsid w:val="00611939"/>
    <w:rsid w:val="006147D1"/>
    <w:rsid w:val="006158A0"/>
    <w:rsid w:val="00617A07"/>
    <w:rsid w:val="006209D8"/>
    <w:rsid w:val="00621116"/>
    <w:rsid w:val="0062483C"/>
    <w:rsid w:val="0062649B"/>
    <w:rsid w:val="00631629"/>
    <w:rsid w:val="00632FC8"/>
    <w:rsid w:val="00633B4C"/>
    <w:rsid w:val="00634C97"/>
    <w:rsid w:val="00635833"/>
    <w:rsid w:val="006369B4"/>
    <w:rsid w:val="0064010A"/>
    <w:rsid w:val="006424B5"/>
    <w:rsid w:val="00645857"/>
    <w:rsid w:val="0064685F"/>
    <w:rsid w:val="00646968"/>
    <w:rsid w:val="0065328B"/>
    <w:rsid w:val="00654B6B"/>
    <w:rsid w:val="00654DE5"/>
    <w:rsid w:val="006554F1"/>
    <w:rsid w:val="00656156"/>
    <w:rsid w:val="00657C7A"/>
    <w:rsid w:val="00661EE6"/>
    <w:rsid w:val="00662D11"/>
    <w:rsid w:val="0066326E"/>
    <w:rsid w:val="00664BB5"/>
    <w:rsid w:val="006656EC"/>
    <w:rsid w:val="00665ACB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863A7"/>
    <w:rsid w:val="00692D50"/>
    <w:rsid w:val="00694895"/>
    <w:rsid w:val="00694C10"/>
    <w:rsid w:val="006963E9"/>
    <w:rsid w:val="006A0743"/>
    <w:rsid w:val="006A2722"/>
    <w:rsid w:val="006A7914"/>
    <w:rsid w:val="006A7A6F"/>
    <w:rsid w:val="006B01AA"/>
    <w:rsid w:val="006B076E"/>
    <w:rsid w:val="006B1179"/>
    <w:rsid w:val="006B2DCD"/>
    <w:rsid w:val="006B4380"/>
    <w:rsid w:val="006B54BC"/>
    <w:rsid w:val="006B5E31"/>
    <w:rsid w:val="006B728A"/>
    <w:rsid w:val="006B7626"/>
    <w:rsid w:val="006C0EFF"/>
    <w:rsid w:val="006C27F1"/>
    <w:rsid w:val="006C41C1"/>
    <w:rsid w:val="006C5857"/>
    <w:rsid w:val="006D2076"/>
    <w:rsid w:val="006D2C13"/>
    <w:rsid w:val="006D2DA8"/>
    <w:rsid w:val="006D3A5A"/>
    <w:rsid w:val="006D3CA9"/>
    <w:rsid w:val="006D5EC6"/>
    <w:rsid w:val="006D689B"/>
    <w:rsid w:val="006D6CA2"/>
    <w:rsid w:val="006D78AE"/>
    <w:rsid w:val="006D7CAE"/>
    <w:rsid w:val="006E0314"/>
    <w:rsid w:val="006E247C"/>
    <w:rsid w:val="006E27C0"/>
    <w:rsid w:val="006E2D69"/>
    <w:rsid w:val="006E4B30"/>
    <w:rsid w:val="006E7126"/>
    <w:rsid w:val="006F089A"/>
    <w:rsid w:val="006F12EA"/>
    <w:rsid w:val="006F1B18"/>
    <w:rsid w:val="006F2AD2"/>
    <w:rsid w:val="006F30DB"/>
    <w:rsid w:val="006F3794"/>
    <w:rsid w:val="006F3A59"/>
    <w:rsid w:val="00700EDE"/>
    <w:rsid w:val="00701B4F"/>
    <w:rsid w:val="007031F3"/>
    <w:rsid w:val="00703ADE"/>
    <w:rsid w:val="00706C8C"/>
    <w:rsid w:val="007074DC"/>
    <w:rsid w:val="00711D60"/>
    <w:rsid w:val="00712D4F"/>
    <w:rsid w:val="00713ABE"/>
    <w:rsid w:val="00716A57"/>
    <w:rsid w:val="00720F88"/>
    <w:rsid w:val="00722E2B"/>
    <w:rsid w:val="00723961"/>
    <w:rsid w:val="00723E86"/>
    <w:rsid w:val="00725405"/>
    <w:rsid w:val="0072639B"/>
    <w:rsid w:val="007277B9"/>
    <w:rsid w:val="0073004D"/>
    <w:rsid w:val="00732456"/>
    <w:rsid w:val="00734779"/>
    <w:rsid w:val="00734C10"/>
    <w:rsid w:val="007363FB"/>
    <w:rsid w:val="00737133"/>
    <w:rsid w:val="007403B9"/>
    <w:rsid w:val="00740F5B"/>
    <w:rsid w:val="007416B0"/>
    <w:rsid w:val="007417C8"/>
    <w:rsid w:val="00742B5A"/>
    <w:rsid w:val="00743362"/>
    <w:rsid w:val="007448F5"/>
    <w:rsid w:val="00745765"/>
    <w:rsid w:val="00745D4F"/>
    <w:rsid w:val="00746978"/>
    <w:rsid w:val="00747AA9"/>
    <w:rsid w:val="007504F7"/>
    <w:rsid w:val="0075061D"/>
    <w:rsid w:val="00752217"/>
    <w:rsid w:val="0075243B"/>
    <w:rsid w:val="007529A1"/>
    <w:rsid w:val="007575D6"/>
    <w:rsid w:val="00760EE0"/>
    <w:rsid w:val="00764681"/>
    <w:rsid w:val="00767144"/>
    <w:rsid w:val="007717FA"/>
    <w:rsid w:val="00771C92"/>
    <w:rsid w:val="007723E6"/>
    <w:rsid w:val="00773C5D"/>
    <w:rsid w:val="007747E3"/>
    <w:rsid w:val="007749F3"/>
    <w:rsid w:val="0077521D"/>
    <w:rsid w:val="007753FD"/>
    <w:rsid w:val="00776697"/>
    <w:rsid w:val="00776830"/>
    <w:rsid w:val="007818E7"/>
    <w:rsid w:val="00782432"/>
    <w:rsid w:val="0078318D"/>
    <w:rsid w:val="007853EB"/>
    <w:rsid w:val="00785A77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4F6D"/>
    <w:rsid w:val="007A54E5"/>
    <w:rsid w:val="007A6A56"/>
    <w:rsid w:val="007A7447"/>
    <w:rsid w:val="007B126F"/>
    <w:rsid w:val="007B12DE"/>
    <w:rsid w:val="007B41B8"/>
    <w:rsid w:val="007B4BF7"/>
    <w:rsid w:val="007B5A7B"/>
    <w:rsid w:val="007B758E"/>
    <w:rsid w:val="007C196B"/>
    <w:rsid w:val="007C30FE"/>
    <w:rsid w:val="007C37A3"/>
    <w:rsid w:val="007D10CB"/>
    <w:rsid w:val="007D3350"/>
    <w:rsid w:val="007D41EF"/>
    <w:rsid w:val="007D5A6D"/>
    <w:rsid w:val="007D6A1E"/>
    <w:rsid w:val="007E260A"/>
    <w:rsid w:val="007E592B"/>
    <w:rsid w:val="007E726B"/>
    <w:rsid w:val="007F00DF"/>
    <w:rsid w:val="007F16AC"/>
    <w:rsid w:val="007F172F"/>
    <w:rsid w:val="007F67B1"/>
    <w:rsid w:val="008003D8"/>
    <w:rsid w:val="0080369C"/>
    <w:rsid w:val="00804DAA"/>
    <w:rsid w:val="00807696"/>
    <w:rsid w:val="00810127"/>
    <w:rsid w:val="00810A54"/>
    <w:rsid w:val="0081411B"/>
    <w:rsid w:val="008146CB"/>
    <w:rsid w:val="00815971"/>
    <w:rsid w:val="008226F6"/>
    <w:rsid w:val="00822B6A"/>
    <w:rsid w:val="008239FD"/>
    <w:rsid w:val="00823B59"/>
    <w:rsid w:val="00824645"/>
    <w:rsid w:val="008252BB"/>
    <w:rsid w:val="00825A49"/>
    <w:rsid w:val="00826974"/>
    <w:rsid w:val="008269E3"/>
    <w:rsid w:val="00832E39"/>
    <w:rsid w:val="008370DE"/>
    <w:rsid w:val="00837DDF"/>
    <w:rsid w:val="00840CB8"/>
    <w:rsid w:val="00842D0F"/>
    <w:rsid w:val="0084327E"/>
    <w:rsid w:val="00843345"/>
    <w:rsid w:val="00845ACE"/>
    <w:rsid w:val="00846616"/>
    <w:rsid w:val="008475C9"/>
    <w:rsid w:val="00847DF6"/>
    <w:rsid w:val="00852079"/>
    <w:rsid w:val="00853E6F"/>
    <w:rsid w:val="00854E8C"/>
    <w:rsid w:val="00855EAB"/>
    <w:rsid w:val="008575D2"/>
    <w:rsid w:val="00857F9F"/>
    <w:rsid w:val="00862464"/>
    <w:rsid w:val="00863346"/>
    <w:rsid w:val="00864554"/>
    <w:rsid w:val="00866FDE"/>
    <w:rsid w:val="00867ECB"/>
    <w:rsid w:val="008719DC"/>
    <w:rsid w:val="00872CCC"/>
    <w:rsid w:val="00873B48"/>
    <w:rsid w:val="00873FB9"/>
    <w:rsid w:val="00876BD4"/>
    <w:rsid w:val="00887308"/>
    <w:rsid w:val="00887424"/>
    <w:rsid w:val="00887BFD"/>
    <w:rsid w:val="00891862"/>
    <w:rsid w:val="00892057"/>
    <w:rsid w:val="00892C5F"/>
    <w:rsid w:val="00893381"/>
    <w:rsid w:val="008964E5"/>
    <w:rsid w:val="008A1B54"/>
    <w:rsid w:val="008A66DD"/>
    <w:rsid w:val="008A721B"/>
    <w:rsid w:val="008B0CB8"/>
    <w:rsid w:val="008B2A79"/>
    <w:rsid w:val="008B3AF1"/>
    <w:rsid w:val="008B52E6"/>
    <w:rsid w:val="008B76A2"/>
    <w:rsid w:val="008C0C61"/>
    <w:rsid w:val="008C2987"/>
    <w:rsid w:val="008C326A"/>
    <w:rsid w:val="008C428E"/>
    <w:rsid w:val="008C44D7"/>
    <w:rsid w:val="008C451D"/>
    <w:rsid w:val="008C74AD"/>
    <w:rsid w:val="008C7604"/>
    <w:rsid w:val="008D15AA"/>
    <w:rsid w:val="008D2488"/>
    <w:rsid w:val="008D32FF"/>
    <w:rsid w:val="008D455D"/>
    <w:rsid w:val="008D5AF7"/>
    <w:rsid w:val="008D6077"/>
    <w:rsid w:val="008D6162"/>
    <w:rsid w:val="008E04FB"/>
    <w:rsid w:val="008E0569"/>
    <w:rsid w:val="008E0846"/>
    <w:rsid w:val="008E2DEE"/>
    <w:rsid w:val="008E5B0A"/>
    <w:rsid w:val="008E6B8F"/>
    <w:rsid w:val="008E7CB8"/>
    <w:rsid w:val="008F3F93"/>
    <w:rsid w:val="008F5F11"/>
    <w:rsid w:val="008F71B5"/>
    <w:rsid w:val="009029E2"/>
    <w:rsid w:val="00902A5B"/>
    <w:rsid w:val="00903C80"/>
    <w:rsid w:val="00905EF1"/>
    <w:rsid w:val="00906579"/>
    <w:rsid w:val="00906C17"/>
    <w:rsid w:val="00907294"/>
    <w:rsid w:val="00907776"/>
    <w:rsid w:val="00915E14"/>
    <w:rsid w:val="00917619"/>
    <w:rsid w:val="00917700"/>
    <w:rsid w:val="00923A85"/>
    <w:rsid w:val="00924CEE"/>
    <w:rsid w:val="00925EC2"/>
    <w:rsid w:val="00934160"/>
    <w:rsid w:val="0093445A"/>
    <w:rsid w:val="00935004"/>
    <w:rsid w:val="00936097"/>
    <w:rsid w:val="00936FF7"/>
    <w:rsid w:val="00941683"/>
    <w:rsid w:val="009421DB"/>
    <w:rsid w:val="00942212"/>
    <w:rsid w:val="009430FC"/>
    <w:rsid w:val="00943444"/>
    <w:rsid w:val="0094430D"/>
    <w:rsid w:val="0094509D"/>
    <w:rsid w:val="00945675"/>
    <w:rsid w:val="0094638B"/>
    <w:rsid w:val="00947677"/>
    <w:rsid w:val="009477D2"/>
    <w:rsid w:val="0095022F"/>
    <w:rsid w:val="009507C1"/>
    <w:rsid w:val="00950B9D"/>
    <w:rsid w:val="00951269"/>
    <w:rsid w:val="00952068"/>
    <w:rsid w:val="009527C1"/>
    <w:rsid w:val="009539AD"/>
    <w:rsid w:val="00955515"/>
    <w:rsid w:val="009576FF"/>
    <w:rsid w:val="00957B36"/>
    <w:rsid w:val="00960353"/>
    <w:rsid w:val="00960C43"/>
    <w:rsid w:val="00961BF9"/>
    <w:rsid w:val="009624A6"/>
    <w:rsid w:val="00962EDB"/>
    <w:rsid w:val="00963940"/>
    <w:rsid w:val="00965D03"/>
    <w:rsid w:val="009677B6"/>
    <w:rsid w:val="00972E9C"/>
    <w:rsid w:val="00973017"/>
    <w:rsid w:val="00973CF3"/>
    <w:rsid w:val="00974C81"/>
    <w:rsid w:val="00974FAC"/>
    <w:rsid w:val="00975662"/>
    <w:rsid w:val="00976A52"/>
    <w:rsid w:val="00976D3D"/>
    <w:rsid w:val="00980F16"/>
    <w:rsid w:val="009813C9"/>
    <w:rsid w:val="00981804"/>
    <w:rsid w:val="009819CE"/>
    <w:rsid w:val="00982928"/>
    <w:rsid w:val="00986BE9"/>
    <w:rsid w:val="00986DC4"/>
    <w:rsid w:val="00987679"/>
    <w:rsid w:val="00987A2A"/>
    <w:rsid w:val="00987B4B"/>
    <w:rsid w:val="00987CBD"/>
    <w:rsid w:val="00990ABF"/>
    <w:rsid w:val="00991146"/>
    <w:rsid w:val="00993A35"/>
    <w:rsid w:val="00993B4F"/>
    <w:rsid w:val="00995C68"/>
    <w:rsid w:val="00997001"/>
    <w:rsid w:val="009970C7"/>
    <w:rsid w:val="009A0C9A"/>
    <w:rsid w:val="009A2E65"/>
    <w:rsid w:val="009A3DBE"/>
    <w:rsid w:val="009B0FC9"/>
    <w:rsid w:val="009B123A"/>
    <w:rsid w:val="009B1B4B"/>
    <w:rsid w:val="009B30F8"/>
    <w:rsid w:val="009B36F5"/>
    <w:rsid w:val="009B3CCA"/>
    <w:rsid w:val="009B5D75"/>
    <w:rsid w:val="009B71F3"/>
    <w:rsid w:val="009B7BDC"/>
    <w:rsid w:val="009C0396"/>
    <w:rsid w:val="009C22A4"/>
    <w:rsid w:val="009C2C7D"/>
    <w:rsid w:val="009C2E76"/>
    <w:rsid w:val="009C3B34"/>
    <w:rsid w:val="009C3EFD"/>
    <w:rsid w:val="009C5492"/>
    <w:rsid w:val="009C6C3B"/>
    <w:rsid w:val="009C7545"/>
    <w:rsid w:val="009D0019"/>
    <w:rsid w:val="009D0D4B"/>
    <w:rsid w:val="009D1417"/>
    <w:rsid w:val="009D1F8E"/>
    <w:rsid w:val="009E0022"/>
    <w:rsid w:val="009E4CE7"/>
    <w:rsid w:val="009E6715"/>
    <w:rsid w:val="009E77B9"/>
    <w:rsid w:val="009E7C97"/>
    <w:rsid w:val="009F12F5"/>
    <w:rsid w:val="009F1C48"/>
    <w:rsid w:val="009F2CF0"/>
    <w:rsid w:val="009F49C5"/>
    <w:rsid w:val="009F4CE2"/>
    <w:rsid w:val="009F58FE"/>
    <w:rsid w:val="009F5BFE"/>
    <w:rsid w:val="009F7607"/>
    <w:rsid w:val="009F7CBB"/>
    <w:rsid w:val="00A0113F"/>
    <w:rsid w:val="00A0226B"/>
    <w:rsid w:val="00A02809"/>
    <w:rsid w:val="00A036A5"/>
    <w:rsid w:val="00A04014"/>
    <w:rsid w:val="00A06968"/>
    <w:rsid w:val="00A06F61"/>
    <w:rsid w:val="00A071A7"/>
    <w:rsid w:val="00A079D5"/>
    <w:rsid w:val="00A07B8A"/>
    <w:rsid w:val="00A11B53"/>
    <w:rsid w:val="00A124E7"/>
    <w:rsid w:val="00A143A0"/>
    <w:rsid w:val="00A144F2"/>
    <w:rsid w:val="00A16E9C"/>
    <w:rsid w:val="00A214E5"/>
    <w:rsid w:val="00A239B8"/>
    <w:rsid w:val="00A24E4D"/>
    <w:rsid w:val="00A24F56"/>
    <w:rsid w:val="00A26394"/>
    <w:rsid w:val="00A307B4"/>
    <w:rsid w:val="00A31234"/>
    <w:rsid w:val="00A32CBF"/>
    <w:rsid w:val="00A33BF2"/>
    <w:rsid w:val="00A3468F"/>
    <w:rsid w:val="00A3669C"/>
    <w:rsid w:val="00A43641"/>
    <w:rsid w:val="00A4441B"/>
    <w:rsid w:val="00A44652"/>
    <w:rsid w:val="00A45ACE"/>
    <w:rsid w:val="00A50A98"/>
    <w:rsid w:val="00A50E6D"/>
    <w:rsid w:val="00A51F4B"/>
    <w:rsid w:val="00A54037"/>
    <w:rsid w:val="00A542DA"/>
    <w:rsid w:val="00A55B76"/>
    <w:rsid w:val="00A57935"/>
    <w:rsid w:val="00A57BAB"/>
    <w:rsid w:val="00A63AA2"/>
    <w:rsid w:val="00A6451A"/>
    <w:rsid w:val="00A651A0"/>
    <w:rsid w:val="00A65800"/>
    <w:rsid w:val="00A6695B"/>
    <w:rsid w:val="00A66A7A"/>
    <w:rsid w:val="00A67B03"/>
    <w:rsid w:val="00A71650"/>
    <w:rsid w:val="00A71A3F"/>
    <w:rsid w:val="00A73511"/>
    <w:rsid w:val="00A7710C"/>
    <w:rsid w:val="00A7731C"/>
    <w:rsid w:val="00A809D4"/>
    <w:rsid w:val="00A80F1F"/>
    <w:rsid w:val="00A822B6"/>
    <w:rsid w:val="00A82335"/>
    <w:rsid w:val="00A83E30"/>
    <w:rsid w:val="00A84215"/>
    <w:rsid w:val="00A84394"/>
    <w:rsid w:val="00A84CA1"/>
    <w:rsid w:val="00A854F3"/>
    <w:rsid w:val="00A85D11"/>
    <w:rsid w:val="00A868B6"/>
    <w:rsid w:val="00A878E6"/>
    <w:rsid w:val="00A879BC"/>
    <w:rsid w:val="00A921D2"/>
    <w:rsid w:val="00A937D3"/>
    <w:rsid w:val="00A94292"/>
    <w:rsid w:val="00A96C64"/>
    <w:rsid w:val="00AA0C4A"/>
    <w:rsid w:val="00AA3665"/>
    <w:rsid w:val="00AA468F"/>
    <w:rsid w:val="00AA5005"/>
    <w:rsid w:val="00AA559F"/>
    <w:rsid w:val="00AA6DFA"/>
    <w:rsid w:val="00AB0075"/>
    <w:rsid w:val="00AB2206"/>
    <w:rsid w:val="00AB31F8"/>
    <w:rsid w:val="00AB33E6"/>
    <w:rsid w:val="00AB4C6C"/>
    <w:rsid w:val="00AB5675"/>
    <w:rsid w:val="00AB5B28"/>
    <w:rsid w:val="00AC0687"/>
    <w:rsid w:val="00AC0AA6"/>
    <w:rsid w:val="00AC0F7F"/>
    <w:rsid w:val="00AC14CA"/>
    <w:rsid w:val="00AC22EF"/>
    <w:rsid w:val="00AC2330"/>
    <w:rsid w:val="00AC27CD"/>
    <w:rsid w:val="00AC712C"/>
    <w:rsid w:val="00AD0776"/>
    <w:rsid w:val="00AD08C6"/>
    <w:rsid w:val="00AD2408"/>
    <w:rsid w:val="00AD2EAE"/>
    <w:rsid w:val="00AD535D"/>
    <w:rsid w:val="00AD578E"/>
    <w:rsid w:val="00AD79F9"/>
    <w:rsid w:val="00AE04B1"/>
    <w:rsid w:val="00AE0C0F"/>
    <w:rsid w:val="00AE2160"/>
    <w:rsid w:val="00AE27B6"/>
    <w:rsid w:val="00AE2E62"/>
    <w:rsid w:val="00AE4F71"/>
    <w:rsid w:val="00AE7038"/>
    <w:rsid w:val="00AE73E1"/>
    <w:rsid w:val="00AE7C2B"/>
    <w:rsid w:val="00AF3DB7"/>
    <w:rsid w:val="00AF4F4B"/>
    <w:rsid w:val="00AF6AE6"/>
    <w:rsid w:val="00AF73D4"/>
    <w:rsid w:val="00B014CA"/>
    <w:rsid w:val="00B045D3"/>
    <w:rsid w:val="00B04CDD"/>
    <w:rsid w:val="00B05703"/>
    <w:rsid w:val="00B0628E"/>
    <w:rsid w:val="00B063D7"/>
    <w:rsid w:val="00B10715"/>
    <w:rsid w:val="00B10C0D"/>
    <w:rsid w:val="00B1139E"/>
    <w:rsid w:val="00B20553"/>
    <w:rsid w:val="00B20A2A"/>
    <w:rsid w:val="00B20A66"/>
    <w:rsid w:val="00B21E73"/>
    <w:rsid w:val="00B229B7"/>
    <w:rsid w:val="00B23865"/>
    <w:rsid w:val="00B24851"/>
    <w:rsid w:val="00B2485D"/>
    <w:rsid w:val="00B26924"/>
    <w:rsid w:val="00B27800"/>
    <w:rsid w:val="00B30B07"/>
    <w:rsid w:val="00B33A95"/>
    <w:rsid w:val="00B33D27"/>
    <w:rsid w:val="00B3471A"/>
    <w:rsid w:val="00B35F84"/>
    <w:rsid w:val="00B40C98"/>
    <w:rsid w:val="00B42C52"/>
    <w:rsid w:val="00B43912"/>
    <w:rsid w:val="00B43B01"/>
    <w:rsid w:val="00B44FE1"/>
    <w:rsid w:val="00B45519"/>
    <w:rsid w:val="00B46596"/>
    <w:rsid w:val="00B46A66"/>
    <w:rsid w:val="00B46FA9"/>
    <w:rsid w:val="00B4741F"/>
    <w:rsid w:val="00B525D5"/>
    <w:rsid w:val="00B53AF8"/>
    <w:rsid w:val="00B56B31"/>
    <w:rsid w:val="00B57BF8"/>
    <w:rsid w:val="00B63C22"/>
    <w:rsid w:val="00B6404D"/>
    <w:rsid w:val="00B65171"/>
    <w:rsid w:val="00B678F1"/>
    <w:rsid w:val="00B70BAB"/>
    <w:rsid w:val="00B71EDC"/>
    <w:rsid w:val="00B73CFD"/>
    <w:rsid w:val="00B75A29"/>
    <w:rsid w:val="00B75F84"/>
    <w:rsid w:val="00B76473"/>
    <w:rsid w:val="00B7782D"/>
    <w:rsid w:val="00B8005E"/>
    <w:rsid w:val="00B83965"/>
    <w:rsid w:val="00B84CBD"/>
    <w:rsid w:val="00B84F13"/>
    <w:rsid w:val="00B86CCF"/>
    <w:rsid w:val="00B87D64"/>
    <w:rsid w:val="00B91C03"/>
    <w:rsid w:val="00B920A2"/>
    <w:rsid w:val="00B937F1"/>
    <w:rsid w:val="00B93D1C"/>
    <w:rsid w:val="00B9590F"/>
    <w:rsid w:val="00B96570"/>
    <w:rsid w:val="00B9685E"/>
    <w:rsid w:val="00B974F9"/>
    <w:rsid w:val="00BA20F0"/>
    <w:rsid w:val="00BA3EA9"/>
    <w:rsid w:val="00BA4E21"/>
    <w:rsid w:val="00BA59DF"/>
    <w:rsid w:val="00BA6D89"/>
    <w:rsid w:val="00BA6DCD"/>
    <w:rsid w:val="00BB07CD"/>
    <w:rsid w:val="00BC39F5"/>
    <w:rsid w:val="00BC6BAE"/>
    <w:rsid w:val="00BC7013"/>
    <w:rsid w:val="00BC7ECE"/>
    <w:rsid w:val="00BD0F4F"/>
    <w:rsid w:val="00BD52C1"/>
    <w:rsid w:val="00BD760A"/>
    <w:rsid w:val="00BE105F"/>
    <w:rsid w:val="00BE173C"/>
    <w:rsid w:val="00BE6644"/>
    <w:rsid w:val="00BF112D"/>
    <w:rsid w:val="00BF1DA0"/>
    <w:rsid w:val="00BF2BCE"/>
    <w:rsid w:val="00BF365E"/>
    <w:rsid w:val="00BF5242"/>
    <w:rsid w:val="00BF59F4"/>
    <w:rsid w:val="00BF75D5"/>
    <w:rsid w:val="00BF7C1C"/>
    <w:rsid w:val="00C01D64"/>
    <w:rsid w:val="00C01DF2"/>
    <w:rsid w:val="00C02DD5"/>
    <w:rsid w:val="00C02E6F"/>
    <w:rsid w:val="00C04A41"/>
    <w:rsid w:val="00C04EB8"/>
    <w:rsid w:val="00C05871"/>
    <w:rsid w:val="00C1090E"/>
    <w:rsid w:val="00C13AF4"/>
    <w:rsid w:val="00C20340"/>
    <w:rsid w:val="00C23080"/>
    <w:rsid w:val="00C23AED"/>
    <w:rsid w:val="00C24553"/>
    <w:rsid w:val="00C24CED"/>
    <w:rsid w:val="00C2526E"/>
    <w:rsid w:val="00C256FA"/>
    <w:rsid w:val="00C31A0B"/>
    <w:rsid w:val="00C32F4C"/>
    <w:rsid w:val="00C33281"/>
    <w:rsid w:val="00C340BE"/>
    <w:rsid w:val="00C3531D"/>
    <w:rsid w:val="00C40001"/>
    <w:rsid w:val="00C412DC"/>
    <w:rsid w:val="00C42C7E"/>
    <w:rsid w:val="00C4323B"/>
    <w:rsid w:val="00C46B55"/>
    <w:rsid w:val="00C46DE0"/>
    <w:rsid w:val="00C508D9"/>
    <w:rsid w:val="00C520A7"/>
    <w:rsid w:val="00C52E95"/>
    <w:rsid w:val="00C534A2"/>
    <w:rsid w:val="00C5515F"/>
    <w:rsid w:val="00C56D59"/>
    <w:rsid w:val="00C576BC"/>
    <w:rsid w:val="00C6374D"/>
    <w:rsid w:val="00C63ABB"/>
    <w:rsid w:val="00C64164"/>
    <w:rsid w:val="00C66730"/>
    <w:rsid w:val="00C6785E"/>
    <w:rsid w:val="00C71F01"/>
    <w:rsid w:val="00C72658"/>
    <w:rsid w:val="00C75A0F"/>
    <w:rsid w:val="00C76005"/>
    <w:rsid w:val="00C76B7A"/>
    <w:rsid w:val="00C77C45"/>
    <w:rsid w:val="00C81DFD"/>
    <w:rsid w:val="00C83A4C"/>
    <w:rsid w:val="00C85F15"/>
    <w:rsid w:val="00C871B7"/>
    <w:rsid w:val="00C928F5"/>
    <w:rsid w:val="00C9350A"/>
    <w:rsid w:val="00C954A2"/>
    <w:rsid w:val="00C954B1"/>
    <w:rsid w:val="00C9556F"/>
    <w:rsid w:val="00C9721C"/>
    <w:rsid w:val="00CA014C"/>
    <w:rsid w:val="00CA1B1C"/>
    <w:rsid w:val="00CA20AB"/>
    <w:rsid w:val="00CA23A0"/>
    <w:rsid w:val="00CA3CD3"/>
    <w:rsid w:val="00CA45C7"/>
    <w:rsid w:val="00CA47F6"/>
    <w:rsid w:val="00CA5047"/>
    <w:rsid w:val="00CA615A"/>
    <w:rsid w:val="00CA771E"/>
    <w:rsid w:val="00CA7DEB"/>
    <w:rsid w:val="00CB16CC"/>
    <w:rsid w:val="00CB42CC"/>
    <w:rsid w:val="00CB56CE"/>
    <w:rsid w:val="00CB6AA8"/>
    <w:rsid w:val="00CB72B9"/>
    <w:rsid w:val="00CC008D"/>
    <w:rsid w:val="00CC2DEA"/>
    <w:rsid w:val="00CC2E3A"/>
    <w:rsid w:val="00CC40BF"/>
    <w:rsid w:val="00CC4D8F"/>
    <w:rsid w:val="00CC66CB"/>
    <w:rsid w:val="00CC6C4F"/>
    <w:rsid w:val="00CD1E69"/>
    <w:rsid w:val="00CD6C0E"/>
    <w:rsid w:val="00CE004D"/>
    <w:rsid w:val="00CE0586"/>
    <w:rsid w:val="00CE16AF"/>
    <w:rsid w:val="00CE43E0"/>
    <w:rsid w:val="00CE4BF2"/>
    <w:rsid w:val="00CE5DDF"/>
    <w:rsid w:val="00CE5FFA"/>
    <w:rsid w:val="00CE7038"/>
    <w:rsid w:val="00CF0D64"/>
    <w:rsid w:val="00CF143B"/>
    <w:rsid w:val="00CF16AB"/>
    <w:rsid w:val="00CF1EBE"/>
    <w:rsid w:val="00CF24B8"/>
    <w:rsid w:val="00CF6CD1"/>
    <w:rsid w:val="00D0055D"/>
    <w:rsid w:val="00D01AB5"/>
    <w:rsid w:val="00D02100"/>
    <w:rsid w:val="00D03CC1"/>
    <w:rsid w:val="00D12A12"/>
    <w:rsid w:val="00D1318D"/>
    <w:rsid w:val="00D13F41"/>
    <w:rsid w:val="00D14015"/>
    <w:rsid w:val="00D14C18"/>
    <w:rsid w:val="00D153BD"/>
    <w:rsid w:val="00D1642D"/>
    <w:rsid w:val="00D17614"/>
    <w:rsid w:val="00D201AB"/>
    <w:rsid w:val="00D21548"/>
    <w:rsid w:val="00D2180A"/>
    <w:rsid w:val="00D22359"/>
    <w:rsid w:val="00D23E3C"/>
    <w:rsid w:val="00D253CD"/>
    <w:rsid w:val="00D258AE"/>
    <w:rsid w:val="00D26A55"/>
    <w:rsid w:val="00D320E9"/>
    <w:rsid w:val="00D32161"/>
    <w:rsid w:val="00D32454"/>
    <w:rsid w:val="00D349A6"/>
    <w:rsid w:val="00D40DAA"/>
    <w:rsid w:val="00D418C2"/>
    <w:rsid w:val="00D41F27"/>
    <w:rsid w:val="00D42077"/>
    <w:rsid w:val="00D44710"/>
    <w:rsid w:val="00D45EF9"/>
    <w:rsid w:val="00D46545"/>
    <w:rsid w:val="00D52920"/>
    <w:rsid w:val="00D53301"/>
    <w:rsid w:val="00D53AAF"/>
    <w:rsid w:val="00D53BC6"/>
    <w:rsid w:val="00D57840"/>
    <w:rsid w:val="00D57D57"/>
    <w:rsid w:val="00D609E1"/>
    <w:rsid w:val="00D60B57"/>
    <w:rsid w:val="00D61357"/>
    <w:rsid w:val="00D613A4"/>
    <w:rsid w:val="00D61BEC"/>
    <w:rsid w:val="00D61C4D"/>
    <w:rsid w:val="00D65ED2"/>
    <w:rsid w:val="00D6770D"/>
    <w:rsid w:val="00D702F1"/>
    <w:rsid w:val="00D70878"/>
    <w:rsid w:val="00D71BF8"/>
    <w:rsid w:val="00D72162"/>
    <w:rsid w:val="00D726D5"/>
    <w:rsid w:val="00D74D73"/>
    <w:rsid w:val="00D754A8"/>
    <w:rsid w:val="00D75E66"/>
    <w:rsid w:val="00D808D0"/>
    <w:rsid w:val="00D809B3"/>
    <w:rsid w:val="00D837A7"/>
    <w:rsid w:val="00D839C6"/>
    <w:rsid w:val="00D84D9C"/>
    <w:rsid w:val="00D850B6"/>
    <w:rsid w:val="00D85A96"/>
    <w:rsid w:val="00D86869"/>
    <w:rsid w:val="00D86972"/>
    <w:rsid w:val="00DA254E"/>
    <w:rsid w:val="00DA6A9A"/>
    <w:rsid w:val="00DB1396"/>
    <w:rsid w:val="00DB21D8"/>
    <w:rsid w:val="00DB4F6D"/>
    <w:rsid w:val="00DB5026"/>
    <w:rsid w:val="00DB539C"/>
    <w:rsid w:val="00DB55EC"/>
    <w:rsid w:val="00DB64E6"/>
    <w:rsid w:val="00DB6B54"/>
    <w:rsid w:val="00DB6C48"/>
    <w:rsid w:val="00DC170F"/>
    <w:rsid w:val="00DC20B9"/>
    <w:rsid w:val="00DC339F"/>
    <w:rsid w:val="00DC5784"/>
    <w:rsid w:val="00DD07EC"/>
    <w:rsid w:val="00DD0BF2"/>
    <w:rsid w:val="00DD32F8"/>
    <w:rsid w:val="00DD49DD"/>
    <w:rsid w:val="00DD5135"/>
    <w:rsid w:val="00DE0504"/>
    <w:rsid w:val="00DE5A91"/>
    <w:rsid w:val="00DE6548"/>
    <w:rsid w:val="00DE6DAC"/>
    <w:rsid w:val="00DF00DB"/>
    <w:rsid w:val="00DF1A6A"/>
    <w:rsid w:val="00DF32EE"/>
    <w:rsid w:val="00DF44AC"/>
    <w:rsid w:val="00DF5CD2"/>
    <w:rsid w:val="00DF780D"/>
    <w:rsid w:val="00E02692"/>
    <w:rsid w:val="00E03282"/>
    <w:rsid w:val="00E03F2C"/>
    <w:rsid w:val="00E0682C"/>
    <w:rsid w:val="00E10ACC"/>
    <w:rsid w:val="00E17018"/>
    <w:rsid w:val="00E207B2"/>
    <w:rsid w:val="00E238DB"/>
    <w:rsid w:val="00E24B56"/>
    <w:rsid w:val="00E2667B"/>
    <w:rsid w:val="00E2690E"/>
    <w:rsid w:val="00E26D88"/>
    <w:rsid w:val="00E314CE"/>
    <w:rsid w:val="00E31771"/>
    <w:rsid w:val="00E32B68"/>
    <w:rsid w:val="00E33AE0"/>
    <w:rsid w:val="00E34FEA"/>
    <w:rsid w:val="00E40677"/>
    <w:rsid w:val="00E40EF5"/>
    <w:rsid w:val="00E44CD6"/>
    <w:rsid w:val="00E4547C"/>
    <w:rsid w:val="00E45B5D"/>
    <w:rsid w:val="00E52237"/>
    <w:rsid w:val="00E524A2"/>
    <w:rsid w:val="00E5283D"/>
    <w:rsid w:val="00E5417B"/>
    <w:rsid w:val="00E54B24"/>
    <w:rsid w:val="00E54FD7"/>
    <w:rsid w:val="00E56412"/>
    <w:rsid w:val="00E56570"/>
    <w:rsid w:val="00E56FD0"/>
    <w:rsid w:val="00E5770A"/>
    <w:rsid w:val="00E60BF2"/>
    <w:rsid w:val="00E63C59"/>
    <w:rsid w:val="00E65F06"/>
    <w:rsid w:val="00E664DA"/>
    <w:rsid w:val="00E677B1"/>
    <w:rsid w:val="00E700E1"/>
    <w:rsid w:val="00E71773"/>
    <w:rsid w:val="00E73880"/>
    <w:rsid w:val="00E74D6D"/>
    <w:rsid w:val="00E77DE9"/>
    <w:rsid w:val="00E84086"/>
    <w:rsid w:val="00E84837"/>
    <w:rsid w:val="00E90667"/>
    <w:rsid w:val="00E90E9F"/>
    <w:rsid w:val="00E9161F"/>
    <w:rsid w:val="00E95128"/>
    <w:rsid w:val="00E953D1"/>
    <w:rsid w:val="00E9705E"/>
    <w:rsid w:val="00EA0115"/>
    <w:rsid w:val="00EA0434"/>
    <w:rsid w:val="00EA1313"/>
    <w:rsid w:val="00EA1C1B"/>
    <w:rsid w:val="00EA65BF"/>
    <w:rsid w:val="00EA7622"/>
    <w:rsid w:val="00EB06E0"/>
    <w:rsid w:val="00EB0F6E"/>
    <w:rsid w:val="00EB114F"/>
    <w:rsid w:val="00EB32E6"/>
    <w:rsid w:val="00EB3C18"/>
    <w:rsid w:val="00EB44A3"/>
    <w:rsid w:val="00EB48C5"/>
    <w:rsid w:val="00EB4CBA"/>
    <w:rsid w:val="00EB57FE"/>
    <w:rsid w:val="00EB5B54"/>
    <w:rsid w:val="00EB5C02"/>
    <w:rsid w:val="00EB794A"/>
    <w:rsid w:val="00EC130F"/>
    <w:rsid w:val="00EC1B56"/>
    <w:rsid w:val="00EC3BB7"/>
    <w:rsid w:val="00EC49A3"/>
    <w:rsid w:val="00EC5169"/>
    <w:rsid w:val="00EC6093"/>
    <w:rsid w:val="00EC6FB2"/>
    <w:rsid w:val="00ED2740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E2ED7"/>
    <w:rsid w:val="00EF1238"/>
    <w:rsid w:val="00EF439F"/>
    <w:rsid w:val="00EF5F95"/>
    <w:rsid w:val="00EF611F"/>
    <w:rsid w:val="00EF652D"/>
    <w:rsid w:val="00F03802"/>
    <w:rsid w:val="00F043B0"/>
    <w:rsid w:val="00F05958"/>
    <w:rsid w:val="00F06FB3"/>
    <w:rsid w:val="00F07620"/>
    <w:rsid w:val="00F10756"/>
    <w:rsid w:val="00F1273B"/>
    <w:rsid w:val="00F15554"/>
    <w:rsid w:val="00F16A39"/>
    <w:rsid w:val="00F21B80"/>
    <w:rsid w:val="00F228CA"/>
    <w:rsid w:val="00F22D05"/>
    <w:rsid w:val="00F24677"/>
    <w:rsid w:val="00F24FAC"/>
    <w:rsid w:val="00F26674"/>
    <w:rsid w:val="00F27146"/>
    <w:rsid w:val="00F3162B"/>
    <w:rsid w:val="00F36892"/>
    <w:rsid w:val="00F36F1A"/>
    <w:rsid w:val="00F427D1"/>
    <w:rsid w:val="00F43632"/>
    <w:rsid w:val="00F43640"/>
    <w:rsid w:val="00F436F6"/>
    <w:rsid w:val="00F441BF"/>
    <w:rsid w:val="00F46A28"/>
    <w:rsid w:val="00F472B4"/>
    <w:rsid w:val="00F506B6"/>
    <w:rsid w:val="00F515E6"/>
    <w:rsid w:val="00F528B5"/>
    <w:rsid w:val="00F52909"/>
    <w:rsid w:val="00F553A1"/>
    <w:rsid w:val="00F55849"/>
    <w:rsid w:val="00F6141E"/>
    <w:rsid w:val="00F65377"/>
    <w:rsid w:val="00F67337"/>
    <w:rsid w:val="00F70EF4"/>
    <w:rsid w:val="00F7394C"/>
    <w:rsid w:val="00F7409C"/>
    <w:rsid w:val="00F74A53"/>
    <w:rsid w:val="00F75AF5"/>
    <w:rsid w:val="00F76C31"/>
    <w:rsid w:val="00F80046"/>
    <w:rsid w:val="00F800B7"/>
    <w:rsid w:val="00F80B08"/>
    <w:rsid w:val="00F821AB"/>
    <w:rsid w:val="00F83AF7"/>
    <w:rsid w:val="00F83B82"/>
    <w:rsid w:val="00F83D1C"/>
    <w:rsid w:val="00F8456A"/>
    <w:rsid w:val="00F8550D"/>
    <w:rsid w:val="00F85E03"/>
    <w:rsid w:val="00F90B74"/>
    <w:rsid w:val="00F92197"/>
    <w:rsid w:val="00F924B6"/>
    <w:rsid w:val="00F93270"/>
    <w:rsid w:val="00F933AC"/>
    <w:rsid w:val="00F94AE8"/>
    <w:rsid w:val="00F96099"/>
    <w:rsid w:val="00FA0856"/>
    <w:rsid w:val="00FA4487"/>
    <w:rsid w:val="00FA663C"/>
    <w:rsid w:val="00FA7631"/>
    <w:rsid w:val="00FB00DD"/>
    <w:rsid w:val="00FB065E"/>
    <w:rsid w:val="00FB0CC2"/>
    <w:rsid w:val="00FB11FD"/>
    <w:rsid w:val="00FB16F0"/>
    <w:rsid w:val="00FB2821"/>
    <w:rsid w:val="00FC55F9"/>
    <w:rsid w:val="00FC75E9"/>
    <w:rsid w:val="00FC7C9C"/>
    <w:rsid w:val="00FD0DD6"/>
    <w:rsid w:val="00FD25BA"/>
    <w:rsid w:val="00FD363F"/>
    <w:rsid w:val="00FD478A"/>
    <w:rsid w:val="00FD5ACC"/>
    <w:rsid w:val="00FD729C"/>
    <w:rsid w:val="00FE0EDA"/>
    <w:rsid w:val="00FE2FDA"/>
    <w:rsid w:val="00FE30FC"/>
    <w:rsid w:val="00FE46E4"/>
    <w:rsid w:val="00FE678F"/>
    <w:rsid w:val="00FE6F38"/>
    <w:rsid w:val="00FE7381"/>
    <w:rsid w:val="00FF2B59"/>
    <w:rsid w:val="00FF4B28"/>
    <w:rsid w:val="00FF6CE7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customStyle="1" w:styleId="Paragraphedeliste2">
    <w:name w:val="Paragraphe de liste2"/>
    <w:basedOn w:val="Normal"/>
    <w:rsid w:val="00E45B5D"/>
    <w:pPr>
      <w:bidi w:val="0"/>
      <w:ind w:left="720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Grafiques%20des%20notes%20emploi%20__jamal%20-%201+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Grafiques%20des%20notes%20emploi%20__jamal%20-%201+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Grafiques%20des%20notes%20emploi%20__jamal%20-%201%20-%20Mlle_trim___4__Salima%20-%20fran&#231;ai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cadrage__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cadrage__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cadrage_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89000</c:v>
                </c:pt>
                <c:pt idx="1">
                  <c:v>37000</c:v>
                </c:pt>
                <c:pt idx="2">
                  <c:v>126000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2000</c:v>
                </c:pt>
                <c:pt idx="1">
                  <c:v>-16000</c:v>
                </c:pt>
                <c:pt idx="2">
                  <c:v>-14000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91000</c:v>
                </c:pt>
                <c:pt idx="1">
                  <c:v>21000</c:v>
                </c:pt>
                <c:pt idx="2">
                  <c:v>112000</c:v>
                </c:pt>
              </c:numCache>
            </c:numRef>
          </c:val>
        </c:ser>
        <c:gapWidth val="190"/>
        <c:overlap val="-10"/>
        <c:axId val="115214592"/>
        <c:axId val="115224576"/>
      </c:barChart>
      <c:catAx>
        <c:axId val="115214592"/>
        <c:scaling>
          <c:orientation val="minMax"/>
        </c:scaling>
        <c:axPos val="b"/>
        <c:tickLblPos val="low"/>
        <c:crossAx val="115224576"/>
        <c:crosses val="autoZero"/>
        <c:auto val="1"/>
        <c:lblAlgn val="ctr"/>
        <c:lblOffset val="100"/>
      </c:catAx>
      <c:valAx>
        <c:axId val="115224576"/>
        <c:scaling>
          <c:orientation val="minMax"/>
        </c:scaling>
        <c:delete val="1"/>
        <c:axPos val="l"/>
        <c:numFmt formatCode="General" sourceLinked="1"/>
        <c:tickLblPos val="none"/>
        <c:crossAx val="115214592"/>
        <c:crosses val="autoZero"/>
        <c:crossBetween val="between"/>
        <c:majorUnit val="50000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388"/>
          <c:h val="0.62701443569554571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4000</c:v>
                </c:pt>
                <c:pt idx="1">
                  <c:v>11000</c:v>
                </c:pt>
                <c:pt idx="2">
                  <c:v>14000</c:v>
                </c:pt>
                <c:pt idx="3">
                  <c:v>62000</c:v>
                </c:pt>
              </c:numCache>
            </c:numRef>
          </c:val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15000</c:v>
                </c:pt>
                <c:pt idx="1">
                  <c:v>2000</c:v>
                </c:pt>
                <c:pt idx="2">
                  <c:v>1000</c:v>
                </c:pt>
                <c:pt idx="3">
                  <c:v>3000</c:v>
                </c:pt>
              </c:numCache>
            </c:numRef>
          </c:val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19000</c:v>
                </c:pt>
                <c:pt idx="1">
                  <c:v>13000</c:v>
                </c:pt>
                <c:pt idx="2">
                  <c:v>15000</c:v>
                </c:pt>
                <c:pt idx="3">
                  <c:v>65000</c:v>
                </c:pt>
              </c:numCache>
            </c:numRef>
          </c:val>
        </c:ser>
        <c:gapWidth val="70"/>
        <c:overlap val="-10"/>
        <c:axId val="115251456"/>
        <c:axId val="115269632"/>
      </c:barChart>
      <c:catAx>
        <c:axId val="115251456"/>
        <c:scaling>
          <c:orientation val="minMax"/>
        </c:scaling>
        <c:axPos val="b"/>
        <c:tickLblPos val="low"/>
        <c:crossAx val="115269632"/>
        <c:crosses val="autoZero"/>
        <c:auto val="1"/>
        <c:lblAlgn val="ctr"/>
        <c:lblOffset val="100"/>
      </c:catAx>
      <c:valAx>
        <c:axId val="115269632"/>
        <c:scaling>
          <c:orientation val="minMax"/>
        </c:scaling>
        <c:delete val="1"/>
        <c:axPos val="l"/>
        <c:numFmt formatCode="General" sourceLinked="1"/>
        <c:tickLblPos val="none"/>
        <c:crossAx val="11525145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chomage!$C$2:$C$8</c:f>
              <c:numCache>
                <c:formatCode>#,##0.0</c:formatCode>
                <c:ptCount val="7"/>
                <c:pt idx="0">
                  <c:v>14.734880678916388</c:v>
                </c:pt>
                <c:pt idx="1">
                  <c:v>3.9939076658953891</c:v>
                </c:pt>
                <c:pt idx="2">
                  <c:v>8.7590230086860821</c:v>
                </c:pt>
                <c:pt idx="3">
                  <c:v>14.6687646742813</c:v>
                </c:pt>
                <c:pt idx="4">
                  <c:v>26.543681470835889</c:v>
                </c:pt>
                <c:pt idx="5">
                  <c:v>17.886650980915526</c:v>
                </c:pt>
                <c:pt idx="6">
                  <c:v>10.202140071632153</c:v>
                </c:pt>
              </c:numCache>
            </c:numRef>
          </c:val>
        </c:ser>
        <c:ser>
          <c:idx val="1"/>
          <c:order val="1"/>
          <c:tx>
            <c:strRef>
              <c:f>chomage!$D$1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2.3248884084074356E-2"/>
                  <c:y val="-1.1378551877685151E-2"/>
                </c:manualLayout>
              </c:layout>
              <c:showVal val="1"/>
            </c:dLbl>
            <c:dLbl>
              <c:idx val="1"/>
              <c:layout>
                <c:manualLayout>
                  <c:x val="5.5555555555555558E-3"/>
                  <c:y val="-1.3903739412539794E-2"/>
                </c:manualLayout>
              </c:layout>
              <c:showVal val="1"/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388888888888893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5499256056049538E-2"/>
                  <c:y val="-7.5857012517900682E-3"/>
                </c:manualLayout>
              </c:layout>
              <c:showVal val="1"/>
            </c:dLbl>
            <c:showVal val="1"/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chomage!$D$2:$D$8</c:f>
              <c:numCache>
                <c:formatCode>#,##0.0</c:formatCode>
                <c:ptCount val="7"/>
                <c:pt idx="0">
                  <c:v>14.243643338471713</c:v>
                </c:pt>
                <c:pt idx="1">
                  <c:v>3.5386014486823512</c:v>
                </c:pt>
                <c:pt idx="2">
                  <c:v>8.3730007958141588</c:v>
                </c:pt>
                <c:pt idx="3">
                  <c:v>14.029949188561206</c:v>
                </c:pt>
                <c:pt idx="4">
                  <c:v>25.971635763485743</c:v>
                </c:pt>
                <c:pt idx="5">
                  <c:v>17.161726637818312</c:v>
                </c:pt>
                <c:pt idx="6">
                  <c:v>9.7519191226934989</c:v>
                </c:pt>
              </c:numCache>
            </c:numRef>
          </c:val>
        </c:ser>
        <c:axId val="115302400"/>
        <c:axId val="115303936"/>
      </c:barChart>
      <c:catAx>
        <c:axId val="115302400"/>
        <c:scaling>
          <c:orientation val="minMax"/>
        </c:scaling>
        <c:axPos val="b"/>
        <c:tickLblPos val="nextTo"/>
        <c:crossAx val="115303936"/>
        <c:crosses val="autoZero"/>
        <c:auto val="1"/>
        <c:lblAlgn val="ctr"/>
        <c:lblOffset val="100"/>
      </c:catAx>
      <c:valAx>
        <c:axId val="115303936"/>
        <c:scaling>
          <c:orientation val="minMax"/>
        </c:scaling>
        <c:delete val="1"/>
        <c:axPos val="l"/>
        <c:numFmt formatCode="#,##0.0" sourceLinked="1"/>
        <c:tickLblPos val="none"/>
        <c:crossAx val="115302400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'var tx act'!$F$1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6.2360803239881538E-3"/>
                  <c:y val="9.2638553904879767E-3"/>
                </c:manualLayout>
              </c:layout>
              <c:showVal val="1"/>
            </c:dLbl>
            <c:dLbl>
              <c:idx val="1"/>
              <c:layout>
                <c:manualLayout>
                  <c:x val="-4.1573868826587377E-3"/>
                  <c:y val="9.2638553904879767E-3"/>
                </c:manualLayout>
              </c:layout>
              <c:showVal val="1"/>
            </c:dLbl>
            <c:dLbl>
              <c:idx val="2"/>
              <c:layout>
                <c:manualLayout>
                  <c:x val="-4.1573868826587377E-3"/>
                  <c:y val="9.2638553904879767E-3"/>
                </c:manualLayout>
              </c:layout>
              <c:showVal val="1"/>
            </c:dLbl>
            <c:dLbl>
              <c:idx val="3"/>
              <c:layout>
                <c:manualLayout>
                  <c:x val="-4.1573868826587377E-3"/>
                  <c:y val="9.2638553904879767E-3"/>
                </c:manualLayout>
              </c:layout>
              <c:showVal val="1"/>
            </c:dLbl>
            <c:dLbl>
              <c:idx val="4"/>
              <c:layout>
                <c:manualLayout>
                  <c:x val="-6.2360803239881538E-3"/>
                  <c:y val="4.6319276952440109E-3"/>
                </c:manualLayout>
              </c:layout>
              <c:showVal val="1"/>
            </c:dLbl>
            <c:dLbl>
              <c:idx val="5"/>
              <c:layout>
                <c:manualLayout>
                  <c:x val="-8.3147737653174719E-3"/>
                  <c:y val="1.389578308573188E-2"/>
                </c:manualLayout>
              </c:layout>
              <c:showVal val="1"/>
            </c:dLbl>
            <c:dLbl>
              <c:idx val="6"/>
              <c:layout>
                <c:manualLayout>
                  <c:x val="-1.0393467206646844E-2"/>
                  <c:y val="1.389578308573188E-2"/>
                </c:manualLayout>
              </c:layout>
              <c:showVal val="1"/>
            </c:dLbl>
            <c:dLbl>
              <c:idx val="7"/>
              <c:layout>
                <c:manualLayout>
                  <c:x val="-4.1573868826587377E-3"/>
                  <c:y val="4.6319276952440109E-3"/>
                </c:manualLayout>
              </c:layout>
              <c:showVal val="1"/>
            </c:dLbl>
            <c:dLbl>
              <c:idx val="8"/>
              <c:layout>
                <c:manualLayout>
                  <c:x val="-6.2360803239881538E-3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-6.2360803239881538E-3"/>
                  <c:y val="1.389578308573188E-2"/>
                </c:manualLayout>
              </c:layout>
              <c:showVal val="1"/>
            </c:dLbl>
            <c:dLbl>
              <c:idx val="12"/>
              <c:layout>
                <c:manualLayout>
                  <c:x val="-8.3147737653174719E-3"/>
                  <c:y val="1.389578308573188E-2"/>
                </c:manualLayout>
              </c:layout>
              <c:showVal val="1"/>
            </c:dLbl>
            <c:showVal val="1"/>
          </c:dLbls>
          <c:cat>
            <c:strRef>
              <c:f>'var tx act'!$E$2:$E$14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act'!$F$2:$F$14</c:f>
              <c:numCache>
                <c:formatCode>#,##0.0</c:formatCode>
                <c:ptCount val="13"/>
                <c:pt idx="0">
                  <c:v>42.696847692740228</c:v>
                </c:pt>
                <c:pt idx="1">
                  <c:v>41.502386618972281</c:v>
                </c:pt>
                <c:pt idx="2">
                  <c:v>37.102047252534554</c:v>
                </c:pt>
                <c:pt idx="3">
                  <c:v>42.063141191224254</c:v>
                </c:pt>
                <c:pt idx="4">
                  <c:v>35.820317344716514</c:v>
                </c:pt>
                <c:pt idx="5">
                  <c:v>45.005812475491524</c:v>
                </c:pt>
                <c:pt idx="6">
                  <c:v>43.524685683939445</c:v>
                </c:pt>
                <c:pt idx="7">
                  <c:v>35.082233282470682</c:v>
                </c:pt>
                <c:pt idx="8">
                  <c:v>41.336417768889355</c:v>
                </c:pt>
                <c:pt idx="9">
                  <c:v>41.540692769210303</c:v>
                </c:pt>
                <c:pt idx="10">
                  <c:v>40.151935887484441</c:v>
                </c:pt>
                <c:pt idx="11">
                  <c:v>56.846012514012408</c:v>
                </c:pt>
                <c:pt idx="12">
                  <c:v>41.80871147167899</c:v>
                </c:pt>
              </c:numCache>
            </c:numRef>
          </c:val>
        </c:ser>
        <c:ser>
          <c:idx val="1"/>
          <c:order val="1"/>
          <c:tx>
            <c:strRef>
              <c:f>'var tx act'!$G$1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7"/>
              <c:layout>
                <c:manualLayout>
                  <c:x val="0"/>
                  <c:y val="-1.6216216216216221E-2"/>
                </c:manualLayout>
              </c:layout>
              <c:showVal val="1"/>
            </c:dLbl>
            <c:dLbl>
              <c:idx val="8"/>
              <c:layout>
                <c:manualLayout>
                  <c:x val="-1.6524692021052615E-7"/>
                  <c:y val="-2.007448393275162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7791566171463812E-2"/>
                </c:manualLayout>
              </c:layout>
              <c:showVal val="1"/>
            </c:dLbl>
            <c:showVal val="1"/>
          </c:dLbls>
          <c:cat>
            <c:strRef>
              <c:f>'var tx act'!$E$2:$E$14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act'!$G$2:$G$14</c:f>
              <c:numCache>
                <c:formatCode>#,##0.0</c:formatCode>
                <c:ptCount val="13"/>
                <c:pt idx="0">
                  <c:v>53.367866509661923</c:v>
                </c:pt>
                <c:pt idx="1">
                  <c:v>50.041111104030009</c:v>
                </c:pt>
                <c:pt idx="2">
                  <c:v>52.829505093041156</c:v>
                </c:pt>
                <c:pt idx="3">
                  <c:v>57.440695746678912</c:v>
                </c:pt>
                <c:pt idx="4">
                  <c:v>54.047392043106576</c:v>
                </c:pt>
                <c:pt idx="5">
                  <c:v>65.924237128676211</c:v>
                </c:pt>
                <c:pt idx="6">
                  <c:v>52.946827170943116</c:v>
                </c:pt>
                <c:pt idx="7">
                  <c:v>44.829584997725625</c:v>
                </c:pt>
                <c:pt idx="8">
                  <c:v>46.01461178715082</c:v>
                </c:pt>
                <c:pt idx="9">
                  <c:v>44.239134680067572</c:v>
                </c:pt>
                <c:pt idx="12">
                  <c:v>53.941074169093007</c:v>
                </c:pt>
              </c:numCache>
            </c:numRef>
          </c:val>
        </c:ser>
        <c:ser>
          <c:idx val="2"/>
          <c:order val="2"/>
          <c:tx>
            <c:strRef>
              <c:f>'var tx act'!$H$1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1"/>
              <c:layout>
                <c:manualLayout>
                  <c:x val="8.3147737653174719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2360803239881538E-3"/>
                  <c:y val="-4.6319276952440109E-3"/>
                </c:manualLayout>
              </c:layout>
              <c:showVal val="1"/>
            </c:dLbl>
            <c:dLbl>
              <c:idx val="3"/>
              <c:layout>
                <c:manualLayout>
                  <c:x val="8.3147737653174719E-3"/>
                  <c:y val="2.1229423359091701E-17"/>
                </c:manualLayout>
              </c:layout>
              <c:showVal val="1"/>
            </c:dLbl>
            <c:dLbl>
              <c:idx val="5"/>
              <c:layout>
                <c:manualLayout>
                  <c:x val="6.2360803239881538E-3"/>
                  <c:y val="-2.1229423359091701E-17"/>
                </c:manualLayout>
              </c:layout>
              <c:showVal val="1"/>
            </c:dLbl>
            <c:dLbl>
              <c:idx val="6"/>
              <c:layout>
                <c:manualLayout>
                  <c:x val="4.1972717733472472E-3"/>
                  <c:y val="2.1621621621621651E-2"/>
                </c:manualLayout>
              </c:layout>
              <c:showVal val="1"/>
            </c:dLbl>
            <c:dLbl>
              <c:idx val="7"/>
              <c:layout>
                <c:manualLayout>
                  <c:x val="2.0786934413293853E-3"/>
                  <c:y val="9.2638553904879767E-3"/>
                </c:manualLayout>
              </c:layout>
              <c:showVal val="1"/>
            </c:dLbl>
            <c:dLbl>
              <c:idx val="12"/>
              <c:layout>
                <c:manualLayout>
                  <c:x val="1.2472160647976243E-2"/>
                  <c:y val="4.6319276952440109E-3"/>
                </c:manualLayout>
              </c:layout>
              <c:showVal val="1"/>
            </c:dLbl>
            <c:showVal val="1"/>
          </c:dLbls>
          <c:cat>
            <c:strRef>
              <c:f>'var tx act'!$E$2:$E$14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act'!$H$2:$H$14</c:f>
              <c:numCache>
                <c:formatCode>#,##0.0</c:formatCode>
                <c:ptCount val="13"/>
                <c:pt idx="0">
                  <c:v>46.737605904367136</c:v>
                </c:pt>
                <c:pt idx="1">
                  <c:v>44.074190708251066</c:v>
                </c:pt>
                <c:pt idx="2">
                  <c:v>42.786355010523273</c:v>
                </c:pt>
                <c:pt idx="3">
                  <c:v>46.084392317579386</c:v>
                </c:pt>
                <c:pt idx="4">
                  <c:v>44.461675837682144</c:v>
                </c:pt>
                <c:pt idx="5">
                  <c:v>49.741701745354902</c:v>
                </c:pt>
                <c:pt idx="6">
                  <c:v>48.603991660141993</c:v>
                </c:pt>
                <c:pt idx="7">
                  <c:v>41.319116110862375</c:v>
                </c:pt>
                <c:pt idx="8">
                  <c:v>43.197737006256645</c:v>
                </c:pt>
                <c:pt idx="9">
                  <c:v>42.453783524586996</c:v>
                </c:pt>
                <c:pt idx="10">
                  <c:v>41.512752496959969</c:v>
                </c:pt>
                <c:pt idx="11">
                  <c:v>69.367223870529813</c:v>
                </c:pt>
                <c:pt idx="12">
                  <c:v>46.165517390945034</c:v>
                </c:pt>
              </c:numCache>
            </c:numRef>
          </c:val>
        </c:ser>
        <c:axId val="115372032"/>
        <c:axId val="115373568"/>
      </c:barChart>
      <c:catAx>
        <c:axId val="115372032"/>
        <c:scaling>
          <c:orientation val="minMax"/>
        </c:scaling>
        <c:axPos val="b"/>
        <c:tickLblPos val="nextTo"/>
        <c:crossAx val="115373568"/>
        <c:crosses val="autoZero"/>
        <c:auto val="1"/>
        <c:lblAlgn val="ctr"/>
        <c:lblOffset val="100"/>
      </c:catAx>
      <c:valAx>
        <c:axId val="115373568"/>
        <c:scaling>
          <c:orientation val="minMax"/>
        </c:scaling>
        <c:delete val="1"/>
        <c:axPos val="l"/>
        <c:numFmt formatCode="#,##0.0" sourceLinked="1"/>
        <c:tickLblPos val="none"/>
        <c:crossAx val="11537203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création d'emplois (en milliers)</c:v>
                </c:pt>
              </c:strCache>
            </c:strRef>
          </c:tx>
          <c:dLbls>
            <c:dLbl>
              <c:idx val="4"/>
              <c:layout>
                <c:manualLayout>
                  <c:x val="8.7211752710731789E-3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1.0901469088841481E-2"/>
                  <c:y val="-4.6345798041798718E-2"/>
                </c:manualLayout>
              </c:layout>
              <c:showVal val="1"/>
            </c:dLbl>
            <c:showVal val="1"/>
          </c:dLbls>
          <c:cat>
            <c:strRef>
              <c:f>Feuil1!$A$2:$A$13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</c:v>
                </c:pt>
                <c:pt idx="11">
                  <c:v>Eddakhla-Oued Eddahab</c:v>
                </c:pt>
              </c:strCache>
            </c:strRef>
          </c:cat>
          <c:val>
            <c:numRef>
              <c:f>Feuil1!$B$2:$B$13</c:f>
              <c:numCache>
                <c:formatCode>General</c:formatCode>
                <c:ptCount val="12"/>
                <c:pt idx="0">
                  <c:v>12000</c:v>
                </c:pt>
                <c:pt idx="1">
                  <c:v>5000</c:v>
                </c:pt>
                <c:pt idx="2">
                  <c:v>2000</c:v>
                </c:pt>
                <c:pt idx="3">
                  <c:v>6000</c:v>
                </c:pt>
                <c:pt idx="4">
                  <c:v>-8000</c:v>
                </c:pt>
                <c:pt idx="5">
                  <c:v>28000</c:v>
                </c:pt>
                <c:pt idx="6">
                  <c:v>38000</c:v>
                </c:pt>
                <c:pt idx="7">
                  <c:v>17000</c:v>
                </c:pt>
                <c:pt idx="8">
                  <c:v>13000</c:v>
                </c:pt>
                <c:pt idx="9">
                  <c:v>0</c:v>
                </c:pt>
                <c:pt idx="10">
                  <c:v>4000</c:v>
                </c:pt>
                <c:pt idx="11">
                  <c:v>-5000</c:v>
                </c:pt>
              </c:numCache>
            </c:numRef>
          </c:val>
        </c:ser>
        <c:axId val="115393664"/>
        <c:axId val="115395200"/>
      </c:barChart>
      <c:catAx>
        <c:axId val="115393664"/>
        <c:scaling>
          <c:orientation val="minMax"/>
        </c:scaling>
        <c:axPos val="b"/>
        <c:tickLblPos val="nextTo"/>
        <c:crossAx val="115395200"/>
        <c:crosses val="autoZero"/>
        <c:auto val="1"/>
        <c:lblAlgn val="ctr"/>
        <c:lblOffset val="100"/>
      </c:catAx>
      <c:valAx>
        <c:axId val="115395200"/>
        <c:scaling>
          <c:orientation val="minMax"/>
        </c:scaling>
        <c:delete val="1"/>
        <c:axPos val="l"/>
        <c:numFmt formatCode="General" sourceLinked="1"/>
        <c:tickLblPos val="none"/>
        <c:crossAx val="115393664"/>
        <c:crosses val="autoZero"/>
        <c:crossBetween val="between"/>
      </c:valAx>
    </c:plotArea>
    <c:plotVisOnly val="1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'tx chom reg'!$F$1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'tx chom reg'!$E$2:$E$14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reg'!$F$2:$F$14</c:f>
              <c:numCache>
                <c:formatCode>General</c:formatCode>
                <c:ptCount val="13"/>
                <c:pt idx="0">
                  <c:v>11.1</c:v>
                </c:pt>
                <c:pt idx="1">
                  <c:v>19.8</c:v>
                </c:pt>
                <c:pt idx="2">
                  <c:v>14.7</c:v>
                </c:pt>
                <c:pt idx="3">
                  <c:v>15.4</c:v>
                </c:pt>
                <c:pt idx="4">
                  <c:v>11.3</c:v>
                </c:pt>
                <c:pt idx="5">
                  <c:v>14.3</c:v>
                </c:pt>
                <c:pt idx="6">
                  <c:v>13.1</c:v>
                </c:pt>
                <c:pt idx="7">
                  <c:v>11.1</c:v>
                </c:pt>
                <c:pt idx="8">
                  <c:v>12.9</c:v>
                </c:pt>
                <c:pt idx="9">
                  <c:v>23.4</c:v>
                </c:pt>
                <c:pt idx="10">
                  <c:v>14.1</c:v>
                </c:pt>
                <c:pt idx="11">
                  <c:v>12.6</c:v>
                </c:pt>
                <c:pt idx="12">
                  <c:v>14.2</c:v>
                </c:pt>
              </c:numCache>
            </c:numRef>
          </c:val>
        </c:ser>
        <c:ser>
          <c:idx val="1"/>
          <c:order val="1"/>
          <c:tx>
            <c:strRef>
              <c:f>'tx chom reg'!$G$1</c:f>
              <c:strCache>
                <c:ptCount val="1"/>
                <c:pt idx="0">
                  <c:v>Rural</c:v>
                </c:pt>
              </c:strCache>
            </c:strRef>
          </c:tx>
          <c:dLbls>
            <c:showVal val="1"/>
          </c:dLbls>
          <c:cat>
            <c:strRef>
              <c:f>'tx chom reg'!$E$2:$E$14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reg'!$G$2:$G$14</c:f>
              <c:numCache>
                <c:formatCode>General</c:formatCode>
                <c:ptCount val="13"/>
                <c:pt idx="0">
                  <c:v>3.6</c:v>
                </c:pt>
                <c:pt idx="1">
                  <c:v>9.7000000000000011</c:v>
                </c:pt>
                <c:pt idx="2">
                  <c:v>2.6</c:v>
                </c:pt>
                <c:pt idx="3">
                  <c:v>4.4000000000000004</c:v>
                </c:pt>
                <c:pt idx="4">
                  <c:v>2</c:v>
                </c:pt>
                <c:pt idx="5">
                  <c:v>2.1</c:v>
                </c:pt>
                <c:pt idx="6">
                  <c:v>2.9</c:v>
                </c:pt>
                <c:pt idx="7">
                  <c:v>2.9</c:v>
                </c:pt>
                <c:pt idx="8">
                  <c:v>6</c:v>
                </c:pt>
                <c:pt idx="9">
                  <c:v>10.6</c:v>
                </c:pt>
                <c:pt idx="12">
                  <c:v>3.5</c:v>
                </c:pt>
              </c:numCache>
            </c:numRef>
          </c:val>
        </c:ser>
        <c:ser>
          <c:idx val="2"/>
          <c:order val="2"/>
          <c:tx>
            <c:strRef>
              <c:f>'tx chom reg'!$H$1</c:f>
              <c:strCache>
                <c:ptCount val="1"/>
                <c:pt idx="0">
                  <c:v>Total</c:v>
                </c:pt>
              </c:strCache>
            </c:strRef>
          </c:tx>
          <c:dLbls>
            <c:showVal val="1"/>
          </c:dLbls>
          <c:cat>
            <c:strRef>
              <c:f>'tx chom reg'!$E$2:$E$14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reg'!$H$2:$H$14</c:f>
              <c:numCache>
                <c:formatCode>General</c:formatCode>
                <c:ptCount val="13"/>
                <c:pt idx="0">
                  <c:v>7.8</c:v>
                </c:pt>
                <c:pt idx="1">
                  <c:v>16.3</c:v>
                </c:pt>
                <c:pt idx="2">
                  <c:v>9.3000000000000007</c:v>
                </c:pt>
                <c:pt idx="3">
                  <c:v>11.8</c:v>
                </c:pt>
                <c:pt idx="4">
                  <c:v>5.9</c:v>
                </c:pt>
                <c:pt idx="5">
                  <c:v>10.6</c:v>
                </c:pt>
                <c:pt idx="6">
                  <c:v>7.1</c:v>
                </c:pt>
                <c:pt idx="7">
                  <c:v>5.4</c:v>
                </c:pt>
                <c:pt idx="8">
                  <c:v>10</c:v>
                </c:pt>
                <c:pt idx="9">
                  <c:v>18.899999999999999</c:v>
                </c:pt>
                <c:pt idx="10">
                  <c:v>13.5</c:v>
                </c:pt>
                <c:pt idx="11">
                  <c:v>7.3</c:v>
                </c:pt>
                <c:pt idx="12">
                  <c:v>9.8000000000000007</c:v>
                </c:pt>
              </c:numCache>
            </c:numRef>
          </c:val>
        </c:ser>
        <c:axId val="115433856"/>
        <c:axId val="115435392"/>
      </c:barChart>
      <c:catAx>
        <c:axId val="115433856"/>
        <c:scaling>
          <c:orientation val="minMax"/>
        </c:scaling>
        <c:axPos val="b"/>
        <c:tickLblPos val="nextTo"/>
        <c:crossAx val="115435392"/>
        <c:crosses val="autoZero"/>
        <c:auto val="1"/>
        <c:lblAlgn val="ctr"/>
        <c:lblOffset val="100"/>
      </c:catAx>
      <c:valAx>
        <c:axId val="115435392"/>
        <c:scaling>
          <c:orientation val="minMax"/>
        </c:scaling>
        <c:delete val="1"/>
        <c:axPos val="l"/>
        <c:numFmt formatCode="General" sourceLinked="1"/>
        <c:tickLblPos val="none"/>
        <c:crossAx val="11543385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7A9A-305C-440D-BC44-0BF5FB46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2255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2019-02-04T09:03:00Z</cp:lastPrinted>
  <dcterms:created xsi:type="dcterms:W3CDTF">2019-02-07T09:51:00Z</dcterms:created>
  <dcterms:modified xsi:type="dcterms:W3CDTF">2019-02-07T09:51:00Z</dcterms:modified>
</cp:coreProperties>
</file>