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3373CD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-65.2pt;width:655pt;height:354.8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629873953" r:id="rId8"/>
        </w:pic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DB30DC" w:rsidP="00BD0B07">
      <w:pPr>
        <w:jc w:val="center"/>
        <w:rPr>
          <w:rFonts w:ascii="Book Antiqua" w:hAnsi="Book Antiqua" w:cs="Arial"/>
          <w:b/>
          <w:bCs/>
        </w:rPr>
      </w:pPr>
    </w:p>
    <w:p w:rsidR="00F56BC7" w:rsidRDefault="00F56BC7" w:rsidP="00BD0B07">
      <w:pPr>
        <w:jc w:val="center"/>
        <w:rPr>
          <w:rFonts w:ascii="Book Antiqua" w:hAnsi="Book Antiqua" w:cs="Arial"/>
          <w:b/>
          <w:bCs/>
        </w:rPr>
      </w:pPr>
    </w:p>
    <w:p w:rsidR="00C74ECE" w:rsidRPr="00C74ECE" w:rsidRDefault="00C74ECE" w:rsidP="00C74ECE">
      <w:pPr>
        <w:jc w:val="center"/>
        <w:rPr>
          <w:rFonts w:ascii="Book Antiqua" w:hAnsi="Book Antiqua"/>
          <w:b/>
          <w:shadow/>
          <w:color w:val="FF0000"/>
          <w:sz w:val="36"/>
          <w:szCs w:val="36"/>
        </w:rPr>
      </w:pPr>
      <w:r w:rsidRPr="00C74ECE">
        <w:rPr>
          <w:rFonts w:ascii="Book Antiqua" w:hAnsi="Book Antiqua"/>
          <w:b/>
          <w:shadow/>
          <w:color w:val="FF0000"/>
          <w:sz w:val="36"/>
          <w:szCs w:val="36"/>
        </w:rPr>
        <w:t>Note d’information relative aux comptes</w:t>
      </w:r>
    </w:p>
    <w:p w:rsidR="00C74ECE" w:rsidRPr="00C74ECE" w:rsidRDefault="00C74ECE" w:rsidP="00C74ECE">
      <w:pPr>
        <w:spacing w:before="60"/>
        <w:jc w:val="center"/>
        <w:rPr>
          <w:rFonts w:ascii="Book Antiqua" w:hAnsi="Book Antiqua"/>
          <w:b/>
          <w:shadow/>
          <w:color w:val="FF0000"/>
          <w:sz w:val="36"/>
          <w:szCs w:val="36"/>
        </w:rPr>
      </w:pPr>
      <w:r w:rsidRPr="00C74ECE">
        <w:rPr>
          <w:rFonts w:ascii="Book Antiqua" w:hAnsi="Book Antiqua"/>
          <w:b/>
          <w:shadow/>
          <w:color w:val="FF0000"/>
          <w:sz w:val="36"/>
          <w:szCs w:val="36"/>
        </w:rPr>
        <w:t>régionaux de l’année 2017</w:t>
      </w:r>
    </w:p>
    <w:p w:rsidR="00F56BC7" w:rsidRPr="00C74ECE" w:rsidRDefault="00F56BC7" w:rsidP="00BD0B07">
      <w:pPr>
        <w:jc w:val="center"/>
        <w:rPr>
          <w:rFonts w:ascii="Book Antiqua" w:hAnsi="Book Antiqua" w:cs="Arial"/>
          <w:b/>
          <w:bCs/>
          <w:sz w:val="36"/>
          <w:szCs w:val="36"/>
        </w:rPr>
      </w:pPr>
    </w:p>
    <w:p w:rsidR="00A23636" w:rsidRDefault="00030B51" w:rsidP="00BD0B07">
      <w:pPr>
        <w:jc w:val="center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 xml:space="preserve">            </w:t>
      </w:r>
    </w:p>
    <w:p w:rsidR="00F56BC7" w:rsidRDefault="00F56BC7" w:rsidP="00F56BC7">
      <w:pPr>
        <w:widowControl w:val="0"/>
        <w:tabs>
          <w:tab w:val="left" w:pos="6042"/>
        </w:tabs>
        <w:autoSpaceDE w:val="0"/>
        <w:autoSpaceDN w:val="0"/>
        <w:adjustRightInd w:val="0"/>
        <w:spacing w:line="200" w:lineRule="exact"/>
        <w:rPr>
          <w:rFonts w:ascii="Helvetica" w:hAnsi="Helvetica" w:cs="Helvetica"/>
          <w:color w:val="000000"/>
          <w:sz w:val="20"/>
          <w:szCs w:val="20"/>
        </w:rPr>
      </w:pPr>
    </w:p>
    <w:p w:rsidR="00A37FFB" w:rsidRDefault="00746A5F" w:rsidP="00A37FFB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L</w:t>
      </w:r>
      <w:r w:rsidRPr="00654239">
        <w:rPr>
          <w:rFonts w:ascii="Book Antiqua" w:hAnsi="Book Antiqua" w:cs="Arial"/>
          <w:b/>
          <w:bCs/>
        </w:rPr>
        <w:t>’économie nationale a</w:t>
      </w:r>
      <w:r>
        <w:rPr>
          <w:rFonts w:ascii="Book Antiqua" w:hAnsi="Book Antiqua" w:cs="Arial"/>
          <w:b/>
          <w:bCs/>
        </w:rPr>
        <w:t>, comme on le sait,</w:t>
      </w:r>
      <w:r w:rsidRPr="00654239">
        <w:rPr>
          <w:rFonts w:ascii="Book Antiqua" w:hAnsi="Book Antiqua" w:cs="Arial"/>
          <w:b/>
          <w:bCs/>
        </w:rPr>
        <w:t xml:space="preserve"> enregistré</w:t>
      </w:r>
      <w:r>
        <w:rPr>
          <w:rFonts w:ascii="Book Antiqua" w:hAnsi="Book Antiqua" w:cs="Arial"/>
          <w:b/>
          <w:bCs/>
        </w:rPr>
        <w:t>, en cette année 201</w:t>
      </w:r>
      <w:r w:rsidR="007A57A0">
        <w:rPr>
          <w:rFonts w:ascii="Book Antiqua" w:hAnsi="Book Antiqua" w:cs="Arial"/>
          <w:b/>
          <w:bCs/>
        </w:rPr>
        <w:t>7</w:t>
      </w:r>
      <w:r>
        <w:rPr>
          <w:rFonts w:ascii="Book Antiqua" w:hAnsi="Book Antiqua" w:cs="Arial"/>
          <w:b/>
          <w:bCs/>
        </w:rPr>
        <w:t>,</w:t>
      </w:r>
      <w:r w:rsidRPr="00654239">
        <w:rPr>
          <w:rFonts w:ascii="Book Antiqua" w:hAnsi="Book Antiqua" w:cs="Arial"/>
          <w:b/>
          <w:bCs/>
        </w:rPr>
        <w:t xml:space="preserve"> un produit intérieur brut (PIB) </w:t>
      </w:r>
      <w:r w:rsidR="00A37FFB">
        <w:rPr>
          <w:rFonts w:ascii="Book Antiqua" w:hAnsi="Book Antiqua" w:cs="Arial"/>
          <w:b/>
          <w:bCs/>
        </w:rPr>
        <w:t xml:space="preserve">en volume </w:t>
      </w:r>
      <w:r>
        <w:rPr>
          <w:rFonts w:ascii="Book Antiqua" w:hAnsi="Book Antiqua" w:cs="Arial"/>
          <w:b/>
          <w:bCs/>
        </w:rPr>
        <w:t xml:space="preserve">de </w:t>
      </w:r>
      <w:r w:rsidR="007A57A0" w:rsidRPr="007A57A0">
        <w:rPr>
          <w:rFonts w:ascii="Book Antiqua" w:hAnsi="Book Antiqua" w:cs="Arial"/>
          <w:b/>
          <w:bCs/>
        </w:rPr>
        <w:t>10</w:t>
      </w:r>
      <w:r w:rsidR="007A57A0">
        <w:rPr>
          <w:rFonts w:ascii="Book Antiqua" w:hAnsi="Book Antiqua" w:cs="Arial"/>
          <w:b/>
          <w:bCs/>
        </w:rPr>
        <w:t>56</w:t>
      </w:r>
      <w:r>
        <w:rPr>
          <w:rFonts w:ascii="Book Antiqua" w:hAnsi="Book Antiqua" w:cs="Arial"/>
          <w:b/>
          <w:bCs/>
        </w:rPr>
        <w:t>,1</w:t>
      </w:r>
      <w:r w:rsidRPr="0032525E">
        <w:rPr>
          <w:rFonts w:ascii="Book Antiqua" w:hAnsi="Book Antiqua" w:cs="Arial"/>
          <w:b/>
          <w:bCs/>
        </w:rPr>
        <w:t xml:space="preserve"> </w:t>
      </w:r>
      <w:r w:rsidRPr="00654239">
        <w:rPr>
          <w:rFonts w:ascii="Book Antiqua" w:hAnsi="Book Antiqua" w:cs="Arial"/>
          <w:b/>
          <w:bCs/>
        </w:rPr>
        <w:t>milliards de DH</w:t>
      </w:r>
      <w:r>
        <w:rPr>
          <w:rFonts w:ascii="Book Antiqua" w:hAnsi="Book Antiqua" w:cs="Arial"/>
          <w:b/>
          <w:bCs/>
        </w:rPr>
        <w:t xml:space="preserve"> </w:t>
      </w:r>
      <w:r w:rsidR="00A37FFB">
        <w:rPr>
          <w:rFonts w:ascii="Book Antiqua" w:hAnsi="Book Antiqua" w:cs="Arial"/>
          <w:b/>
          <w:bCs/>
        </w:rPr>
        <w:t>avec une croissance économique</w:t>
      </w:r>
      <w:r w:rsidR="00A37FFB" w:rsidRPr="00A37FFB">
        <w:rPr>
          <w:rFonts w:ascii="Book Antiqua" w:hAnsi="Book Antiqua" w:cs="Arial"/>
          <w:b/>
          <w:bCs/>
        </w:rPr>
        <w:t xml:space="preserve"> </w:t>
      </w:r>
      <w:r w:rsidR="00A37FFB">
        <w:rPr>
          <w:rFonts w:ascii="Book Antiqua" w:hAnsi="Book Antiqua" w:cs="Arial"/>
          <w:b/>
          <w:bCs/>
        </w:rPr>
        <w:t xml:space="preserve">de 4,2 % </w:t>
      </w:r>
      <w:r w:rsidR="00A37FFB" w:rsidRPr="00654239">
        <w:rPr>
          <w:rFonts w:ascii="Book Antiqua" w:hAnsi="Book Antiqua" w:cs="Arial"/>
          <w:b/>
          <w:bCs/>
        </w:rPr>
        <w:t xml:space="preserve">par rapport à </w:t>
      </w:r>
      <w:r w:rsidR="00A37FFB">
        <w:rPr>
          <w:rFonts w:ascii="Book Antiqua" w:hAnsi="Book Antiqua" w:cs="Arial"/>
          <w:b/>
          <w:bCs/>
        </w:rPr>
        <w:t xml:space="preserve">l’année </w:t>
      </w:r>
      <w:r w:rsidR="00A37FFB" w:rsidRPr="00654239">
        <w:rPr>
          <w:rFonts w:ascii="Book Antiqua" w:hAnsi="Book Antiqua" w:cs="Arial"/>
          <w:b/>
          <w:bCs/>
        </w:rPr>
        <w:t>201</w:t>
      </w:r>
      <w:r w:rsidR="00A37FFB">
        <w:rPr>
          <w:rFonts w:ascii="Book Antiqua" w:hAnsi="Book Antiqua" w:cs="Arial"/>
          <w:b/>
          <w:bCs/>
        </w:rPr>
        <w:t>6.</w:t>
      </w:r>
    </w:p>
    <w:p w:rsidR="00746A5F" w:rsidRDefault="00A37FFB" w:rsidP="00A37FFB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 xml:space="preserve">Aux prix courants, le PIB a marqué une valeur de </w:t>
      </w:r>
      <w:r w:rsidRPr="008C6987">
        <w:rPr>
          <w:rFonts w:ascii="Book Antiqua" w:hAnsi="Book Antiqua" w:cs="Arial"/>
          <w:b/>
          <w:bCs/>
        </w:rPr>
        <w:t>10</w:t>
      </w:r>
      <w:r>
        <w:rPr>
          <w:rFonts w:ascii="Book Antiqua" w:hAnsi="Book Antiqua" w:cs="Arial"/>
          <w:b/>
          <w:bCs/>
        </w:rPr>
        <w:t>6</w:t>
      </w:r>
      <w:r w:rsidRPr="008C6987">
        <w:rPr>
          <w:rFonts w:ascii="Book Antiqua" w:hAnsi="Book Antiqua" w:cs="Arial"/>
          <w:b/>
          <w:bCs/>
        </w:rPr>
        <w:t>3</w:t>
      </w:r>
      <w:r>
        <w:rPr>
          <w:rFonts w:ascii="Book Antiqua" w:hAnsi="Book Antiqua" w:cs="Arial"/>
          <w:b/>
          <w:bCs/>
        </w:rPr>
        <w:t>,4</w:t>
      </w:r>
      <w:r w:rsidRPr="0032525E">
        <w:rPr>
          <w:rFonts w:ascii="Book Antiqua" w:hAnsi="Book Antiqua" w:cs="Arial"/>
          <w:b/>
          <w:bCs/>
        </w:rPr>
        <w:t xml:space="preserve"> </w:t>
      </w:r>
      <w:r w:rsidRPr="00654239">
        <w:rPr>
          <w:rFonts w:ascii="Book Antiqua" w:hAnsi="Book Antiqua" w:cs="Arial"/>
          <w:b/>
          <w:bCs/>
        </w:rPr>
        <w:t>milliards de DH</w:t>
      </w:r>
      <w:r>
        <w:rPr>
          <w:rFonts w:ascii="Book Antiqua" w:hAnsi="Book Antiqua" w:cs="Arial"/>
          <w:b/>
          <w:bCs/>
        </w:rPr>
        <w:t xml:space="preserve"> avec </w:t>
      </w:r>
      <w:r w:rsidR="00746A5F">
        <w:rPr>
          <w:rFonts w:ascii="Book Antiqua" w:hAnsi="Book Antiqua" w:cs="Arial"/>
          <w:b/>
          <w:bCs/>
        </w:rPr>
        <w:t>une</w:t>
      </w:r>
      <w:r w:rsidR="00746A5F" w:rsidRPr="00654239">
        <w:rPr>
          <w:rFonts w:ascii="Book Antiqua" w:hAnsi="Book Antiqua" w:cs="Arial"/>
          <w:b/>
          <w:bCs/>
        </w:rPr>
        <w:t xml:space="preserve"> augmentation de </w:t>
      </w:r>
      <w:r w:rsidR="007A57A0">
        <w:rPr>
          <w:rFonts w:ascii="Book Antiqua" w:hAnsi="Book Antiqua" w:cs="Arial"/>
          <w:b/>
          <w:bCs/>
        </w:rPr>
        <w:t>4</w:t>
      </w:r>
      <w:r w:rsidR="00746A5F">
        <w:rPr>
          <w:rFonts w:ascii="Book Antiqua" w:hAnsi="Book Antiqua" w:cs="Arial"/>
          <w:b/>
          <w:bCs/>
        </w:rPr>
        <w:t>,</w:t>
      </w:r>
      <w:r w:rsidR="007A57A0">
        <w:rPr>
          <w:rFonts w:ascii="Book Antiqua" w:hAnsi="Book Antiqua" w:cs="Arial"/>
          <w:b/>
          <w:bCs/>
        </w:rPr>
        <w:t>9</w:t>
      </w:r>
      <w:r w:rsidR="00746A5F" w:rsidRPr="00654239">
        <w:rPr>
          <w:rFonts w:ascii="Book Antiqua" w:hAnsi="Book Antiqua" w:cs="Arial"/>
          <w:b/>
          <w:bCs/>
        </w:rPr>
        <w:t>%.</w:t>
      </w:r>
      <w:r w:rsidR="00746A5F">
        <w:rPr>
          <w:rFonts w:ascii="Book Antiqua" w:hAnsi="Book Antiqua" w:cs="Arial"/>
          <w:b/>
          <w:bCs/>
        </w:rPr>
        <w:t xml:space="preserve"> </w:t>
      </w:r>
    </w:p>
    <w:p w:rsidR="00746A5F" w:rsidRDefault="006F4233" w:rsidP="00390F3F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Cette note</w:t>
      </w:r>
      <w:r w:rsidR="00BC1C1D">
        <w:rPr>
          <w:rFonts w:ascii="Book Antiqua" w:hAnsi="Book Antiqua" w:cs="Arial"/>
          <w:b/>
          <w:bCs/>
        </w:rPr>
        <w:t xml:space="preserve"> </w:t>
      </w:r>
      <w:r w:rsidR="00746A5F">
        <w:rPr>
          <w:rFonts w:ascii="Book Antiqua" w:hAnsi="Book Antiqua" w:cs="Arial"/>
          <w:b/>
          <w:bCs/>
        </w:rPr>
        <w:t xml:space="preserve">présente, par région, le PIB en volume et en valeur ainsi que les dépenses de consommation finales des ménages. </w:t>
      </w:r>
    </w:p>
    <w:p w:rsidR="00390F3F" w:rsidRDefault="00390F3F" w:rsidP="00746A5F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  <w:b/>
          <w:bCs/>
        </w:rPr>
      </w:pPr>
    </w:p>
    <w:p w:rsidR="00746A5F" w:rsidRPr="00C74ECE" w:rsidRDefault="00D81BF9" w:rsidP="00746A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C74ECE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</w:t>
      </w:r>
      <w:r w:rsidR="00746A5F" w:rsidRPr="00C74ECE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roissance économique régionale </w:t>
      </w:r>
    </w:p>
    <w:p w:rsidR="00746A5F" w:rsidRDefault="002D5990" w:rsidP="002D5990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En volume, </w:t>
      </w:r>
      <w:r w:rsidR="00746A5F">
        <w:rPr>
          <w:rFonts w:ascii="Book Antiqua" w:hAnsi="Book Antiqua" w:cs="Arial"/>
        </w:rPr>
        <w:t>Les comptes régionaux de 201</w:t>
      </w:r>
      <w:r w:rsidR="007A57A0">
        <w:rPr>
          <w:rFonts w:ascii="Book Antiqua" w:hAnsi="Book Antiqua" w:cs="Arial"/>
        </w:rPr>
        <w:t>7</w:t>
      </w:r>
      <w:r w:rsidR="00746A5F">
        <w:rPr>
          <w:rFonts w:ascii="Book Antiqua" w:hAnsi="Book Antiqua" w:cs="Arial"/>
        </w:rPr>
        <w:t xml:space="preserve"> font ressortir des disparités des taux de croissance du PIB entre les régions. S</w:t>
      </w:r>
      <w:r w:rsidR="00EE6C62">
        <w:rPr>
          <w:rFonts w:ascii="Book Antiqua" w:hAnsi="Book Antiqua" w:cs="Arial"/>
        </w:rPr>
        <w:t>ept</w:t>
      </w:r>
      <w:r w:rsidR="00746A5F">
        <w:rPr>
          <w:rFonts w:ascii="Book Antiqua" w:hAnsi="Book Antiqua" w:cs="Arial"/>
        </w:rPr>
        <w:t xml:space="preserve"> régions ont enregistré des taux de croissance supérieurs à la</w:t>
      </w:r>
      <w:r w:rsidR="00746A5F" w:rsidRPr="007E6293"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>moyenne nationale (</w:t>
      </w:r>
      <w:r w:rsidR="00EE6C62">
        <w:rPr>
          <w:rFonts w:ascii="Book Antiqua" w:hAnsi="Book Antiqua" w:cs="Arial"/>
        </w:rPr>
        <w:t>4</w:t>
      </w:r>
      <w:r w:rsidR="00746A5F">
        <w:rPr>
          <w:rFonts w:ascii="Book Antiqua" w:hAnsi="Book Antiqua" w:cs="Arial"/>
        </w:rPr>
        <w:t>,</w:t>
      </w:r>
      <w:r w:rsidR="00EE6C62">
        <w:rPr>
          <w:rFonts w:ascii="Book Antiqua" w:hAnsi="Book Antiqua" w:cs="Arial"/>
        </w:rPr>
        <w:t>2</w:t>
      </w:r>
      <w:r w:rsidR="00746A5F">
        <w:rPr>
          <w:rFonts w:ascii="Book Antiqua" w:hAnsi="Book Antiqua" w:cs="Arial"/>
        </w:rPr>
        <w:t xml:space="preserve">%). Il s’agit des </w:t>
      </w:r>
      <w:r w:rsidR="00746A5F" w:rsidRPr="007E6293">
        <w:rPr>
          <w:rFonts w:ascii="Book Antiqua" w:hAnsi="Book Antiqua" w:cs="Arial"/>
        </w:rPr>
        <w:t>région</w:t>
      </w:r>
      <w:r w:rsidR="00746A5F">
        <w:rPr>
          <w:rFonts w:ascii="Book Antiqua" w:hAnsi="Book Antiqua" w:cs="Arial"/>
        </w:rPr>
        <w:t>s</w:t>
      </w:r>
      <w:r w:rsidR="00746A5F" w:rsidRPr="007E6293">
        <w:rPr>
          <w:rFonts w:ascii="Book Antiqua" w:hAnsi="Book Antiqua" w:cs="Arial"/>
        </w:rPr>
        <w:t xml:space="preserve"> de</w:t>
      </w:r>
      <w:r w:rsidR="00746A5F" w:rsidRPr="00910774">
        <w:rPr>
          <w:rFonts w:ascii="Book Antiqua" w:hAnsi="Book Antiqua" w:cs="Arial"/>
        </w:rPr>
        <w:t xml:space="preserve"> </w:t>
      </w:r>
      <w:r w:rsidR="00746A5F" w:rsidRPr="007E6293">
        <w:rPr>
          <w:rFonts w:ascii="Book Antiqua" w:hAnsi="Book Antiqua" w:cs="Arial"/>
        </w:rPr>
        <w:t>Dakhla-Oued</w:t>
      </w:r>
      <w:r w:rsidR="00746A5F">
        <w:rPr>
          <w:rFonts w:ascii="Book Antiqua" w:hAnsi="Book Antiqua" w:cs="Arial"/>
        </w:rPr>
        <w:t>-E</w:t>
      </w:r>
      <w:r w:rsidR="00746A5F" w:rsidRPr="007E6293">
        <w:rPr>
          <w:rFonts w:ascii="Book Antiqua" w:hAnsi="Book Antiqua" w:cs="Arial"/>
        </w:rPr>
        <w:t>d</w:t>
      </w:r>
      <w:r w:rsidR="00746A5F">
        <w:rPr>
          <w:rFonts w:ascii="Book Antiqua" w:hAnsi="Book Antiqua" w:cs="Arial"/>
        </w:rPr>
        <w:t>-</w:t>
      </w:r>
      <w:r w:rsidR="00746A5F" w:rsidRPr="007E6293">
        <w:rPr>
          <w:rFonts w:ascii="Book Antiqua" w:hAnsi="Book Antiqua" w:cs="Arial"/>
        </w:rPr>
        <w:t xml:space="preserve">Dahab </w:t>
      </w:r>
      <w:r w:rsidR="00746A5F">
        <w:rPr>
          <w:rFonts w:ascii="Book Antiqua" w:hAnsi="Book Antiqua" w:cs="Arial"/>
        </w:rPr>
        <w:t>(</w:t>
      </w:r>
      <w:r w:rsidR="00EE6C62">
        <w:rPr>
          <w:rFonts w:ascii="Book Antiqua" w:hAnsi="Book Antiqua" w:cs="Arial"/>
        </w:rPr>
        <w:t>10</w:t>
      </w:r>
      <w:r w:rsidR="00746A5F">
        <w:rPr>
          <w:rFonts w:ascii="Book Antiqua" w:hAnsi="Book Antiqua" w:cs="Arial"/>
        </w:rPr>
        <w:t>,</w:t>
      </w:r>
      <w:r w:rsidR="00EE6C62">
        <w:rPr>
          <w:rFonts w:ascii="Book Antiqua" w:hAnsi="Book Antiqua" w:cs="Arial"/>
        </w:rPr>
        <w:t>3</w:t>
      </w:r>
      <w:r w:rsidR="00746A5F">
        <w:rPr>
          <w:rFonts w:ascii="Book Antiqua" w:hAnsi="Book Antiqua" w:cs="Arial"/>
        </w:rPr>
        <w:t xml:space="preserve">%), </w:t>
      </w:r>
      <w:r w:rsidR="00EE6C62" w:rsidRPr="007E6293">
        <w:rPr>
          <w:rFonts w:ascii="Book Antiqua" w:hAnsi="Book Antiqua" w:cs="Arial"/>
        </w:rPr>
        <w:t xml:space="preserve">de </w:t>
      </w:r>
      <w:r w:rsidR="00EE6C62" w:rsidRPr="006667F9">
        <w:rPr>
          <w:rFonts w:ascii="Book Antiqua" w:hAnsi="Book Antiqua" w:cs="Arial"/>
        </w:rPr>
        <w:t>Guelmim-Oued Noun</w:t>
      </w:r>
      <w:r w:rsidR="00EE6C62" w:rsidRPr="007E6293">
        <w:rPr>
          <w:rFonts w:ascii="Book Antiqua" w:hAnsi="Book Antiqua" w:cs="Arial"/>
        </w:rPr>
        <w:t xml:space="preserve"> </w:t>
      </w:r>
      <w:r w:rsidR="00EE6C62">
        <w:rPr>
          <w:rFonts w:ascii="Book Antiqua" w:hAnsi="Book Antiqua" w:cs="Arial"/>
        </w:rPr>
        <w:t xml:space="preserve">(9,1%), </w:t>
      </w:r>
      <w:r w:rsidR="00746A5F">
        <w:rPr>
          <w:rFonts w:ascii="Book Antiqua" w:hAnsi="Book Antiqua" w:cs="Arial"/>
        </w:rPr>
        <w:t xml:space="preserve">de </w:t>
      </w:r>
      <w:r w:rsidR="00746A5F" w:rsidRPr="007E6293">
        <w:rPr>
          <w:rFonts w:ascii="Book Antiqua" w:hAnsi="Book Antiqua" w:cs="Arial"/>
        </w:rPr>
        <w:t xml:space="preserve">Laâyoune-Saguia al Hamra </w:t>
      </w:r>
      <w:r w:rsidR="00746A5F">
        <w:rPr>
          <w:rFonts w:ascii="Book Antiqua" w:hAnsi="Book Antiqua" w:cs="Arial"/>
        </w:rPr>
        <w:t>(7,</w:t>
      </w:r>
      <w:r w:rsidR="00EE6C62">
        <w:rPr>
          <w:rFonts w:ascii="Book Antiqua" w:hAnsi="Book Antiqua" w:cs="Arial"/>
        </w:rPr>
        <w:t>4</w:t>
      </w:r>
      <w:r w:rsidR="00746A5F">
        <w:rPr>
          <w:rFonts w:ascii="Book Antiqua" w:hAnsi="Book Antiqua" w:cs="Arial"/>
        </w:rPr>
        <w:t xml:space="preserve">%), </w:t>
      </w:r>
      <w:r w:rsidR="00EE6C62">
        <w:rPr>
          <w:rFonts w:ascii="Book Antiqua" w:hAnsi="Book Antiqua" w:cs="Arial"/>
        </w:rPr>
        <w:t xml:space="preserve">de </w:t>
      </w:r>
      <w:r w:rsidR="00EE6C62" w:rsidRPr="007E6293">
        <w:rPr>
          <w:rFonts w:ascii="Book Antiqua" w:hAnsi="Book Antiqua" w:cs="Arial"/>
        </w:rPr>
        <w:t>Béni Mellal-Khénifra</w:t>
      </w:r>
      <w:r w:rsidR="00EE6C62">
        <w:rPr>
          <w:rFonts w:ascii="Book Antiqua" w:hAnsi="Book Antiqua" w:cs="Arial"/>
        </w:rPr>
        <w:t xml:space="preserve"> (6,6%), de l’Oriental (5,9%), de </w:t>
      </w:r>
      <w:r w:rsidR="00EE6C62" w:rsidRPr="007E6293">
        <w:rPr>
          <w:rFonts w:ascii="Book Antiqua" w:hAnsi="Book Antiqua" w:cs="Arial"/>
        </w:rPr>
        <w:t>Tanger-Tétouan-Al Hoceima (</w:t>
      </w:r>
      <w:r w:rsidR="00EE6C62">
        <w:rPr>
          <w:rFonts w:ascii="Book Antiqua" w:hAnsi="Book Antiqua" w:cs="Arial"/>
        </w:rPr>
        <w:t>5,8%) et de</w:t>
      </w:r>
      <w:r w:rsidR="00EE6C62" w:rsidRPr="0066785B">
        <w:rPr>
          <w:rFonts w:ascii="Book Antiqua" w:hAnsi="Book Antiqua" w:cs="Arial"/>
        </w:rPr>
        <w:t xml:space="preserve"> </w:t>
      </w:r>
      <w:r w:rsidR="00EE6C62">
        <w:rPr>
          <w:rFonts w:ascii="Book Antiqua" w:hAnsi="Book Antiqua" w:cs="Arial"/>
        </w:rPr>
        <w:t xml:space="preserve">la région de </w:t>
      </w:r>
      <w:r w:rsidR="00EE6C62" w:rsidRPr="00AC52D2">
        <w:rPr>
          <w:rFonts w:ascii="Book Antiqua" w:hAnsi="Book Antiqua" w:cs="Arial"/>
        </w:rPr>
        <w:t>Rabat-Salé-</w:t>
      </w:r>
      <w:r w:rsidR="00EE6C62" w:rsidRPr="00FF57BD">
        <w:rPr>
          <w:rFonts w:ascii="Book Antiqua" w:hAnsi="Book Antiqua" w:cs="Arial"/>
        </w:rPr>
        <w:t>Kénitr</w:t>
      </w:r>
      <w:r w:rsidR="00EE6C62">
        <w:rPr>
          <w:rFonts w:ascii="Book Antiqua" w:hAnsi="Book Antiqua" w:cs="Arial"/>
        </w:rPr>
        <w:t>a (5%).</w:t>
      </w:r>
    </w:p>
    <w:p w:rsidR="00746A5F" w:rsidRDefault="00746A5F" w:rsidP="00EE6C62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EE6C62">
        <w:rPr>
          <w:rFonts w:ascii="Book Antiqua" w:hAnsi="Book Antiqua" w:cs="Arial"/>
        </w:rPr>
        <w:t>es</w:t>
      </w:r>
      <w:r>
        <w:rPr>
          <w:rFonts w:ascii="Book Antiqua" w:hAnsi="Book Antiqua" w:cs="Arial"/>
        </w:rPr>
        <w:t xml:space="preserve"> région</w:t>
      </w:r>
      <w:r w:rsidR="00EE6C62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 d</w:t>
      </w:r>
      <w:r w:rsidRPr="007E6293">
        <w:rPr>
          <w:rFonts w:ascii="Book Antiqua" w:hAnsi="Book Antiqua" w:cs="Arial"/>
        </w:rPr>
        <w:t>e Casablanca-Settat</w:t>
      </w:r>
      <w:r w:rsidR="00EE6C62">
        <w:rPr>
          <w:rFonts w:ascii="Book Antiqua" w:hAnsi="Book Antiqua" w:cs="Arial"/>
        </w:rPr>
        <w:t xml:space="preserve"> et de </w:t>
      </w:r>
      <w:r w:rsidR="00EE6C62" w:rsidRPr="000762DA">
        <w:rPr>
          <w:rFonts w:ascii="Book Antiqua" w:hAnsi="Book Antiqua" w:cs="Arial"/>
        </w:rPr>
        <w:t>Marrakech-Safi</w:t>
      </w:r>
      <w:r w:rsidR="00EE6C62">
        <w:rPr>
          <w:rFonts w:ascii="Book Antiqua" w:hAnsi="Book Antiqua" w:cs="Arial"/>
        </w:rPr>
        <w:t xml:space="preserve"> ont </w:t>
      </w:r>
      <w:r>
        <w:rPr>
          <w:rFonts w:ascii="Book Antiqua" w:hAnsi="Book Antiqua" w:cs="Arial"/>
        </w:rPr>
        <w:t xml:space="preserve">marqué </w:t>
      </w:r>
      <w:r w:rsidR="00EE6C62">
        <w:rPr>
          <w:rFonts w:ascii="Book Antiqua" w:hAnsi="Book Antiqua" w:cs="Arial"/>
        </w:rPr>
        <w:t>des</w:t>
      </w:r>
      <w:r>
        <w:rPr>
          <w:rFonts w:ascii="Book Antiqua" w:hAnsi="Book Antiqua" w:cs="Arial"/>
        </w:rPr>
        <w:t xml:space="preserve"> taux de croissance, proche</w:t>
      </w:r>
      <w:r w:rsidR="00CB52B5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 de la moyenne nationale, de </w:t>
      </w:r>
      <w:r w:rsidR="00EE6C62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%</w:t>
      </w:r>
      <w:r w:rsidR="00EE6C62">
        <w:rPr>
          <w:rFonts w:ascii="Book Antiqua" w:hAnsi="Book Antiqua" w:cs="Arial"/>
        </w:rPr>
        <w:t xml:space="preserve"> et 3,9% successivement</w:t>
      </w:r>
      <w:r w:rsidRPr="007E6293">
        <w:rPr>
          <w:rFonts w:ascii="Book Antiqua" w:hAnsi="Book Antiqua" w:cs="Arial"/>
        </w:rPr>
        <w:t>.</w:t>
      </w:r>
    </w:p>
    <w:p w:rsidR="00746A5F" w:rsidRDefault="00746A5F" w:rsidP="00CA3410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autres régions </w:t>
      </w:r>
      <w:r w:rsidR="00CA3410">
        <w:rPr>
          <w:rFonts w:ascii="Book Antiqua" w:hAnsi="Book Antiqua" w:cs="Arial"/>
        </w:rPr>
        <w:t xml:space="preserve">ont </w:t>
      </w:r>
      <w:r>
        <w:rPr>
          <w:rFonts w:ascii="Book Antiqua" w:hAnsi="Book Antiqua" w:cs="Arial"/>
        </w:rPr>
        <w:t>présent</w:t>
      </w:r>
      <w:r w:rsidR="00CA3410">
        <w:rPr>
          <w:rFonts w:ascii="Book Antiqua" w:hAnsi="Book Antiqua" w:cs="Arial"/>
        </w:rPr>
        <w:t>é</w:t>
      </w:r>
      <w:r>
        <w:rPr>
          <w:rFonts w:ascii="Book Antiqua" w:hAnsi="Book Antiqua" w:cs="Arial"/>
        </w:rPr>
        <w:t xml:space="preserve"> des taux de croissance inférieurs à la moyenne nationale </w:t>
      </w:r>
      <w:r w:rsidR="00EE6C62">
        <w:rPr>
          <w:rFonts w:ascii="Book Antiqua" w:hAnsi="Book Antiqua" w:cs="Arial"/>
        </w:rPr>
        <w:t xml:space="preserve">avec 1,1 % dans les régions </w:t>
      </w:r>
      <w:r w:rsidR="006F4233">
        <w:rPr>
          <w:rFonts w:ascii="Book Antiqua" w:hAnsi="Book Antiqua" w:cs="Arial"/>
        </w:rPr>
        <w:t xml:space="preserve">de </w:t>
      </w:r>
      <w:r w:rsidR="00EE6C62" w:rsidRPr="0073084F">
        <w:rPr>
          <w:rFonts w:ascii="Book Antiqua" w:hAnsi="Book Antiqua" w:cs="Arial"/>
        </w:rPr>
        <w:t>Souss-Massa</w:t>
      </w:r>
      <w:r w:rsidR="00EE6C62" w:rsidRPr="000762DA">
        <w:rPr>
          <w:rFonts w:ascii="Book Antiqua" w:hAnsi="Book Antiqua" w:cs="Arial"/>
        </w:rPr>
        <w:t xml:space="preserve"> </w:t>
      </w:r>
      <w:r w:rsidR="00EE6C62">
        <w:rPr>
          <w:rFonts w:ascii="Book Antiqua" w:hAnsi="Book Antiqua" w:cs="Arial"/>
        </w:rPr>
        <w:t xml:space="preserve"> et de </w:t>
      </w:r>
      <w:r w:rsidR="00EE6C62" w:rsidRPr="0066785B">
        <w:rPr>
          <w:rFonts w:ascii="Book Antiqua" w:hAnsi="Book Antiqua" w:cs="Arial"/>
        </w:rPr>
        <w:t>Drâa-Tafilalet</w:t>
      </w:r>
      <w:r w:rsidR="00EE6C62">
        <w:rPr>
          <w:rFonts w:ascii="Book Antiqua" w:hAnsi="Book Antiqua" w:cs="Arial"/>
        </w:rPr>
        <w:t xml:space="preserve">, et </w:t>
      </w:r>
      <w:r w:rsidR="00C0048F">
        <w:rPr>
          <w:rFonts w:ascii="Book Antiqua" w:hAnsi="Book Antiqua" w:cs="Arial"/>
        </w:rPr>
        <w:t xml:space="preserve">0,8% dans la région de </w:t>
      </w:r>
      <w:r w:rsidR="00EE6C62">
        <w:rPr>
          <w:rFonts w:ascii="Book Antiqua" w:hAnsi="Book Antiqua" w:cs="Arial"/>
        </w:rPr>
        <w:t xml:space="preserve"> </w:t>
      </w:r>
      <w:r w:rsidR="00C0048F">
        <w:rPr>
          <w:rFonts w:ascii="Book Antiqua" w:hAnsi="Book Antiqua" w:cs="Arial"/>
        </w:rPr>
        <w:t>Fès-Meknès.</w:t>
      </w:r>
    </w:p>
    <w:p w:rsidR="00746A5F" w:rsidRDefault="00746A5F" w:rsidP="00C82B7E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 w:rsidRPr="007E6293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Par ailleurs, 3</w:t>
      </w:r>
      <w:r w:rsidR="006B39DC">
        <w:rPr>
          <w:rFonts w:ascii="Book Antiqua" w:hAnsi="Book Antiqua" w:cs="Arial"/>
        </w:rPr>
        <w:t>0</w:t>
      </w:r>
      <w:r>
        <w:rPr>
          <w:rFonts w:ascii="Book Antiqua" w:hAnsi="Book Antiqua" w:cs="Arial"/>
        </w:rPr>
        <w:t>,</w:t>
      </w:r>
      <w:r w:rsidR="006B39DC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 xml:space="preserve">% de la croissance nationale est à mettre à l’actif de la région de </w:t>
      </w:r>
      <w:r w:rsidRPr="007E6293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dont la contribution  à la croissance du PIB  </w:t>
      </w:r>
      <w:r w:rsidR="00C82B7E">
        <w:rPr>
          <w:rFonts w:ascii="Book Antiqua" w:hAnsi="Book Antiqua" w:cs="Arial"/>
        </w:rPr>
        <w:t>a été</w:t>
      </w:r>
      <w:r>
        <w:rPr>
          <w:rFonts w:ascii="Book Antiqua" w:hAnsi="Book Antiqua" w:cs="Arial"/>
        </w:rPr>
        <w:t xml:space="preserve"> de </w:t>
      </w:r>
      <w:r w:rsidR="006B39DC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6B39DC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 point.</w:t>
      </w:r>
    </w:p>
    <w:p w:rsidR="00746A5F" w:rsidRDefault="00746A5F" w:rsidP="00CA3410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Les régions de </w:t>
      </w:r>
      <w:r w:rsidR="006B39DC" w:rsidRPr="00AC52D2">
        <w:rPr>
          <w:rFonts w:ascii="Book Antiqua" w:hAnsi="Book Antiqua" w:cs="Arial"/>
        </w:rPr>
        <w:t>Rabat-Salé-</w:t>
      </w:r>
      <w:r w:rsidR="006B39DC" w:rsidRPr="00FF57BD">
        <w:rPr>
          <w:rFonts w:ascii="Book Antiqua" w:hAnsi="Book Antiqua" w:cs="Arial"/>
        </w:rPr>
        <w:t>Kénitr</w:t>
      </w:r>
      <w:r w:rsidR="006B39DC">
        <w:rPr>
          <w:rFonts w:ascii="Book Antiqua" w:hAnsi="Book Antiqua" w:cs="Arial"/>
        </w:rPr>
        <w:t xml:space="preserve">a et </w:t>
      </w:r>
      <w:r w:rsidRPr="007E6293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 xml:space="preserve"> </w:t>
      </w:r>
      <w:r w:rsidR="00CA3410">
        <w:rPr>
          <w:rFonts w:ascii="Book Antiqua" w:hAnsi="Book Antiqua" w:cs="Arial"/>
        </w:rPr>
        <w:t>ont participé</w:t>
      </w:r>
      <w:r>
        <w:rPr>
          <w:rFonts w:ascii="Book Antiqua" w:hAnsi="Book Antiqua" w:cs="Arial"/>
        </w:rPr>
        <w:t xml:space="preserve"> pour </w:t>
      </w:r>
      <w:r w:rsidR="006B39DC">
        <w:rPr>
          <w:rFonts w:ascii="Book Antiqua" w:hAnsi="Book Antiqua" w:cs="Arial"/>
        </w:rPr>
        <w:t>un tiers</w:t>
      </w:r>
      <w:r>
        <w:rPr>
          <w:rFonts w:ascii="Book Antiqua" w:hAnsi="Book Antiqua" w:cs="Arial"/>
        </w:rPr>
        <w:t xml:space="preserve"> à la croissance du PIB en volume, soit </w:t>
      </w:r>
      <w:r w:rsidR="00E67CC7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E67CC7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 xml:space="preserve"> point, avec 0,</w:t>
      </w:r>
      <w:r w:rsidR="00E67CC7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 et 0,</w:t>
      </w:r>
      <w:r w:rsidR="00E67CC7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 point respectivement.</w:t>
      </w:r>
    </w:p>
    <w:p w:rsidR="00746A5F" w:rsidRDefault="00746A5F" w:rsidP="007E1478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neuf régions restantes </w:t>
      </w:r>
      <w:r w:rsidR="00CA3410">
        <w:rPr>
          <w:rFonts w:ascii="Book Antiqua" w:hAnsi="Book Antiqua" w:cs="Arial"/>
        </w:rPr>
        <w:t>ont contribué</w:t>
      </w:r>
      <w:r>
        <w:rPr>
          <w:rFonts w:ascii="Book Antiqua" w:hAnsi="Book Antiqua" w:cs="Arial"/>
        </w:rPr>
        <w:t xml:space="preserve"> pour </w:t>
      </w:r>
      <w:r w:rsidR="00E67CC7">
        <w:rPr>
          <w:rFonts w:ascii="Book Antiqua" w:hAnsi="Book Antiqua" w:cs="Arial"/>
        </w:rPr>
        <w:t xml:space="preserve">un peu plus du tiers </w:t>
      </w:r>
      <w:r>
        <w:rPr>
          <w:rFonts w:ascii="Book Antiqua" w:hAnsi="Book Antiqua" w:cs="Arial"/>
        </w:rPr>
        <w:t>de la croissance enregistrée en 201</w:t>
      </w:r>
      <w:r w:rsidR="00E67CC7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 soit </w:t>
      </w:r>
      <w:r w:rsidR="00E67CC7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E67CC7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 xml:space="preserve"> point.</w:t>
      </w:r>
    </w:p>
    <w:p w:rsidR="00746A5F" w:rsidRDefault="00746A5F" w:rsidP="00C74ECE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 </w:t>
      </w:r>
      <w:r w:rsidR="00030B51">
        <w:rPr>
          <w:rFonts w:ascii="Book Antiqua" w:hAnsi="Book Antiqua" w:cs="Arial"/>
          <w:noProof/>
        </w:rPr>
        <w:drawing>
          <wp:inline distT="0" distB="0" distL="0" distR="0">
            <wp:extent cx="5798470" cy="3932911"/>
            <wp:effectExtent l="17758" t="11851" r="13072" b="4938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46A5F" w:rsidRDefault="00D81BF9" w:rsidP="00746A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</w:t>
      </w:r>
      <w:r w:rsidR="00746A5F" w:rsidRPr="000323D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à la 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création du PIB</w:t>
      </w:r>
      <w:r w:rsidR="00D842E8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en valeur</w:t>
      </w:r>
    </w:p>
    <w:p w:rsidR="00746A5F" w:rsidRPr="00242F95" w:rsidRDefault="00D842E8" w:rsidP="00D842E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</w:rPr>
        <w:t>Aux prix courants, l</w:t>
      </w:r>
      <w:r w:rsidR="00746A5F" w:rsidRPr="00D51E50">
        <w:rPr>
          <w:rFonts w:ascii="Book Antiqua" w:hAnsi="Book Antiqua" w:cs="Arial"/>
        </w:rPr>
        <w:t xml:space="preserve">es </w:t>
      </w:r>
      <w:r w:rsidR="00746A5F">
        <w:rPr>
          <w:rFonts w:ascii="Book Antiqua" w:hAnsi="Book Antiqua" w:cs="Arial"/>
        </w:rPr>
        <w:t xml:space="preserve">trois régions de Casablanca-Settat, </w:t>
      </w:r>
      <w:r w:rsidR="00746A5F" w:rsidRPr="000762DA">
        <w:rPr>
          <w:rFonts w:ascii="Book Antiqua" w:hAnsi="Book Antiqua" w:cs="Arial"/>
        </w:rPr>
        <w:t xml:space="preserve">de Rabat-Salé-Kénitra </w:t>
      </w:r>
      <w:r w:rsidR="00746A5F">
        <w:rPr>
          <w:rFonts w:ascii="Book Antiqua" w:hAnsi="Book Antiqua" w:cs="Arial"/>
        </w:rPr>
        <w:t xml:space="preserve">et de </w:t>
      </w:r>
      <w:r w:rsidR="00746A5F" w:rsidRPr="0073084F">
        <w:rPr>
          <w:rFonts w:ascii="Book Antiqua" w:hAnsi="Book Antiqua" w:cs="Arial"/>
        </w:rPr>
        <w:t xml:space="preserve">Tanger-Tétouan-Al Hoceima </w:t>
      </w:r>
      <w:r w:rsidR="00746A5F">
        <w:rPr>
          <w:rFonts w:ascii="Book Antiqua" w:hAnsi="Book Antiqua" w:cs="Arial"/>
        </w:rPr>
        <w:t>ont créé 58,</w:t>
      </w:r>
      <w:r w:rsidR="00DC3E98">
        <w:rPr>
          <w:rFonts w:ascii="Book Antiqua" w:hAnsi="Book Antiqua" w:cs="Arial"/>
        </w:rPr>
        <w:t>6</w:t>
      </w:r>
      <w:r w:rsidR="00746A5F">
        <w:rPr>
          <w:rFonts w:ascii="Book Antiqua" w:hAnsi="Book Antiqua" w:cs="Arial"/>
        </w:rPr>
        <w:t xml:space="preserve"> % de la richesse nationale, avec </w:t>
      </w:r>
      <w:r w:rsidR="00746A5F" w:rsidRPr="000762DA">
        <w:rPr>
          <w:rFonts w:ascii="Book Antiqua" w:hAnsi="Book Antiqua" w:cs="Arial"/>
        </w:rPr>
        <w:t>3</w:t>
      </w:r>
      <w:r w:rsidR="00DC3E98">
        <w:rPr>
          <w:rFonts w:ascii="Book Antiqua" w:hAnsi="Book Antiqua" w:cs="Arial"/>
        </w:rPr>
        <w:t>1,9</w:t>
      </w:r>
      <w:r w:rsidR="00390F3F">
        <w:rPr>
          <w:rFonts w:ascii="Book Antiqua" w:hAnsi="Book Antiqua" w:cs="Arial"/>
        </w:rPr>
        <w:t xml:space="preserve"> %,  16</w:t>
      </w:r>
      <w:r w:rsidR="00DC3E98">
        <w:rPr>
          <w:rFonts w:ascii="Book Antiqua" w:hAnsi="Book Antiqua" w:cs="Arial"/>
        </w:rPr>
        <w:t>,2</w:t>
      </w:r>
      <w:r w:rsidR="00390F3F">
        <w:rPr>
          <w:rFonts w:ascii="Book Antiqua" w:hAnsi="Book Antiqua" w:cs="Arial"/>
        </w:rPr>
        <w:t xml:space="preserve"> % et 10,</w:t>
      </w:r>
      <w:r w:rsidR="00DC3E98">
        <w:rPr>
          <w:rFonts w:ascii="Book Antiqua" w:hAnsi="Book Antiqua" w:cs="Arial"/>
        </w:rPr>
        <w:t>5</w:t>
      </w:r>
      <w:r w:rsidR="00746A5F">
        <w:rPr>
          <w:rFonts w:ascii="Book Antiqua" w:hAnsi="Book Antiqua" w:cs="Arial"/>
        </w:rPr>
        <w:t>% respectivement.</w:t>
      </w:r>
    </w:p>
    <w:p w:rsidR="00746A5F" w:rsidRPr="00E9771B" w:rsidRDefault="00746A5F" w:rsidP="00DC3E98">
      <w:pPr>
        <w:pStyle w:val="Paragraphedeliste"/>
        <w:autoSpaceDE w:val="0"/>
        <w:autoSpaceDN w:val="0"/>
        <w:adjustRightInd w:val="0"/>
        <w:spacing w:before="240" w:after="100" w:afterAutospacing="1" w:line="276" w:lineRule="auto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Quatre </w:t>
      </w:r>
      <w:r w:rsidRPr="000762DA">
        <w:rPr>
          <w:rFonts w:ascii="Book Antiqua" w:hAnsi="Book Antiqua" w:cs="Arial"/>
        </w:rPr>
        <w:t xml:space="preserve"> régions </w:t>
      </w:r>
      <w:r>
        <w:rPr>
          <w:rFonts w:ascii="Book Antiqua" w:hAnsi="Book Antiqua" w:cs="Arial"/>
        </w:rPr>
        <w:t xml:space="preserve">ont généré </w:t>
      </w:r>
      <w:r w:rsidR="00DC3E98">
        <w:rPr>
          <w:rFonts w:ascii="Book Antiqua" w:hAnsi="Book Antiqua" w:cs="Arial"/>
        </w:rPr>
        <w:t>29</w:t>
      </w:r>
      <w:r w:rsidRPr="000762DA">
        <w:rPr>
          <w:rFonts w:ascii="Book Antiqua" w:hAnsi="Book Antiqua" w:cs="Arial"/>
        </w:rPr>
        <w:t>,</w:t>
      </w:r>
      <w:r w:rsidR="006F4233">
        <w:rPr>
          <w:rFonts w:ascii="Book Antiqua" w:hAnsi="Book Antiqua" w:cs="Arial"/>
        </w:rPr>
        <w:t>6</w:t>
      </w:r>
      <w:r w:rsidRPr="000762DA">
        <w:rPr>
          <w:rFonts w:ascii="Book Antiqua" w:hAnsi="Book Antiqua" w:cs="Arial"/>
        </w:rPr>
        <w:t>% du PIB</w:t>
      </w:r>
      <w:r>
        <w:rPr>
          <w:rFonts w:ascii="Book Antiqua" w:hAnsi="Book Antiqua" w:cs="Arial"/>
        </w:rPr>
        <w:t xml:space="preserve"> : la région de Fès-Meknès avec </w:t>
      </w:r>
      <w:r w:rsidR="00DC3E98">
        <w:rPr>
          <w:rFonts w:ascii="Book Antiqua" w:hAnsi="Book Antiqua" w:cs="Arial"/>
        </w:rPr>
        <w:t>8,7</w:t>
      </w:r>
      <w:r>
        <w:rPr>
          <w:rFonts w:ascii="Book Antiqua" w:hAnsi="Book Antiqua" w:cs="Arial"/>
        </w:rPr>
        <w:t xml:space="preserve">%, de </w:t>
      </w:r>
      <w:r w:rsidRPr="000762DA">
        <w:rPr>
          <w:rFonts w:ascii="Book Antiqua" w:hAnsi="Book Antiqua" w:cs="Arial"/>
        </w:rPr>
        <w:t>Marrakech-Safi</w:t>
      </w:r>
      <w:r>
        <w:rPr>
          <w:rFonts w:ascii="Book Antiqua" w:hAnsi="Book Antiqua" w:cs="Arial"/>
        </w:rPr>
        <w:t xml:space="preserve"> avec 8,</w:t>
      </w:r>
      <w:r w:rsidR="00DC3E98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 xml:space="preserve">%, </w:t>
      </w:r>
      <w:r w:rsidRPr="000762DA">
        <w:rPr>
          <w:rFonts w:ascii="Book Antiqua" w:hAnsi="Book Antiqua" w:cs="Arial"/>
        </w:rPr>
        <w:t xml:space="preserve">de </w:t>
      </w:r>
      <w:r w:rsidRPr="0073084F">
        <w:rPr>
          <w:rFonts w:ascii="Book Antiqua" w:hAnsi="Book Antiqua" w:cs="Arial"/>
        </w:rPr>
        <w:t>Souss-Massa</w:t>
      </w:r>
      <w:r w:rsidRPr="000762DA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avec 6</w:t>
      </w:r>
      <w:r w:rsidRPr="000762DA">
        <w:rPr>
          <w:rFonts w:ascii="Book Antiqua" w:hAnsi="Book Antiqua" w:cs="Arial"/>
        </w:rPr>
        <w:t>,</w:t>
      </w:r>
      <w:r w:rsidR="00DC3E98">
        <w:rPr>
          <w:rFonts w:ascii="Book Antiqua" w:hAnsi="Book Antiqua" w:cs="Arial"/>
        </w:rPr>
        <w:t>6</w:t>
      </w:r>
      <w:r w:rsidRPr="000762DA">
        <w:rPr>
          <w:rFonts w:ascii="Book Antiqua" w:hAnsi="Book Antiqua" w:cs="Arial"/>
        </w:rPr>
        <w:t>% </w:t>
      </w:r>
      <w:r>
        <w:rPr>
          <w:rFonts w:ascii="Book Antiqua" w:hAnsi="Book Antiqua" w:cs="Arial"/>
        </w:rPr>
        <w:t>et  de</w:t>
      </w:r>
      <w:r w:rsidRPr="000762DA">
        <w:rPr>
          <w:rFonts w:ascii="Book Antiqua" w:hAnsi="Book Antiqua" w:cs="Arial"/>
        </w:rPr>
        <w:t xml:space="preserve"> Béni Mellal-Khénifra </w:t>
      </w:r>
      <w:r>
        <w:rPr>
          <w:rFonts w:ascii="Book Antiqua" w:hAnsi="Book Antiqua" w:cs="Arial"/>
        </w:rPr>
        <w:t>avec 5,</w:t>
      </w:r>
      <w:r w:rsidR="00DC3E98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%.</w:t>
      </w:r>
    </w:p>
    <w:p w:rsidR="00746A5F" w:rsidRDefault="00746A5F" w:rsidP="00DC3E98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</w:t>
      </w:r>
      <w:r w:rsidRPr="00E9771B">
        <w:rPr>
          <w:rFonts w:ascii="Book Antiqua" w:hAnsi="Book Antiqua" w:cs="Arial"/>
        </w:rPr>
        <w:t xml:space="preserve">de </w:t>
      </w:r>
      <w:r>
        <w:rPr>
          <w:rFonts w:ascii="Book Antiqua" w:hAnsi="Book Antiqua" w:cs="Arial"/>
        </w:rPr>
        <w:t xml:space="preserve">l’oriental, de </w:t>
      </w:r>
      <w:r w:rsidRPr="00E9771B">
        <w:rPr>
          <w:rFonts w:ascii="Book Antiqua" w:hAnsi="Book Antiqua" w:cs="Arial"/>
        </w:rPr>
        <w:t>Drâa-Tafilalet</w:t>
      </w:r>
      <w:r>
        <w:rPr>
          <w:rFonts w:ascii="Book Antiqua" w:hAnsi="Book Antiqua" w:cs="Arial"/>
        </w:rPr>
        <w:t xml:space="preserve"> </w:t>
      </w:r>
      <w:r w:rsidRPr="00E9771B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>l</w:t>
      </w:r>
      <w:r w:rsidRPr="00E9771B">
        <w:rPr>
          <w:rFonts w:ascii="Book Antiqua" w:hAnsi="Book Antiqua" w:cs="Arial"/>
        </w:rPr>
        <w:t xml:space="preserve">es trois régions du sud </w:t>
      </w:r>
      <w:r>
        <w:rPr>
          <w:rFonts w:ascii="Book Antiqua" w:hAnsi="Book Antiqua" w:cs="Arial"/>
        </w:rPr>
        <w:t xml:space="preserve">n’ont contribué qu’à hauteur </w:t>
      </w:r>
      <w:r w:rsidRPr="00E9771B">
        <w:rPr>
          <w:rFonts w:ascii="Book Antiqua" w:hAnsi="Book Antiqua" w:cs="Arial"/>
        </w:rPr>
        <w:t xml:space="preserve">de </w:t>
      </w:r>
      <w:r>
        <w:rPr>
          <w:rFonts w:ascii="Book Antiqua" w:hAnsi="Book Antiqua" w:cs="Arial"/>
        </w:rPr>
        <w:t>11,</w:t>
      </w:r>
      <w:r w:rsidR="00DC3E98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% à la création de PIB en valeur, avec  4,</w:t>
      </w:r>
      <w:r w:rsidR="00DC3E98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%, 2,</w:t>
      </w:r>
      <w:r w:rsidR="00DC3E98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 xml:space="preserve">% </w:t>
      </w:r>
      <w:r w:rsidRPr="00E9771B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>4</w:t>
      </w:r>
      <w:r w:rsidRPr="00E9771B">
        <w:rPr>
          <w:rFonts w:ascii="Book Antiqua" w:hAnsi="Book Antiqua" w:cs="Arial"/>
        </w:rPr>
        <w:t>,</w:t>
      </w:r>
      <w:r w:rsidR="00DC3E98">
        <w:rPr>
          <w:rFonts w:ascii="Book Antiqua" w:hAnsi="Book Antiqua" w:cs="Arial"/>
        </w:rPr>
        <w:t>3</w:t>
      </w:r>
      <w:r w:rsidRPr="00E9771B">
        <w:rPr>
          <w:rFonts w:ascii="Book Antiqua" w:hAnsi="Book Antiqua" w:cs="Arial"/>
        </w:rPr>
        <w:t>%</w:t>
      </w:r>
      <w:r>
        <w:rPr>
          <w:rFonts w:ascii="Arial" w:hAnsi="Arial" w:cs="Arial"/>
          <w:bCs/>
          <w:color w:val="000000"/>
        </w:rPr>
        <w:t xml:space="preserve"> </w:t>
      </w:r>
      <w:r w:rsidRPr="00070FA9">
        <w:rPr>
          <w:rFonts w:ascii="Book Antiqua" w:hAnsi="Book Antiqua" w:cs="Arial"/>
        </w:rPr>
        <w:t>respectivement.</w:t>
      </w:r>
    </w:p>
    <w:p w:rsidR="00746A5F" w:rsidRDefault="00746A5F" w:rsidP="00E468BE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Dans ces conditions, les disparités </w:t>
      </w:r>
      <w:r w:rsidR="00CB52B5">
        <w:rPr>
          <w:rFonts w:ascii="Book Antiqua" w:hAnsi="Book Antiqua" w:cs="Arial"/>
        </w:rPr>
        <w:t xml:space="preserve">en termes de création de la richesse </w:t>
      </w:r>
      <w:r>
        <w:rPr>
          <w:rFonts w:ascii="Book Antiqua" w:hAnsi="Book Antiqua" w:cs="Arial"/>
        </w:rPr>
        <w:t>entre les régions se sont accentuées.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(la moyenne des écarts absolus </w:t>
      </w:r>
      <w:r w:rsidRPr="00AC52D2">
        <w:rPr>
          <w:rFonts w:ascii="Book Antiqua" w:hAnsi="Book Antiqua" w:cs="Arial"/>
        </w:rPr>
        <w:t>entre le PIB des différen</w:t>
      </w:r>
      <w:r>
        <w:rPr>
          <w:rFonts w:ascii="Book Antiqua" w:hAnsi="Book Antiqua" w:cs="Arial"/>
        </w:rPr>
        <w:t xml:space="preserve">tes régions et le PIB régional </w:t>
      </w:r>
      <w:r w:rsidRPr="00AC52D2">
        <w:rPr>
          <w:rFonts w:ascii="Book Antiqua" w:hAnsi="Book Antiqua" w:cs="Arial"/>
        </w:rPr>
        <w:t>moyen</w:t>
      </w:r>
      <w:r>
        <w:rPr>
          <w:rFonts w:ascii="Book Antiqua" w:hAnsi="Book Antiqua" w:cs="Arial"/>
        </w:rPr>
        <w:t>) est passé de 5</w:t>
      </w:r>
      <w:r w:rsidR="00E468BE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,</w:t>
      </w:r>
      <w:r w:rsidR="00DC3E98">
        <w:rPr>
          <w:rFonts w:ascii="Book Antiqua" w:hAnsi="Book Antiqua" w:cs="Arial"/>
        </w:rPr>
        <w:t>1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milliards de DH en 201</w:t>
      </w:r>
      <w:r w:rsidR="00DC3E98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 à </w:t>
      </w:r>
      <w:r w:rsidR="00DC3E98">
        <w:rPr>
          <w:rFonts w:ascii="Book Antiqua" w:hAnsi="Book Antiqua" w:cs="Arial"/>
        </w:rPr>
        <w:t>60</w:t>
      </w:r>
      <w:r>
        <w:rPr>
          <w:rFonts w:ascii="Book Antiqua" w:hAnsi="Book Antiqua" w:cs="Arial"/>
        </w:rPr>
        <w:t>,</w:t>
      </w:r>
      <w:r w:rsidR="00DC3E98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milliards</w:t>
      </w:r>
      <w:r>
        <w:rPr>
          <w:rFonts w:ascii="Book Antiqua" w:hAnsi="Book Antiqua" w:cs="Arial"/>
        </w:rPr>
        <w:t xml:space="preserve"> en 201</w:t>
      </w:r>
      <w:r w:rsidR="00DC3E98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.</w:t>
      </w:r>
    </w:p>
    <w:p w:rsidR="00746A5F" w:rsidRPr="008B5472" w:rsidRDefault="00D81BF9" w:rsidP="00746A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PIB </w:t>
      </w:r>
      <w:r w:rsidR="00746A5F"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région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al par secteur d’activité</w:t>
      </w:r>
      <w:r w:rsidR="00746A5F"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746A5F" w:rsidRDefault="00746A5F" w:rsidP="0048345E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Pr="001F389D">
        <w:rPr>
          <w:rFonts w:ascii="Book Antiqua" w:hAnsi="Book Antiqua" w:cs="Arial"/>
        </w:rPr>
        <w:t xml:space="preserve">activités </w:t>
      </w:r>
      <w:r>
        <w:rPr>
          <w:rFonts w:ascii="Book Antiqua" w:hAnsi="Book Antiqua" w:cs="Arial"/>
        </w:rPr>
        <w:t>primaires</w:t>
      </w:r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(agriculture et pêche) constituent 12</w:t>
      </w:r>
      <w:r w:rsidR="00121EF3">
        <w:rPr>
          <w:rFonts w:ascii="Book Antiqua" w:hAnsi="Book Antiqua" w:cs="Arial"/>
        </w:rPr>
        <w:t>,4</w:t>
      </w:r>
      <w:r>
        <w:rPr>
          <w:rFonts w:ascii="Book Antiqua" w:hAnsi="Book Antiqua" w:cs="Arial"/>
        </w:rPr>
        <w:t>% du PIB au niveau national en 201</w:t>
      </w:r>
      <w:r w:rsidR="00121EF3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. La contribution de ce secteur à </w:t>
      </w:r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la création de la richesse dépasse, dans la majorité des régions, cette moyenne nationale. Ces activités contribuent pour 2</w:t>
      </w:r>
      <w:r w:rsidR="0048345E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,</w:t>
      </w:r>
      <w:r w:rsidR="00EC4306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% au  PIB de la région de </w:t>
      </w:r>
      <w:r w:rsidRPr="005A3642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5A3642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5A3642">
        <w:rPr>
          <w:rFonts w:ascii="Book Antiqua" w:hAnsi="Book Antiqua" w:cs="Arial"/>
        </w:rPr>
        <w:t>Dahab</w:t>
      </w:r>
      <w:r>
        <w:rPr>
          <w:rFonts w:ascii="Book Antiqua" w:hAnsi="Book Antiqua" w:cs="Arial"/>
        </w:rPr>
        <w:t xml:space="preserve">, </w:t>
      </w:r>
      <w:r w:rsidR="0048345E">
        <w:rPr>
          <w:rFonts w:ascii="Book Antiqua" w:hAnsi="Book Antiqua" w:cs="Arial"/>
        </w:rPr>
        <w:t xml:space="preserve">21,7%  au PIB de la région Fès-Meknès, 18,7% au PIB de la région </w:t>
      </w:r>
      <w:r w:rsidR="0048345E" w:rsidRPr="000762DA">
        <w:rPr>
          <w:rFonts w:ascii="Book Antiqua" w:hAnsi="Book Antiqua" w:cs="Arial"/>
        </w:rPr>
        <w:t>Béni Mellal-Khénifra</w:t>
      </w:r>
      <w:r w:rsidR="0048345E">
        <w:rPr>
          <w:rFonts w:ascii="Book Antiqua" w:hAnsi="Book Antiqua" w:cs="Arial"/>
        </w:rPr>
        <w:t>, et 18</w:t>
      </w:r>
      <w:r>
        <w:rPr>
          <w:rFonts w:ascii="Book Antiqua" w:hAnsi="Book Antiqua" w:cs="Arial"/>
        </w:rPr>
        <w:t>,4% au P</w:t>
      </w:r>
      <w:r w:rsidR="0048345E">
        <w:rPr>
          <w:rFonts w:ascii="Book Antiqua" w:hAnsi="Book Antiqua" w:cs="Arial"/>
        </w:rPr>
        <w:t>IB de la région de Souss-Massa</w:t>
      </w:r>
      <w:r>
        <w:rPr>
          <w:rFonts w:ascii="Book Antiqua" w:hAnsi="Book Antiqua" w:cs="Arial"/>
        </w:rPr>
        <w:t xml:space="preserve">. La région de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affiche, quant à elle,  la part la plus faible avec </w:t>
      </w:r>
      <w:r w:rsidR="0048345E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,</w:t>
      </w:r>
      <w:r w:rsidR="0048345E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%.</w:t>
      </w:r>
    </w:p>
    <w:p w:rsidR="00746A5F" w:rsidRPr="00AC52D2" w:rsidRDefault="00746A5F" w:rsidP="00C143B6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>Les activités secondaires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i</w:t>
      </w:r>
      <w:r w:rsidRPr="008D09BB">
        <w:rPr>
          <w:rFonts w:ascii="Book Antiqua" w:hAnsi="Book Antiqua" w:cs="Arial"/>
        </w:rPr>
        <w:t>ndustrie, mines,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électricité et eau et bâtiment et travaux publics)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représentent 26</w:t>
      </w:r>
      <w:r w:rsidR="00100A50">
        <w:rPr>
          <w:rFonts w:ascii="Book Antiqua" w:hAnsi="Book Antiqua" w:cs="Arial"/>
        </w:rPr>
        <w:t>,2</w:t>
      </w:r>
      <w:r>
        <w:rPr>
          <w:rFonts w:ascii="Book Antiqua" w:hAnsi="Book Antiqua" w:cs="Arial"/>
        </w:rPr>
        <w:t>% du PIB au niveau national en 201</w:t>
      </w:r>
      <w:r w:rsidR="00100A50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. Quatre régions affichent des parts supérieures à cette moyenne : la région de </w:t>
      </w:r>
      <w:r w:rsidRPr="00AC52D2">
        <w:rPr>
          <w:rFonts w:ascii="Book Antiqua" w:hAnsi="Book Antiqua" w:cs="Arial"/>
        </w:rPr>
        <w:t xml:space="preserve">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avec 3</w:t>
      </w:r>
      <w:r w:rsidR="00C143B6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 xml:space="preserve">,2%, celle de </w:t>
      </w:r>
      <w:r w:rsidRPr="000762DA">
        <w:rPr>
          <w:rFonts w:ascii="Book Antiqua" w:hAnsi="Book Antiqua" w:cs="Arial"/>
        </w:rPr>
        <w:t>Béni Mellal-Khénifra</w:t>
      </w:r>
      <w:r>
        <w:rPr>
          <w:rFonts w:ascii="Book Antiqua" w:hAnsi="Book Antiqua" w:cs="Arial"/>
        </w:rPr>
        <w:t xml:space="preserve"> avec 3</w:t>
      </w:r>
      <w:r w:rsidR="00C143B6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,</w:t>
      </w:r>
      <w:r w:rsidR="00C143B6">
        <w:rPr>
          <w:rFonts w:ascii="Book Antiqua" w:hAnsi="Book Antiqua" w:cs="Arial"/>
        </w:rPr>
        <w:t>9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, celle de </w:t>
      </w:r>
      <w:r w:rsidRPr="0073084F">
        <w:rPr>
          <w:rFonts w:ascii="Book Antiqua" w:hAnsi="Book Antiqua" w:cs="Arial"/>
        </w:rPr>
        <w:t xml:space="preserve">Tanger-Tétouan-Al Hoceima </w:t>
      </w:r>
      <w:r>
        <w:rPr>
          <w:rFonts w:ascii="Book Antiqua" w:hAnsi="Book Antiqua" w:cs="Arial"/>
        </w:rPr>
        <w:t xml:space="preserve">avec </w:t>
      </w:r>
      <w:r w:rsidR="00C143B6">
        <w:rPr>
          <w:rFonts w:ascii="Book Antiqua" w:hAnsi="Book Antiqua" w:cs="Arial"/>
        </w:rPr>
        <w:t>34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et</w:t>
      </w:r>
      <w:r w:rsidRPr="002D3422">
        <w:t xml:space="preserve"> </w:t>
      </w:r>
      <w:r>
        <w:t xml:space="preserve">celle de </w:t>
      </w:r>
      <w:r w:rsidRPr="005A3642">
        <w:rPr>
          <w:rFonts w:ascii="Book Antiqua" w:hAnsi="Book Antiqua" w:cs="Arial"/>
        </w:rPr>
        <w:t>Laâyoune-Saguia al Hamra</w:t>
      </w:r>
      <w:r>
        <w:rPr>
          <w:rFonts w:ascii="Book Antiqua" w:hAnsi="Book Antiqua" w:cs="Arial"/>
        </w:rPr>
        <w:t xml:space="preserve"> avec </w:t>
      </w:r>
      <w:r w:rsidR="00C143B6">
        <w:rPr>
          <w:rFonts w:ascii="Book Antiqua" w:hAnsi="Book Antiqua" w:cs="Arial"/>
        </w:rPr>
        <w:t>28</w:t>
      </w:r>
      <w:r>
        <w:rPr>
          <w:rFonts w:ascii="Book Antiqua" w:hAnsi="Book Antiqua" w:cs="Arial"/>
        </w:rPr>
        <w:t>,</w:t>
      </w:r>
      <w:r w:rsidR="00C143B6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%</w:t>
      </w:r>
      <w:r w:rsidRPr="00AC52D2">
        <w:rPr>
          <w:rFonts w:ascii="Book Antiqua" w:hAnsi="Book Antiqua" w:cs="Arial"/>
        </w:rPr>
        <w:t xml:space="preserve">. </w:t>
      </w:r>
    </w:p>
    <w:p w:rsidR="00746A5F" w:rsidRDefault="00746A5F" w:rsidP="0025787E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activités tertiaires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(services marchands et non marchands)</w:t>
      </w:r>
      <w:r>
        <w:rPr>
          <w:rFonts w:ascii="Book Antiqua" w:hAnsi="Book Antiqua" w:cs="Arial"/>
        </w:rPr>
        <w:t xml:space="preserve"> </w:t>
      </w:r>
      <w:r w:rsidR="0025787E">
        <w:rPr>
          <w:rFonts w:ascii="Book Antiqua" w:hAnsi="Book Antiqua" w:cs="Arial"/>
        </w:rPr>
        <w:t>créent la moitié de</w:t>
      </w:r>
      <w:r>
        <w:rPr>
          <w:rFonts w:ascii="Book Antiqua" w:hAnsi="Book Antiqua" w:cs="Arial"/>
        </w:rPr>
        <w:t xml:space="preserve"> la richesse nationale en 201</w:t>
      </w:r>
      <w:r w:rsidR="0025787E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. Les régions de </w:t>
      </w:r>
      <w:r w:rsidRPr="00AD2025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>,  de</w:t>
      </w:r>
      <w:r w:rsidRPr="005A3642">
        <w:rPr>
          <w:rFonts w:ascii="Book Antiqua" w:hAnsi="Book Antiqua" w:cs="Arial"/>
        </w:rPr>
        <w:t xml:space="preserve"> Dakhla-Oued</w:t>
      </w:r>
      <w:r>
        <w:rPr>
          <w:rFonts w:ascii="Book Antiqua" w:hAnsi="Book Antiqua" w:cs="Arial"/>
        </w:rPr>
        <w:t>-Ed-</w:t>
      </w:r>
      <w:r w:rsidRPr="005A3642">
        <w:rPr>
          <w:rFonts w:ascii="Book Antiqua" w:hAnsi="Book Antiqua" w:cs="Arial"/>
        </w:rPr>
        <w:t>Dahab</w:t>
      </w:r>
      <w:r>
        <w:rPr>
          <w:rFonts w:ascii="Book Antiqua" w:hAnsi="Book Antiqua" w:cs="Arial"/>
        </w:rPr>
        <w:t xml:space="preserve"> et de </w:t>
      </w:r>
      <w:r w:rsidRPr="00AC52D2">
        <w:rPr>
          <w:rFonts w:ascii="Book Antiqua" w:hAnsi="Book Antiqua" w:cs="Arial"/>
        </w:rPr>
        <w:t>Rabat-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>alé–</w:t>
      </w:r>
      <w:r w:rsidRPr="000762DA">
        <w:rPr>
          <w:rFonts w:ascii="Book Antiqua" w:hAnsi="Book Antiqua" w:cs="Arial"/>
        </w:rPr>
        <w:t>Kénitra</w:t>
      </w:r>
      <w:r>
        <w:rPr>
          <w:rFonts w:ascii="Book Antiqua" w:hAnsi="Book Antiqua" w:cs="Arial"/>
        </w:rPr>
        <w:t xml:space="preserve"> présentent des structures économiques dominées par les activités des services, avec des parts largement supérieures à la moyenne nationale, respectivement de 6</w:t>
      </w:r>
      <w:r w:rsidR="0025787E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,</w:t>
      </w:r>
      <w:r w:rsidR="0025787E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%, 6</w:t>
      </w:r>
      <w:r w:rsidR="0025787E">
        <w:rPr>
          <w:rFonts w:ascii="Book Antiqua" w:hAnsi="Book Antiqua" w:cs="Arial"/>
        </w:rPr>
        <w:t>2,3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et </w:t>
      </w:r>
      <w:r w:rsidR="0025787E">
        <w:rPr>
          <w:rFonts w:ascii="Book Antiqua" w:hAnsi="Book Antiqua" w:cs="Arial"/>
        </w:rPr>
        <w:t>59</w:t>
      </w:r>
      <w:r>
        <w:rPr>
          <w:rFonts w:ascii="Book Antiqua" w:hAnsi="Book Antiqua" w:cs="Arial"/>
        </w:rPr>
        <w:t>,</w:t>
      </w:r>
      <w:r w:rsidR="0025787E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%.</w:t>
      </w:r>
      <w:r w:rsidRPr="005F142E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Elles affichent, toutefois, les parts les plus faibles relatives à la participation des activités secondaires à la création de la richesse régionale</w:t>
      </w:r>
      <w:r w:rsidR="006F4233">
        <w:rPr>
          <w:rFonts w:ascii="Book Antiqua" w:hAnsi="Book Antiqua" w:cs="Arial"/>
        </w:rPr>
        <w:t>.</w:t>
      </w:r>
    </w:p>
    <w:p w:rsidR="00746A5F" w:rsidRPr="00431B35" w:rsidRDefault="00D81BF9" w:rsidP="00746A5F">
      <w:pPr>
        <w:autoSpaceDE w:val="0"/>
        <w:autoSpaceDN w:val="0"/>
        <w:adjustRightInd w:val="0"/>
        <w:spacing w:before="100" w:before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aux 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activité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économique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nationale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746A5F" w:rsidRPr="00AC52D2" w:rsidRDefault="00746A5F" w:rsidP="00CA3410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activités du secteur primaire restent l’apanage</w:t>
      </w:r>
      <w:r w:rsidR="00B81DC7">
        <w:rPr>
          <w:rFonts w:ascii="Book Antiqua" w:hAnsi="Book Antiqua" w:cs="Arial"/>
        </w:rPr>
        <w:t xml:space="preserve"> d’un nombre limité de régions</w:t>
      </w:r>
      <w:r w:rsidR="002834CD">
        <w:rPr>
          <w:rFonts w:ascii="Book Antiqua" w:hAnsi="Book Antiqua" w:cs="Arial"/>
        </w:rPr>
        <w:t xml:space="preserve">; </w:t>
      </w:r>
      <w:r w:rsidR="00C7634D">
        <w:rPr>
          <w:rFonts w:ascii="Book Antiqua" w:hAnsi="Book Antiqua" w:cs="Arial"/>
        </w:rPr>
        <w:t>six régions</w:t>
      </w:r>
      <w:r w:rsidR="00CA3410">
        <w:rPr>
          <w:rFonts w:ascii="Book Antiqua" w:hAnsi="Book Antiqua" w:cs="Arial"/>
        </w:rPr>
        <w:t xml:space="preserve"> ont créé</w:t>
      </w:r>
      <w:r w:rsidR="00C7634D">
        <w:rPr>
          <w:rFonts w:ascii="Book Antiqua" w:hAnsi="Book Antiqua" w:cs="Arial"/>
        </w:rPr>
        <w:t xml:space="preserve"> un</w:t>
      </w:r>
      <w:r w:rsidR="000E3644">
        <w:rPr>
          <w:rFonts w:ascii="Book Antiqua" w:hAnsi="Book Antiqua" w:cs="Arial"/>
        </w:rPr>
        <w:t xml:space="preserve"> peu plus des deux tiers de la valeur</w:t>
      </w:r>
      <w:r w:rsidR="00C7634D">
        <w:rPr>
          <w:rFonts w:ascii="Book Antiqua" w:hAnsi="Book Antiqua" w:cs="Arial"/>
        </w:rPr>
        <w:t xml:space="preserve"> ajoutée du secteur. </w:t>
      </w:r>
      <w:r w:rsidR="002834CD">
        <w:rPr>
          <w:rFonts w:ascii="Book Antiqua" w:hAnsi="Book Antiqua" w:cs="Arial"/>
        </w:rPr>
        <w:t>En effet,</w:t>
      </w:r>
      <w:r>
        <w:rPr>
          <w:rFonts w:ascii="Book Antiqua" w:hAnsi="Book Antiqua" w:cs="Arial"/>
        </w:rPr>
        <w:t xml:space="preserve"> les régions de </w:t>
      </w:r>
      <w:r w:rsidRPr="00FF57BD">
        <w:rPr>
          <w:rFonts w:ascii="Book Antiqua" w:hAnsi="Book Antiqua" w:cs="Arial"/>
        </w:rPr>
        <w:t>Rabat-Salé-Kénitra</w:t>
      </w:r>
      <w:r w:rsidRPr="009D1864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 xml:space="preserve">de </w:t>
      </w:r>
      <w:r w:rsidRPr="00FF57BD">
        <w:rPr>
          <w:rFonts w:ascii="Book Antiqua" w:hAnsi="Book Antiqua" w:cs="Arial"/>
        </w:rPr>
        <w:t>Fès-Meknès</w:t>
      </w:r>
      <w:r>
        <w:rPr>
          <w:rFonts w:ascii="Book Antiqua" w:hAnsi="Book Antiqua" w:cs="Arial"/>
        </w:rPr>
        <w:t>,</w:t>
      </w:r>
      <w:r w:rsidRPr="009D186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de </w:t>
      </w:r>
      <w:r w:rsidRPr="00E63E27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de </w:t>
      </w:r>
      <w:r w:rsidR="00C7634D" w:rsidRPr="00E63E27">
        <w:rPr>
          <w:rFonts w:ascii="Book Antiqua" w:hAnsi="Book Antiqua" w:cs="Arial"/>
        </w:rPr>
        <w:t>Marrakech-Safi</w:t>
      </w:r>
      <w:r w:rsidR="002834CD">
        <w:rPr>
          <w:rFonts w:ascii="Book Antiqua" w:hAnsi="Book Antiqua" w:cs="Arial"/>
        </w:rPr>
        <w:t>, de</w:t>
      </w:r>
      <w:r w:rsidR="00C7634D" w:rsidRPr="00E63E27">
        <w:rPr>
          <w:rFonts w:ascii="Book Antiqua" w:hAnsi="Book Antiqua" w:cs="Arial"/>
        </w:rPr>
        <w:t xml:space="preserve"> </w:t>
      </w:r>
      <w:r w:rsidRPr="00075EFC">
        <w:rPr>
          <w:rFonts w:ascii="Book Antiqua" w:hAnsi="Book Antiqua" w:cs="Arial"/>
        </w:rPr>
        <w:t>Souss-Massa</w:t>
      </w:r>
      <w:r>
        <w:rPr>
          <w:rFonts w:ascii="Book Antiqua" w:hAnsi="Book Antiqua" w:cs="Arial"/>
        </w:rPr>
        <w:t xml:space="preserve"> </w:t>
      </w:r>
      <w:r w:rsidR="002834CD">
        <w:rPr>
          <w:rFonts w:ascii="Book Antiqua" w:hAnsi="Book Antiqua" w:cs="Arial"/>
        </w:rPr>
        <w:t xml:space="preserve">et de </w:t>
      </w:r>
      <w:r w:rsidR="002834CD" w:rsidRPr="000762DA">
        <w:rPr>
          <w:rFonts w:ascii="Book Antiqua" w:hAnsi="Book Antiqua" w:cs="Arial"/>
        </w:rPr>
        <w:t>Béni Mellal-Khénifra</w:t>
      </w:r>
      <w:r w:rsidR="002834CD">
        <w:rPr>
          <w:rFonts w:ascii="Book Antiqua" w:hAnsi="Book Antiqua" w:cs="Arial"/>
        </w:rPr>
        <w:t xml:space="preserve"> </w:t>
      </w:r>
      <w:r w:rsidR="00C7634D">
        <w:rPr>
          <w:rFonts w:ascii="Book Antiqua" w:hAnsi="Book Antiqua" w:cs="Arial"/>
        </w:rPr>
        <w:t>o</w:t>
      </w:r>
      <w:r>
        <w:rPr>
          <w:rFonts w:ascii="Book Antiqua" w:hAnsi="Book Antiqua" w:cs="Arial"/>
        </w:rPr>
        <w:t xml:space="preserve">nt contribué pour </w:t>
      </w:r>
      <w:r w:rsidR="002834CD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6</w:t>
      </w:r>
      <w:r w:rsidR="002834CD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7% à la création de la valeur ajoutée nationale du secteur primaire en 201</w:t>
      </w:r>
      <w:r w:rsidR="002834CD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 au lieu de </w:t>
      </w:r>
      <w:r w:rsidR="002834CD">
        <w:rPr>
          <w:rFonts w:ascii="Book Antiqua" w:hAnsi="Book Antiqua" w:cs="Arial"/>
        </w:rPr>
        <w:t>75</w:t>
      </w:r>
      <w:r>
        <w:rPr>
          <w:rFonts w:ascii="Book Antiqua" w:hAnsi="Book Antiqua" w:cs="Arial"/>
        </w:rPr>
        <w:t>,</w:t>
      </w:r>
      <w:r w:rsidR="002834CD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% en 201</w:t>
      </w:r>
      <w:r w:rsidR="002834CD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. </w:t>
      </w:r>
    </w:p>
    <w:p w:rsidR="00746A5F" w:rsidRPr="00AC52D2" w:rsidRDefault="00B81DC7" w:rsidP="002834CD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Par ailleurs, l</w:t>
      </w:r>
      <w:r w:rsidR="00746A5F">
        <w:rPr>
          <w:rFonts w:ascii="Book Antiqua" w:hAnsi="Book Antiqua" w:cs="Arial"/>
        </w:rPr>
        <w:t>es activités du secteur secondaire sont concentrées dans les</w:t>
      </w:r>
      <w:r w:rsidR="00746A5F" w:rsidRPr="00AC52D2">
        <w:rPr>
          <w:rFonts w:ascii="Book Antiqua" w:hAnsi="Book Antiqua" w:cs="Arial"/>
        </w:rPr>
        <w:t xml:space="preserve"> région</w:t>
      </w:r>
      <w:r w:rsidR="00746A5F">
        <w:rPr>
          <w:rFonts w:ascii="Book Antiqua" w:hAnsi="Book Antiqua" w:cs="Arial"/>
        </w:rPr>
        <w:t>s</w:t>
      </w:r>
      <w:r w:rsidR="00746A5F" w:rsidRPr="00AC52D2">
        <w:rPr>
          <w:rFonts w:ascii="Book Antiqua" w:hAnsi="Book Antiqua" w:cs="Arial"/>
        </w:rPr>
        <w:t xml:space="preserve"> d</w:t>
      </w:r>
      <w:r w:rsidR="00746A5F">
        <w:rPr>
          <w:rFonts w:ascii="Book Antiqua" w:hAnsi="Book Antiqua" w:cs="Arial"/>
        </w:rPr>
        <w:t>e</w:t>
      </w:r>
      <w:r w:rsidR="00746A5F" w:rsidRPr="00AC52D2">
        <w:rPr>
          <w:rFonts w:ascii="Book Antiqua" w:hAnsi="Book Antiqua" w:cs="Arial"/>
        </w:rPr>
        <w:t xml:space="preserve"> </w:t>
      </w:r>
      <w:r w:rsidR="00746A5F" w:rsidRPr="008E4089">
        <w:rPr>
          <w:rFonts w:ascii="Book Antiqua" w:hAnsi="Book Antiqua" w:cs="Arial"/>
        </w:rPr>
        <w:t xml:space="preserve">Casablanca-Settat </w:t>
      </w:r>
      <w:r w:rsidR="00746A5F">
        <w:rPr>
          <w:rFonts w:ascii="Book Antiqua" w:hAnsi="Book Antiqua" w:cs="Arial"/>
        </w:rPr>
        <w:t xml:space="preserve">et </w:t>
      </w:r>
      <w:r w:rsidR="00746A5F" w:rsidRPr="00AC52D2">
        <w:rPr>
          <w:rFonts w:ascii="Book Antiqua" w:hAnsi="Book Antiqua" w:cs="Arial"/>
        </w:rPr>
        <w:t xml:space="preserve">de </w:t>
      </w:r>
      <w:r w:rsidR="00746A5F" w:rsidRPr="008E4089">
        <w:rPr>
          <w:rFonts w:ascii="Book Antiqua" w:hAnsi="Book Antiqua" w:cs="Arial"/>
        </w:rPr>
        <w:t>Tanger-Tétouan-Al Hoceima</w:t>
      </w:r>
      <w:r w:rsidR="00746A5F">
        <w:rPr>
          <w:rFonts w:ascii="Book Antiqua" w:hAnsi="Book Antiqua" w:cs="Arial"/>
        </w:rPr>
        <w:t xml:space="preserve"> qui ont participé pour 5</w:t>
      </w:r>
      <w:r w:rsidR="002834CD">
        <w:rPr>
          <w:rFonts w:ascii="Book Antiqua" w:hAnsi="Book Antiqua" w:cs="Arial"/>
        </w:rPr>
        <w:t>6</w:t>
      </w:r>
      <w:r w:rsidR="00746A5F">
        <w:rPr>
          <w:rFonts w:ascii="Book Antiqua" w:hAnsi="Book Antiqua" w:cs="Arial"/>
        </w:rPr>
        <w:t>,</w:t>
      </w:r>
      <w:r w:rsidR="002834CD">
        <w:rPr>
          <w:rFonts w:ascii="Book Antiqua" w:hAnsi="Book Antiqua" w:cs="Arial"/>
        </w:rPr>
        <w:t>6</w:t>
      </w:r>
      <w:r w:rsidR="00746A5F">
        <w:rPr>
          <w:rFonts w:ascii="Book Antiqua" w:hAnsi="Book Antiqua" w:cs="Arial"/>
        </w:rPr>
        <w:t>%</w:t>
      </w:r>
      <w:r w:rsidR="00746A5F" w:rsidRPr="00AC52D2"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 xml:space="preserve">à </w:t>
      </w:r>
      <w:r w:rsidR="00746A5F" w:rsidRPr="00AC52D2">
        <w:rPr>
          <w:rFonts w:ascii="Book Antiqua" w:hAnsi="Book Antiqua" w:cs="Arial"/>
        </w:rPr>
        <w:t xml:space="preserve">la valeur ajoutée nationale </w:t>
      </w:r>
      <w:r w:rsidR="00746A5F">
        <w:rPr>
          <w:rFonts w:ascii="Book Antiqua" w:hAnsi="Book Antiqua" w:cs="Arial"/>
        </w:rPr>
        <w:t xml:space="preserve"> </w:t>
      </w:r>
      <w:r w:rsidR="00746A5F" w:rsidRPr="00AC52D2">
        <w:rPr>
          <w:rFonts w:ascii="Book Antiqua" w:hAnsi="Book Antiqua" w:cs="Arial"/>
        </w:rPr>
        <w:t>du secteur</w:t>
      </w:r>
      <w:r w:rsidR="00746A5F">
        <w:rPr>
          <w:rFonts w:ascii="Book Antiqua" w:hAnsi="Book Antiqua" w:cs="Arial"/>
        </w:rPr>
        <w:t xml:space="preserve"> en 201</w:t>
      </w:r>
      <w:r w:rsidR="002834CD">
        <w:rPr>
          <w:rFonts w:ascii="Book Antiqua" w:hAnsi="Book Antiqua" w:cs="Arial"/>
        </w:rPr>
        <w:t>7</w:t>
      </w:r>
      <w:r w:rsidR="00746A5F">
        <w:rPr>
          <w:rFonts w:ascii="Book Antiqua" w:hAnsi="Book Antiqua" w:cs="Arial"/>
        </w:rPr>
        <w:t xml:space="preserve"> au lieu de 5</w:t>
      </w:r>
      <w:r w:rsidR="002834CD">
        <w:rPr>
          <w:rFonts w:ascii="Book Antiqua" w:hAnsi="Book Antiqua" w:cs="Arial"/>
        </w:rPr>
        <w:t>7</w:t>
      </w:r>
      <w:r w:rsidR="00746A5F">
        <w:rPr>
          <w:rFonts w:ascii="Book Antiqua" w:hAnsi="Book Antiqua" w:cs="Arial"/>
        </w:rPr>
        <w:t>,2% en 201</w:t>
      </w:r>
      <w:r w:rsidR="002834CD">
        <w:rPr>
          <w:rFonts w:ascii="Book Antiqua" w:hAnsi="Book Antiqua" w:cs="Arial"/>
        </w:rPr>
        <w:t>6</w:t>
      </w:r>
      <w:r w:rsidR="00746A5F" w:rsidRPr="00AC52D2">
        <w:rPr>
          <w:rFonts w:ascii="Book Antiqua" w:hAnsi="Book Antiqua" w:cs="Arial"/>
        </w:rPr>
        <w:t>.</w:t>
      </w:r>
      <w:r w:rsidR="00746A5F" w:rsidRPr="00552BA4">
        <w:rPr>
          <w:rFonts w:ascii="Book Antiqua" w:hAnsi="Book Antiqua" w:cs="Arial"/>
        </w:rPr>
        <w:t xml:space="preserve"> </w:t>
      </w:r>
    </w:p>
    <w:p w:rsidR="00746A5F" w:rsidRDefault="00746A5F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D’un autre côté, près de 60% de la richesse crée par les activités tertiaires est à imputer aux trois régions </w:t>
      </w:r>
      <w:r w:rsidRPr="00AC52D2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e</w:t>
      </w:r>
      <w:r w:rsidRPr="00AC52D2">
        <w:rPr>
          <w:rFonts w:ascii="Book Antiqua" w:hAnsi="Book Antiqua" w:cs="Arial"/>
        </w:rPr>
        <w:t xml:space="preserve"> </w:t>
      </w:r>
      <w:r w:rsidRPr="008E4089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>,</w:t>
      </w:r>
      <w:r w:rsidRPr="008E4089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de </w:t>
      </w:r>
      <w:r w:rsidRPr="00AC52D2">
        <w:rPr>
          <w:rFonts w:ascii="Book Antiqua" w:hAnsi="Book Antiqua" w:cs="Arial"/>
        </w:rPr>
        <w:t>Rabat-Salé-</w:t>
      </w:r>
      <w:r w:rsidRPr="00FF57BD">
        <w:rPr>
          <w:rFonts w:ascii="Book Antiqua" w:hAnsi="Book Antiqua" w:cs="Arial"/>
        </w:rPr>
        <w:t>Kénitr</w:t>
      </w:r>
      <w:r>
        <w:rPr>
          <w:rFonts w:ascii="Book Antiqua" w:hAnsi="Book Antiqua" w:cs="Arial"/>
        </w:rPr>
        <w:t xml:space="preserve">a </w:t>
      </w:r>
      <w:r w:rsidRPr="00AC52D2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 xml:space="preserve">de </w:t>
      </w:r>
      <w:r w:rsidRPr="008E4089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>.</w:t>
      </w:r>
    </w:p>
    <w:p w:rsidR="00746A5F" w:rsidRPr="00431B35" w:rsidRDefault="00746A5F" w:rsidP="00746A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PIB 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régional par habitant</w:t>
      </w:r>
    </w:p>
    <w:p w:rsidR="00746A5F" w:rsidRDefault="00746A5F" w:rsidP="0026124E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 PIB par habitant</w:t>
      </w:r>
      <w:r w:rsidRPr="00527898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s’élève à </w:t>
      </w:r>
      <w:r w:rsidR="0026124E">
        <w:rPr>
          <w:rFonts w:ascii="Book Antiqua" w:hAnsi="Book Antiqua" w:cs="Arial"/>
        </w:rPr>
        <w:t>30</w:t>
      </w:r>
      <w:r>
        <w:rPr>
          <w:rFonts w:ascii="Book Antiqua" w:hAnsi="Book Antiqua" w:cs="Arial"/>
        </w:rPr>
        <w:t xml:space="preserve"> </w:t>
      </w:r>
      <w:r w:rsidR="0026124E">
        <w:rPr>
          <w:rFonts w:ascii="Book Antiqua" w:hAnsi="Book Antiqua" w:cs="Arial"/>
        </w:rPr>
        <w:t>510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 xml:space="preserve"> en 201</w:t>
      </w:r>
      <w:r w:rsidR="0026124E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 au niveau national. Cinq régions présentent un PIB </w:t>
      </w:r>
      <w:r w:rsidRPr="00E9771B">
        <w:rPr>
          <w:rFonts w:ascii="Book Antiqua" w:hAnsi="Book Antiqua" w:cs="Arial"/>
        </w:rPr>
        <w:t>par habitant</w:t>
      </w:r>
      <w:r>
        <w:rPr>
          <w:rFonts w:ascii="Book Antiqua" w:hAnsi="Book Antiqua" w:cs="Arial"/>
        </w:rPr>
        <w:t xml:space="preserve"> supérieur à cette moyenne nationale. Il s’agit des régions de </w:t>
      </w:r>
      <w:r w:rsidRPr="00E9771B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E9771B">
        <w:rPr>
          <w:rFonts w:ascii="Book Antiqua" w:hAnsi="Book Antiqua" w:cs="Arial"/>
        </w:rPr>
        <w:t xml:space="preserve">Dahab </w:t>
      </w:r>
      <w:r>
        <w:rPr>
          <w:rFonts w:ascii="Book Antiqua" w:hAnsi="Book Antiqua" w:cs="Arial"/>
        </w:rPr>
        <w:t>(</w:t>
      </w:r>
      <w:r w:rsidR="0026124E">
        <w:rPr>
          <w:rFonts w:ascii="Book Antiqua" w:hAnsi="Book Antiqua" w:cs="Arial"/>
        </w:rPr>
        <w:t>84</w:t>
      </w:r>
      <w:r>
        <w:rPr>
          <w:rFonts w:ascii="Book Antiqua" w:hAnsi="Book Antiqua" w:cs="Arial"/>
        </w:rPr>
        <w:t xml:space="preserve"> </w:t>
      </w:r>
      <w:r w:rsidR="0026124E">
        <w:rPr>
          <w:rFonts w:ascii="Book Antiqua" w:hAnsi="Book Antiqua" w:cs="Arial"/>
        </w:rPr>
        <w:t>949</w:t>
      </w:r>
      <w:r>
        <w:rPr>
          <w:rFonts w:ascii="Book Antiqua" w:hAnsi="Book Antiqua" w:cs="Arial"/>
        </w:rPr>
        <w:t xml:space="preserve"> DH),</w:t>
      </w:r>
      <w:r w:rsidRPr="00E9771B">
        <w:rPr>
          <w:rFonts w:ascii="Book Antiqua" w:hAnsi="Book Antiqua" w:cs="Arial"/>
        </w:rPr>
        <w:t xml:space="preserve"> de Casablanca-Settat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4</w:t>
      </w:r>
      <w:r w:rsidR="0026124E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 </w:t>
      </w:r>
      <w:r w:rsidR="0026124E">
        <w:rPr>
          <w:rFonts w:ascii="Book Antiqua" w:hAnsi="Book Antiqua" w:cs="Arial"/>
        </w:rPr>
        <w:t>694</w:t>
      </w:r>
      <w:r w:rsidRPr="004833E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DH)</w:t>
      </w:r>
      <w:r w:rsidRPr="00E9771B">
        <w:rPr>
          <w:rFonts w:ascii="Book Antiqua" w:hAnsi="Book Antiqua" w:cs="Arial"/>
        </w:rPr>
        <w:t xml:space="preserve">, de </w:t>
      </w:r>
      <w:r>
        <w:rPr>
          <w:rFonts w:ascii="Book Antiqua" w:hAnsi="Book Antiqua" w:cs="Arial"/>
        </w:rPr>
        <w:t>Laayoune</w:t>
      </w:r>
      <w:r w:rsidRPr="00E9771B">
        <w:rPr>
          <w:rFonts w:ascii="Book Antiqua" w:hAnsi="Book Antiqua" w:cs="Arial"/>
        </w:rPr>
        <w:t>-Saguia al Hamra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4</w:t>
      </w:r>
      <w:r w:rsidR="0026124E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 xml:space="preserve"> </w:t>
      </w:r>
      <w:r w:rsidR="0026124E">
        <w:rPr>
          <w:rFonts w:ascii="Book Antiqua" w:hAnsi="Book Antiqua" w:cs="Arial"/>
        </w:rPr>
        <w:t>419</w:t>
      </w:r>
      <w:r w:rsidRPr="004833E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DH), </w:t>
      </w:r>
      <w:r w:rsidRPr="00E9771B">
        <w:rPr>
          <w:rFonts w:ascii="Book Antiqua" w:hAnsi="Book Antiqua" w:cs="Arial"/>
        </w:rPr>
        <w:t>de Rabat-Salé-Kénitra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3</w:t>
      </w:r>
      <w:r w:rsidR="0026124E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 </w:t>
      </w:r>
      <w:r w:rsidR="0026124E">
        <w:rPr>
          <w:rFonts w:ascii="Book Antiqua" w:hAnsi="Book Antiqua" w:cs="Arial"/>
        </w:rPr>
        <w:t>420</w:t>
      </w:r>
      <w:r w:rsidRPr="004833E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DH)</w:t>
      </w:r>
      <w:r w:rsidRPr="006667F9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et de </w:t>
      </w:r>
      <w:r w:rsidRPr="006667F9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3</w:t>
      </w:r>
      <w:r w:rsidR="0026124E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 xml:space="preserve"> 3</w:t>
      </w:r>
      <w:r w:rsidR="0026124E">
        <w:rPr>
          <w:rFonts w:ascii="Book Antiqua" w:hAnsi="Book Antiqua" w:cs="Arial"/>
        </w:rPr>
        <w:t>17</w:t>
      </w:r>
      <w:r>
        <w:rPr>
          <w:rFonts w:ascii="Book Antiqua" w:hAnsi="Book Antiqua" w:cs="Arial"/>
        </w:rPr>
        <w:t xml:space="preserve"> DH).</w:t>
      </w:r>
      <w:r w:rsidRPr="00E9771B">
        <w:rPr>
          <w:rFonts w:ascii="Book Antiqua" w:hAnsi="Book Antiqua" w:cs="Arial"/>
        </w:rPr>
        <w:t xml:space="preserve"> </w:t>
      </w:r>
    </w:p>
    <w:p w:rsidR="00746A5F" w:rsidRDefault="00746A5F" w:rsidP="00746A5F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</w:p>
    <w:p w:rsidR="00746A5F" w:rsidRPr="00AC52D2" w:rsidRDefault="00746A5F" w:rsidP="0026124E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les autres régions, le PIB par habitant s’est situé entre </w:t>
      </w:r>
      <w:r w:rsidRPr="003A65B8">
        <w:rPr>
          <w:rFonts w:ascii="Book Antiqua" w:hAnsi="Book Antiqua" w:cs="Arial"/>
        </w:rPr>
        <w:t>1</w:t>
      </w:r>
      <w:r w:rsidR="0026124E">
        <w:rPr>
          <w:rFonts w:ascii="Book Antiqua" w:hAnsi="Book Antiqua" w:cs="Arial"/>
        </w:rPr>
        <w:t xml:space="preserve">6 201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, enregistré dans la région de </w:t>
      </w:r>
      <w:r w:rsidRPr="0066785B">
        <w:rPr>
          <w:rFonts w:ascii="Book Antiqua" w:hAnsi="Book Antiqua" w:cs="Arial"/>
        </w:rPr>
        <w:t>Drâa-Tafilalet</w:t>
      </w:r>
      <w:r>
        <w:rPr>
          <w:rFonts w:ascii="Book Antiqua" w:hAnsi="Book Antiqua" w:cs="Arial"/>
        </w:rPr>
        <w:t xml:space="preserve"> et </w:t>
      </w:r>
      <w:r w:rsidR="0026124E">
        <w:rPr>
          <w:rFonts w:ascii="Book Antiqua" w:hAnsi="Book Antiqua" w:cs="Arial"/>
        </w:rPr>
        <w:t>30</w:t>
      </w:r>
      <w:r>
        <w:rPr>
          <w:rFonts w:ascii="Book Antiqua" w:hAnsi="Book Antiqua" w:cs="Arial"/>
        </w:rPr>
        <w:t xml:space="preserve"> </w:t>
      </w:r>
      <w:r w:rsidR="0026124E">
        <w:rPr>
          <w:rFonts w:ascii="Book Antiqua" w:hAnsi="Book Antiqua" w:cs="Arial"/>
        </w:rPr>
        <w:t>216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 dans la région </w:t>
      </w:r>
      <w:r w:rsidRPr="0066785B">
        <w:rPr>
          <w:rFonts w:ascii="Book Antiqua" w:hAnsi="Book Antiqua" w:cs="Arial"/>
        </w:rPr>
        <w:t>Tanger-Tétouan-Al Hoceima</w:t>
      </w:r>
      <w:r w:rsidRPr="00AC52D2">
        <w:rPr>
          <w:rFonts w:ascii="Book Antiqua" w:hAnsi="Book Antiqua" w:cs="Arial"/>
        </w:rPr>
        <w:t xml:space="preserve">. </w:t>
      </w:r>
    </w:p>
    <w:p w:rsidR="00746A5F" w:rsidRPr="00721E76" w:rsidRDefault="00746A5F" w:rsidP="002E774B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dispersion du PIB par habitant est en augmentation.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 est passé de  11 </w:t>
      </w:r>
      <w:r w:rsidR="002E774B">
        <w:rPr>
          <w:rFonts w:ascii="Book Antiqua" w:hAnsi="Book Antiqua" w:cs="Arial"/>
        </w:rPr>
        <w:t>492</w:t>
      </w:r>
      <w:r w:rsidRPr="00AC52D2">
        <w:rPr>
          <w:rFonts w:ascii="Book Antiqua" w:hAnsi="Book Antiqua" w:cs="Arial"/>
        </w:rPr>
        <w:t xml:space="preserve"> DH en 201</w:t>
      </w:r>
      <w:r w:rsidR="002E774B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à</w:t>
      </w:r>
      <w:r>
        <w:rPr>
          <w:rFonts w:ascii="Book Antiqua" w:hAnsi="Book Antiqua" w:cs="Arial"/>
        </w:rPr>
        <w:t xml:space="preserve">  1</w:t>
      </w:r>
      <w:r w:rsidR="002E774B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 </w:t>
      </w:r>
      <w:r w:rsidR="002E774B">
        <w:rPr>
          <w:rFonts w:ascii="Book Antiqua" w:hAnsi="Book Antiqua" w:cs="Arial"/>
        </w:rPr>
        <w:t>622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 en 201</w:t>
      </w:r>
      <w:r w:rsidR="002E774B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.</w:t>
      </w:r>
    </w:p>
    <w:p w:rsidR="00A81817" w:rsidRDefault="00A81817" w:rsidP="00746A5F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</w:p>
    <w:p w:rsidR="00746A5F" w:rsidRPr="0072644C" w:rsidRDefault="00D81BF9" w:rsidP="00746A5F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D</w:t>
      </w:r>
      <w:r w:rsidR="00746A5F" w:rsidRPr="0072644C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épenses de consommation finale des ménages selon les régions</w:t>
      </w:r>
    </w:p>
    <w:p w:rsidR="00746A5F" w:rsidRPr="0069351C" w:rsidRDefault="00746A5F" w:rsidP="00746A5F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</w:pPr>
    </w:p>
    <w:p w:rsidR="00746A5F" w:rsidRDefault="00746A5F" w:rsidP="009D48E2">
      <w:pPr>
        <w:autoSpaceDE w:val="0"/>
        <w:autoSpaceDN w:val="0"/>
        <w:adjustRightInd w:val="0"/>
        <w:spacing w:before="100" w:beforeAutospacing="1"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de </w:t>
      </w:r>
      <w:r w:rsidRPr="000762DA">
        <w:rPr>
          <w:rFonts w:ascii="Book Antiqua" w:hAnsi="Book Antiqua" w:cs="Arial"/>
        </w:rPr>
        <w:t xml:space="preserve">Casablanca-Settat et de Rabat-Salé-Kénitra </w:t>
      </w:r>
      <w:r>
        <w:rPr>
          <w:rFonts w:ascii="Book Antiqua" w:hAnsi="Book Antiqua" w:cs="Arial"/>
        </w:rPr>
        <w:t xml:space="preserve">ont </w:t>
      </w:r>
      <w:r w:rsidR="00DE54AB">
        <w:rPr>
          <w:rFonts w:ascii="Book Antiqua" w:hAnsi="Book Antiqua" w:cs="Arial"/>
        </w:rPr>
        <w:t xml:space="preserve">accaparé </w:t>
      </w:r>
      <w:r w:rsidR="00DE54AB"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39,</w:t>
      </w:r>
      <w:r w:rsidR="009D48E2">
        <w:rPr>
          <w:rFonts w:ascii="Book Antiqua" w:hAnsi="Book Antiqua" w:cs="Arial"/>
        </w:rPr>
        <w:t>8</w:t>
      </w:r>
      <w:r w:rsidRPr="00AC52D2">
        <w:rPr>
          <w:rFonts w:ascii="Book Antiqua" w:hAnsi="Book Antiqua" w:cs="Arial"/>
        </w:rPr>
        <w:t xml:space="preserve">% </w:t>
      </w:r>
      <w:r w:rsidR="00DE54AB">
        <w:rPr>
          <w:rFonts w:ascii="Book Antiqua" w:hAnsi="Book Antiqua" w:cs="Arial"/>
        </w:rPr>
        <w:t xml:space="preserve">des </w:t>
      </w:r>
      <w:r>
        <w:rPr>
          <w:rFonts w:ascii="Book Antiqua" w:hAnsi="Book Antiqua" w:cs="Arial"/>
        </w:rPr>
        <w:t>d</w:t>
      </w:r>
      <w:r w:rsidRPr="00962ECB">
        <w:rPr>
          <w:rFonts w:ascii="Book Antiqua" w:hAnsi="Book Antiqua" w:cs="Arial"/>
        </w:rPr>
        <w:t>épenses de consommation finale des ménages  (</w:t>
      </w:r>
      <w:r w:rsidRPr="00AC52D2">
        <w:rPr>
          <w:rFonts w:ascii="Book Antiqua" w:hAnsi="Book Antiqua" w:cs="Arial"/>
        </w:rPr>
        <w:t>DCFM</w:t>
      </w:r>
      <w:r>
        <w:rPr>
          <w:rFonts w:ascii="Book Antiqua" w:hAnsi="Book Antiqua" w:cs="Arial"/>
        </w:rPr>
        <w:t xml:space="preserve">) au niveau national, avec </w:t>
      </w:r>
      <w:r w:rsidR="009D48E2">
        <w:rPr>
          <w:rFonts w:ascii="Book Antiqua" w:hAnsi="Book Antiqua" w:cs="Arial"/>
        </w:rPr>
        <w:t>25</w:t>
      </w:r>
      <w:r>
        <w:rPr>
          <w:rFonts w:ascii="Book Antiqua" w:hAnsi="Book Antiqua" w:cs="Arial"/>
        </w:rPr>
        <w:t xml:space="preserve">% et 14,8% respectivement. </w:t>
      </w:r>
    </w:p>
    <w:p w:rsidR="00746A5F" w:rsidRPr="00A044A5" w:rsidRDefault="00746A5F" w:rsidP="009D48E2">
      <w:pPr>
        <w:autoSpaceDE w:val="0"/>
        <w:autoSpaceDN w:val="0"/>
        <w:adjustRightInd w:val="0"/>
        <w:spacing w:before="100" w:beforeAutospacing="1"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Celles de </w:t>
      </w:r>
      <w:r w:rsidRPr="00F0433D">
        <w:rPr>
          <w:rFonts w:ascii="Book Antiqua" w:hAnsi="Book Antiqua" w:cs="Arial"/>
        </w:rPr>
        <w:t>Fès-Meknès</w:t>
      </w:r>
      <w:r>
        <w:rPr>
          <w:rFonts w:ascii="Book Antiqua" w:hAnsi="Book Antiqua" w:cs="Arial"/>
        </w:rPr>
        <w:t>, de</w:t>
      </w:r>
      <w:r w:rsidRPr="001E522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Tanger-Tétouan-Al Hoceima,</w:t>
      </w:r>
      <w:r w:rsidRPr="00F0433D">
        <w:rPr>
          <w:rFonts w:ascii="Book Antiqua" w:hAnsi="Book Antiqua" w:cs="Arial"/>
        </w:rPr>
        <w:t xml:space="preserve"> </w:t>
      </w:r>
      <w:r w:rsidR="006F4233">
        <w:rPr>
          <w:rFonts w:ascii="Book Antiqua" w:hAnsi="Book Antiqua" w:cs="Arial"/>
        </w:rPr>
        <w:t>de Marrakech-Safi,</w:t>
      </w:r>
      <w:r>
        <w:rPr>
          <w:rFonts w:ascii="Book Antiqua" w:hAnsi="Book Antiqua" w:cs="Arial"/>
        </w:rPr>
        <w:t xml:space="preserve"> de Souss-Massa</w:t>
      </w:r>
      <w:r w:rsidR="006F4233">
        <w:rPr>
          <w:rFonts w:ascii="Book Antiqua" w:hAnsi="Book Antiqua" w:cs="Arial"/>
        </w:rPr>
        <w:t xml:space="preserve"> et de l’Oriental</w:t>
      </w:r>
      <w:r>
        <w:rPr>
          <w:rFonts w:ascii="Book Antiqua" w:hAnsi="Book Antiqua" w:cs="Arial"/>
        </w:rPr>
        <w:t xml:space="preserve"> </w:t>
      </w:r>
      <w:r w:rsidRPr="00F0433D">
        <w:rPr>
          <w:rFonts w:ascii="Book Antiqua" w:hAnsi="Book Antiqua" w:cs="Arial"/>
        </w:rPr>
        <w:t xml:space="preserve">ont </w:t>
      </w:r>
      <w:r w:rsidR="00DE54AB">
        <w:rPr>
          <w:rFonts w:ascii="Book Antiqua" w:hAnsi="Book Antiqua" w:cs="Arial"/>
        </w:rPr>
        <w:t xml:space="preserve">détenu une part de </w:t>
      </w:r>
      <w:r w:rsidRPr="00F0433D">
        <w:rPr>
          <w:rFonts w:ascii="Book Antiqua" w:hAnsi="Book Antiqua" w:cs="Arial"/>
        </w:rPr>
        <w:t>4</w:t>
      </w:r>
      <w:r w:rsidR="006F4233">
        <w:rPr>
          <w:rFonts w:ascii="Book Antiqua" w:hAnsi="Book Antiqua" w:cs="Arial"/>
        </w:rPr>
        <w:t>8</w:t>
      </w:r>
      <w:r w:rsidRPr="00F0433D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5</w:t>
      </w:r>
      <w:r w:rsidRPr="00F0433D">
        <w:rPr>
          <w:rFonts w:ascii="Book Antiqua" w:hAnsi="Book Antiqua" w:cs="Arial"/>
        </w:rPr>
        <w:t xml:space="preserve">% </w:t>
      </w:r>
      <w:r w:rsidR="00DE54AB">
        <w:rPr>
          <w:rFonts w:ascii="Book Antiqua" w:hAnsi="Book Antiqua" w:cs="Arial"/>
        </w:rPr>
        <w:t xml:space="preserve">des </w:t>
      </w:r>
      <w:r w:rsidRPr="00F0433D">
        <w:rPr>
          <w:rFonts w:ascii="Book Antiqua" w:hAnsi="Book Antiqua" w:cs="Arial"/>
        </w:rPr>
        <w:t>DCFM</w:t>
      </w:r>
      <w:r w:rsidR="00DE54AB">
        <w:rPr>
          <w:rFonts w:ascii="Book Antiqua" w:hAnsi="Book Antiqua" w:cs="Arial"/>
        </w:rPr>
        <w:t xml:space="preserve">, qui est répartie </w:t>
      </w:r>
      <w:r>
        <w:rPr>
          <w:rFonts w:ascii="Book Antiqua" w:hAnsi="Book Antiqua" w:cs="Arial"/>
        </w:rPr>
        <w:t xml:space="preserve">respectivement </w:t>
      </w:r>
      <w:r w:rsidR="00DE54AB">
        <w:rPr>
          <w:rFonts w:ascii="Book Antiqua" w:hAnsi="Book Antiqua" w:cs="Arial"/>
        </w:rPr>
        <w:t xml:space="preserve">à </w:t>
      </w:r>
      <w:r>
        <w:rPr>
          <w:rFonts w:ascii="Book Antiqua" w:hAnsi="Book Antiqua" w:cs="Arial"/>
        </w:rPr>
        <w:t>11,</w:t>
      </w:r>
      <w:r w:rsidR="009D48E2">
        <w:rPr>
          <w:rFonts w:ascii="Book Antiqua" w:hAnsi="Book Antiqua" w:cs="Arial"/>
        </w:rPr>
        <w:t>7</w:t>
      </w:r>
      <w:r w:rsidRPr="00F0433D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, 11,</w:t>
      </w:r>
      <w:r w:rsidR="009D48E2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%</w:t>
      </w:r>
      <w:r w:rsidRPr="00F0433D">
        <w:rPr>
          <w:rFonts w:ascii="Book Antiqua" w:hAnsi="Book Antiqua" w:cs="Arial"/>
        </w:rPr>
        <w:t>,</w:t>
      </w:r>
      <w:r w:rsidR="006F4233">
        <w:rPr>
          <w:rFonts w:ascii="Book Antiqua" w:hAnsi="Book Antiqua" w:cs="Arial"/>
        </w:rPr>
        <w:t xml:space="preserve"> 11,2%,</w:t>
      </w:r>
      <w:r>
        <w:rPr>
          <w:rFonts w:ascii="Book Antiqua" w:hAnsi="Book Antiqua" w:cs="Arial"/>
        </w:rPr>
        <w:t xml:space="preserve"> 7,1</w:t>
      </w:r>
      <w:r w:rsidRPr="00F0433D">
        <w:rPr>
          <w:rFonts w:ascii="Book Antiqua" w:hAnsi="Book Antiqua" w:cs="Arial"/>
        </w:rPr>
        <w:t>%</w:t>
      </w:r>
      <w:r w:rsidR="006F4233">
        <w:rPr>
          <w:rFonts w:ascii="Book Antiqua" w:hAnsi="Book Antiqua" w:cs="Arial"/>
        </w:rPr>
        <w:t xml:space="preserve"> et 7%</w:t>
      </w:r>
      <w:r>
        <w:rPr>
          <w:rFonts w:ascii="Book Antiqua" w:hAnsi="Book Antiqua" w:cs="Arial"/>
        </w:rPr>
        <w:t>.</w:t>
      </w:r>
    </w:p>
    <w:p w:rsidR="00746A5F" w:rsidRDefault="00746A5F" w:rsidP="00A81817">
      <w:pPr>
        <w:autoSpaceDE w:val="0"/>
        <w:autoSpaceDN w:val="0"/>
        <w:adjustRightInd w:val="0"/>
        <w:spacing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 reste d</w:t>
      </w:r>
      <w:r w:rsidR="006F4233">
        <w:rPr>
          <w:rFonts w:ascii="Book Antiqua" w:hAnsi="Book Antiqua" w:cs="Arial"/>
        </w:rPr>
        <w:t>es régions ont contribué pour 11</w:t>
      </w:r>
      <w:r>
        <w:rPr>
          <w:rFonts w:ascii="Book Antiqua" w:hAnsi="Book Antiqua" w:cs="Arial"/>
        </w:rPr>
        <w:t>,</w:t>
      </w:r>
      <w:r>
        <w:rPr>
          <w:rFonts w:ascii="Book Antiqua" w:hAnsi="Book Antiqua" w:cs="Arial" w:hint="cs"/>
          <w:rtl/>
        </w:rPr>
        <w:t>7</w:t>
      </w:r>
      <w:r>
        <w:rPr>
          <w:rFonts w:ascii="Book Antiqua" w:hAnsi="Book Antiqua" w:cs="Arial"/>
        </w:rPr>
        <w:t xml:space="preserve">% </w:t>
      </w:r>
      <w:r w:rsidR="00DE54AB">
        <w:rPr>
          <w:rFonts w:ascii="Book Antiqua" w:hAnsi="Book Antiqua" w:cs="Arial"/>
        </w:rPr>
        <w:t xml:space="preserve">aux </w:t>
      </w:r>
      <w:r>
        <w:rPr>
          <w:rFonts w:ascii="Book Antiqua" w:hAnsi="Book Antiqua" w:cs="Arial"/>
        </w:rPr>
        <w:t xml:space="preserve">DCFM, avec des apports compris entre 0,6% pour la région de </w:t>
      </w:r>
      <w:r w:rsidRPr="00E9771B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E9771B">
        <w:rPr>
          <w:rFonts w:ascii="Book Antiqua" w:hAnsi="Book Antiqua" w:cs="Arial"/>
        </w:rPr>
        <w:t>Dahab</w:t>
      </w:r>
      <w:r w:rsidR="006F4233">
        <w:rPr>
          <w:rFonts w:ascii="Book Antiqua" w:hAnsi="Book Antiqua" w:cs="Arial"/>
        </w:rPr>
        <w:t xml:space="preserve"> et 5,4% pour la région de </w:t>
      </w:r>
      <w:r w:rsidR="00BD4BD5" w:rsidRPr="000762DA">
        <w:rPr>
          <w:rFonts w:ascii="Book Antiqua" w:hAnsi="Book Antiqua" w:cs="Arial"/>
        </w:rPr>
        <w:t>Béni Mellal-Khénifra</w:t>
      </w:r>
      <w:r>
        <w:rPr>
          <w:rFonts w:ascii="Book Antiqua" w:hAnsi="Book Antiqua" w:cs="Arial"/>
        </w:rPr>
        <w:t>.</w:t>
      </w:r>
    </w:p>
    <w:p w:rsidR="00746A5F" w:rsidRDefault="00746A5F" w:rsidP="009D48E2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ces conditions, les disparités des dépenses de consommation se sont légèrement </w:t>
      </w:r>
      <w:r w:rsidR="009D48E2">
        <w:rPr>
          <w:rFonts w:ascii="Book Antiqua" w:hAnsi="Book Antiqua" w:cs="Arial"/>
        </w:rPr>
        <w:t>creusées</w:t>
      </w:r>
      <w:r>
        <w:rPr>
          <w:rFonts w:ascii="Book Antiqua" w:hAnsi="Book Antiqua" w:cs="Arial"/>
        </w:rPr>
        <w:t>. L</w:t>
      </w:r>
      <w:r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>
        <w:rPr>
          <w:rFonts w:ascii="Book Antiqua" w:hAnsi="Book Antiqua" w:cs="Arial"/>
        </w:rPr>
        <w:t>a atteint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3</w:t>
      </w:r>
      <w:r w:rsidR="009D48E2">
        <w:rPr>
          <w:rFonts w:ascii="Book Antiqua" w:hAnsi="Book Antiqua" w:cs="Arial"/>
        </w:rPr>
        <w:t xml:space="preserve">3 </w:t>
      </w:r>
      <w:r w:rsidRPr="00AC52D2">
        <w:rPr>
          <w:rFonts w:ascii="Book Antiqua" w:hAnsi="Book Antiqua" w:cs="Arial"/>
        </w:rPr>
        <w:t>milliards de DH en 201</w:t>
      </w:r>
      <w:r w:rsidR="009D48E2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 au lieu de 3</w:t>
      </w:r>
      <w:r w:rsidR="009D48E2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9D48E2">
        <w:rPr>
          <w:rFonts w:ascii="Book Antiqua" w:hAnsi="Book Antiqua" w:cs="Arial"/>
        </w:rPr>
        <w:t>7</w:t>
      </w:r>
      <w:r w:rsidRPr="00AC52D2">
        <w:rPr>
          <w:rFonts w:ascii="Book Antiqua" w:hAnsi="Book Antiqua" w:cs="Arial"/>
        </w:rPr>
        <w:t xml:space="preserve"> milliards de DH</w:t>
      </w:r>
      <w:r>
        <w:rPr>
          <w:rFonts w:ascii="Book Antiqua" w:hAnsi="Book Antiqua" w:cs="Arial"/>
        </w:rPr>
        <w:t xml:space="preserve"> en 201</w:t>
      </w:r>
      <w:r w:rsidR="009D48E2">
        <w:rPr>
          <w:rFonts w:ascii="Book Antiqua" w:hAnsi="Book Antiqua" w:cs="Arial"/>
        </w:rPr>
        <w:t>6</w:t>
      </w:r>
      <w:r w:rsidRPr="00AC52D2">
        <w:rPr>
          <w:rFonts w:ascii="Book Antiqua" w:hAnsi="Book Antiqua" w:cs="Arial"/>
        </w:rPr>
        <w:t>. </w:t>
      </w:r>
    </w:p>
    <w:p w:rsidR="00746A5F" w:rsidRDefault="00746A5F" w:rsidP="00746A5F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:rsidR="00746A5F" w:rsidRDefault="00030B51" w:rsidP="00746A5F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  <w:noProof/>
        </w:rPr>
        <w:lastRenderedPageBreak/>
        <w:drawing>
          <wp:inline distT="0" distB="0" distL="0" distR="0">
            <wp:extent cx="5798470" cy="3932911"/>
            <wp:effectExtent l="17758" t="11851" r="13072" b="4938"/>
            <wp:docPr id="2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46A5F" w:rsidRDefault="00746A5F" w:rsidP="00746A5F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:rsidR="00746A5F" w:rsidRPr="00D2227D" w:rsidRDefault="00746A5F" w:rsidP="00B01118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Book Antiqua" w:hAnsi="Book Antiqua" w:cs="Arial"/>
        </w:rPr>
      </w:pPr>
      <w:r w:rsidRPr="00CB7151">
        <w:rPr>
          <w:rFonts w:ascii="Book Antiqua" w:hAnsi="Book Antiqua" w:cs="Arial"/>
        </w:rPr>
        <w:t>Rapportées à la population</w:t>
      </w:r>
      <w:r>
        <w:rPr>
          <w:rFonts w:ascii="Book Antiqua" w:hAnsi="Book Antiqua" w:cs="Arial"/>
        </w:rPr>
        <w:t>,</w:t>
      </w:r>
      <w:r w:rsidRPr="00CB7151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les </w:t>
      </w:r>
      <w:r w:rsidRPr="00D2227D">
        <w:rPr>
          <w:rFonts w:ascii="Book Antiqua" w:hAnsi="Book Antiqua" w:cs="Arial"/>
        </w:rPr>
        <w:t xml:space="preserve">dépenses de consommation finale des ménages </w:t>
      </w:r>
      <w:r>
        <w:rPr>
          <w:rFonts w:ascii="Book Antiqua" w:hAnsi="Book Antiqua" w:cs="Arial"/>
        </w:rPr>
        <w:t xml:space="preserve">affichent des niveaux </w:t>
      </w:r>
      <w:r w:rsidRPr="00D2227D">
        <w:rPr>
          <w:rFonts w:ascii="Book Antiqua" w:hAnsi="Book Antiqua" w:cs="Arial"/>
        </w:rPr>
        <w:t>supérieurs à la moyenne nationale (</w:t>
      </w:r>
      <w:r>
        <w:rPr>
          <w:rFonts w:ascii="Book Antiqua" w:hAnsi="Book Antiqua" w:cs="Arial"/>
        </w:rPr>
        <w:t>1</w:t>
      </w:r>
      <w:r w:rsidR="00B01118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 </w:t>
      </w:r>
      <w:r w:rsidR="00B01118">
        <w:rPr>
          <w:rFonts w:ascii="Book Antiqua" w:hAnsi="Book Antiqua" w:cs="Arial"/>
        </w:rPr>
        <w:t>499</w:t>
      </w:r>
      <w:r w:rsidRPr="00D2227D">
        <w:rPr>
          <w:rFonts w:ascii="Book Antiqua" w:hAnsi="Book Antiqua" w:cs="Arial"/>
        </w:rPr>
        <w:t xml:space="preserve"> DH en 201</w:t>
      </w:r>
      <w:r w:rsidR="00B01118">
        <w:rPr>
          <w:rFonts w:ascii="Book Antiqua" w:hAnsi="Book Antiqua" w:cs="Arial"/>
        </w:rPr>
        <w:t>7</w:t>
      </w:r>
      <w:r w:rsidRPr="00D2227D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 dans six régions</w:t>
      </w:r>
      <w:r w:rsidRPr="00D2227D">
        <w:rPr>
          <w:rFonts w:ascii="Book Antiqua" w:hAnsi="Book Antiqua" w:cs="Arial"/>
        </w:rPr>
        <w:t xml:space="preserve">. Il s’agit  des régions  </w:t>
      </w:r>
      <w:r>
        <w:rPr>
          <w:rFonts w:ascii="Book Antiqua" w:hAnsi="Book Antiqua" w:cs="Arial"/>
        </w:rPr>
        <w:t>de</w:t>
      </w:r>
      <w:r w:rsidRPr="00D2227D">
        <w:rPr>
          <w:rFonts w:ascii="Book Antiqua" w:hAnsi="Book Antiqua" w:cs="Arial"/>
        </w:rPr>
        <w:t xml:space="preserve"> Dakhla-Oued</w:t>
      </w:r>
      <w:r>
        <w:rPr>
          <w:rFonts w:ascii="Book Antiqua" w:hAnsi="Book Antiqua" w:cs="Arial"/>
        </w:rPr>
        <w:t>-E</w:t>
      </w:r>
      <w:r w:rsidRPr="00D2227D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D2227D">
        <w:rPr>
          <w:rFonts w:ascii="Book Antiqua" w:hAnsi="Book Antiqua" w:cs="Arial"/>
        </w:rPr>
        <w:t>Dahab</w:t>
      </w:r>
      <w:r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(</w:t>
      </w:r>
      <w:r w:rsidRPr="00555781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4 </w:t>
      </w:r>
      <w:r w:rsidR="00B01118">
        <w:rPr>
          <w:rFonts w:ascii="Book Antiqua" w:hAnsi="Book Antiqua" w:cs="Arial"/>
        </w:rPr>
        <w:t>891</w:t>
      </w:r>
      <w:r w:rsidRPr="00555781"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 xml:space="preserve">DH), </w:t>
      </w:r>
      <w:r>
        <w:rPr>
          <w:rFonts w:ascii="Book Antiqua" w:hAnsi="Book Antiqua" w:cs="Arial"/>
        </w:rPr>
        <w:t xml:space="preserve">de </w:t>
      </w:r>
      <w:r w:rsidRPr="00D2227D">
        <w:rPr>
          <w:rFonts w:ascii="Book Antiqua" w:hAnsi="Book Antiqua" w:cs="Arial"/>
        </w:rPr>
        <w:t>Casablanca-Settat (</w:t>
      </w:r>
      <w:r>
        <w:rPr>
          <w:rFonts w:ascii="Book Antiqua" w:hAnsi="Book Antiqua" w:cs="Arial"/>
        </w:rPr>
        <w:t>2</w:t>
      </w:r>
      <w:r w:rsidR="00B01118">
        <w:rPr>
          <w:rFonts w:ascii="Book Antiqua" w:hAnsi="Book Antiqua" w:cs="Arial"/>
        </w:rPr>
        <w:t xml:space="preserve">1 406 DH), </w:t>
      </w:r>
      <w:r>
        <w:rPr>
          <w:rFonts w:ascii="Book Antiqua" w:hAnsi="Book Antiqua" w:cs="Arial"/>
        </w:rPr>
        <w:t xml:space="preserve">de </w:t>
      </w:r>
      <w:r w:rsidRPr="00D2227D">
        <w:rPr>
          <w:rFonts w:ascii="Book Antiqua" w:hAnsi="Book Antiqua" w:cs="Arial"/>
        </w:rPr>
        <w:t>Rabat-Salé-Kénitra (</w:t>
      </w:r>
      <w:r w:rsidRPr="00555781">
        <w:rPr>
          <w:rFonts w:ascii="Book Antiqua" w:hAnsi="Book Antiqua" w:cs="Arial"/>
        </w:rPr>
        <w:t>1</w:t>
      </w:r>
      <w:r w:rsidR="00B01118">
        <w:rPr>
          <w:rFonts w:ascii="Book Antiqua" w:hAnsi="Book Antiqua" w:cs="Arial"/>
        </w:rPr>
        <w:t xml:space="preserve">9109 </w:t>
      </w:r>
      <w:r w:rsidRPr="00D2227D">
        <w:rPr>
          <w:rFonts w:ascii="Book Antiqua" w:hAnsi="Book Antiqua" w:cs="Arial"/>
        </w:rPr>
        <w:t>DH)</w:t>
      </w:r>
      <w:r>
        <w:rPr>
          <w:rFonts w:ascii="Book Antiqua" w:hAnsi="Book Antiqua" w:cs="Arial"/>
        </w:rPr>
        <w:t>, de</w:t>
      </w:r>
      <w:r w:rsidRPr="00746FAA">
        <w:rPr>
          <w:rFonts w:ascii="Book Antiqua" w:hAnsi="Book Antiqua" w:cs="Arial"/>
        </w:rPr>
        <w:t xml:space="preserve"> Tanger-Tétouan-Al Hoceima</w:t>
      </w:r>
      <w:r w:rsidRPr="00555781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(18 </w:t>
      </w:r>
      <w:r w:rsidR="00B01118">
        <w:rPr>
          <w:rFonts w:ascii="Book Antiqua" w:hAnsi="Book Antiqua" w:cs="Arial"/>
        </w:rPr>
        <w:t>994</w:t>
      </w:r>
      <w:r>
        <w:rPr>
          <w:rFonts w:ascii="Book Antiqua" w:hAnsi="Book Antiqua" w:cs="Arial"/>
        </w:rPr>
        <w:t xml:space="preserve"> DH),</w:t>
      </w:r>
      <w:r w:rsidRPr="00555781"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de Laâyoune-Saguia al Hamra (</w:t>
      </w:r>
      <w:r w:rsidRPr="00555781">
        <w:rPr>
          <w:rFonts w:ascii="Book Antiqua" w:hAnsi="Book Antiqua" w:cs="Arial"/>
        </w:rPr>
        <w:t>1</w:t>
      </w:r>
      <w:r w:rsidR="00B01118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 </w:t>
      </w:r>
      <w:r w:rsidR="00B01118">
        <w:rPr>
          <w:rFonts w:ascii="Book Antiqua" w:hAnsi="Book Antiqua" w:cs="Arial"/>
        </w:rPr>
        <w:t>502</w:t>
      </w:r>
      <w:r w:rsidRPr="00555781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DH)</w:t>
      </w:r>
      <w:r w:rsidRPr="00D2227D">
        <w:rPr>
          <w:rFonts w:ascii="Book Antiqua" w:hAnsi="Book Antiqua" w:cs="Arial"/>
        </w:rPr>
        <w:t xml:space="preserve"> et de </w:t>
      </w:r>
      <w:r>
        <w:rPr>
          <w:rFonts w:ascii="Book Antiqua" w:hAnsi="Book Antiqua" w:cs="Arial"/>
        </w:rPr>
        <w:t>l’Oriental</w:t>
      </w:r>
      <w:r w:rsidRPr="00D2227D">
        <w:rPr>
          <w:rFonts w:ascii="Book Antiqua" w:hAnsi="Book Antiqua" w:cs="Arial"/>
        </w:rPr>
        <w:t xml:space="preserve"> (</w:t>
      </w:r>
      <w:r w:rsidRPr="00555781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7 </w:t>
      </w:r>
      <w:r w:rsidR="00B01118">
        <w:rPr>
          <w:rFonts w:ascii="Book Antiqua" w:hAnsi="Book Antiqua" w:cs="Arial"/>
        </w:rPr>
        <w:t>993</w:t>
      </w:r>
      <w:r w:rsidRPr="00D2227D">
        <w:rPr>
          <w:rFonts w:ascii="Book Antiqua" w:hAnsi="Book Antiqua" w:cs="Arial"/>
        </w:rPr>
        <w:t xml:space="preserve"> DH). </w:t>
      </w:r>
    </w:p>
    <w:p w:rsidR="00746A5F" w:rsidRDefault="00746A5F" w:rsidP="00D74C90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</w:t>
      </w:r>
      <w:r w:rsidRPr="00D2227D">
        <w:rPr>
          <w:rFonts w:ascii="Book Antiqua" w:hAnsi="Book Antiqua" w:cs="Arial"/>
        </w:rPr>
        <w:t xml:space="preserve"> les autres régions, </w:t>
      </w:r>
      <w:r>
        <w:rPr>
          <w:rFonts w:ascii="Book Antiqua" w:hAnsi="Book Antiqua" w:cs="Arial"/>
        </w:rPr>
        <w:t>les</w:t>
      </w:r>
      <w:r w:rsidRPr="00D2227D">
        <w:rPr>
          <w:rFonts w:ascii="Book Antiqua" w:hAnsi="Book Antiqua" w:cs="Arial"/>
        </w:rPr>
        <w:t xml:space="preserve"> dépenses de consommation </w:t>
      </w:r>
      <w:r>
        <w:rPr>
          <w:rFonts w:ascii="Book Antiqua" w:hAnsi="Book Antiqua" w:cs="Arial"/>
        </w:rPr>
        <w:t xml:space="preserve">par habitant </w:t>
      </w:r>
      <w:r w:rsidRPr="00D2227D">
        <w:rPr>
          <w:rFonts w:ascii="Book Antiqua" w:hAnsi="Book Antiqua" w:cs="Arial"/>
        </w:rPr>
        <w:t>passent d’un minimum de  1</w:t>
      </w:r>
      <w:r w:rsidR="00D74C90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 </w:t>
      </w:r>
      <w:r w:rsidR="00D74C90">
        <w:rPr>
          <w:rFonts w:ascii="Book Antiqua" w:hAnsi="Book Antiqua" w:cs="Arial"/>
        </w:rPr>
        <w:t>253</w:t>
      </w:r>
      <w:r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DH (</w:t>
      </w:r>
      <w:r w:rsidRPr="00746FAA">
        <w:rPr>
          <w:rFonts w:ascii="Book Antiqua" w:hAnsi="Book Antiqua" w:cs="Arial"/>
        </w:rPr>
        <w:t>Drâa-Tafilalet</w:t>
      </w:r>
      <w:r w:rsidRPr="00D2227D">
        <w:rPr>
          <w:rFonts w:ascii="Book Antiqua" w:hAnsi="Book Antiqua" w:cs="Arial"/>
        </w:rPr>
        <w:t xml:space="preserve">) à </w:t>
      </w:r>
      <w:r>
        <w:rPr>
          <w:rFonts w:ascii="Book Antiqua" w:hAnsi="Book Antiqua" w:cs="Arial"/>
        </w:rPr>
        <w:t xml:space="preserve">16 </w:t>
      </w:r>
      <w:r w:rsidR="00D74C90">
        <w:rPr>
          <w:rFonts w:ascii="Book Antiqua" w:hAnsi="Book Antiqua" w:cs="Arial"/>
        </w:rPr>
        <w:t>553</w:t>
      </w:r>
      <w:r w:rsidRPr="00746FAA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DH </w:t>
      </w:r>
      <w:r w:rsidRPr="00D2227D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Fes</w:t>
      </w:r>
      <w:r w:rsidRPr="00AD2025">
        <w:rPr>
          <w:rFonts w:ascii="Book Antiqua" w:hAnsi="Book Antiqua" w:cs="Arial"/>
        </w:rPr>
        <w:t>-</w:t>
      </w:r>
      <w:r>
        <w:rPr>
          <w:rFonts w:ascii="Book Antiqua" w:hAnsi="Book Antiqua" w:cs="Arial"/>
        </w:rPr>
        <w:t>Meknès</w:t>
      </w:r>
      <w:r w:rsidRPr="00D2227D">
        <w:rPr>
          <w:rFonts w:ascii="Book Antiqua" w:hAnsi="Book Antiqua" w:cs="Arial"/>
        </w:rPr>
        <w:t>).</w:t>
      </w:r>
    </w:p>
    <w:p w:rsidR="00746A5F" w:rsidRDefault="00746A5F" w:rsidP="00D74C9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A cet effet,</w:t>
      </w:r>
      <w:r w:rsidRPr="00D2227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la dispersion</w:t>
      </w:r>
      <w:r w:rsidRPr="00D2227D">
        <w:rPr>
          <w:rFonts w:ascii="Book Antiqua" w:hAnsi="Book Antiqua" w:cs="Arial"/>
        </w:rPr>
        <w:t xml:space="preserve"> des dépenses de consommation </w:t>
      </w:r>
      <w:r>
        <w:rPr>
          <w:rFonts w:ascii="Book Antiqua" w:hAnsi="Book Antiqua" w:cs="Arial"/>
        </w:rPr>
        <w:t xml:space="preserve">finale </w:t>
      </w:r>
      <w:r w:rsidRPr="00D2227D">
        <w:rPr>
          <w:rFonts w:ascii="Book Antiqua" w:hAnsi="Book Antiqua" w:cs="Arial"/>
        </w:rPr>
        <w:t xml:space="preserve">des ménages par tête </w:t>
      </w:r>
      <w:r>
        <w:rPr>
          <w:rFonts w:ascii="Book Antiqua" w:hAnsi="Book Antiqua" w:cs="Arial"/>
        </w:rPr>
        <w:t xml:space="preserve">a enregistré une </w:t>
      </w:r>
      <w:r w:rsidR="00D74C90">
        <w:rPr>
          <w:rFonts w:ascii="Book Antiqua" w:hAnsi="Book Antiqua" w:cs="Arial"/>
        </w:rPr>
        <w:t>légère hausse</w:t>
      </w:r>
      <w:r>
        <w:rPr>
          <w:rFonts w:ascii="Book Antiqua" w:hAnsi="Book Antiqua" w:cs="Arial"/>
        </w:rPr>
        <w:t xml:space="preserve">. </w:t>
      </w:r>
      <w:r w:rsidRPr="00D2227D">
        <w:rPr>
          <w:rFonts w:ascii="Book Antiqua" w:hAnsi="Book Antiqua" w:cs="Arial"/>
        </w:rPr>
        <w:t xml:space="preserve">L’écart absolu moyen </w:t>
      </w:r>
      <w:r>
        <w:rPr>
          <w:rFonts w:ascii="Book Antiqua" w:hAnsi="Book Antiqua" w:cs="Arial"/>
        </w:rPr>
        <w:t xml:space="preserve">est passé de 2 </w:t>
      </w:r>
      <w:r w:rsidR="00D74C90">
        <w:rPr>
          <w:rFonts w:ascii="Book Antiqua" w:hAnsi="Book Antiqua" w:cs="Arial"/>
        </w:rPr>
        <w:t>658</w:t>
      </w:r>
      <w:r w:rsidRPr="00D2227D">
        <w:rPr>
          <w:rFonts w:ascii="Book Antiqua" w:hAnsi="Book Antiqua" w:cs="Arial"/>
        </w:rPr>
        <w:t xml:space="preserve"> DH en  201</w:t>
      </w:r>
      <w:r w:rsidR="00D74C90">
        <w:rPr>
          <w:rFonts w:ascii="Book Antiqua" w:hAnsi="Book Antiqua" w:cs="Arial"/>
        </w:rPr>
        <w:t>6</w:t>
      </w:r>
      <w:r w:rsidRPr="00D2227D">
        <w:rPr>
          <w:rFonts w:ascii="Book Antiqua" w:hAnsi="Book Antiqua" w:cs="Arial"/>
        </w:rPr>
        <w:t xml:space="preserve"> à</w:t>
      </w:r>
      <w:r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 xml:space="preserve"> </w:t>
      </w:r>
      <w:r w:rsidR="00D74C90">
        <w:rPr>
          <w:rFonts w:ascii="Book Antiqua" w:hAnsi="Book Antiqua" w:cs="Arial"/>
        </w:rPr>
        <w:t xml:space="preserve">  </w:t>
      </w:r>
      <w:r>
        <w:rPr>
          <w:rFonts w:ascii="Book Antiqua" w:hAnsi="Book Antiqua" w:cs="Arial"/>
        </w:rPr>
        <w:t xml:space="preserve">2 </w:t>
      </w:r>
      <w:r w:rsidR="00D74C90">
        <w:rPr>
          <w:rFonts w:ascii="Book Antiqua" w:hAnsi="Book Antiqua" w:cs="Arial"/>
        </w:rPr>
        <w:t>734</w:t>
      </w:r>
      <w:r w:rsidRPr="00D2227D">
        <w:rPr>
          <w:rFonts w:ascii="Book Antiqua" w:hAnsi="Book Antiqua" w:cs="Arial"/>
        </w:rPr>
        <w:t xml:space="preserve"> DH en 201</w:t>
      </w:r>
      <w:r w:rsidR="00D74C90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. </w:t>
      </w:r>
    </w:p>
    <w:p w:rsidR="00746A5F" w:rsidRDefault="00746A5F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D508B2" w:rsidRDefault="00D508B2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D508B2" w:rsidRDefault="00F83A48" w:rsidP="00F83A48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b/>
          <w:bCs/>
          <w:i/>
          <w:iCs/>
          <w:sz w:val="20"/>
          <w:szCs w:val="20"/>
        </w:rPr>
      </w:pPr>
      <w:r w:rsidRPr="003726F2">
        <w:rPr>
          <w:b/>
          <w:bCs/>
          <w:i/>
          <w:iCs/>
          <w:sz w:val="20"/>
          <w:szCs w:val="20"/>
        </w:rPr>
        <w:t>En annexe les tableaux et les cartes géographiques  présentant les résultats des comptes régionaux des années 201</w:t>
      </w:r>
      <w:r>
        <w:rPr>
          <w:b/>
          <w:bCs/>
          <w:i/>
          <w:iCs/>
          <w:sz w:val="20"/>
          <w:szCs w:val="20"/>
        </w:rPr>
        <w:t>6</w:t>
      </w:r>
      <w:r w:rsidRPr="003726F2">
        <w:rPr>
          <w:b/>
          <w:bCs/>
          <w:i/>
          <w:iCs/>
          <w:sz w:val="20"/>
          <w:szCs w:val="20"/>
        </w:rPr>
        <w:t xml:space="preserve"> et 201</w:t>
      </w:r>
      <w:r>
        <w:rPr>
          <w:b/>
          <w:bCs/>
          <w:i/>
          <w:iCs/>
          <w:sz w:val="20"/>
          <w:szCs w:val="20"/>
        </w:rPr>
        <w:t>7.</w:t>
      </w:r>
    </w:p>
    <w:p w:rsidR="00E830AB" w:rsidRPr="00D508B2" w:rsidRDefault="00E830AB" w:rsidP="00D508B2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b/>
          <w:bCs/>
          <w:i/>
          <w:iCs/>
          <w:sz w:val="20"/>
          <w:szCs w:val="20"/>
        </w:rPr>
        <w:sectPr w:rsidR="00E830AB" w:rsidRPr="00D508B2" w:rsidSect="00D508B2">
          <w:footerReference w:type="first" r:id="rId11"/>
          <w:pgSz w:w="11900" w:h="16840"/>
          <w:pgMar w:top="1701" w:right="1304" w:bottom="1701" w:left="1418" w:header="720" w:footer="720" w:gutter="0"/>
          <w:pgNumType w:start="1"/>
          <w:cols w:space="720"/>
          <w:noEndnote/>
          <w:titlePg/>
          <w:docGrid w:linePitch="326"/>
        </w:sectPr>
      </w:pPr>
    </w:p>
    <w:p w:rsidR="00D508B2" w:rsidRDefault="00D508B2" w:rsidP="00D508B2">
      <w:pPr>
        <w:pStyle w:val="Paragraphedeliste"/>
        <w:ind w:left="0"/>
      </w:pPr>
    </w:p>
    <w:tbl>
      <w:tblPr>
        <w:tblW w:w="12927" w:type="dxa"/>
        <w:jc w:val="center"/>
        <w:tblCellMar>
          <w:left w:w="70" w:type="dxa"/>
          <w:right w:w="70" w:type="dxa"/>
        </w:tblCellMar>
        <w:tblLook w:val="04A0"/>
      </w:tblPr>
      <w:tblGrid>
        <w:gridCol w:w="604"/>
        <w:gridCol w:w="6599"/>
        <w:gridCol w:w="1320"/>
        <w:gridCol w:w="1542"/>
        <w:gridCol w:w="1320"/>
        <w:gridCol w:w="1542"/>
      </w:tblGrid>
      <w:tr w:rsidR="00867D6A" w:rsidTr="0015769C">
        <w:trPr>
          <w:trHeight w:val="515"/>
          <w:jc w:val="center"/>
        </w:trPr>
        <w:tc>
          <w:tcPr>
            <w:tcW w:w="12926" w:type="dxa"/>
            <w:gridSpan w:val="6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Croissance du Produit intérieur brut par région </w:t>
            </w:r>
          </w:p>
        </w:tc>
      </w:tr>
      <w:tr w:rsidR="00867D6A" w:rsidTr="0015769C">
        <w:trPr>
          <w:trHeight w:val="338"/>
          <w:jc w:val="center"/>
        </w:trPr>
        <w:tc>
          <w:tcPr>
            <w:tcW w:w="12926" w:type="dxa"/>
            <w:gridSpan w:val="6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7D6A" w:rsidTr="0015769C">
        <w:trPr>
          <w:trHeight w:val="338"/>
          <w:jc w:val="center"/>
        </w:trPr>
        <w:tc>
          <w:tcPr>
            <w:tcW w:w="7203" w:type="dxa"/>
            <w:gridSpan w:val="2"/>
            <w:vMerge w:val="restart"/>
            <w:tcBorders>
              <w:top w:val="nil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862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Croissance (%)</w:t>
            </w:r>
          </w:p>
        </w:tc>
        <w:tc>
          <w:tcPr>
            <w:tcW w:w="2862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vAlign w:val="center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Contribution à la croissance (points)</w:t>
            </w:r>
          </w:p>
        </w:tc>
      </w:tr>
      <w:tr w:rsidR="00867D6A" w:rsidTr="0015769C">
        <w:trPr>
          <w:trHeight w:val="338"/>
          <w:jc w:val="center"/>
        </w:trPr>
        <w:tc>
          <w:tcPr>
            <w:tcW w:w="7203" w:type="dxa"/>
            <w:gridSpan w:val="2"/>
            <w:vMerge/>
            <w:tcBorders>
              <w:top w:val="nil"/>
              <w:left w:val="single" w:sz="8" w:space="0" w:color="C00000"/>
              <w:bottom w:val="single" w:sz="8" w:space="0" w:color="C0504D"/>
              <w:right w:val="nil"/>
            </w:tcBorders>
            <w:vAlign w:val="center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2016*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2017**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2016*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2017**</w:t>
            </w:r>
          </w:p>
        </w:tc>
      </w:tr>
      <w:tr w:rsidR="0015769C" w:rsidTr="0015769C">
        <w:trPr>
          <w:trHeight w:val="370"/>
          <w:jc w:val="center"/>
        </w:trPr>
        <w:tc>
          <w:tcPr>
            <w:tcW w:w="604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right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542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</w:tr>
      <w:tr w:rsidR="0015769C" w:rsidTr="0015769C">
        <w:trPr>
          <w:trHeight w:val="370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right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5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5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4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</w:tr>
      <w:tr w:rsidR="0015769C" w:rsidTr="0015769C">
        <w:trPr>
          <w:trHeight w:val="370"/>
          <w:jc w:val="center"/>
        </w:trPr>
        <w:tc>
          <w:tcPr>
            <w:tcW w:w="604" w:type="dxa"/>
            <w:tcBorders>
              <w:top w:val="nil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right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5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15769C" w:rsidTr="0015769C">
        <w:trPr>
          <w:trHeight w:val="370"/>
          <w:jc w:val="center"/>
        </w:trPr>
        <w:tc>
          <w:tcPr>
            <w:tcW w:w="604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right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0,8</w:t>
            </w:r>
          </w:p>
        </w:tc>
      </w:tr>
      <w:tr w:rsidR="0015769C" w:rsidTr="0015769C">
        <w:trPr>
          <w:trHeight w:val="370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right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65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</w:tr>
      <w:tr w:rsidR="0015769C" w:rsidTr="0015769C">
        <w:trPr>
          <w:trHeight w:val="370"/>
          <w:jc w:val="center"/>
        </w:trPr>
        <w:tc>
          <w:tcPr>
            <w:tcW w:w="604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right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</w:tr>
      <w:tr w:rsidR="0015769C" w:rsidTr="0015769C">
        <w:trPr>
          <w:trHeight w:val="370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right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65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-2,7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</w:tr>
      <w:tr w:rsidR="0015769C" w:rsidTr="0015769C">
        <w:trPr>
          <w:trHeight w:val="370"/>
          <w:jc w:val="center"/>
        </w:trPr>
        <w:tc>
          <w:tcPr>
            <w:tcW w:w="604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right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</w:t>
            </w:r>
          </w:p>
        </w:tc>
      </w:tr>
      <w:tr w:rsidR="0015769C" w:rsidTr="0015769C">
        <w:trPr>
          <w:trHeight w:val="370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right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65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15769C" w:rsidTr="0015769C">
        <w:trPr>
          <w:trHeight w:val="370"/>
          <w:jc w:val="center"/>
        </w:trPr>
        <w:tc>
          <w:tcPr>
            <w:tcW w:w="604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right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15769C" w:rsidTr="0015769C">
        <w:trPr>
          <w:trHeight w:val="370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right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65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15769C" w:rsidTr="0015769C">
        <w:trPr>
          <w:trHeight w:val="370"/>
          <w:jc w:val="center"/>
        </w:trPr>
        <w:tc>
          <w:tcPr>
            <w:tcW w:w="604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right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867D6A" w:rsidTr="0015769C">
        <w:trPr>
          <w:trHeight w:val="370"/>
          <w:jc w:val="center"/>
        </w:trPr>
        <w:tc>
          <w:tcPr>
            <w:tcW w:w="7203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 w:rsidP="00867D6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   Enceintes extra-territoriales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</w:t>
            </w:r>
          </w:p>
        </w:tc>
      </w:tr>
      <w:tr w:rsidR="00867D6A" w:rsidTr="0015769C">
        <w:trPr>
          <w:trHeight w:val="338"/>
          <w:jc w:val="center"/>
        </w:trPr>
        <w:tc>
          <w:tcPr>
            <w:tcW w:w="7203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0000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867D6A" w:rsidRDefault="00867D6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4,2</w:t>
            </w:r>
          </w:p>
        </w:tc>
      </w:tr>
    </w:tbl>
    <w:p w:rsidR="00867D6A" w:rsidRDefault="00867D6A" w:rsidP="00746A5F">
      <w:pPr>
        <w:pStyle w:val="Paragraphedeliste"/>
      </w:pPr>
    </w:p>
    <w:p w:rsidR="00746A5F" w:rsidRPr="004C167D" w:rsidRDefault="00746A5F" w:rsidP="00746A5F">
      <w:pPr>
        <w:pStyle w:val="Paragraphedeliste"/>
        <w:rPr>
          <w:sz w:val="16"/>
          <w:szCs w:val="16"/>
          <w:rtl/>
        </w:rPr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4C167D">
        <w:t xml:space="preserve">                                              </w:t>
      </w:r>
      <w:r w:rsidR="004C167D" w:rsidRPr="004C167D">
        <w:rPr>
          <w:sz w:val="16"/>
          <w:szCs w:val="16"/>
        </w:rPr>
        <w:t>*Données définitives    ** D</w:t>
      </w:r>
      <w:r w:rsidRPr="004C167D">
        <w:rPr>
          <w:sz w:val="16"/>
          <w:szCs w:val="16"/>
        </w:rPr>
        <w:t>onnées semi-définitives</w:t>
      </w:r>
    </w:p>
    <w:p w:rsidR="00746A5F" w:rsidRPr="004C167D" w:rsidRDefault="004C167D" w:rsidP="00746A5F">
      <w:pPr>
        <w:pStyle w:val="Paragraphedeliste"/>
        <w:rPr>
          <w:sz w:val="16"/>
          <w:szCs w:val="16"/>
        </w:rPr>
      </w:pPr>
      <w:r w:rsidRPr="004C167D">
        <w:rPr>
          <w:sz w:val="16"/>
          <w:szCs w:val="16"/>
        </w:rPr>
        <w:t xml:space="preserve">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</w:t>
      </w:r>
      <w:r w:rsidR="00867D6A">
        <w:rPr>
          <w:sz w:val="16"/>
          <w:szCs w:val="16"/>
        </w:rPr>
        <w:t xml:space="preserve">                               </w:t>
      </w:r>
    </w:p>
    <w:p w:rsidR="004C167D" w:rsidRDefault="004C167D" w:rsidP="00746A5F">
      <w:pPr>
        <w:pStyle w:val="Paragraphedeliste"/>
      </w:pPr>
    </w:p>
    <w:p w:rsidR="00746A5F" w:rsidRDefault="00746A5F" w:rsidP="00746A5F">
      <w:pPr>
        <w:pStyle w:val="Paragraphedeliste"/>
        <w:tabs>
          <w:tab w:val="left" w:pos="1236"/>
        </w:tabs>
        <w:ind w:left="0"/>
      </w:pPr>
    </w:p>
    <w:p w:rsidR="00746A5F" w:rsidRDefault="00746A5F" w:rsidP="00746A5F">
      <w:pPr>
        <w:pStyle w:val="Paragraphedeliste"/>
      </w:pPr>
    </w:p>
    <w:tbl>
      <w:tblPr>
        <w:tblW w:w="13228" w:type="dxa"/>
        <w:tblInd w:w="1301" w:type="dxa"/>
        <w:tblCellMar>
          <w:left w:w="70" w:type="dxa"/>
          <w:right w:w="70" w:type="dxa"/>
        </w:tblCellMar>
        <w:tblLook w:val="04A0"/>
      </w:tblPr>
      <w:tblGrid>
        <w:gridCol w:w="462"/>
        <w:gridCol w:w="3977"/>
        <w:gridCol w:w="1376"/>
        <w:gridCol w:w="1743"/>
        <w:gridCol w:w="881"/>
        <w:gridCol w:w="1954"/>
        <w:gridCol w:w="1173"/>
        <w:gridCol w:w="1662"/>
      </w:tblGrid>
      <w:tr w:rsidR="00746A5F" w:rsidRPr="000B2F66" w:rsidTr="002C7FD0">
        <w:trPr>
          <w:trHeight w:val="480"/>
        </w:trPr>
        <w:tc>
          <w:tcPr>
            <w:tcW w:w="13228" w:type="dxa"/>
            <w:gridSpan w:val="8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746A5F" w:rsidRPr="000B2F66" w:rsidRDefault="00746A5F" w:rsidP="002C7FD0">
            <w:pPr>
              <w:ind w:left="-25" w:firstLine="25"/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 xml:space="preserve">Produit intérieur brut </w:t>
            </w:r>
            <w:r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(</w:t>
            </w:r>
            <w:r w:rsidR="003B1FF8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aux prix </w:t>
            </w:r>
            <w:r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courant</w:t>
            </w:r>
            <w:r w:rsidR="003B1FF8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s</w:t>
            </w:r>
            <w:r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)</w:t>
            </w:r>
            <w:r w:rsidRPr="000B2F66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par région </w:t>
            </w:r>
          </w:p>
        </w:tc>
      </w:tr>
      <w:tr w:rsidR="00746A5F" w:rsidRPr="000B2F66" w:rsidTr="002C7FD0">
        <w:trPr>
          <w:trHeight w:val="315"/>
        </w:trPr>
        <w:tc>
          <w:tcPr>
            <w:tcW w:w="46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0B2F66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0B2F66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0B2F66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0B2F66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0B2F66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0B2F66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0B2F66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46A5F" w:rsidRPr="000B2F66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46A5F" w:rsidRPr="000B2F66" w:rsidTr="002C7FD0">
        <w:trPr>
          <w:trHeight w:val="397"/>
        </w:trPr>
        <w:tc>
          <w:tcPr>
            <w:tcW w:w="4439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746A5F" w:rsidRPr="000B2F66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311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0B2F66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283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0B2F66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283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746A5F" w:rsidRPr="000B2F66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PIB par tête</w:t>
            </w:r>
            <w:r w:rsidR="003B1FF8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(en</w:t>
            </w:r>
            <w:r w:rsidR="003B1FF8"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DH)</w:t>
            </w:r>
          </w:p>
        </w:tc>
      </w:tr>
      <w:tr w:rsidR="00746A5F" w:rsidRPr="000B2F66" w:rsidTr="002C7FD0">
        <w:trPr>
          <w:trHeight w:val="397"/>
        </w:trPr>
        <w:tc>
          <w:tcPr>
            <w:tcW w:w="4439" w:type="dxa"/>
            <w:gridSpan w:val="2"/>
            <w:vMerge/>
            <w:tcBorders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746A5F" w:rsidRPr="000B2F66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0B2F66" w:rsidRDefault="00746A5F" w:rsidP="00EC459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 w:rsidR="00EC459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0B2F66" w:rsidRDefault="00746A5F" w:rsidP="00EC459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 w:rsidR="00EC459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0B2F66" w:rsidRDefault="00746A5F" w:rsidP="00EC459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 w:rsidR="00EC459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0B2F66" w:rsidRDefault="00746A5F" w:rsidP="00EC459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 w:rsidR="00EC459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0B2F66" w:rsidRDefault="00746A5F" w:rsidP="00EC459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 w:rsidR="00EC459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746A5F" w:rsidRPr="000B2F66" w:rsidRDefault="00746A5F" w:rsidP="00EC459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 w:rsidR="00EC459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622500" w:rsidRPr="000B2F66" w:rsidTr="008435F7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3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103 308</w:t>
            </w:r>
          </w:p>
        </w:tc>
        <w:tc>
          <w:tcPr>
            <w:tcW w:w="17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111 209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28 414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30 216</w:t>
            </w:r>
          </w:p>
        </w:tc>
      </w:tr>
      <w:tr w:rsidR="00622500" w:rsidRPr="000B2F66" w:rsidTr="008435F7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49 123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52 213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20 867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21 958</w:t>
            </w:r>
          </w:p>
        </w:tc>
      </w:tr>
      <w:tr w:rsidR="00622500" w:rsidRPr="000B2F66" w:rsidTr="008435F7">
        <w:trPr>
          <w:trHeight w:val="397"/>
        </w:trPr>
        <w:tc>
          <w:tcPr>
            <w:tcW w:w="4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91 305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92 180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21 291</w:t>
            </w: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21 346</w:t>
            </w:r>
          </w:p>
        </w:tc>
      </w:tr>
      <w:tr w:rsidR="00622500" w:rsidRPr="000B2F66" w:rsidTr="008435F7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162 515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171 881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34 804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36 420</w:t>
            </w:r>
          </w:p>
        </w:tc>
      </w:tr>
      <w:tr w:rsidR="00622500" w:rsidRPr="000B2F66" w:rsidTr="008435F7">
        <w:trPr>
          <w:trHeight w:val="397"/>
        </w:trPr>
        <w:tc>
          <w:tcPr>
            <w:tcW w:w="4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57 984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61 750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22 747</w:t>
            </w: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24 070</w:t>
            </w:r>
          </w:p>
        </w:tc>
      </w:tr>
      <w:tr w:rsidR="00622500" w:rsidRPr="000B2F66" w:rsidTr="008435F7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323 757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339 720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31,9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46 065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47 694</w:t>
            </w:r>
          </w:p>
        </w:tc>
      </w:tr>
      <w:tr w:rsidR="00622500" w:rsidRPr="000B2F66" w:rsidTr="008435F7">
        <w:trPr>
          <w:trHeight w:val="397"/>
        </w:trPr>
        <w:tc>
          <w:tcPr>
            <w:tcW w:w="4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87 277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90 103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18 976</w:t>
            </w: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19 403</w:t>
            </w:r>
          </w:p>
        </w:tc>
      </w:tr>
      <w:tr w:rsidR="00622500" w:rsidRPr="000B2F66" w:rsidTr="008435F7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26 762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26 949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16 190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16 201</w:t>
            </w:r>
          </w:p>
        </w:tc>
      </w:tr>
      <w:tr w:rsidR="00622500" w:rsidRPr="000B2F66" w:rsidTr="008435F7">
        <w:trPr>
          <w:trHeight w:val="397"/>
        </w:trPr>
        <w:tc>
          <w:tcPr>
            <w:tcW w:w="4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68 363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69 917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24 939</w:t>
            </w: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25 161</w:t>
            </w:r>
          </w:p>
        </w:tc>
      </w:tr>
      <w:tr w:rsidR="00622500" w:rsidRPr="000B2F66" w:rsidTr="008435F7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14 128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15 085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32 301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34 317</w:t>
            </w:r>
          </w:p>
        </w:tc>
      </w:tr>
      <w:tr w:rsidR="00622500" w:rsidRPr="000B2F66" w:rsidTr="008435F7">
        <w:trPr>
          <w:trHeight w:val="397"/>
        </w:trPr>
        <w:tc>
          <w:tcPr>
            <w:tcW w:w="4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15 660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17 404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41 477</w:t>
            </w: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45 419</w:t>
            </w:r>
          </w:p>
        </w:tc>
      </w:tr>
      <w:tr w:rsidR="00622500" w:rsidRPr="000B2F66" w:rsidTr="008435F7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11 632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13 508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76 003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84 949</w:t>
            </w:r>
          </w:p>
        </w:tc>
      </w:tr>
      <w:tr w:rsidR="00622500" w:rsidRPr="000B2F66" w:rsidTr="008435F7">
        <w:trPr>
          <w:trHeight w:val="397"/>
        </w:trPr>
        <w:tc>
          <w:tcPr>
            <w:tcW w:w="443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   </w:t>
            </w: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1 415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1 432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Default="00622500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622500" w:rsidRPr="000B2F66" w:rsidTr="008435F7">
        <w:trPr>
          <w:trHeight w:val="397"/>
        </w:trPr>
        <w:tc>
          <w:tcPr>
            <w:tcW w:w="443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0B2F66" w:rsidRDefault="00622500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0000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622500" w:rsidRDefault="00622500" w:rsidP="008435F7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622500">
              <w:rPr>
                <w:rFonts w:ascii="Book Antiqua" w:hAnsi="Book Antiqua"/>
                <w:b/>
                <w:color w:val="000000"/>
                <w:sz w:val="22"/>
                <w:szCs w:val="22"/>
              </w:rPr>
              <w:t>1 013 229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622500" w:rsidRDefault="00622500" w:rsidP="008435F7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622500">
              <w:rPr>
                <w:rFonts w:ascii="Book Antiqua" w:hAnsi="Book Antiqua"/>
                <w:b/>
                <w:color w:val="000000"/>
                <w:sz w:val="22"/>
                <w:szCs w:val="22"/>
              </w:rPr>
              <w:t>1 063 351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622500" w:rsidRDefault="00622500" w:rsidP="008435F7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622500">
              <w:rPr>
                <w:rFonts w:ascii="Book Antiqua" w:hAnsi="Book Antiqua"/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622500" w:rsidRDefault="00622500" w:rsidP="008435F7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622500">
              <w:rPr>
                <w:rFonts w:ascii="Book Antiqua" w:hAnsi="Book Antiqua"/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22500" w:rsidRPr="00622500" w:rsidRDefault="00622500" w:rsidP="008435F7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622500">
              <w:rPr>
                <w:rFonts w:ascii="Book Antiqua" w:hAnsi="Book Antiqua"/>
                <w:b/>
                <w:color w:val="000000"/>
                <w:sz w:val="22"/>
                <w:szCs w:val="22"/>
              </w:rPr>
              <w:t>29 380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22500" w:rsidRPr="00622500" w:rsidRDefault="00622500" w:rsidP="008435F7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622500">
              <w:rPr>
                <w:rFonts w:ascii="Book Antiqua" w:hAnsi="Book Antiqua"/>
                <w:b/>
                <w:color w:val="000000"/>
                <w:sz w:val="22"/>
                <w:szCs w:val="22"/>
              </w:rPr>
              <w:t>30 510</w:t>
            </w:r>
          </w:p>
        </w:tc>
      </w:tr>
    </w:tbl>
    <w:p w:rsidR="003B1FF8" w:rsidRDefault="003B1FF8" w:rsidP="003B1FF8">
      <w:pPr>
        <w:pStyle w:val="Paragraphedeliste"/>
      </w:pPr>
    </w:p>
    <w:p w:rsidR="003B1FF8" w:rsidRPr="004C167D" w:rsidRDefault="003B1FF8" w:rsidP="003B1FF8">
      <w:pPr>
        <w:pStyle w:val="Paragraphedeliste"/>
        <w:rPr>
          <w:sz w:val="16"/>
          <w:szCs w:val="16"/>
          <w:rtl/>
        </w:rPr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</w:t>
      </w:r>
      <w:r w:rsidRPr="004C167D">
        <w:rPr>
          <w:sz w:val="16"/>
          <w:szCs w:val="16"/>
        </w:rPr>
        <w:t>*Données définitives    ** Données semi-définitives</w:t>
      </w: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  <w:rPr>
          <w:rtl/>
        </w:rPr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</w:pPr>
    </w:p>
    <w:tbl>
      <w:tblPr>
        <w:tblW w:w="13325" w:type="dxa"/>
        <w:tblInd w:w="1204" w:type="dxa"/>
        <w:tblCellMar>
          <w:left w:w="70" w:type="dxa"/>
          <w:right w:w="70" w:type="dxa"/>
        </w:tblCellMar>
        <w:tblLook w:val="04A0"/>
      </w:tblPr>
      <w:tblGrid>
        <w:gridCol w:w="420"/>
        <w:gridCol w:w="3408"/>
        <w:gridCol w:w="1390"/>
        <w:gridCol w:w="1870"/>
        <w:gridCol w:w="1756"/>
        <w:gridCol w:w="1657"/>
        <w:gridCol w:w="973"/>
        <w:gridCol w:w="1851"/>
      </w:tblGrid>
      <w:tr w:rsidR="00746A5F" w:rsidRPr="00C76CD9" w:rsidTr="002C7FD0">
        <w:trPr>
          <w:trHeight w:val="480"/>
        </w:trPr>
        <w:tc>
          <w:tcPr>
            <w:tcW w:w="13325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746A5F" w:rsidRPr="00C76CD9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Dépenses de consommation finale des ménages</w:t>
            </w:r>
            <w:r w:rsidR="00AF2CF8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(aux prix courants)</w:t>
            </w:r>
            <w:r w:rsidR="00AF2CF8" w:rsidRPr="000B2F66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C76CD9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par région </w:t>
            </w:r>
          </w:p>
        </w:tc>
      </w:tr>
      <w:tr w:rsidR="00746A5F" w:rsidRPr="00C76CD9" w:rsidTr="002C7FD0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C76CD9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C76CD9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C76CD9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C76CD9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C76CD9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C76CD9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C76CD9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46A5F" w:rsidRPr="00C76CD9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46A5F" w:rsidRPr="00C76CD9" w:rsidTr="002C7FD0">
        <w:trPr>
          <w:trHeight w:val="397"/>
        </w:trPr>
        <w:tc>
          <w:tcPr>
            <w:tcW w:w="382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746A5F" w:rsidRPr="00C76CD9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326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C76CD9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341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746A5F" w:rsidRPr="00C76CD9" w:rsidRDefault="00746A5F" w:rsidP="002C7FD0">
            <w:pPr>
              <w:tabs>
                <w:tab w:val="left" w:pos="1427"/>
              </w:tabs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28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746A5F" w:rsidRPr="00C76CD9" w:rsidRDefault="00746A5F" w:rsidP="002C7FD0">
            <w:pPr>
              <w:ind w:left="-70"/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par tête</w:t>
            </w:r>
            <w:r w:rsidR="002143B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(en</w:t>
            </w:r>
            <w:r w:rsidR="002143B6"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DH)</w:t>
            </w:r>
          </w:p>
        </w:tc>
      </w:tr>
      <w:tr w:rsidR="00F53999" w:rsidRPr="00C76CD9" w:rsidTr="002C7FD0">
        <w:trPr>
          <w:trHeight w:val="397"/>
        </w:trPr>
        <w:tc>
          <w:tcPr>
            <w:tcW w:w="382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53999" w:rsidRPr="00C76CD9" w:rsidRDefault="00F53999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</w:tr>
      <w:tr w:rsidR="008435F7" w:rsidRPr="00C76CD9" w:rsidTr="008435F7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67126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69905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18463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18994</w:t>
            </w:r>
          </w:p>
        </w:tc>
      </w:tr>
      <w:tr w:rsidR="008435F7" w:rsidRPr="00C76CD9" w:rsidTr="008435F7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41189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42784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17497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17993</w:t>
            </w:r>
          </w:p>
        </w:tc>
      </w:tr>
      <w:tr w:rsidR="008435F7" w:rsidRPr="00C76CD9" w:rsidTr="008435F7">
        <w:trPr>
          <w:trHeight w:val="397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69012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71479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16092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16553</w:t>
            </w:r>
          </w:p>
        </w:tc>
      </w:tr>
      <w:tr w:rsidR="008435F7" w:rsidRPr="00C76CD9" w:rsidTr="008435F7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86736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90183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18575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19109</w:t>
            </w:r>
          </w:p>
        </w:tc>
      </w:tr>
      <w:tr w:rsidR="008435F7" w:rsidRPr="00C76CD9" w:rsidTr="008435F7">
        <w:trPr>
          <w:trHeight w:val="397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31718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32836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12443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12799</w:t>
            </w:r>
          </w:p>
        </w:tc>
      </w:tr>
      <w:tr w:rsidR="008435F7" w:rsidRPr="00C76CD9" w:rsidTr="008435F7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146247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152473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24,9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25,0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20809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21406</w:t>
            </w:r>
          </w:p>
        </w:tc>
      </w:tr>
      <w:tr w:rsidR="008435F7" w:rsidRPr="00C76CD9" w:rsidTr="008435F7">
        <w:trPr>
          <w:trHeight w:val="397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4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65646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68187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14273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14684</w:t>
            </w:r>
          </w:p>
        </w:tc>
      </w:tr>
      <w:tr w:rsidR="008435F7" w:rsidRPr="00C76CD9" w:rsidTr="008435F7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19692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20382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11912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12253</w:t>
            </w:r>
          </w:p>
        </w:tc>
      </w:tr>
      <w:tr w:rsidR="008435F7" w:rsidRPr="00C76CD9" w:rsidTr="008435F7">
        <w:trPr>
          <w:trHeight w:val="397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4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41738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43511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15226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15658</w:t>
            </w:r>
          </w:p>
        </w:tc>
      </w:tr>
      <w:tr w:rsidR="008435F7" w:rsidRPr="00C76CD9" w:rsidTr="008435F7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6863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7094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15691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16138</w:t>
            </w:r>
          </w:p>
        </w:tc>
      </w:tr>
      <w:tr w:rsidR="008435F7" w:rsidRPr="00C76CD9" w:rsidTr="008435F7">
        <w:trPr>
          <w:trHeight w:val="397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4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6790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7090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17984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18502</w:t>
            </w:r>
          </w:p>
        </w:tc>
      </w:tr>
      <w:tr w:rsidR="008435F7" w:rsidRPr="00C76CD9" w:rsidTr="008435F7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3704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3958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24203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435F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24891</w:t>
            </w:r>
          </w:p>
        </w:tc>
      </w:tr>
      <w:tr w:rsidR="008435F7" w:rsidRPr="008435F7" w:rsidTr="008435F7">
        <w:trPr>
          <w:trHeight w:val="397"/>
        </w:trPr>
        <w:tc>
          <w:tcPr>
            <w:tcW w:w="382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C76CD9" w:rsidRDefault="008435F7" w:rsidP="008435F7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8435F7" w:rsidRDefault="008435F7" w:rsidP="008435F7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435F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586461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8435F7" w:rsidRDefault="008435F7" w:rsidP="008435F7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435F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609882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8435F7" w:rsidRDefault="008435F7" w:rsidP="008435F7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435F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8435F7" w:rsidRDefault="008435F7" w:rsidP="008435F7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435F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8435F7" w:rsidRDefault="008435F7" w:rsidP="008435F7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435F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17006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Pr="008435F7" w:rsidRDefault="008435F7" w:rsidP="008435F7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435F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17 499</w:t>
            </w:r>
          </w:p>
        </w:tc>
      </w:tr>
    </w:tbl>
    <w:p w:rsidR="002143B6" w:rsidRPr="002143B6" w:rsidRDefault="002143B6" w:rsidP="002143B6">
      <w:pPr>
        <w:pStyle w:val="Paragraphedeliste"/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</w:t>
      </w:r>
    </w:p>
    <w:p w:rsidR="002143B6" w:rsidRPr="004C167D" w:rsidRDefault="002143B6" w:rsidP="002143B6">
      <w:pPr>
        <w:pStyle w:val="Paragraphedeliste"/>
        <w:rPr>
          <w:sz w:val="16"/>
          <w:szCs w:val="16"/>
          <w:rtl/>
        </w:rPr>
      </w:pPr>
      <w:r>
        <w:t xml:space="preserve">                                                                                                                                                                       </w:t>
      </w:r>
      <w:r w:rsidRPr="004C167D">
        <w:rPr>
          <w:sz w:val="16"/>
          <w:szCs w:val="16"/>
        </w:rPr>
        <w:t>*Données définitives    ** Données semi-définitives</w:t>
      </w:r>
    </w:p>
    <w:p w:rsidR="002143B6" w:rsidRDefault="002143B6" w:rsidP="00746A5F">
      <w:pPr>
        <w:pStyle w:val="Paragraphedeliste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</w:t>
      </w:r>
    </w:p>
    <w:p w:rsidR="00746A5F" w:rsidRDefault="00746A5F" w:rsidP="00746A5F">
      <w:pPr>
        <w:pStyle w:val="Paragraphedeliste"/>
        <w:ind w:left="7092" w:firstLine="696"/>
        <w:rPr>
          <w:sz w:val="16"/>
          <w:szCs w:val="16"/>
        </w:rPr>
      </w:pPr>
    </w:p>
    <w:p w:rsidR="002143B6" w:rsidRDefault="002143B6" w:rsidP="00746A5F">
      <w:pPr>
        <w:pStyle w:val="Paragraphedeliste"/>
        <w:ind w:left="7092" w:firstLine="696"/>
      </w:pPr>
    </w:p>
    <w:p w:rsidR="00746A5F" w:rsidRDefault="00746A5F" w:rsidP="00746A5F">
      <w:pPr>
        <w:pStyle w:val="Paragraphedeliste"/>
        <w:ind w:left="7092" w:firstLine="696"/>
      </w:pPr>
    </w:p>
    <w:p w:rsidR="00746A5F" w:rsidRDefault="00746A5F" w:rsidP="00746A5F">
      <w:pPr>
        <w:pStyle w:val="Paragraphedeliste"/>
        <w:ind w:left="7092" w:firstLine="696"/>
        <w:rPr>
          <w:rtl/>
        </w:rPr>
      </w:pPr>
    </w:p>
    <w:p w:rsidR="00746A5F" w:rsidRDefault="00746A5F" w:rsidP="00746A5F">
      <w:pPr>
        <w:pStyle w:val="Paragraphedeliste"/>
        <w:jc w:val="both"/>
      </w:pPr>
    </w:p>
    <w:tbl>
      <w:tblPr>
        <w:tblW w:w="13607" w:type="dxa"/>
        <w:tblInd w:w="1204" w:type="dxa"/>
        <w:tblCellMar>
          <w:left w:w="70" w:type="dxa"/>
          <w:right w:w="70" w:type="dxa"/>
        </w:tblCellMar>
        <w:tblLook w:val="04A0"/>
      </w:tblPr>
      <w:tblGrid>
        <w:gridCol w:w="442"/>
        <w:gridCol w:w="3826"/>
        <w:gridCol w:w="1219"/>
        <w:gridCol w:w="1219"/>
        <w:gridCol w:w="1219"/>
        <w:gridCol w:w="1219"/>
        <w:gridCol w:w="1219"/>
        <w:gridCol w:w="1219"/>
        <w:gridCol w:w="1219"/>
        <w:gridCol w:w="806"/>
      </w:tblGrid>
      <w:tr w:rsidR="00746A5F" w:rsidRPr="00FB7B70" w:rsidTr="002143B6">
        <w:trPr>
          <w:trHeight w:val="540"/>
        </w:trPr>
        <w:tc>
          <w:tcPr>
            <w:tcW w:w="13607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746A5F" w:rsidRPr="00AF2CF8" w:rsidRDefault="00746A5F" w:rsidP="00AF2CF8">
            <w:pPr>
              <w:jc w:val="center"/>
              <w:rPr>
                <w:rFonts w:ascii="Book Antiqua" w:hAnsi="Book Antiqua"/>
                <w:b/>
                <w:bCs/>
                <w:color w:val="000000"/>
                <w:sz w:val="30"/>
                <w:szCs w:val="30"/>
              </w:rPr>
            </w:pPr>
            <w:r w:rsidRPr="00AF2CF8">
              <w:rPr>
                <w:rFonts w:ascii="Book Antiqua" w:hAnsi="Book Antiqua"/>
                <w:b/>
                <w:bCs/>
                <w:color w:val="000000"/>
                <w:sz w:val="30"/>
                <w:szCs w:val="30"/>
              </w:rPr>
              <w:t>Produit intérieur brut (</w:t>
            </w:r>
            <w:r w:rsidR="00AF2CF8" w:rsidRPr="00AF2CF8">
              <w:rPr>
                <w:rFonts w:ascii="Book Antiqua" w:hAnsi="Book Antiqua"/>
                <w:b/>
                <w:bCs/>
                <w:color w:val="000000"/>
                <w:sz w:val="30"/>
                <w:szCs w:val="30"/>
              </w:rPr>
              <w:t xml:space="preserve">aux prix </w:t>
            </w:r>
            <w:r w:rsidRPr="00AF2CF8">
              <w:rPr>
                <w:rFonts w:ascii="Book Antiqua" w:hAnsi="Book Antiqua"/>
                <w:b/>
                <w:bCs/>
                <w:color w:val="000000"/>
                <w:sz w:val="30"/>
                <w:szCs w:val="30"/>
              </w:rPr>
              <w:t>courant</w:t>
            </w:r>
            <w:r w:rsidR="00AF2CF8" w:rsidRPr="00AF2CF8">
              <w:rPr>
                <w:rFonts w:ascii="Book Antiqua" w:hAnsi="Book Antiqua"/>
                <w:b/>
                <w:bCs/>
                <w:color w:val="000000"/>
                <w:sz w:val="30"/>
                <w:szCs w:val="30"/>
              </w:rPr>
              <w:t>s</w:t>
            </w:r>
            <w:r w:rsidRPr="00AF2CF8">
              <w:rPr>
                <w:rFonts w:ascii="Book Antiqua" w:hAnsi="Book Antiqua"/>
                <w:b/>
                <w:bCs/>
                <w:color w:val="000000"/>
                <w:sz w:val="30"/>
                <w:szCs w:val="30"/>
              </w:rPr>
              <w:t>) par secteurs d'activité et par région (en millions de DH)</w:t>
            </w:r>
          </w:p>
        </w:tc>
      </w:tr>
      <w:tr w:rsidR="00746A5F" w:rsidRPr="00FB7B70" w:rsidTr="002143B6">
        <w:trPr>
          <w:trHeight w:val="315"/>
        </w:trPr>
        <w:tc>
          <w:tcPr>
            <w:tcW w:w="44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FB7B70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46A5F" w:rsidRPr="00FB7B70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FB7B70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FB7B70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FB7B70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FB7B70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FB7B70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FB7B70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FB7B70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746A5F" w:rsidRPr="00FB7B70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46A5F" w:rsidRPr="00FB7B70" w:rsidTr="002143B6">
        <w:trPr>
          <w:trHeight w:val="397"/>
        </w:trPr>
        <w:tc>
          <w:tcPr>
            <w:tcW w:w="426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746A5F" w:rsidRPr="00FB7B70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43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FB7B70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43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FB7B70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43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FB7B70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02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746A5F" w:rsidRPr="00FB7B70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F53999" w:rsidRPr="00FB7B70" w:rsidTr="002143B6">
        <w:trPr>
          <w:trHeight w:val="397"/>
        </w:trPr>
        <w:tc>
          <w:tcPr>
            <w:tcW w:w="426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53999" w:rsidRPr="00FB7B70" w:rsidRDefault="00F53999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</w:tr>
      <w:tr w:rsidR="008435F7" w:rsidRPr="00FB7B70" w:rsidTr="0086276D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10813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9990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33134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37858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46447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49088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12913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14272</w:t>
            </w:r>
          </w:p>
        </w:tc>
      </w:tr>
      <w:tr w:rsidR="008435F7" w:rsidRPr="00FB7B70" w:rsidTr="0086276D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7988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8296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9831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11412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24265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24754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7039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7751</w:t>
            </w:r>
          </w:p>
        </w:tc>
      </w:tr>
      <w:tr w:rsidR="008435F7" w:rsidRPr="00FB7B70" w:rsidTr="0086276D">
        <w:trPr>
          <w:trHeight w:val="397"/>
        </w:trPr>
        <w:tc>
          <w:tcPr>
            <w:tcW w:w="44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8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18082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20001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18967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17286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41730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42329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12526</w:t>
            </w:r>
          </w:p>
        </w:tc>
        <w:tc>
          <w:tcPr>
            <w:tcW w:w="80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12564</w:t>
            </w:r>
          </w:p>
        </w:tc>
      </w:tr>
      <w:tr w:rsidR="008435F7" w:rsidRPr="00FB7B70" w:rsidTr="0086276D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21183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23365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24440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27724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98416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102802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18476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17991</w:t>
            </w:r>
          </w:p>
        </w:tc>
      </w:tr>
      <w:tr w:rsidR="008435F7" w:rsidRPr="00FB7B70" w:rsidTr="0086276D">
        <w:trPr>
          <w:trHeight w:val="397"/>
        </w:trPr>
        <w:tc>
          <w:tcPr>
            <w:tcW w:w="44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8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10716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11539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19486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21580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21495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22217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6287</w:t>
            </w:r>
          </w:p>
        </w:tc>
        <w:tc>
          <w:tcPr>
            <w:tcW w:w="80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6415</w:t>
            </w:r>
          </w:p>
        </w:tc>
      </w:tr>
      <w:tr w:rsidR="008435F7" w:rsidRPr="00FB7B70" w:rsidTr="0086276D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14592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18105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116719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119520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158075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164134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34371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37960</w:t>
            </w:r>
          </w:p>
        </w:tc>
      </w:tr>
      <w:tr w:rsidR="008435F7" w:rsidRPr="00FB7B70" w:rsidTr="0086276D">
        <w:trPr>
          <w:trHeight w:val="397"/>
        </w:trPr>
        <w:tc>
          <w:tcPr>
            <w:tcW w:w="44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8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13684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14885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15792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17221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44719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45912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13083</w:t>
            </w:r>
          </w:p>
        </w:tc>
        <w:tc>
          <w:tcPr>
            <w:tcW w:w="80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12086</w:t>
            </w:r>
          </w:p>
        </w:tc>
      </w:tr>
      <w:tr w:rsidR="008435F7" w:rsidRPr="00FB7B70" w:rsidTr="0086276D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4066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4824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3930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4219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14638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14279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4128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3626</w:t>
            </w:r>
          </w:p>
        </w:tc>
      </w:tr>
      <w:tr w:rsidR="008435F7" w:rsidRPr="00FB7B70" w:rsidTr="0086276D">
        <w:trPr>
          <w:trHeight w:val="397"/>
        </w:trPr>
        <w:tc>
          <w:tcPr>
            <w:tcW w:w="44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8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13864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12860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13060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13354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33193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35453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8245</w:t>
            </w:r>
          </w:p>
        </w:tc>
        <w:tc>
          <w:tcPr>
            <w:tcW w:w="80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8250</w:t>
            </w:r>
          </w:p>
        </w:tc>
      </w:tr>
      <w:tr w:rsidR="008435F7" w:rsidRPr="00FB7B70" w:rsidTr="0086276D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1547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1496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1452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1592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9697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10548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1432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1449</w:t>
            </w:r>
          </w:p>
        </w:tc>
      </w:tr>
      <w:tr w:rsidR="008435F7" w:rsidRPr="00FB7B70" w:rsidTr="0086276D">
        <w:trPr>
          <w:trHeight w:val="397"/>
        </w:trPr>
        <w:tc>
          <w:tcPr>
            <w:tcW w:w="44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8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2395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4486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4912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9047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9962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80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135</w:t>
            </w:r>
          </w:p>
        </w:tc>
      </w:tr>
      <w:tr w:rsidR="008435F7" w:rsidRPr="00FB7B70" w:rsidTr="0086276D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3012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3662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1050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1409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7561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8414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</w:t>
            </w:r>
          </w:p>
        </w:tc>
      </w:tr>
      <w:tr w:rsidR="008435F7" w:rsidRPr="00FB7B70" w:rsidTr="0086276D">
        <w:trPr>
          <w:trHeight w:val="397"/>
        </w:trPr>
        <w:tc>
          <w:tcPr>
            <w:tcW w:w="426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FB7B70" w:rsidRDefault="008435F7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135E0B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135E0B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135E0B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135E0B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1415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1432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435F7" w:rsidRPr="00135E0B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435F7" w:rsidRPr="00135E0B" w:rsidRDefault="008435F7" w:rsidP="0086276D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86276D" w:rsidRPr="00FB7B70" w:rsidTr="0086276D">
        <w:trPr>
          <w:trHeight w:val="397"/>
        </w:trPr>
        <w:tc>
          <w:tcPr>
            <w:tcW w:w="426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276D" w:rsidRPr="00FB7B70" w:rsidRDefault="0086276D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276D" w:rsidRPr="0086276D" w:rsidRDefault="0086276D" w:rsidP="0086276D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276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121554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276D" w:rsidRPr="0086276D" w:rsidRDefault="0086276D" w:rsidP="0086276D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276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131419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276D" w:rsidRPr="0086276D" w:rsidRDefault="0086276D" w:rsidP="0086276D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276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262348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276D" w:rsidRPr="0086276D" w:rsidRDefault="0086276D" w:rsidP="0086276D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276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278087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276D" w:rsidRPr="0086276D" w:rsidRDefault="0086276D" w:rsidP="0086276D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276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510699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276D" w:rsidRPr="0086276D" w:rsidRDefault="0086276D" w:rsidP="0086276D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276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531325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276D" w:rsidRPr="0086276D" w:rsidRDefault="0086276D" w:rsidP="0086276D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276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118628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276D" w:rsidRPr="0086276D" w:rsidRDefault="0086276D" w:rsidP="0086276D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276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122520</w:t>
            </w:r>
          </w:p>
        </w:tc>
      </w:tr>
    </w:tbl>
    <w:p w:rsidR="002143B6" w:rsidRDefault="002143B6" w:rsidP="002143B6">
      <w:pPr>
        <w:pStyle w:val="Paragraphedeliste"/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</w:t>
      </w:r>
    </w:p>
    <w:p w:rsidR="002143B6" w:rsidRPr="004C167D" w:rsidRDefault="002143B6" w:rsidP="002143B6">
      <w:pPr>
        <w:pStyle w:val="Paragraphedeliste"/>
        <w:rPr>
          <w:sz w:val="16"/>
          <w:szCs w:val="16"/>
          <w:rtl/>
        </w:rPr>
      </w:pPr>
      <w:r>
        <w:t xml:space="preserve">                                                                                                                                                                         </w:t>
      </w:r>
      <w:r w:rsidRPr="004C167D">
        <w:rPr>
          <w:sz w:val="16"/>
          <w:szCs w:val="16"/>
        </w:rPr>
        <w:t>*Données définitives    ** Données semi-définitives</w:t>
      </w:r>
    </w:p>
    <w:p w:rsidR="00746A5F" w:rsidRDefault="00746A5F" w:rsidP="00746A5F">
      <w:pPr>
        <w:pStyle w:val="Paragraphedeliste"/>
      </w:pPr>
    </w:p>
    <w:p w:rsidR="002143B6" w:rsidRDefault="002143B6" w:rsidP="00746A5F">
      <w:pPr>
        <w:pStyle w:val="Paragraphedeliste"/>
      </w:pP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</w:pPr>
    </w:p>
    <w:tbl>
      <w:tblPr>
        <w:tblW w:w="13669" w:type="dxa"/>
        <w:tblInd w:w="1204" w:type="dxa"/>
        <w:tblCellMar>
          <w:left w:w="70" w:type="dxa"/>
          <w:right w:w="70" w:type="dxa"/>
        </w:tblCellMar>
        <w:tblLook w:val="04A0"/>
      </w:tblPr>
      <w:tblGrid>
        <w:gridCol w:w="546"/>
        <w:gridCol w:w="4147"/>
        <w:gridCol w:w="1147"/>
        <w:gridCol w:w="1147"/>
        <w:gridCol w:w="1147"/>
        <w:gridCol w:w="1147"/>
        <w:gridCol w:w="1147"/>
        <w:gridCol w:w="1147"/>
        <w:gridCol w:w="696"/>
        <w:gridCol w:w="1398"/>
      </w:tblGrid>
      <w:tr w:rsidR="00746A5F" w:rsidRPr="00D81434" w:rsidTr="00F53999">
        <w:trPr>
          <w:trHeight w:val="480"/>
        </w:trPr>
        <w:tc>
          <w:tcPr>
            <w:tcW w:w="13669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746A5F" w:rsidRPr="003844E3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3844E3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Contribution des régions  à la VA des secteurs d'activité  (en %)</w:t>
            </w:r>
          </w:p>
        </w:tc>
      </w:tr>
      <w:tr w:rsidR="00746A5F" w:rsidRPr="00D81434" w:rsidTr="00F53999">
        <w:trPr>
          <w:trHeight w:val="315"/>
        </w:trPr>
        <w:tc>
          <w:tcPr>
            <w:tcW w:w="54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D81434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46A5F" w:rsidRPr="00D81434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D81434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D81434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D81434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D81434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D81434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D81434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46A5F" w:rsidRPr="00D81434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46A5F" w:rsidRPr="00D81434" w:rsidRDefault="00746A5F" w:rsidP="002C7F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46A5F" w:rsidRPr="00D81434" w:rsidTr="00F53999">
        <w:trPr>
          <w:trHeight w:val="340"/>
        </w:trPr>
        <w:tc>
          <w:tcPr>
            <w:tcW w:w="469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746A5F" w:rsidRPr="00D81434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2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D81434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2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D81434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2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D81434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0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746A5F" w:rsidRPr="00D81434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F53999" w:rsidRPr="00D81434" w:rsidTr="00F53999">
        <w:trPr>
          <w:trHeight w:val="340"/>
        </w:trPr>
        <w:tc>
          <w:tcPr>
            <w:tcW w:w="469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53999" w:rsidRPr="00D81434" w:rsidRDefault="00F53999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</w:tr>
      <w:tr w:rsidR="00865442" w:rsidRPr="00D81434" w:rsidTr="00865442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65442" w:rsidRPr="00D81434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D81434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6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11,6</w:t>
            </w:r>
          </w:p>
        </w:tc>
      </w:tr>
      <w:tr w:rsidR="00865442" w:rsidRPr="00D81434" w:rsidTr="00865442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65442" w:rsidRPr="00D81434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D81434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6,3</w:t>
            </w:r>
          </w:p>
        </w:tc>
      </w:tr>
      <w:tr w:rsidR="00865442" w:rsidRPr="00D81434" w:rsidTr="00865442">
        <w:trPr>
          <w:trHeight w:val="340"/>
        </w:trPr>
        <w:tc>
          <w:tcPr>
            <w:tcW w:w="5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65442" w:rsidRPr="00D81434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D81434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8,2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6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10,3</w:t>
            </w:r>
          </w:p>
        </w:tc>
      </w:tr>
      <w:tr w:rsidR="00865442" w:rsidRPr="00D81434" w:rsidTr="00865442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65442" w:rsidRPr="00D81434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D81434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17,4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17,8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19,3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19,3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14,7</w:t>
            </w:r>
          </w:p>
        </w:tc>
      </w:tr>
      <w:tr w:rsidR="00865442" w:rsidRPr="00D81434" w:rsidTr="00865442">
        <w:trPr>
          <w:trHeight w:val="340"/>
        </w:trPr>
        <w:tc>
          <w:tcPr>
            <w:tcW w:w="5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65442" w:rsidRPr="00D81434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D81434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6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5,2</w:t>
            </w:r>
          </w:p>
        </w:tc>
      </w:tr>
      <w:tr w:rsidR="00865442" w:rsidRPr="00D81434" w:rsidTr="00865442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65442" w:rsidRPr="00D81434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D81434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44,5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43,0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31,0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29,0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31,0</w:t>
            </w:r>
          </w:p>
        </w:tc>
      </w:tr>
      <w:tr w:rsidR="00865442" w:rsidRPr="00D81434" w:rsidTr="00865442">
        <w:trPr>
          <w:trHeight w:val="340"/>
        </w:trPr>
        <w:tc>
          <w:tcPr>
            <w:tcW w:w="5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65442" w:rsidRPr="00D81434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D81434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6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9,9</w:t>
            </w:r>
          </w:p>
        </w:tc>
      </w:tr>
      <w:tr w:rsidR="00865442" w:rsidRPr="00D81434" w:rsidTr="00865442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65442" w:rsidRPr="00D81434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D81434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3,0</w:t>
            </w:r>
          </w:p>
        </w:tc>
      </w:tr>
      <w:tr w:rsidR="00865442" w:rsidRPr="00D81434" w:rsidTr="00865442">
        <w:trPr>
          <w:trHeight w:val="340"/>
        </w:trPr>
        <w:tc>
          <w:tcPr>
            <w:tcW w:w="5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65442" w:rsidRPr="00D81434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D81434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6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6,7</w:t>
            </w:r>
          </w:p>
        </w:tc>
      </w:tr>
      <w:tr w:rsidR="00865442" w:rsidRPr="00D81434" w:rsidTr="00865442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65442" w:rsidRPr="00D81434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D81434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</w:tr>
      <w:tr w:rsidR="00865442" w:rsidRPr="00D81434" w:rsidTr="00865442">
        <w:trPr>
          <w:trHeight w:val="340"/>
        </w:trPr>
        <w:tc>
          <w:tcPr>
            <w:tcW w:w="5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65442" w:rsidRPr="00D81434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D81434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6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865442" w:rsidRPr="00D81434" w:rsidTr="00865442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65442" w:rsidRPr="00D81434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D81434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</w:tr>
      <w:tr w:rsidR="00746A5F" w:rsidRPr="00D81434" w:rsidTr="00865442">
        <w:trPr>
          <w:trHeight w:val="340"/>
        </w:trPr>
        <w:tc>
          <w:tcPr>
            <w:tcW w:w="469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D81434" w:rsidRDefault="00746A5F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    </w:t>
            </w: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135E0B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135E0B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6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746A5F" w:rsidRPr="00D81434" w:rsidTr="00865442">
        <w:trPr>
          <w:trHeight w:val="340"/>
        </w:trPr>
        <w:tc>
          <w:tcPr>
            <w:tcW w:w="469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D81434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135E0B">
              <w:rPr>
                <w:rFonts w:ascii="Book Antiqua" w:hAnsi="Book Antiqua"/>
                <w:b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135E0B">
              <w:rPr>
                <w:rFonts w:ascii="Book Antiqua" w:hAnsi="Book Antiqua"/>
                <w:b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135E0B">
              <w:rPr>
                <w:rFonts w:ascii="Book Antiqua" w:hAnsi="Book Antiqua"/>
                <w:b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135E0B">
              <w:rPr>
                <w:rFonts w:ascii="Book Antiqua" w:hAnsi="Book Antiqua"/>
                <w:b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135E0B">
              <w:rPr>
                <w:rFonts w:ascii="Book Antiqua" w:hAnsi="Book Antiqua"/>
                <w:b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135E0B">
              <w:rPr>
                <w:rFonts w:ascii="Book Antiqua" w:hAnsi="Book Antiqua"/>
                <w:b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135E0B">
              <w:rPr>
                <w:rFonts w:ascii="Book Antiqua" w:hAnsi="Book Antiqua"/>
                <w:b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865442">
            <w:pPr>
              <w:jc w:val="center"/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135E0B">
              <w:rPr>
                <w:rFonts w:ascii="Book Antiqua" w:hAnsi="Book Antiqua"/>
                <w:b/>
                <w:color w:val="000000"/>
                <w:sz w:val="22"/>
                <w:szCs w:val="22"/>
              </w:rPr>
              <w:t>100,0</w:t>
            </w:r>
          </w:p>
        </w:tc>
      </w:tr>
    </w:tbl>
    <w:p w:rsidR="00746A5F" w:rsidRDefault="00746A5F" w:rsidP="00746A5F">
      <w:pPr>
        <w:pStyle w:val="Paragraphedeliste"/>
      </w:pPr>
    </w:p>
    <w:p w:rsidR="002143B6" w:rsidRPr="004C167D" w:rsidRDefault="002143B6" w:rsidP="002143B6">
      <w:pPr>
        <w:pStyle w:val="Paragraphedeliste"/>
        <w:rPr>
          <w:sz w:val="16"/>
          <w:szCs w:val="16"/>
          <w:rtl/>
        </w:rPr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</w:t>
      </w:r>
      <w:r w:rsidRPr="004C167D">
        <w:rPr>
          <w:sz w:val="16"/>
          <w:szCs w:val="16"/>
        </w:rPr>
        <w:t>*Données définitives    ** Données semi-définitives</w:t>
      </w: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  <w:rPr>
          <w:rtl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</w:p>
    <w:tbl>
      <w:tblPr>
        <w:tblW w:w="13750" w:type="dxa"/>
        <w:tblInd w:w="1204" w:type="dxa"/>
        <w:tblCellMar>
          <w:left w:w="70" w:type="dxa"/>
          <w:right w:w="70" w:type="dxa"/>
        </w:tblCellMar>
        <w:tblLook w:val="04A0"/>
      </w:tblPr>
      <w:tblGrid>
        <w:gridCol w:w="529"/>
        <w:gridCol w:w="4291"/>
        <w:gridCol w:w="1009"/>
        <w:gridCol w:w="1009"/>
        <w:gridCol w:w="1009"/>
        <w:gridCol w:w="1009"/>
        <w:gridCol w:w="1110"/>
        <w:gridCol w:w="1374"/>
        <w:gridCol w:w="1011"/>
        <w:gridCol w:w="1399"/>
      </w:tblGrid>
      <w:tr w:rsidR="00746A5F" w:rsidRPr="009A5062" w:rsidTr="002C7FD0">
        <w:trPr>
          <w:trHeight w:val="480"/>
        </w:trPr>
        <w:tc>
          <w:tcPr>
            <w:tcW w:w="13750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746A5F" w:rsidRPr="00EC1412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EC141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>Structure du PIB par secteur d'activité et par région (en %)</w:t>
            </w:r>
          </w:p>
        </w:tc>
      </w:tr>
      <w:tr w:rsidR="00746A5F" w:rsidRPr="009A5062" w:rsidTr="002C7FD0">
        <w:trPr>
          <w:trHeight w:val="397"/>
        </w:trPr>
        <w:tc>
          <w:tcPr>
            <w:tcW w:w="482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746A5F" w:rsidRPr="009A5062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01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9A5062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01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9A5062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48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9A5062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41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746A5F" w:rsidRPr="009A5062" w:rsidRDefault="00746A5F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F53999" w:rsidRPr="009A5062" w:rsidTr="002C7FD0">
        <w:trPr>
          <w:trHeight w:val="397"/>
        </w:trPr>
        <w:tc>
          <w:tcPr>
            <w:tcW w:w="482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53999" w:rsidRPr="009A5062" w:rsidRDefault="00F53999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6*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53999" w:rsidRPr="000B2F66" w:rsidRDefault="00F53999" w:rsidP="00843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7**</w:t>
            </w:r>
          </w:p>
        </w:tc>
      </w:tr>
      <w:tr w:rsidR="00865442" w:rsidRPr="009A5062" w:rsidTr="0086544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32,1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34,0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45,0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44,1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12,8</w:t>
            </w:r>
          </w:p>
        </w:tc>
      </w:tr>
      <w:tr w:rsidR="00865442" w:rsidRPr="009A5062" w:rsidTr="0086544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49,4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47,4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14,8</w:t>
            </w:r>
          </w:p>
        </w:tc>
      </w:tr>
      <w:tr w:rsidR="00865442" w:rsidRPr="009A5062" w:rsidTr="00865442">
        <w:trPr>
          <w:trHeight w:val="397"/>
        </w:trPr>
        <w:tc>
          <w:tcPr>
            <w:tcW w:w="5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2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21,7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20,8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18,8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45,7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45,9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13,7</w:t>
            </w: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13,6</w:t>
            </w:r>
          </w:p>
        </w:tc>
      </w:tr>
      <w:tr w:rsidR="00865442" w:rsidRPr="009A5062" w:rsidTr="0086544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60,6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59,8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</w:tr>
      <w:tr w:rsidR="00865442" w:rsidRPr="009A5062" w:rsidTr="00865442">
        <w:trPr>
          <w:trHeight w:val="397"/>
        </w:trPr>
        <w:tc>
          <w:tcPr>
            <w:tcW w:w="5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2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18,5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18,7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33,6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34,9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37,1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36,0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10,4</w:t>
            </w:r>
          </w:p>
        </w:tc>
      </w:tr>
      <w:tr w:rsidR="00865442" w:rsidRPr="009A5062" w:rsidTr="0086544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36,1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35,2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48,8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48,3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11,2</w:t>
            </w:r>
          </w:p>
        </w:tc>
      </w:tr>
      <w:tr w:rsidR="00865442" w:rsidRPr="009A5062" w:rsidTr="00865442">
        <w:trPr>
          <w:trHeight w:val="397"/>
        </w:trPr>
        <w:tc>
          <w:tcPr>
            <w:tcW w:w="5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2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15,7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16,5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18,1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19,1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51,2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51,0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13,4</w:t>
            </w:r>
          </w:p>
        </w:tc>
      </w:tr>
      <w:tr w:rsidR="00865442" w:rsidRPr="009A5062" w:rsidTr="0086544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17,9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54,7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53,0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13,5</w:t>
            </w:r>
          </w:p>
        </w:tc>
      </w:tr>
      <w:tr w:rsidR="00865442" w:rsidRPr="009A5062" w:rsidTr="00865442">
        <w:trPr>
          <w:trHeight w:val="397"/>
        </w:trPr>
        <w:tc>
          <w:tcPr>
            <w:tcW w:w="5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2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20,3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19,1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19,1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48,6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50,7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12,1</w:t>
            </w: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11,8</w:t>
            </w:r>
          </w:p>
        </w:tc>
      </w:tr>
      <w:tr w:rsidR="00865442" w:rsidRPr="009A5062" w:rsidTr="0086544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68,6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69,9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9,6</w:t>
            </w:r>
          </w:p>
        </w:tc>
      </w:tr>
      <w:tr w:rsidR="00865442" w:rsidRPr="009A5062" w:rsidTr="00865442">
        <w:trPr>
          <w:trHeight w:val="397"/>
        </w:trPr>
        <w:tc>
          <w:tcPr>
            <w:tcW w:w="5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2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12,8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13,8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28,6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28,2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57,8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57,2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0,8</w:t>
            </w:r>
          </w:p>
        </w:tc>
      </w:tr>
      <w:tr w:rsidR="00865442" w:rsidRPr="009A5062" w:rsidTr="0086544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27,1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65,0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62,3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Default="00865442" w:rsidP="0086544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</w:tr>
      <w:tr w:rsidR="00746A5F" w:rsidRPr="009A5062" w:rsidTr="002C7FD0">
        <w:trPr>
          <w:trHeight w:val="397"/>
        </w:trPr>
        <w:tc>
          <w:tcPr>
            <w:tcW w:w="482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9A5062" w:rsidRDefault="00746A5F" w:rsidP="002C7FD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   </w:t>
            </w: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2C7FD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2C7FD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2C7FD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2C7FD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2C7FD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135E0B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2C7FD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135E0B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2C7FD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746A5F" w:rsidRPr="00135E0B" w:rsidRDefault="00746A5F" w:rsidP="002C7FD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865442" w:rsidRPr="009A5062" w:rsidTr="00865442">
        <w:trPr>
          <w:trHeight w:val="397"/>
        </w:trPr>
        <w:tc>
          <w:tcPr>
            <w:tcW w:w="482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9A5062" w:rsidRDefault="00865442" w:rsidP="002C7FD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865442" w:rsidRDefault="00865442" w:rsidP="0086544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544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865442" w:rsidRDefault="00865442" w:rsidP="0086544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544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865442" w:rsidRDefault="00865442" w:rsidP="0086544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544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865442" w:rsidRDefault="00865442" w:rsidP="0086544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544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26,2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865442" w:rsidRDefault="00865442" w:rsidP="0086544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544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50,4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865442" w:rsidRDefault="00865442" w:rsidP="0086544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544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65442" w:rsidRPr="00865442" w:rsidRDefault="00865442" w:rsidP="0086544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544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865442" w:rsidRPr="00865442" w:rsidRDefault="00865442" w:rsidP="0086544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86544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11,5</w:t>
            </w:r>
          </w:p>
        </w:tc>
      </w:tr>
    </w:tbl>
    <w:p w:rsidR="003844E3" w:rsidRDefault="00746A5F" w:rsidP="003844E3">
      <w:pPr>
        <w:pStyle w:val="Paragraphedeliste"/>
      </w:pPr>
      <w:r>
        <w:t xml:space="preserve">     </w:t>
      </w:r>
    </w:p>
    <w:p w:rsidR="00746A5F" w:rsidRDefault="003844E3" w:rsidP="003844E3">
      <w:pPr>
        <w:pStyle w:val="Paragraphedeliste"/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</w:t>
      </w:r>
      <w:r w:rsidRPr="004C167D">
        <w:rPr>
          <w:sz w:val="16"/>
          <w:szCs w:val="16"/>
        </w:rPr>
        <w:t>*Données définitives    ** Données semi-définitives</w:t>
      </w:r>
    </w:p>
    <w:p w:rsidR="003844E3" w:rsidRDefault="00746A5F" w:rsidP="009B3979">
      <w:pPr>
        <w:pStyle w:val="Paragraphedeliste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B3979" w:rsidRDefault="009B3979" w:rsidP="009B3979">
      <w:pPr>
        <w:pStyle w:val="Paragraphedeliste"/>
      </w:pPr>
    </w:p>
    <w:p w:rsidR="009B3979" w:rsidRDefault="009B3979" w:rsidP="009B3979">
      <w:pPr>
        <w:pStyle w:val="Paragraphedeliste"/>
      </w:pPr>
    </w:p>
    <w:p w:rsidR="009B3979" w:rsidRDefault="009B3979" w:rsidP="009B3979">
      <w:pPr>
        <w:pStyle w:val="Paragraphedeliste"/>
      </w:pPr>
    </w:p>
    <w:p w:rsidR="00501552" w:rsidRDefault="00501552" w:rsidP="009B3979">
      <w:pPr>
        <w:pStyle w:val="Paragraphedeliste"/>
      </w:pPr>
    </w:p>
    <w:p w:rsidR="00A23636" w:rsidRDefault="00A23636" w:rsidP="009B3979">
      <w:pPr>
        <w:pStyle w:val="Paragraphedeliste"/>
        <w:sectPr w:rsidR="00A23636" w:rsidSect="00D508B2">
          <w:footerReference w:type="default" r:id="rId12"/>
          <w:pgSz w:w="16840" w:h="11900" w:orient="landscape"/>
          <w:pgMar w:top="1304" w:right="624" w:bottom="1554" w:left="1247" w:header="720" w:footer="720" w:gutter="0"/>
          <w:cols w:space="720"/>
          <w:noEndnote/>
          <w:docGrid w:linePitch="326"/>
        </w:sectPr>
      </w:pPr>
    </w:p>
    <w:p w:rsidR="009B3979" w:rsidRPr="009B3979" w:rsidRDefault="009B3979" w:rsidP="009B3979">
      <w:pPr>
        <w:pStyle w:val="Paragraphedeliste"/>
      </w:pPr>
    </w:p>
    <w:p w:rsidR="003844E3" w:rsidRPr="003844E3" w:rsidRDefault="003844E3" w:rsidP="003844E3">
      <w:pPr>
        <w:rPr>
          <w:rFonts w:ascii="Book Antiqua" w:hAnsi="Book Antiqua" w:cs="Arial"/>
          <w:sz w:val="28"/>
          <w:szCs w:val="28"/>
        </w:rPr>
      </w:pPr>
    </w:p>
    <w:p w:rsidR="00DA292B" w:rsidRPr="004558B4" w:rsidRDefault="00DA292B" w:rsidP="00DA292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43A33" w:rsidRDefault="00030B51" w:rsidP="00C43A33">
      <w:r>
        <w:rPr>
          <w:noProof/>
        </w:rPr>
        <w:drawing>
          <wp:inline distT="0" distB="0" distL="0" distR="0">
            <wp:extent cx="5753100" cy="8128000"/>
            <wp:effectExtent l="19050" t="0" r="0" b="0"/>
            <wp:docPr id="3" name="Image 3" descr="1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_fr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A33" w:rsidRDefault="00C43A33" w:rsidP="00C43A33"/>
    <w:p w:rsidR="00C43A33" w:rsidRDefault="00C43A33" w:rsidP="00C43A33"/>
    <w:p w:rsidR="00A23636" w:rsidRDefault="00A23636" w:rsidP="00C43A33"/>
    <w:p w:rsidR="00A23636" w:rsidRDefault="00A23636" w:rsidP="00C43A33"/>
    <w:p w:rsidR="00A23636" w:rsidRDefault="00A23636" w:rsidP="00C43A33"/>
    <w:p w:rsidR="00A23636" w:rsidRDefault="00A23636" w:rsidP="00C43A33"/>
    <w:p w:rsidR="00A23636" w:rsidRDefault="00A23636" w:rsidP="00C43A33"/>
    <w:p w:rsidR="00C43A33" w:rsidRDefault="00030B51" w:rsidP="00C43A33">
      <w:r>
        <w:rPr>
          <w:noProof/>
        </w:rPr>
        <w:drawing>
          <wp:inline distT="0" distB="0" distL="0" distR="0">
            <wp:extent cx="5753100" cy="8128000"/>
            <wp:effectExtent l="19050" t="0" r="0" b="0"/>
            <wp:docPr id="4" name="Image 4" descr="2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_f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A33" w:rsidRDefault="00C43A33" w:rsidP="00C43A33"/>
    <w:p w:rsidR="00A23636" w:rsidRDefault="00A23636" w:rsidP="00C43A33"/>
    <w:p w:rsidR="00A23636" w:rsidRDefault="00A23636" w:rsidP="00C43A33"/>
    <w:p w:rsidR="00A23636" w:rsidRDefault="00A23636" w:rsidP="00C43A33"/>
    <w:p w:rsidR="00A23636" w:rsidRDefault="00A23636" w:rsidP="00C43A33"/>
    <w:p w:rsidR="00A23636" w:rsidRDefault="00A23636" w:rsidP="00C43A33"/>
    <w:p w:rsidR="00C43A33" w:rsidRDefault="00C43A33" w:rsidP="00C43A33"/>
    <w:p w:rsidR="00C43A33" w:rsidRDefault="00030B51" w:rsidP="00C43A33">
      <w:r>
        <w:rPr>
          <w:noProof/>
        </w:rPr>
        <w:drawing>
          <wp:inline distT="0" distB="0" distL="0" distR="0">
            <wp:extent cx="5753100" cy="8128000"/>
            <wp:effectExtent l="19050" t="0" r="0" b="0"/>
            <wp:docPr id="5" name="Image 5" descr="3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_fr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A33" w:rsidRDefault="00C43A33" w:rsidP="00C43A33"/>
    <w:p w:rsidR="00C43A33" w:rsidRDefault="00C43A33" w:rsidP="00C43A33"/>
    <w:p w:rsidR="00A23636" w:rsidRDefault="00A23636" w:rsidP="00C43A33"/>
    <w:p w:rsidR="00A23636" w:rsidRDefault="00A23636" w:rsidP="00C43A33"/>
    <w:p w:rsidR="00A23636" w:rsidRDefault="00A23636" w:rsidP="00C43A33"/>
    <w:p w:rsidR="00A23636" w:rsidRDefault="00A23636" w:rsidP="00C43A33"/>
    <w:p w:rsidR="00A23636" w:rsidRDefault="00A23636" w:rsidP="00C43A33"/>
    <w:p w:rsidR="00C43A33" w:rsidRDefault="00030B51" w:rsidP="00C43A33">
      <w:r>
        <w:rPr>
          <w:noProof/>
        </w:rPr>
        <w:drawing>
          <wp:inline distT="0" distB="0" distL="0" distR="0">
            <wp:extent cx="5753100" cy="8128000"/>
            <wp:effectExtent l="19050" t="0" r="0" b="0"/>
            <wp:docPr id="6" name="Image 6" descr="4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_fr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A33" w:rsidRDefault="00C43A33" w:rsidP="00C43A33"/>
    <w:p w:rsidR="00C43A33" w:rsidRDefault="00C43A33" w:rsidP="00C43A33"/>
    <w:p w:rsidR="00A23636" w:rsidRDefault="00A23636" w:rsidP="00C43A33"/>
    <w:p w:rsidR="00A23636" w:rsidRDefault="00A23636" w:rsidP="00C43A33"/>
    <w:p w:rsidR="00A23636" w:rsidRDefault="00A23636" w:rsidP="00C43A33"/>
    <w:p w:rsidR="00A23636" w:rsidRDefault="00A23636" w:rsidP="00C43A33"/>
    <w:p w:rsidR="00A23636" w:rsidRDefault="00A23636" w:rsidP="00C43A33"/>
    <w:p w:rsidR="00C43A33" w:rsidRPr="0055003F" w:rsidRDefault="00030B51" w:rsidP="00C43A33">
      <w:r>
        <w:rPr>
          <w:noProof/>
        </w:rPr>
        <w:drawing>
          <wp:inline distT="0" distB="0" distL="0" distR="0">
            <wp:extent cx="5753100" cy="8128000"/>
            <wp:effectExtent l="19050" t="0" r="0" b="0"/>
            <wp:docPr id="7" name="Image 7" descr="5_fr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_fr_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9DD" w:rsidRPr="009B39DD" w:rsidRDefault="009B39DD" w:rsidP="009B39DD"/>
    <w:sectPr w:rsidR="009B39DD" w:rsidRPr="009B39DD" w:rsidSect="00EF3714">
      <w:pgSz w:w="11900" w:h="16840"/>
      <w:pgMar w:top="624" w:right="1552" w:bottom="1247" w:left="130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E18" w:rsidRDefault="00957E18" w:rsidP="00611FF6">
      <w:r>
        <w:separator/>
      </w:r>
    </w:p>
    <w:p w:rsidR="00957E18" w:rsidRDefault="00957E18"/>
  </w:endnote>
  <w:endnote w:type="continuationSeparator" w:id="1">
    <w:p w:rsidR="00957E18" w:rsidRDefault="00957E18" w:rsidP="00611FF6">
      <w:r>
        <w:continuationSeparator/>
      </w:r>
    </w:p>
    <w:p w:rsidR="00957E18" w:rsidRDefault="00957E1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EDD" w:rsidRDefault="003373CD">
    <w:pPr>
      <w:pStyle w:val="Pieddepage"/>
      <w:jc w:val="center"/>
    </w:pPr>
    <w:fldSimple w:instr=" PAGE   \* MERGEFORMAT ">
      <w:r w:rsidR="00BB5CA6">
        <w:rPr>
          <w:noProof/>
        </w:rPr>
        <w:t>1</w:t>
      </w:r>
    </w:fldSimple>
  </w:p>
  <w:p w:rsidR="00EF0EDD" w:rsidRDefault="00EF0EDD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EDD" w:rsidRDefault="003373CD">
    <w:pPr>
      <w:pStyle w:val="Pieddepage"/>
      <w:jc w:val="center"/>
    </w:pPr>
    <w:fldSimple w:instr=" PAGE   \* MERGEFORMAT ">
      <w:r w:rsidR="00BB5CA6">
        <w:rPr>
          <w:noProof/>
        </w:rPr>
        <w:t>7</w:t>
      </w:r>
    </w:fldSimple>
  </w:p>
  <w:p w:rsidR="00EF0EDD" w:rsidRDefault="00EF0ED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E18" w:rsidRDefault="00957E18" w:rsidP="00611FF6">
      <w:r>
        <w:separator/>
      </w:r>
    </w:p>
    <w:p w:rsidR="00957E18" w:rsidRDefault="00957E18"/>
  </w:footnote>
  <w:footnote w:type="continuationSeparator" w:id="1">
    <w:p w:rsidR="00957E18" w:rsidRDefault="00957E18" w:rsidP="00611FF6">
      <w:r>
        <w:continuationSeparator/>
      </w:r>
    </w:p>
    <w:p w:rsidR="00957E18" w:rsidRDefault="00957E1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>
    <w:nsid w:val="393E5008"/>
    <w:multiLevelType w:val="hybridMultilevel"/>
    <w:tmpl w:val="E7BEE7A4"/>
    <w:lvl w:ilvl="0" w:tplc="EADCA41A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3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8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2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6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11"/>
  </w:num>
  <w:num w:numId="5">
    <w:abstractNumId w:val="17"/>
  </w:num>
  <w:num w:numId="6">
    <w:abstractNumId w:val="6"/>
  </w:num>
  <w:num w:numId="7">
    <w:abstractNumId w:val="4"/>
  </w:num>
  <w:num w:numId="8">
    <w:abstractNumId w:val="28"/>
  </w:num>
  <w:num w:numId="9">
    <w:abstractNumId w:val="22"/>
  </w:num>
  <w:num w:numId="10">
    <w:abstractNumId w:val="19"/>
  </w:num>
  <w:num w:numId="11">
    <w:abstractNumId w:val="18"/>
  </w:num>
  <w:num w:numId="12">
    <w:abstractNumId w:val="5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6"/>
  </w:num>
  <w:num w:numId="21">
    <w:abstractNumId w:val="1"/>
  </w:num>
  <w:num w:numId="22">
    <w:abstractNumId w:val="7"/>
  </w:num>
  <w:num w:numId="23">
    <w:abstractNumId w:val="0"/>
  </w:num>
  <w:num w:numId="24">
    <w:abstractNumId w:val="2"/>
  </w:num>
  <w:num w:numId="25">
    <w:abstractNumId w:val="14"/>
  </w:num>
  <w:num w:numId="26">
    <w:abstractNumId w:val="16"/>
  </w:num>
  <w:num w:numId="27">
    <w:abstractNumId w:val="27"/>
  </w:num>
  <w:num w:numId="28">
    <w:abstractNumId w:val="10"/>
  </w:num>
  <w:num w:numId="29">
    <w:abstractNumId w:val="23"/>
  </w:num>
  <w:num w:numId="30">
    <w:abstractNumId w:val="13"/>
  </w:num>
  <w:num w:numId="31">
    <w:abstractNumId w:val="21"/>
  </w:num>
  <w:num w:numId="32">
    <w:abstractNumId w:val="24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F610B1"/>
    <w:rsid w:val="00000EC8"/>
    <w:rsid w:val="00003CE2"/>
    <w:rsid w:val="0000685D"/>
    <w:rsid w:val="0000772F"/>
    <w:rsid w:val="00007F6C"/>
    <w:rsid w:val="00013E16"/>
    <w:rsid w:val="0001513B"/>
    <w:rsid w:val="0002166B"/>
    <w:rsid w:val="000223B6"/>
    <w:rsid w:val="00030B51"/>
    <w:rsid w:val="000323D3"/>
    <w:rsid w:val="0003409C"/>
    <w:rsid w:val="00036526"/>
    <w:rsid w:val="00042258"/>
    <w:rsid w:val="00044FC6"/>
    <w:rsid w:val="00046C4B"/>
    <w:rsid w:val="000532E5"/>
    <w:rsid w:val="000535AB"/>
    <w:rsid w:val="0005395B"/>
    <w:rsid w:val="00053BAE"/>
    <w:rsid w:val="0005643F"/>
    <w:rsid w:val="000604C4"/>
    <w:rsid w:val="0006664F"/>
    <w:rsid w:val="0007046A"/>
    <w:rsid w:val="00070FA9"/>
    <w:rsid w:val="0007102C"/>
    <w:rsid w:val="00071329"/>
    <w:rsid w:val="0007573E"/>
    <w:rsid w:val="00075EFC"/>
    <w:rsid w:val="000764F4"/>
    <w:rsid w:val="00080370"/>
    <w:rsid w:val="00083837"/>
    <w:rsid w:val="00085217"/>
    <w:rsid w:val="0008668A"/>
    <w:rsid w:val="000911F6"/>
    <w:rsid w:val="00091B25"/>
    <w:rsid w:val="0009383B"/>
    <w:rsid w:val="000A5EF1"/>
    <w:rsid w:val="000A5F43"/>
    <w:rsid w:val="000B0B65"/>
    <w:rsid w:val="000B2F66"/>
    <w:rsid w:val="000C09AF"/>
    <w:rsid w:val="000C1051"/>
    <w:rsid w:val="000C23CB"/>
    <w:rsid w:val="000C3339"/>
    <w:rsid w:val="000C4F8C"/>
    <w:rsid w:val="000D0DFC"/>
    <w:rsid w:val="000D29AB"/>
    <w:rsid w:val="000D2E72"/>
    <w:rsid w:val="000D5F7E"/>
    <w:rsid w:val="000D63C8"/>
    <w:rsid w:val="000D7DA5"/>
    <w:rsid w:val="000E1B0A"/>
    <w:rsid w:val="000E2039"/>
    <w:rsid w:val="000E305A"/>
    <w:rsid w:val="000E3644"/>
    <w:rsid w:val="000F3D3D"/>
    <w:rsid w:val="000F3E2C"/>
    <w:rsid w:val="000F4FE7"/>
    <w:rsid w:val="000F75DC"/>
    <w:rsid w:val="00100A50"/>
    <w:rsid w:val="00101D2B"/>
    <w:rsid w:val="0010418D"/>
    <w:rsid w:val="00111F64"/>
    <w:rsid w:val="00113627"/>
    <w:rsid w:val="00114E37"/>
    <w:rsid w:val="00115CC3"/>
    <w:rsid w:val="0011786F"/>
    <w:rsid w:val="0012134E"/>
    <w:rsid w:val="00121EF3"/>
    <w:rsid w:val="00121F70"/>
    <w:rsid w:val="00123E21"/>
    <w:rsid w:val="0012628B"/>
    <w:rsid w:val="00127952"/>
    <w:rsid w:val="00130493"/>
    <w:rsid w:val="0013085D"/>
    <w:rsid w:val="00131CEC"/>
    <w:rsid w:val="00135E0B"/>
    <w:rsid w:val="00143F12"/>
    <w:rsid w:val="0014631C"/>
    <w:rsid w:val="00153F1B"/>
    <w:rsid w:val="0015763C"/>
    <w:rsid w:val="0015769C"/>
    <w:rsid w:val="001610B6"/>
    <w:rsid w:val="00163084"/>
    <w:rsid w:val="00163195"/>
    <w:rsid w:val="001652A3"/>
    <w:rsid w:val="00172297"/>
    <w:rsid w:val="001727AC"/>
    <w:rsid w:val="0017399D"/>
    <w:rsid w:val="00175BD2"/>
    <w:rsid w:val="00176EE9"/>
    <w:rsid w:val="001776B8"/>
    <w:rsid w:val="0018215F"/>
    <w:rsid w:val="0018408D"/>
    <w:rsid w:val="001914A1"/>
    <w:rsid w:val="001940E6"/>
    <w:rsid w:val="001978BE"/>
    <w:rsid w:val="001A0192"/>
    <w:rsid w:val="001A0777"/>
    <w:rsid w:val="001A1C09"/>
    <w:rsid w:val="001A21E5"/>
    <w:rsid w:val="001A4568"/>
    <w:rsid w:val="001A4A33"/>
    <w:rsid w:val="001A5C14"/>
    <w:rsid w:val="001B05AB"/>
    <w:rsid w:val="001B4853"/>
    <w:rsid w:val="001B7045"/>
    <w:rsid w:val="001B7A37"/>
    <w:rsid w:val="001B7B00"/>
    <w:rsid w:val="001C01B0"/>
    <w:rsid w:val="001C01C0"/>
    <w:rsid w:val="001C0E3F"/>
    <w:rsid w:val="001D36CE"/>
    <w:rsid w:val="001E04C0"/>
    <w:rsid w:val="001E14D4"/>
    <w:rsid w:val="001E282C"/>
    <w:rsid w:val="001E3DB1"/>
    <w:rsid w:val="001E522D"/>
    <w:rsid w:val="001E7A60"/>
    <w:rsid w:val="001F0A26"/>
    <w:rsid w:val="001F1BDB"/>
    <w:rsid w:val="001F5C90"/>
    <w:rsid w:val="00204F31"/>
    <w:rsid w:val="002105CD"/>
    <w:rsid w:val="002138C2"/>
    <w:rsid w:val="002140B9"/>
    <w:rsid w:val="00214114"/>
    <w:rsid w:val="00214222"/>
    <w:rsid w:val="002143B6"/>
    <w:rsid w:val="0021605E"/>
    <w:rsid w:val="00217504"/>
    <w:rsid w:val="002175F4"/>
    <w:rsid w:val="00220060"/>
    <w:rsid w:val="00221884"/>
    <w:rsid w:val="0022405A"/>
    <w:rsid w:val="00226801"/>
    <w:rsid w:val="0023097C"/>
    <w:rsid w:val="002325A2"/>
    <w:rsid w:val="002333D9"/>
    <w:rsid w:val="00235022"/>
    <w:rsid w:val="00236D3F"/>
    <w:rsid w:val="00242919"/>
    <w:rsid w:val="00242F95"/>
    <w:rsid w:val="002434D0"/>
    <w:rsid w:val="002460AB"/>
    <w:rsid w:val="00252408"/>
    <w:rsid w:val="00252BDD"/>
    <w:rsid w:val="00254738"/>
    <w:rsid w:val="00255D90"/>
    <w:rsid w:val="0025787E"/>
    <w:rsid w:val="0026124E"/>
    <w:rsid w:val="00261BD6"/>
    <w:rsid w:val="00264581"/>
    <w:rsid w:val="002649A4"/>
    <w:rsid w:val="00264DFE"/>
    <w:rsid w:val="002679E2"/>
    <w:rsid w:val="00267F16"/>
    <w:rsid w:val="00276755"/>
    <w:rsid w:val="002813D6"/>
    <w:rsid w:val="002834CD"/>
    <w:rsid w:val="00283E0A"/>
    <w:rsid w:val="0028536F"/>
    <w:rsid w:val="0028577D"/>
    <w:rsid w:val="002874DC"/>
    <w:rsid w:val="00290456"/>
    <w:rsid w:val="00293E85"/>
    <w:rsid w:val="00296A0C"/>
    <w:rsid w:val="002A2143"/>
    <w:rsid w:val="002A2ECE"/>
    <w:rsid w:val="002A42FF"/>
    <w:rsid w:val="002A536E"/>
    <w:rsid w:val="002A5D52"/>
    <w:rsid w:val="002A628B"/>
    <w:rsid w:val="002A67AB"/>
    <w:rsid w:val="002B4871"/>
    <w:rsid w:val="002B61F1"/>
    <w:rsid w:val="002B6FC8"/>
    <w:rsid w:val="002C1ACC"/>
    <w:rsid w:val="002C271E"/>
    <w:rsid w:val="002C3FFB"/>
    <w:rsid w:val="002C582F"/>
    <w:rsid w:val="002C60F4"/>
    <w:rsid w:val="002C682B"/>
    <w:rsid w:val="002C702F"/>
    <w:rsid w:val="002C7FD0"/>
    <w:rsid w:val="002D1D10"/>
    <w:rsid w:val="002D51DB"/>
    <w:rsid w:val="002D5990"/>
    <w:rsid w:val="002E0857"/>
    <w:rsid w:val="002E1150"/>
    <w:rsid w:val="002E32E7"/>
    <w:rsid w:val="002E357C"/>
    <w:rsid w:val="002E5B65"/>
    <w:rsid w:val="002E60DC"/>
    <w:rsid w:val="002E774B"/>
    <w:rsid w:val="002E7900"/>
    <w:rsid w:val="002F06D0"/>
    <w:rsid w:val="002F2F51"/>
    <w:rsid w:val="002F3F44"/>
    <w:rsid w:val="00304E3D"/>
    <w:rsid w:val="00310172"/>
    <w:rsid w:val="0031028E"/>
    <w:rsid w:val="00310AC3"/>
    <w:rsid w:val="00315D02"/>
    <w:rsid w:val="003175CA"/>
    <w:rsid w:val="0032525E"/>
    <w:rsid w:val="00325671"/>
    <w:rsid w:val="00326654"/>
    <w:rsid w:val="0032680B"/>
    <w:rsid w:val="00331839"/>
    <w:rsid w:val="00331ECC"/>
    <w:rsid w:val="00333C1F"/>
    <w:rsid w:val="00334BA3"/>
    <w:rsid w:val="003373CD"/>
    <w:rsid w:val="003504B9"/>
    <w:rsid w:val="00350D73"/>
    <w:rsid w:val="00353212"/>
    <w:rsid w:val="00354227"/>
    <w:rsid w:val="00354B44"/>
    <w:rsid w:val="00355B15"/>
    <w:rsid w:val="003607A5"/>
    <w:rsid w:val="003614BB"/>
    <w:rsid w:val="00365E93"/>
    <w:rsid w:val="0036623A"/>
    <w:rsid w:val="003722B7"/>
    <w:rsid w:val="003725F0"/>
    <w:rsid w:val="003726F2"/>
    <w:rsid w:val="00373FED"/>
    <w:rsid w:val="00377E82"/>
    <w:rsid w:val="00380189"/>
    <w:rsid w:val="003811C4"/>
    <w:rsid w:val="00381C63"/>
    <w:rsid w:val="0038258D"/>
    <w:rsid w:val="003844C1"/>
    <w:rsid w:val="003844E3"/>
    <w:rsid w:val="00385F5C"/>
    <w:rsid w:val="0038626B"/>
    <w:rsid w:val="00387214"/>
    <w:rsid w:val="00387D48"/>
    <w:rsid w:val="00387D6B"/>
    <w:rsid w:val="00390F3F"/>
    <w:rsid w:val="00391333"/>
    <w:rsid w:val="0039250E"/>
    <w:rsid w:val="0039594C"/>
    <w:rsid w:val="003A298E"/>
    <w:rsid w:val="003A34F6"/>
    <w:rsid w:val="003A64A8"/>
    <w:rsid w:val="003A72BC"/>
    <w:rsid w:val="003B1D13"/>
    <w:rsid w:val="003B1FF8"/>
    <w:rsid w:val="003B489D"/>
    <w:rsid w:val="003B70DB"/>
    <w:rsid w:val="003C0365"/>
    <w:rsid w:val="003C1E9B"/>
    <w:rsid w:val="003D144A"/>
    <w:rsid w:val="003D6168"/>
    <w:rsid w:val="003E1434"/>
    <w:rsid w:val="003E2EB3"/>
    <w:rsid w:val="003E3912"/>
    <w:rsid w:val="003E5B3C"/>
    <w:rsid w:val="003F6E61"/>
    <w:rsid w:val="003F73D5"/>
    <w:rsid w:val="00406475"/>
    <w:rsid w:val="00411FF2"/>
    <w:rsid w:val="004125AD"/>
    <w:rsid w:val="00414945"/>
    <w:rsid w:val="00414ADC"/>
    <w:rsid w:val="004213C2"/>
    <w:rsid w:val="0042640A"/>
    <w:rsid w:val="00426794"/>
    <w:rsid w:val="00430CA1"/>
    <w:rsid w:val="00431F48"/>
    <w:rsid w:val="0044025C"/>
    <w:rsid w:val="00440848"/>
    <w:rsid w:val="00444708"/>
    <w:rsid w:val="00445A67"/>
    <w:rsid w:val="00447191"/>
    <w:rsid w:val="00452366"/>
    <w:rsid w:val="0045325F"/>
    <w:rsid w:val="00453819"/>
    <w:rsid w:val="00453FB2"/>
    <w:rsid w:val="00454B87"/>
    <w:rsid w:val="00457EE8"/>
    <w:rsid w:val="00461589"/>
    <w:rsid w:val="00462BEB"/>
    <w:rsid w:val="00462DA0"/>
    <w:rsid w:val="00467BEF"/>
    <w:rsid w:val="00467E40"/>
    <w:rsid w:val="00473A35"/>
    <w:rsid w:val="004802A8"/>
    <w:rsid w:val="004833E2"/>
    <w:rsid w:val="0048345E"/>
    <w:rsid w:val="00483696"/>
    <w:rsid w:val="00483CA2"/>
    <w:rsid w:val="0049194E"/>
    <w:rsid w:val="00493A27"/>
    <w:rsid w:val="00496D70"/>
    <w:rsid w:val="004A030E"/>
    <w:rsid w:val="004A2618"/>
    <w:rsid w:val="004A2DCA"/>
    <w:rsid w:val="004B234D"/>
    <w:rsid w:val="004B3B96"/>
    <w:rsid w:val="004B4AC7"/>
    <w:rsid w:val="004C0DC6"/>
    <w:rsid w:val="004C167D"/>
    <w:rsid w:val="004C2B66"/>
    <w:rsid w:val="004C33B2"/>
    <w:rsid w:val="004C6512"/>
    <w:rsid w:val="004C79D2"/>
    <w:rsid w:val="004D4797"/>
    <w:rsid w:val="004D509B"/>
    <w:rsid w:val="004D7C45"/>
    <w:rsid w:val="004E07C6"/>
    <w:rsid w:val="004E2BA5"/>
    <w:rsid w:val="004F5216"/>
    <w:rsid w:val="00500683"/>
    <w:rsid w:val="00501518"/>
    <w:rsid w:val="00501552"/>
    <w:rsid w:val="00502659"/>
    <w:rsid w:val="00506462"/>
    <w:rsid w:val="005118F6"/>
    <w:rsid w:val="00513CDC"/>
    <w:rsid w:val="005171DC"/>
    <w:rsid w:val="00517558"/>
    <w:rsid w:val="00517B10"/>
    <w:rsid w:val="00521221"/>
    <w:rsid w:val="005212AD"/>
    <w:rsid w:val="0052198A"/>
    <w:rsid w:val="005232D1"/>
    <w:rsid w:val="0052535A"/>
    <w:rsid w:val="00527898"/>
    <w:rsid w:val="00531853"/>
    <w:rsid w:val="0053489A"/>
    <w:rsid w:val="00534BBB"/>
    <w:rsid w:val="005361CB"/>
    <w:rsid w:val="00537BF7"/>
    <w:rsid w:val="005404E1"/>
    <w:rsid w:val="0054451E"/>
    <w:rsid w:val="00544E8F"/>
    <w:rsid w:val="005453AA"/>
    <w:rsid w:val="005460FF"/>
    <w:rsid w:val="00550085"/>
    <w:rsid w:val="005506AA"/>
    <w:rsid w:val="00552317"/>
    <w:rsid w:val="00552BA4"/>
    <w:rsid w:val="00560D21"/>
    <w:rsid w:val="00561CDE"/>
    <w:rsid w:val="0056297F"/>
    <w:rsid w:val="00566C3E"/>
    <w:rsid w:val="00570639"/>
    <w:rsid w:val="0057077B"/>
    <w:rsid w:val="00572E25"/>
    <w:rsid w:val="00573D39"/>
    <w:rsid w:val="0057462D"/>
    <w:rsid w:val="00581388"/>
    <w:rsid w:val="00583423"/>
    <w:rsid w:val="00583738"/>
    <w:rsid w:val="00583AF0"/>
    <w:rsid w:val="005850D7"/>
    <w:rsid w:val="00591734"/>
    <w:rsid w:val="00593D95"/>
    <w:rsid w:val="00593DBB"/>
    <w:rsid w:val="00594AEB"/>
    <w:rsid w:val="005950A2"/>
    <w:rsid w:val="005A0094"/>
    <w:rsid w:val="005A1757"/>
    <w:rsid w:val="005A1F0F"/>
    <w:rsid w:val="005A2E0B"/>
    <w:rsid w:val="005A379A"/>
    <w:rsid w:val="005A5125"/>
    <w:rsid w:val="005A69B8"/>
    <w:rsid w:val="005B4009"/>
    <w:rsid w:val="005B40E7"/>
    <w:rsid w:val="005B4E44"/>
    <w:rsid w:val="005B52BA"/>
    <w:rsid w:val="005B53CC"/>
    <w:rsid w:val="005B5E05"/>
    <w:rsid w:val="005B69D1"/>
    <w:rsid w:val="005C045E"/>
    <w:rsid w:val="005D0854"/>
    <w:rsid w:val="005D139A"/>
    <w:rsid w:val="005D1F4C"/>
    <w:rsid w:val="005D2309"/>
    <w:rsid w:val="005D4183"/>
    <w:rsid w:val="005D47CE"/>
    <w:rsid w:val="005D7DE5"/>
    <w:rsid w:val="005E3DDE"/>
    <w:rsid w:val="005E4C36"/>
    <w:rsid w:val="005E5F5A"/>
    <w:rsid w:val="005E63E5"/>
    <w:rsid w:val="005F383B"/>
    <w:rsid w:val="005F3D36"/>
    <w:rsid w:val="005F3E4C"/>
    <w:rsid w:val="005F4449"/>
    <w:rsid w:val="00601E93"/>
    <w:rsid w:val="0060314B"/>
    <w:rsid w:val="00607EEE"/>
    <w:rsid w:val="00611FF6"/>
    <w:rsid w:val="00612AEC"/>
    <w:rsid w:val="0061499F"/>
    <w:rsid w:val="00617CED"/>
    <w:rsid w:val="00622500"/>
    <w:rsid w:val="00624CC3"/>
    <w:rsid w:val="00627A37"/>
    <w:rsid w:val="00627F7F"/>
    <w:rsid w:val="00630ACF"/>
    <w:rsid w:val="00630E5D"/>
    <w:rsid w:val="00643C0E"/>
    <w:rsid w:val="00643E53"/>
    <w:rsid w:val="0064731F"/>
    <w:rsid w:val="0064791A"/>
    <w:rsid w:val="00651B4A"/>
    <w:rsid w:val="00651C36"/>
    <w:rsid w:val="00654239"/>
    <w:rsid w:val="006551CD"/>
    <w:rsid w:val="00655475"/>
    <w:rsid w:val="00655A5D"/>
    <w:rsid w:val="00656B75"/>
    <w:rsid w:val="00662CA5"/>
    <w:rsid w:val="00670884"/>
    <w:rsid w:val="006709D1"/>
    <w:rsid w:val="00670F45"/>
    <w:rsid w:val="00671E80"/>
    <w:rsid w:val="00676AF9"/>
    <w:rsid w:val="00677067"/>
    <w:rsid w:val="0067766F"/>
    <w:rsid w:val="00680E16"/>
    <w:rsid w:val="00683A1E"/>
    <w:rsid w:val="00684363"/>
    <w:rsid w:val="0068542A"/>
    <w:rsid w:val="00686239"/>
    <w:rsid w:val="00686ACA"/>
    <w:rsid w:val="00690AC0"/>
    <w:rsid w:val="00690DEE"/>
    <w:rsid w:val="00691C92"/>
    <w:rsid w:val="0069351C"/>
    <w:rsid w:val="006973E9"/>
    <w:rsid w:val="006A015F"/>
    <w:rsid w:val="006A11F9"/>
    <w:rsid w:val="006A2DDA"/>
    <w:rsid w:val="006A4405"/>
    <w:rsid w:val="006B1155"/>
    <w:rsid w:val="006B244E"/>
    <w:rsid w:val="006B39DC"/>
    <w:rsid w:val="006B4218"/>
    <w:rsid w:val="006B5299"/>
    <w:rsid w:val="006B61E3"/>
    <w:rsid w:val="006C14FB"/>
    <w:rsid w:val="006C17FF"/>
    <w:rsid w:val="006C2A4C"/>
    <w:rsid w:val="006C4535"/>
    <w:rsid w:val="006C4FF6"/>
    <w:rsid w:val="006C5CE1"/>
    <w:rsid w:val="006D1BD0"/>
    <w:rsid w:val="006D2CA1"/>
    <w:rsid w:val="006E31A1"/>
    <w:rsid w:val="006E3427"/>
    <w:rsid w:val="006F3DCF"/>
    <w:rsid w:val="006F4233"/>
    <w:rsid w:val="006F5946"/>
    <w:rsid w:val="006F7E04"/>
    <w:rsid w:val="00704845"/>
    <w:rsid w:val="007052E2"/>
    <w:rsid w:val="00707EC0"/>
    <w:rsid w:val="00710310"/>
    <w:rsid w:val="00710541"/>
    <w:rsid w:val="007117CA"/>
    <w:rsid w:val="00711921"/>
    <w:rsid w:val="00712000"/>
    <w:rsid w:val="00715BDF"/>
    <w:rsid w:val="007169B0"/>
    <w:rsid w:val="00716F73"/>
    <w:rsid w:val="00720319"/>
    <w:rsid w:val="00726808"/>
    <w:rsid w:val="00746A5F"/>
    <w:rsid w:val="00747E71"/>
    <w:rsid w:val="00753EAF"/>
    <w:rsid w:val="00761185"/>
    <w:rsid w:val="007652F6"/>
    <w:rsid w:val="00765B29"/>
    <w:rsid w:val="00766767"/>
    <w:rsid w:val="00766EFC"/>
    <w:rsid w:val="007676F1"/>
    <w:rsid w:val="00776281"/>
    <w:rsid w:val="00776BC4"/>
    <w:rsid w:val="007801D3"/>
    <w:rsid w:val="00782F49"/>
    <w:rsid w:val="0078408F"/>
    <w:rsid w:val="0078764A"/>
    <w:rsid w:val="00790FC8"/>
    <w:rsid w:val="00792438"/>
    <w:rsid w:val="00792D00"/>
    <w:rsid w:val="0079618F"/>
    <w:rsid w:val="007A02EB"/>
    <w:rsid w:val="007A02EF"/>
    <w:rsid w:val="007A3D1B"/>
    <w:rsid w:val="007A3E4A"/>
    <w:rsid w:val="007A478A"/>
    <w:rsid w:val="007A49A7"/>
    <w:rsid w:val="007A4BD0"/>
    <w:rsid w:val="007A57A0"/>
    <w:rsid w:val="007A7EB6"/>
    <w:rsid w:val="007B15A7"/>
    <w:rsid w:val="007B3948"/>
    <w:rsid w:val="007B3D99"/>
    <w:rsid w:val="007B4A23"/>
    <w:rsid w:val="007C50F2"/>
    <w:rsid w:val="007D0646"/>
    <w:rsid w:val="007D105C"/>
    <w:rsid w:val="007D5451"/>
    <w:rsid w:val="007D5B9E"/>
    <w:rsid w:val="007D7B3D"/>
    <w:rsid w:val="007E1478"/>
    <w:rsid w:val="007E6293"/>
    <w:rsid w:val="007E7367"/>
    <w:rsid w:val="007F0A5F"/>
    <w:rsid w:val="007F2BC9"/>
    <w:rsid w:val="00807C7B"/>
    <w:rsid w:val="00810202"/>
    <w:rsid w:val="00812C94"/>
    <w:rsid w:val="008131FD"/>
    <w:rsid w:val="008160A2"/>
    <w:rsid w:val="00826670"/>
    <w:rsid w:val="00830ACB"/>
    <w:rsid w:val="008318AA"/>
    <w:rsid w:val="00832526"/>
    <w:rsid w:val="008330A0"/>
    <w:rsid w:val="008340BB"/>
    <w:rsid w:val="0083436D"/>
    <w:rsid w:val="008371A9"/>
    <w:rsid w:val="00840246"/>
    <w:rsid w:val="00842670"/>
    <w:rsid w:val="00842C92"/>
    <w:rsid w:val="008431EA"/>
    <w:rsid w:val="008435F7"/>
    <w:rsid w:val="008437D7"/>
    <w:rsid w:val="00850C7C"/>
    <w:rsid w:val="00851D45"/>
    <w:rsid w:val="008527AF"/>
    <w:rsid w:val="008541C2"/>
    <w:rsid w:val="008550C4"/>
    <w:rsid w:val="008552FA"/>
    <w:rsid w:val="00855C2B"/>
    <w:rsid w:val="00855D4B"/>
    <w:rsid w:val="00856877"/>
    <w:rsid w:val="00856A05"/>
    <w:rsid w:val="00856F76"/>
    <w:rsid w:val="00860B1F"/>
    <w:rsid w:val="0086233C"/>
    <w:rsid w:val="0086276D"/>
    <w:rsid w:val="0086299B"/>
    <w:rsid w:val="00862BA1"/>
    <w:rsid w:val="0086308A"/>
    <w:rsid w:val="00864371"/>
    <w:rsid w:val="00865442"/>
    <w:rsid w:val="00867D6A"/>
    <w:rsid w:val="00870C10"/>
    <w:rsid w:val="00873EF8"/>
    <w:rsid w:val="00877CFD"/>
    <w:rsid w:val="008818F6"/>
    <w:rsid w:val="00882655"/>
    <w:rsid w:val="00884C62"/>
    <w:rsid w:val="00891F15"/>
    <w:rsid w:val="00892303"/>
    <w:rsid w:val="00892C76"/>
    <w:rsid w:val="00893B01"/>
    <w:rsid w:val="0089585C"/>
    <w:rsid w:val="00895E88"/>
    <w:rsid w:val="008A0B6A"/>
    <w:rsid w:val="008A1CEF"/>
    <w:rsid w:val="008A3516"/>
    <w:rsid w:val="008A45D6"/>
    <w:rsid w:val="008A5F6B"/>
    <w:rsid w:val="008A7697"/>
    <w:rsid w:val="008B0D42"/>
    <w:rsid w:val="008B6540"/>
    <w:rsid w:val="008B72B0"/>
    <w:rsid w:val="008C292C"/>
    <w:rsid w:val="008C6987"/>
    <w:rsid w:val="008C7617"/>
    <w:rsid w:val="008D128A"/>
    <w:rsid w:val="008D7705"/>
    <w:rsid w:val="008E1A8F"/>
    <w:rsid w:val="008E4E33"/>
    <w:rsid w:val="008E5F0A"/>
    <w:rsid w:val="008F222D"/>
    <w:rsid w:val="008F5FC3"/>
    <w:rsid w:val="009000E0"/>
    <w:rsid w:val="0090051C"/>
    <w:rsid w:val="00900B41"/>
    <w:rsid w:val="00902870"/>
    <w:rsid w:val="00903808"/>
    <w:rsid w:val="00905235"/>
    <w:rsid w:val="00907003"/>
    <w:rsid w:val="00910774"/>
    <w:rsid w:val="00911090"/>
    <w:rsid w:val="00912AF8"/>
    <w:rsid w:val="00915A71"/>
    <w:rsid w:val="009160F6"/>
    <w:rsid w:val="00917EA6"/>
    <w:rsid w:val="00922153"/>
    <w:rsid w:val="00923371"/>
    <w:rsid w:val="009304F3"/>
    <w:rsid w:val="009310BE"/>
    <w:rsid w:val="00931202"/>
    <w:rsid w:val="009336DC"/>
    <w:rsid w:val="00933CA5"/>
    <w:rsid w:val="00936D5A"/>
    <w:rsid w:val="00943A2F"/>
    <w:rsid w:val="00944ADD"/>
    <w:rsid w:val="00953566"/>
    <w:rsid w:val="0095406B"/>
    <w:rsid w:val="0095454E"/>
    <w:rsid w:val="009548EC"/>
    <w:rsid w:val="00954C71"/>
    <w:rsid w:val="00954F5A"/>
    <w:rsid w:val="00956072"/>
    <w:rsid w:val="00957E18"/>
    <w:rsid w:val="00962ECB"/>
    <w:rsid w:val="00965FDB"/>
    <w:rsid w:val="009733A9"/>
    <w:rsid w:val="0097440C"/>
    <w:rsid w:val="009744F8"/>
    <w:rsid w:val="00976663"/>
    <w:rsid w:val="00976C97"/>
    <w:rsid w:val="00981C01"/>
    <w:rsid w:val="00984975"/>
    <w:rsid w:val="00986189"/>
    <w:rsid w:val="00986867"/>
    <w:rsid w:val="00990C65"/>
    <w:rsid w:val="00990CB7"/>
    <w:rsid w:val="00992CA6"/>
    <w:rsid w:val="00993477"/>
    <w:rsid w:val="009939B9"/>
    <w:rsid w:val="0099779E"/>
    <w:rsid w:val="00997FB9"/>
    <w:rsid w:val="009A1922"/>
    <w:rsid w:val="009A5062"/>
    <w:rsid w:val="009A6AD0"/>
    <w:rsid w:val="009B188D"/>
    <w:rsid w:val="009B2F19"/>
    <w:rsid w:val="009B3979"/>
    <w:rsid w:val="009B39DD"/>
    <w:rsid w:val="009B5B72"/>
    <w:rsid w:val="009B5B8E"/>
    <w:rsid w:val="009B641C"/>
    <w:rsid w:val="009C670F"/>
    <w:rsid w:val="009D02F6"/>
    <w:rsid w:val="009D2424"/>
    <w:rsid w:val="009D3DC5"/>
    <w:rsid w:val="009D48E2"/>
    <w:rsid w:val="009E66E4"/>
    <w:rsid w:val="009F3C04"/>
    <w:rsid w:val="009F3CE2"/>
    <w:rsid w:val="009F53CD"/>
    <w:rsid w:val="00A0020B"/>
    <w:rsid w:val="00A00613"/>
    <w:rsid w:val="00A01C87"/>
    <w:rsid w:val="00A044A5"/>
    <w:rsid w:val="00A04EE4"/>
    <w:rsid w:val="00A06624"/>
    <w:rsid w:val="00A10307"/>
    <w:rsid w:val="00A10BB9"/>
    <w:rsid w:val="00A11E02"/>
    <w:rsid w:val="00A1223E"/>
    <w:rsid w:val="00A135E4"/>
    <w:rsid w:val="00A1415C"/>
    <w:rsid w:val="00A14A61"/>
    <w:rsid w:val="00A1530E"/>
    <w:rsid w:val="00A209BB"/>
    <w:rsid w:val="00A22A70"/>
    <w:rsid w:val="00A23636"/>
    <w:rsid w:val="00A31489"/>
    <w:rsid w:val="00A32969"/>
    <w:rsid w:val="00A32AD0"/>
    <w:rsid w:val="00A32FCF"/>
    <w:rsid w:val="00A33F70"/>
    <w:rsid w:val="00A33FB2"/>
    <w:rsid w:val="00A35941"/>
    <w:rsid w:val="00A362CD"/>
    <w:rsid w:val="00A3667F"/>
    <w:rsid w:val="00A36D2A"/>
    <w:rsid w:val="00A37342"/>
    <w:rsid w:val="00A37FFB"/>
    <w:rsid w:val="00A40F5A"/>
    <w:rsid w:val="00A44DF4"/>
    <w:rsid w:val="00A47AA8"/>
    <w:rsid w:val="00A52295"/>
    <w:rsid w:val="00A53F63"/>
    <w:rsid w:val="00A54ADC"/>
    <w:rsid w:val="00A559EF"/>
    <w:rsid w:val="00A56684"/>
    <w:rsid w:val="00A60F57"/>
    <w:rsid w:val="00A6246F"/>
    <w:rsid w:val="00A62F37"/>
    <w:rsid w:val="00A6369B"/>
    <w:rsid w:val="00A6499F"/>
    <w:rsid w:val="00A66BCE"/>
    <w:rsid w:val="00A671AA"/>
    <w:rsid w:val="00A71368"/>
    <w:rsid w:val="00A71820"/>
    <w:rsid w:val="00A72BDE"/>
    <w:rsid w:val="00A746C8"/>
    <w:rsid w:val="00A81817"/>
    <w:rsid w:val="00A81F55"/>
    <w:rsid w:val="00A904A6"/>
    <w:rsid w:val="00A91B31"/>
    <w:rsid w:val="00A93EEC"/>
    <w:rsid w:val="00A96C5A"/>
    <w:rsid w:val="00AA08CF"/>
    <w:rsid w:val="00AA28D0"/>
    <w:rsid w:val="00AA51E8"/>
    <w:rsid w:val="00AA537F"/>
    <w:rsid w:val="00AB0640"/>
    <w:rsid w:val="00AB11A1"/>
    <w:rsid w:val="00AB32AC"/>
    <w:rsid w:val="00AB47DD"/>
    <w:rsid w:val="00AB47E1"/>
    <w:rsid w:val="00AB4BE9"/>
    <w:rsid w:val="00AC0648"/>
    <w:rsid w:val="00AC3C4D"/>
    <w:rsid w:val="00AC50E1"/>
    <w:rsid w:val="00AC7BB7"/>
    <w:rsid w:val="00AD1060"/>
    <w:rsid w:val="00AD10EF"/>
    <w:rsid w:val="00AD5037"/>
    <w:rsid w:val="00AE15AC"/>
    <w:rsid w:val="00AE3542"/>
    <w:rsid w:val="00AE5A6D"/>
    <w:rsid w:val="00AE6A7E"/>
    <w:rsid w:val="00AE780D"/>
    <w:rsid w:val="00AE7A99"/>
    <w:rsid w:val="00AF0E66"/>
    <w:rsid w:val="00AF15ED"/>
    <w:rsid w:val="00AF2CF8"/>
    <w:rsid w:val="00B005FE"/>
    <w:rsid w:val="00B01118"/>
    <w:rsid w:val="00B04DF9"/>
    <w:rsid w:val="00B04E86"/>
    <w:rsid w:val="00B12374"/>
    <w:rsid w:val="00B13F5D"/>
    <w:rsid w:val="00B1446A"/>
    <w:rsid w:val="00B15B9E"/>
    <w:rsid w:val="00B16B86"/>
    <w:rsid w:val="00B17754"/>
    <w:rsid w:val="00B179A0"/>
    <w:rsid w:val="00B2551C"/>
    <w:rsid w:val="00B2715E"/>
    <w:rsid w:val="00B3013A"/>
    <w:rsid w:val="00B3138A"/>
    <w:rsid w:val="00B32235"/>
    <w:rsid w:val="00B33493"/>
    <w:rsid w:val="00B36EB5"/>
    <w:rsid w:val="00B4197A"/>
    <w:rsid w:val="00B43A33"/>
    <w:rsid w:val="00B450B8"/>
    <w:rsid w:val="00B462B3"/>
    <w:rsid w:val="00B463A1"/>
    <w:rsid w:val="00B46404"/>
    <w:rsid w:val="00B46F45"/>
    <w:rsid w:val="00B50773"/>
    <w:rsid w:val="00B5186D"/>
    <w:rsid w:val="00B52535"/>
    <w:rsid w:val="00B53052"/>
    <w:rsid w:val="00B5600B"/>
    <w:rsid w:val="00B57AC9"/>
    <w:rsid w:val="00B6038F"/>
    <w:rsid w:val="00B61B9E"/>
    <w:rsid w:val="00B6467E"/>
    <w:rsid w:val="00B717A8"/>
    <w:rsid w:val="00B719B0"/>
    <w:rsid w:val="00B760C4"/>
    <w:rsid w:val="00B81DC7"/>
    <w:rsid w:val="00B85824"/>
    <w:rsid w:val="00B85FFD"/>
    <w:rsid w:val="00B8745B"/>
    <w:rsid w:val="00B87AE4"/>
    <w:rsid w:val="00B90A3E"/>
    <w:rsid w:val="00B92222"/>
    <w:rsid w:val="00B9256A"/>
    <w:rsid w:val="00BA012B"/>
    <w:rsid w:val="00BA1C47"/>
    <w:rsid w:val="00BA5240"/>
    <w:rsid w:val="00BA6F22"/>
    <w:rsid w:val="00BA70D1"/>
    <w:rsid w:val="00BB202A"/>
    <w:rsid w:val="00BB2508"/>
    <w:rsid w:val="00BB3DB1"/>
    <w:rsid w:val="00BB4C6D"/>
    <w:rsid w:val="00BB5431"/>
    <w:rsid w:val="00BB5CA6"/>
    <w:rsid w:val="00BC0C20"/>
    <w:rsid w:val="00BC1C1D"/>
    <w:rsid w:val="00BC20D1"/>
    <w:rsid w:val="00BC301E"/>
    <w:rsid w:val="00BC40FE"/>
    <w:rsid w:val="00BC4918"/>
    <w:rsid w:val="00BD034B"/>
    <w:rsid w:val="00BD0B07"/>
    <w:rsid w:val="00BD4BD5"/>
    <w:rsid w:val="00BD52F6"/>
    <w:rsid w:val="00BD5A17"/>
    <w:rsid w:val="00BD75E7"/>
    <w:rsid w:val="00BD7DB6"/>
    <w:rsid w:val="00BE1BCA"/>
    <w:rsid w:val="00BE3454"/>
    <w:rsid w:val="00BE35F1"/>
    <w:rsid w:val="00BE3EE9"/>
    <w:rsid w:val="00BE45AF"/>
    <w:rsid w:val="00BE4C61"/>
    <w:rsid w:val="00BE505E"/>
    <w:rsid w:val="00BF04E0"/>
    <w:rsid w:val="00BF32FD"/>
    <w:rsid w:val="00BF5729"/>
    <w:rsid w:val="00C0048F"/>
    <w:rsid w:val="00C00522"/>
    <w:rsid w:val="00C04E24"/>
    <w:rsid w:val="00C05817"/>
    <w:rsid w:val="00C078B0"/>
    <w:rsid w:val="00C1055C"/>
    <w:rsid w:val="00C11221"/>
    <w:rsid w:val="00C13D2E"/>
    <w:rsid w:val="00C143B6"/>
    <w:rsid w:val="00C174AC"/>
    <w:rsid w:val="00C17DFD"/>
    <w:rsid w:val="00C20029"/>
    <w:rsid w:val="00C253B6"/>
    <w:rsid w:val="00C303C0"/>
    <w:rsid w:val="00C30D03"/>
    <w:rsid w:val="00C36F57"/>
    <w:rsid w:val="00C3716C"/>
    <w:rsid w:val="00C37BF4"/>
    <w:rsid w:val="00C4137F"/>
    <w:rsid w:val="00C425C8"/>
    <w:rsid w:val="00C43A33"/>
    <w:rsid w:val="00C43F95"/>
    <w:rsid w:val="00C44E67"/>
    <w:rsid w:val="00C460B3"/>
    <w:rsid w:val="00C4662F"/>
    <w:rsid w:val="00C4732A"/>
    <w:rsid w:val="00C504BD"/>
    <w:rsid w:val="00C53B4D"/>
    <w:rsid w:val="00C56E46"/>
    <w:rsid w:val="00C60988"/>
    <w:rsid w:val="00C60F8E"/>
    <w:rsid w:val="00C61196"/>
    <w:rsid w:val="00C6365B"/>
    <w:rsid w:val="00C643E7"/>
    <w:rsid w:val="00C665D8"/>
    <w:rsid w:val="00C666B6"/>
    <w:rsid w:val="00C67E52"/>
    <w:rsid w:val="00C701CD"/>
    <w:rsid w:val="00C70B0C"/>
    <w:rsid w:val="00C730D1"/>
    <w:rsid w:val="00C74ECE"/>
    <w:rsid w:val="00C75B2A"/>
    <w:rsid w:val="00C7634D"/>
    <w:rsid w:val="00C76BA2"/>
    <w:rsid w:val="00C76CD9"/>
    <w:rsid w:val="00C81F0B"/>
    <w:rsid w:val="00C8232E"/>
    <w:rsid w:val="00C82B7E"/>
    <w:rsid w:val="00C86008"/>
    <w:rsid w:val="00C903EC"/>
    <w:rsid w:val="00C91865"/>
    <w:rsid w:val="00C91943"/>
    <w:rsid w:val="00C92C59"/>
    <w:rsid w:val="00C933F4"/>
    <w:rsid w:val="00C94E6C"/>
    <w:rsid w:val="00C959DB"/>
    <w:rsid w:val="00C95F2B"/>
    <w:rsid w:val="00C9636E"/>
    <w:rsid w:val="00CA3410"/>
    <w:rsid w:val="00CA3FF4"/>
    <w:rsid w:val="00CA6DC0"/>
    <w:rsid w:val="00CB09B6"/>
    <w:rsid w:val="00CB52B5"/>
    <w:rsid w:val="00CB6F79"/>
    <w:rsid w:val="00CB7151"/>
    <w:rsid w:val="00CC4E6F"/>
    <w:rsid w:val="00CC51B6"/>
    <w:rsid w:val="00CC674C"/>
    <w:rsid w:val="00CC6C05"/>
    <w:rsid w:val="00CD0B91"/>
    <w:rsid w:val="00CD23CB"/>
    <w:rsid w:val="00CD5BCB"/>
    <w:rsid w:val="00CD6928"/>
    <w:rsid w:val="00CD7581"/>
    <w:rsid w:val="00CD7E87"/>
    <w:rsid w:val="00CE2139"/>
    <w:rsid w:val="00CE4C09"/>
    <w:rsid w:val="00CE7BED"/>
    <w:rsid w:val="00CF0DD6"/>
    <w:rsid w:val="00CF3FFC"/>
    <w:rsid w:val="00CF43FE"/>
    <w:rsid w:val="00CF730F"/>
    <w:rsid w:val="00D03540"/>
    <w:rsid w:val="00D05E13"/>
    <w:rsid w:val="00D13135"/>
    <w:rsid w:val="00D14766"/>
    <w:rsid w:val="00D20B7B"/>
    <w:rsid w:val="00D2128F"/>
    <w:rsid w:val="00D24703"/>
    <w:rsid w:val="00D31447"/>
    <w:rsid w:val="00D316F8"/>
    <w:rsid w:val="00D3320A"/>
    <w:rsid w:val="00D37390"/>
    <w:rsid w:val="00D42665"/>
    <w:rsid w:val="00D43371"/>
    <w:rsid w:val="00D43D00"/>
    <w:rsid w:val="00D43D53"/>
    <w:rsid w:val="00D44A00"/>
    <w:rsid w:val="00D453A0"/>
    <w:rsid w:val="00D45A79"/>
    <w:rsid w:val="00D464F3"/>
    <w:rsid w:val="00D508B2"/>
    <w:rsid w:val="00D51E50"/>
    <w:rsid w:val="00D52027"/>
    <w:rsid w:val="00D52D7E"/>
    <w:rsid w:val="00D56257"/>
    <w:rsid w:val="00D66084"/>
    <w:rsid w:val="00D702FF"/>
    <w:rsid w:val="00D70381"/>
    <w:rsid w:val="00D70876"/>
    <w:rsid w:val="00D734D1"/>
    <w:rsid w:val="00D74C90"/>
    <w:rsid w:val="00D74CC8"/>
    <w:rsid w:val="00D76AB3"/>
    <w:rsid w:val="00D77F4E"/>
    <w:rsid w:val="00D81434"/>
    <w:rsid w:val="00D81BF9"/>
    <w:rsid w:val="00D825FB"/>
    <w:rsid w:val="00D842E8"/>
    <w:rsid w:val="00D8622E"/>
    <w:rsid w:val="00D8789E"/>
    <w:rsid w:val="00D91246"/>
    <w:rsid w:val="00D97ACE"/>
    <w:rsid w:val="00DA0838"/>
    <w:rsid w:val="00DA292B"/>
    <w:rsid w:val="00DA2BB2"/>
    <w:rsid w:val="00DA6514"/>
    <w:rsid w:val="00DB164A"/>
    <w:rsid w:val="00DB1C94"/>
    <w:rsid w:val="00DB30DC"/>
    <w:rsid w:val="00DB78CC"/>
    <w:rsid w:val="00DC3E98"/>
    <w:rsid w:val="00DC5729"/>
    <w:rsid w:val="00DC5F53"/>
    <w:rsid w:val="00DD2554"/>
    <w:rsid w:val="00DD2F2B"/>
    <w:rsid w:val="00DE0BEB"/>
    <w:rsid w:val="00DE2212"/>
    <w:rsid w:val="00DE49FE"/>
    <w:rsid w:val="00DE54AB"/>
    <w:rsid w:val="00DE5B7F"/>
    <w:rsid w:val="00DF08A0"/>
    <w:rsid w:val="00DF2E0C"/>
    <w:rsid w:val="00DF57B7"/>
    <w:rsid w:val="00DF677F"/>
    <w:rsid w:val="00E01E30"/>
    <w:rsid w:val="00E027DA"/>
    <w:rsid w:val="00E02EC7"/>
    <w:rsid w:val="00E04D01"/>
    <w:rsid w:val="00E114EF"/>
    <w:rsid w:val="00E30AE6"/>
    <w:rsid w:val="00E318F1"/>
    <w:rsid w:val="00E31938"/>
    <w:rsid w:val="00E37DB3"/>
    <w:rsid w:val="00E45B73"/>
    <w:rsid w:val="00E468BE"/>
    <w:rsid w:val="00E503C2"/>
    <w:rsid w:val="00E51788"/>
    <w:rsid w:val="00E53C9E"/>
    <w:rsid w:val="00E545EF"/>
    <w:rsid w:val="00E60E05"/>
    <w:rsid w:val="00E6636B"/>
    <w:rsid w:val="00E6664A"/>
    <w:rsid w:val="00E67AE6"/>
    <w:rsid w:val="00E67CC7"/>
    <w:rsid w:val="00E70667"/>
    <w:rsid w:val="00E72285"/>
    <w:rsid w:val="00E74327"/>
    <w:rsid w:val="00E755F4"/>
    <w:rsid w:val="00E76821"/>
    <w:rsid w:val="00E80038"/>
    <w:rsid w:val="00E8018B"/>
    <w:rsid w:val="00E8184A"/>
    <w:rsid w:val="00E830AB"/>
    <w:rsid w:val="00E835F2"/>
    <w:rsid w:val="00E86210"/>
    <w:rsid w:val="00E862FE"/>
    <w:rsid w:val="00E90E4D"/>
    <w:rsid w:val="00E92629"/>
    <w:rsid w:val="00E9287E"/>
    <w:rsid w:val="00E94D92"/>
    <w:rsid w:val="00EA0DE4"/>
    <w:rsid w:val="00EA1556"/>
    <w:rsid w:val="00EA1D95"/>
    <w:rsid w:val="00EA21E8"/>
    <w:rsid w:val="00EA42C5"/>
    <w:rsid w:val="00EA5C24"/>
    <w:rsid w:val="00EA6229"/>
    <w:rsid w:val="00EA6570"/>
    <w:rsid w:val="00EB1E5B"/>
    <w:rsid w:val="00EB69E8"/>
    <w:rsid w:val="00EC083C"/>
    <w:rsid w:val="00EC1412"/>
    <w:rsid w:val="00EC4306"/>
    <w:rsid w:val="00EC4591"/>
    <w:rsid w:val="00ED0F87"/>
    <w:rsid w:val="00ED2A38"/>
    <w:rsid w:val="00ED3A44"/>
    <w:rsid w:val="00EE0A67"/>
    <w:rsid w:val="00EE1147"/>
    <w:rsid w:val="00EE4D05"/>
    <w:rsid w:val="00EE6C62"/>
    <w:rsid w:val="00EF05C5"/>
    <w:rsid w:val="00EF0EDD"/>
    <w:rsid w:val="00EF2F07"/>
    <w:rsid w:val="00EF33AD"/>
    <w:rsid w:val="00EF3714"/>
    <w:rsid w:val="00EF5D2A"/>
    <w:rsid w:val="00EF60A4"/>
    <w:rsid w:val="00EF75F9"/>
    <w:rsid w:val="00F009EB"/>
    <w:rsid w:val="00F00F4A"/>
    <w:rsid w:val="00F02CD4"/>
    <w:rsid w:val="00F061FC"/>
    <w:rsid w:val="00F07865"/>
    <w:rsid w:val="00F12A8D"/>
    <w:rsid w:val="00F144B4"/>
    <w:rsid w:val="00F14BCA"/>
    <w:rsid w:val="00F15AC5"/>
    <w:rsid w:val="00F163E1"/>
    <w:rsid w:val="00F20131"/>
    <w:rsid w:val="00F233B2"/>
    <w:rsid w:val="00F2578C"/>
    <w:rsid w:val="00F26BD9"/>
    <w:rsid w:val="00F32A78"/>
    <w:rsid w:val="00F3430A"/>
    <w:rsid w:val="00F347A2"/>
    <w:rsid w:val="00F4207D"/>
    <w:rsid w:val="00F434D8"/>
    <w:rsid w:val="00F461D5"/>
    <w:rsid w:val="00F511C0"/>
    <w:rsid w:val="00F53999"/>
    <w:rsid w:val="00F56BC7"/>
    <w:rsid w:val="00F6025E"/>
    <w:rsid w:val="00F61069"/>
    <w:rsid w:val="00F610B1"/>
    <w:rsid w:val="00F640A6"/>
    <w:rsid w:val="00F65141"/>
    <w:rsid w:val="00F65E0E"/>
    <w:rsid w:val="00F66C09"/>
    <w:rsid w:val="00F715A0"/>
    <w:rsid w:val="00F71B74"/>
    <w:rsid w:val="00F76715"/>
    <w:rsid w:val="00F76C50"/>
    <w:rsid w:val="00F77866"/>
    <w:rsid w:val="00F81841"/>
    <w:rsid w:val="00F82011"/>
    <w:rsid w:val="00F83A48"/>
    <w:rsid w:val="00F8560D"/>
    <w:rsid w:val="00F90D91"/>
    <w:rsid w:val="00F91365"/>
    <w:rsid w:val="00F915B6"/>
    <w:rsid w:val="00F94379"/>
    <w:rsid w:val="00F95637"/>
    <w:rsid w:val="00F96A5D"/>
    <w:rsid w:val="00F97B90"/>
    <w:rsid w:val="00FA2521"/>
    <w:rsid w:val="00FA311B"/>
    <w:rsid w:val="00FA4232"/>
    <w:rsid w:val="00FA5CF0"/>
    <w:rsid w:val="00FB1934"/>
    <w:rsid w:val="00FB48C6"/>
    <w:rsid w:val="00FB7B70"/>
    <w:rsid w:val="00FC25A8"/>
    <w:rsid w:val="00FC4650"/>
    <w:rsid w:val="00FC489D"/>
    <w:rsid w:val="00FC4D28"/>
    <w:rsid w:val="00FC5D50"/>
    <w:rsid w:val="00FD0D1B"/>
    <w:rsid w:val="00FD121A"/>
    <w:rsid w:val="00FD2161"/>
    <w:rsid w:val="00FD28B1"/>
    <w:rsid w:val="00FD3715"/>
    <w:rsid w:val="00FD7335"/>
    <w:rsid w:val="00FD7EC1"/>
    <w:rsid w:val="00FE6BC9"/>
    <w:rsid w:val="00FE6CAD"/>
    <w:rsid w:val="00FF018B"/>
    <w:rsid w:val="00FF34DD"/>
    <w:rsid w:val="00FF371A"/>
    <w:rsid w:val="00FF6459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locked/>
    <w:rsid w:val="00CC4E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  <w:style w:type="character" w:customStyle="1" w:styleId="Titre1Car">
    <w:name w:val="Titre 1 Car"/>
    <w:link w:val="Titre1"/>
    <w:rsid w:val="00CC4E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Marquedecommentaire">
    <w:name w:val="annotation reference"/>
    <w:uiPriority w:val="99"/>
    <w:semiHidden/>
    <w:unhideWhenUsed/>
    <w:rsid w:val="00CB52B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B52B5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B52B5"/>
    <w:rPr>
      <w:rFonts w:ascii="Times New Roman" w:eastAsia="Times New Roman" w:hAnsi="Times New Roman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B52B5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B52B5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CR2017%20cl&#233;\calcul%202017publicatio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CR2017%20cl&#233;\calcul%202017publica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fr-FR" sz="1400"/>
              <a:t>Contribution des régions à la croissance du PIB national (en %)</a:t>
            </a:r>
          </a:p>
        </c:rich>
      </c:tx>
    </c:title>
    <c:plotArea>
      <c:layout>
        <c:manualLayout>
          <c:layoutTarget val="inner"/>
          <c:xMode val="edge"/>
          <c:yMode val="edge"/>
          <c:x val="9.4387675371654461E-2"/>
          <c:y val="0.12328083989501311"/>
          <c:w val="0.58524060898594077"/>
          <c:h val="0.77430919108084462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'contrib crois'!$B$1</c:f>
              <c:strCache>
                <c:ptCount val="1"/>
                <c:pt idx="0">
                  <c:v>contribution</c:v>
                </c:pt>
              </c:strCache>
            </c:strRef>
          </c:tx>
          <c:dLbls>
            <c:showVal val="1"/>
          </c:dLbls>
          <c:cat>
            <c:strRef>
              <c:f>'contrib crois'!$A$2:$A$13</c:f>
              <c:strCache>
                <c:ptCount val="12"/>
                <c:pt idx="0">
                  <c:v>Tanger-Tétouan-Al Hoceima</c:v>
                </c:pt>
                <c:pt idx="1">
                  <c:v>Oriental 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Laâyoune-Saguia al Hamra</c:v>
                </c:pt>
                <c:pt idx="11">
                  <c:v> Dakhla-Oued ed Dahab</c:v>
                </c:pt>
              </c:strCache>
            </c:strRef>
          </c:cat>
          <c:val>
            <c:numRef>
              <c:f>'contrib crois'!$B$2:$B$13</c:f>
              <c:numCache>
                <c:formatCode>0.0</c:formatCode>
                <c:ptCount val="12"/>
                <c:pt idx="0">
                  <c:v>14.068940323438172</c:v>
                </c:pt>
                <c:pt idx="1">
                  <c:v>6.7106063502332836</c:v>
                </c:pt>
                <c:pt idx="2">
                  <c:v>1.7643392352935496</c:v>
                </c:pt>
                <c:pt idx="3">
                  <c:v>19.112914293907647</c:v>
                </c:pt>
                <c:pt idx="4">
                  <c:v>8.9808002650324283</c:v>
                </c:pt>
                <c:pt idx="5">
                  <c:v>30.40428300371331</c:v>
                </c:pt>
                <c:pt idx="6">
                  <c:v>8.0227823477147489</c:v>
                </c:pt>
                <c:pt idx="7">
                  <c:v>0.70257437441946691</c:v>
                </c:pt>
                <c:pt idx="8">
                  <c:v>1.7485257815184219</c:v>
                </c:pt>
                <c:pt idx="9">
                  <c:v>2.9848114364530263</c:v>
                </c:pt>
                <c:pt idx="10">
                  <c:v>2.7126892452275952</c:v>
                </c:pt>
                <c:pt idx="11">
                  <c:v>2.7867333430483208</c:v>
                </c:pt>
              </c:numCache>
            </c:numRef>
          </c:val>
        </c:ser>
        <c:gapWidth val="100"/>
        <c:axId val="109209088"/>
        <c:axId val="109210624"/>
      </c:barChart>
      <c:catAx>
        <c:axId val="109209088"/>
        <c:scaling>
          <c:orientation val="minMax"/>
        </c:scaling>
        <c:delete val="1"/>
        <c:axPos val="b"/>
        <c:tickLblPos val="nextTo"/>
        <c:crossAx val="109210624"/>
        <c:crosses val="autoZero"/>
        <c:auto val="1"/>
        <c:lblAlgn val="ctr"/>
        <c:lblOffset val="100"/>
      </c:catAx>
      <c:valAx>
        <c:axId val="109210624"/>
        <c:scaling>
          <c:orientation val="minMax"/>
        </c:scaling>
        <c:axPos val="l"/>
        <c:majorGridlines/>
        <c:numFmt formatCode="0.0" sourceLinked="1"/>
        <c:tickLblPos val="nextTo"/>
        <c:crossAx val="109209088"/>
        <c:crosses val="autoZero"/>
        <c:crossBetween val="between"/>
      </c:valAx>
    </c:plotArea>
    <c:legend>
      <c:legendPos val="r"/>
    </c:legend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fr-FR" sz="1400"/>
              <a:t>Contribution des régions aux DCFM (en %)</a:t>
            </a:r>
          </a:p>
        </c:rich>
      </c:tx>
    </c:title>
    <c:plotArea>
      <c:layout>
        <c:manualLayout>
          <c:layoutTarget val="inner"/>
          <c:xMode val="edge"/>
          <c:yMode val="edge"/>
          <c:x val="9.4387675371654475E-2"/>
          <c:y val="0.12328083989501311"/>
          <c:w val="0.59338316709612138"/>
          <c:h val="0.7653001820718357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'contr cf'!$A$2:$A$13</c:f>
              <c:strCache>
                <c:ptCount val="12"/>
                <c:pt idx="0">
                  <c:v>Tanger-Tétouan-Al Hoceima</c:v>
                </c:pt>
                <c:pt idx="1">
                  <c:v>Oriental 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Laâyoune-Saguia al Hamra</c:v>
                </c:pt>
                <c:pt idx="11">
                  <c:v>Dakhla-Oued ed Dahab</c:v>
                </c:pt>
              </c:strCache>
            </c:strRef>
          </c:cat>
          <c:val>
            <c:numRef>
              <c:f>'contr cf'!$B$2:$B$13</c:f>
              <c:numCache>
                <c:formatCode>0.0</c:formatCode>
                <c:ptCount val="12"/>
                <c:pt idx="0">
                  <c:v>11.462064566348761</c:v>
                </c:pt>
                <c:pt idx="1">
                  <c:v>7.0151231378446761</c:v>
                </c:pt>
                <c:pt idx="2">
                  <c:v>11.720198184267248</c:v>
                </c:pt>
                <c:pt idx="3">
                  <c:v>14.786902146695258</c:v>
                </c:pt>
                <c:pt idx="4">
                  <c:v>5.3839973196936803</c:v>
                </c:pt>
                <c:pt idx="5">
                  <c:v>25.000486549399749</c:v>
                </c:pt>
                <c:pt idx="6">
                  <c:v>11.180284244482564</c:v>
                </c:pt>
                <c:pt idx="7">
                  <c:v>3.3419239310566877</c:v>
                </c:pt>
                <c:pt idx="8">
                  <c:v>7.134374978339495</c:v>
                </c:pt>
                <c:pt idx="9">
                  <c:v>1.1631733151822679</c:v>
                </c:pt>
                <c:pt idx="10">
                  <c:v>1.1625114275766322</c:v>
                </c:pt>
                <c:pt idx="11">
                  <c:v>0.64896019911295366</c:v>
                </c:pt>
              </c:numCache>
            </c:numRef>
          </c:val>
        </c:ser>
        <c:gapWidth val="100"/>
        <c:axId val="109243392"/>
        <c:axId val="109380352"/>
      </c:barChart>
      <c:catAx>
        <c:axId val="109243392"/>
        <c:scaling>
          <c:orientation val="minMax"/>
        </c:scaling>
        <c:delete val="1"/>
        <c:axPos val="b"/>
        <c:tickLblPos val="nextTo"/>
        <c:crossAx val="109380352"/>
        <c:crosses val="autoZero"/>
        <c:auto val="1"/>
        <c:lblAlgn val="ctr"/>
        <c:lblOffset val="100"/>
      </c:catAx>
      <c:valAx>
        <c:axId val="109380352"/>
        <c:scaling>
          <c:orientation val="minMax"/>
        </c:scaling>
        <c:axPos val="l"/>
        <c:majorGridlines/>
        <c:numFmt formatCode="0.0" sourceLinked="1"/>
        <c:tickLblPos val="nextTo"/>
        <c:crossAx val="109243392"/>
        <c:crosses val="autoZero"/>
        <c:crossBetween val="between"/>
      </c:valAx>
    </c:plotArea>
    <c:legend>
      <c:legendPos val="r"/>
      <c:txPr>
        <a:bodyPr/>
        <a:lstStyle/>
        <a:p>
          <a:pPr rtl="0">
            <a:defRPr/>
          </a:pPr>
          <a:endParaRPr lang="fr-FR"/>
        </a:p>
      </c:txPr>
    </c:legend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2269</Words>
  <Characters>12480</Characters>
  <Application>Microsoft Office Word</Application>
  <DocSecurity>0</DocSecurity>
  <Lines>104</Lines>
  <Paragraphs>29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/>
      <vt:lpstr/>
      <vt:lpstr/>
    </vt:vector>
  </TitlesOfParts>
  <Company>Hewlett-Packard Company</Company>
  <LinksUpToDate>false</LinksUpToDate>
  <CharactersWithSpaces>14720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2</cp:revision>
  <cp:lastPrinted>2019-09-10T08:58:00Z</cp:lastPrinted>
  <dcterms:created xsi:type="dcterms:W3CDTF">2019-09-13T09:59:00Z</dcterms:created>
  <dcterms:modified xsi:type="dcterms:W3CDTF">2019-09-13T09:59:00Z</dcterms:modified>
</cp:coreProperties>
</file>