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1E" w:rsidRDefault="0004131E" w:rsidP="001702A1">
      <w:pPr>
        <w:bidi/>
        <w:spacing w:line="240" w:lineRule="auto"/>
        <w:jc w:val="center"/>
        <w:rPr>
          <w:noProof/>
          <w:lang w:eastAsia="fr-FR"/>
        </w:rPr>
      </w:pPr>
    </w:p>
    <w:p w:rsidR="00E83B55" w:rsidRDefault="00E83B55" w:rsidP="00E83B55">
      <w:pPr>
        <w:bidi/>
        <w:spacing w:line="240" w:lineRule="auto"/>
        <w:jc w:val="center"/>
        <w:rPr>
          <w:noProof/>
          <w:lang w:eastAsia="fr-FR"/>
        </w:rPr>
      </w:pPr>
    </w:p>
    <w:p w:rsidR="00E83B55" w:rsidRDefault="00E83B55" w:rsidP="00E83B55">
      <w:pPr>
        <w:bidi/>
        <w:spacing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6"/>
          <w:szCs w:val="36"/>
        </w:rPr>
      </w:pPr>
    </w:p>
    <w:p w:rsidR="0097469F" w:rsidRDefault="0097469F" w:rsidP="0004131E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777F7E" w:rsidRPr="009E56A1" w:rsidRDefault="006D670E" w:rsidP="0097469F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</w:pP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ب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643FC0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لاغ</w:t>
      </w:r>
      <w:r w:rsidR="00E7766B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="00941ADC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لمن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دوبية الس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امية للتخط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 xml:space="preserve">يط 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 xml:space="preserve">حول </w:t>
      </w:r>
      <w:r w:rsidR="00643FC0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مراجعة</w:t>
      </w:r>
      <w:r w:rsidR="009E56A1">
        <w:rPr>
          <w:rStyle w:val="tlid-translation"/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ال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معطي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 xml:space="preserve">ات 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الأخي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رة</w:t>
      </w:r>
    </w:p>
    <w:p w:rsidR="006D670E" w:rsidRPr="009E56A1" w:rsidRDefault="00777F7E" w:rsidP="0004131E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</w:pP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  <w:lang w:bidi="ar-MA"/>
        </w:rPr>
        <w:t>ل</w:t>
      </w:r>
      <w:r w:rsidR="006D670E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لبحث الوطني ح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6D670E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ول التشغي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6D670E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</w:t>
      </w:r>
    </w:p>
    <w:p w:rsidR="001702A1" w:rsidRPr="009E56A1" w:rsidRDefault="001702A1" w:rsidP="003B00A8">
      <w:pPr>
        <w:bidi/>
        <w:spacing w:line="360" w:lineRule="auto"/>
        <w:jc w:val="mediumKashida"/>
        <w:rPr>
          <w:rStyle w:val="tlid-translation"/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67FB8" w:rsidRPr="009E56A1" w:rsidRDefault="00E94640" w:rsidP="002F4A2D">
      <w:pPr>
        <w:bidi/>
        <w:spacing w:before="240" w:after="240" w:line="240" w:lineRule="auto"/>
        <w:ind w:firstLine="709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كما تم الإعلان عنه في البلاغ المؤرخ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 بتاريخ 7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غشت 2019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فقد أدت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إحدى 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لاختبارات التي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يقوم بها </w:t>
      </w:r>
      <w:r w:rsidR="00777F7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بصفة منتظمة أو </w:t>
      </w:r>
      <w:r w:rsid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مناسباتي</w:t>
      </w:r>
      <w:r w:rsidR="00BB63A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ة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2F4A2D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B525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المندوب السامي للتخطيط </w:t>
      </w:r>
      <w:r w:rsidR="009B525D">
        <w:rPr>
          <w:rStyle w:val="tlid-translation"/>
          <w:rFonts w:ascii="Simplified Arabic" w:hAnsi="Simplified Arabic" w:cs="Simplified Arabic" w:hint="cs"/>
          <w:sz w:val="28"/>
          <w:szCs w:val="28"/>
          <w:rtl/>
          <w:lang w:bidi="ar-MA"/>
        </w:rPr>
        <w:t>بقصد</w:t>
      </w:r>
      <w:r w:rsidR="009B525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تتبع جودة المعطيات الشهرية والفصلية والسنوية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الصادرة عن مختلف </w:t>
      </w:r>
      <w:r w:rsidR="009B525D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سلاسل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الإنتاج الإحصائي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هذا الأخير 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إلى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6D670E" w:rsidRPr="009E56A1" w:rsidRDefault="006D670E" w:rsidP="00445D67">
      <w:pPr>
        <w:pStyle w:val="Paragraphedeliste"/>
        <w:numPr>
          <w:ilvl w:val="0"/>
          <w:numId w:val="7"/>
        </w:numPr>
        <w:bidi/>
        <w:spacing w:before="240" w:after="240" w:line="240" w:lineRule="auto"/>
        <w:jc w:val="mediumKashida"/>
        <w:rPr>
          <w:rStyle w:val="tlid-translation"/>
          <w:rFonts w:ascii="Simplified Arabic" w:hAnsi="Simplified Arabic" w:cs="Simplified Arabic"/>
          <w:sz w:val="28"/>
          <w:szCs w:val="28"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</w:t>
      </w:r>
      <w:r w:rsidR="00643FC0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بداء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تحفظات </w:t>
      </w:r>
      <w:r w:rsidR="00E94640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إزاء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مؤشرات الفصل الثاني من سنة 2019،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كما تم 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إ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نجازها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من طرف قسم التشغيل بمديرية الإحصاء،</w:t>
      </w:r>
      <w:r w:rsidR="00F60C4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و</w:t>
      </w:r>
      <w:r w:rsidR="00F60C4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على الخصوص </w:t>
      </w:r>
      <w:r w:rsid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تلك المتعلقة بسوق الشغل بالجهات</w:t>
      </w:r>
      <w:r w:rsidR="002B7712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77F7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والأمر </w:t>
      </w:r>
      <w:r w:rsidR="00E94640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بتعليق نشرها إلى حين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؛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60C45" w:rsidRPr="009E56A1" w:rsidRDefault="00F60C45" w:rsidP="009E56A1">
      <w:pPr>
        <w:pStyle w:val="Paragraphedeliste"/>
        <w:bidi/>
        <w:spacing w:before="240" w:after="240" w:line="240" w:lineRule="auto"/>
        <w:jc w:val="mediumKashida"/>
        <w:rPr>
          <w:rStyle w:val="tlid-translation"/>
          <w:rFonts w:ascii="Simplified Arabic" w:hAnsi="Simplified Arabic" w:cs="Simplified Arabic"/>
          <w:sz w:val="28"/>
          <w:szCs w:val="28"/>
        </w:rPr>
      </w:pPr>
    </w:p>
    <w:p w:rsidR="00E94640" w:rsidRPr="009E56A1" w:rsidRDefault="00E94640" w:rsidP="002F4A2D">
      <w:pPr>
        <w:pStyle w:val="Paragraphedeliste"/>
        <w:numPr>
          <w:ilvl w:val="0"/>
          <w:numId w:val="7"/>
        </w:numPr>
        <w:bidi/>
        <w:spacing w:before="240" w:after="240" w:line="240" w:lineRule="auto"/>
        <w:jc w:val="both"/>
        <w:rPr>
          <w:rStyle w:val="tlid-translation"/>
          <w:rFonts w:ascii="Simplified Arabic" w:hAnsi="Simplified Arabic" w:cs="Simplified Arabic"/>
          <w:sz w:val="28"/>
          <w:szCs w:val="28"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تكليف </w:t>
      </w:r>
      <w:r w:rsidR="006D670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مدير الإحصاء</w:t>
      </w:r>
      <w:r w:rsidR="00777F7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الجديد </w:t>
      </w:r>
      <w:r w:rsidR="00F60C4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بمشاركة مديرية نظم المعلومات،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با</w:t>
      </w:r>
      <w:r w:rsidR="00F60C45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لقيام </w:t>
      </w:r>
      <w:r w:rsidR="00777F7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</w:t>
      </w:r>
      <w:r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افتحاص</w:t>
      </w:r>
      <w:r w:rsidR="00777F7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شامل</w:t>
      </w:r>
      <w:r w:rsidR="00E7766B" w:rsidRPr="00F84487">
        <w:rPr>
          <w:rStyle w:val="tlid-translation"/>
          <w:rFonts w:ascii="Simplified Arabic" w:hAnsi="Simplified Arabic" w:cs="Simplified Arabic"/>
          <w:sz w:val="28"/>
          <w:szCs w:val="28"/>
        </w:rPr>
        <w:t xml:space="preserve"> </w:t>
      </w:r>
      <w:r w:rsidR="00CC245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مسلسل</w:t>
      </w:r>
      <w:r w:rsidR="00F60C45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إنتاج </w:t>
      </w:r>
      <w:r w:rsidR="00777F7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</w:t>
      </w:r>
      <w:r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عطيات</w:t>
      </w:r>
      <w:r w:rsidR="009E56A1" w:rsidRPr="00F8448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"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لبحث الوطني حول التشغيل" </w:t>
      </w:r>
      <w:r w:rsidR="00CC245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منذ سنة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2017، باعتبارها السنة التي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عرف فيها هذا البح</w:t>
      </w:r>
      <w:r w:rsidR="00CC245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ث،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مع اعتماد العينة الرئيسية 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المستمدة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من الإحصاء العام 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لسكان والسكنى لسنة 2014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توسيع دائرة عينته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445D67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60 ألف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إلى 90 ألف أسرة</w:t>
      </w:r>
      <w:r w:rsidR="001606B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وتبني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مدونات الجديدة 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للأنشطة والمهن والشواهد وتغطي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لعدد من الأسئلة الج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ديدة ذات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طابع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مجتمعي؛</w:t>
      </w:r>
    </w:p>
    <w:p w:rsidR="003B00A8" w:rsidRPr="00E92DF1" w:rsidRDefault="003B00A8" w:rsidP="009E56A1">
      <w:pPr>
        <w:pStyle w:val="Paragraphedeliste"/>
        <w:bidi/>
        <w:spacing w:before="240" w:after="240" w:line="240" w:lineRule="auto"/>
        <w:jc w:val="both"/>
        <w:rPr>
          <w:rStyle w:val="tlid-translation"/>
          <w:rFonts w:ascii="Simplified Arabic" w:hAnsi="Simplified Arabic" w:cs="Simplified Arabic"/>
          <w:sz w:val="28"/>
          <w:szCs w:val="28"/>
          <w:lang w:bidi="ar-MA"/>
        </w:rPr>
      </w:pPr>
    </w:p>
    <w:p w:rsidR="00BE3149" w:rsidRDefault="002B7712" w:rsidP="00E5280E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>
        <w:rPr>
          <w:rStyle w:val="tlid-translation"/>
          <w:rFonts w:ascii="Simplified Arabic" w:hAnsi="Simplified Arabic" w:cs="Simplified Arabic"/>
          <w:sz w:val="28"/>
          <w:szCs w:val="28"/>
          <w:rtl/>
        </w:rPr>
        <w:t>وقد خل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ص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 </w:t>
      </w:r>
      <w:r w:rsidR="004A2B6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بعثة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الافتحاص 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تأكيد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جودة المعطيات التي تم تجميعها من طرف الباحثين على مستوى المديريات الجهوية </w:t>
      </w:r>
      <w:r w:rsidR="0004771B" w:rsidRPr="0004771B">
        <w:rPr>
          <w:rStyle w:val="tlid-translation"/>
          <w:rFonts w:ascii="Arial" w:hAnsi="Arial" w:cs="Arial" w:hint="cs"/>
          <w:sz w:val="28"/>
          <w:szCs w:val="28"/>
          <w:rtl/>
        </w:rPr>
        <w:t>وضبطهم</w:t>
      </w:r>
      <w:r w:rsidR="0004771B" w:rsidRPr="0004771B">
        <w:rPr>
          <w:rStyle w:val="tlid-translation"/>
          <w:rFonts w:ascii="Arial" w:hAnsi="Arial" w:cs="Arial"/>
          <w:sz w:val="28"/>
          <w:szCs w:val="28"/>
          <w:rtl/>
        </w:rPr>
        <w:t xml:space="preserve"> </w:t>
      </w:r>
      <w:r w:rsidR="0004771B" w:rsidRPr="0004771B">
        <w:rPr>
          <w:rStyle w:val="tlid-translation"/>
          <w:rFonts w:ascii="Arial" w:hAnsi="Arial" w:cs="Arial" w:hint="cs"/>
          <w:sz w:val="28"/>
          <w:szCs w:val="28"/>
          <w:rtl/>
        </w:rPr>
        <w:t>كما هو الحال</w:t>
      </w:r>
      <w:r w:rsidR="0004771B" w:rsidRPr="0004771B">
        <w:rPr>
          <w:rStyle w:val="tlid-translation"/>
          <w:rFonts w:ascii="Arial" w:hAnsi="Arial" w:cs="Arial"/>
          <w:sz w:val="28"/>
          <w:szCs w:val="28"/>
          <w:rtl/>
        </w:rPr>
        <w:t xml:space="preserve"> </w:t>
      </w:r>
      <w:r w:rsidR="0004771B" w:rsidRPr="0004771B">
        <w:rPr>
          <w:rStyle w:val="tlid-translation"/>
          <w:rFonts w:ascii="Arial" w:hAnsi="Arial" w:cs="Arial" w:hint="cs"/>
          <w:sz w:val="28"/>
          <w:szCs w:val="28"/>
          <w:rtl/>
        </w:rPr>
        <w:t xml:space="preserve"> بالنسبة</w:t>
      </w:r>
      <w:r w:rsidR="0004771B">
        <w:rPr>
          <w:rStyle w:val="tlid-translation"/>
          <w:rFonts w:ascii="Arial" w:hAnsi="Arial" w:cs="Arial" w:hint="cs"/>
          <w:sz w:val="28"/>
          <w:szCs w:val="28"/>
          <w:rtl/>
        </w:rPr>
        <w:t xml:space="preserve"> </w:t>
      </w:r>
      <w:r w:rsidR="0004771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لمراقبين والمشرفين،</w:t>
      </w:r>
      <w:r w:rsidR="00BE3149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E3149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</w:t>
      </w:r>
      <w:r w:rsidR="0084770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استغلال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النظام المعلومياتي لتجميع البيانات المعروف ب 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</w:rPr>
        <w:t>(CAPI)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"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و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الذي ت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قوم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تطبيقاته بمعالجة</w:t>
      </w:r>
      <w:r w:rsidR="001840A4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شبه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تامة لما تم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تجميعه ميدانيا من معطيات وذالك بفضل ما تتضمنه من قواعد تفوق 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lastRenderedPageBreak/>
        <w:t>9</w:t>
      </w:r>
      <w:r w:rsidR="00B2116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00 قاعدة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لمراقب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ة هذه المعطيات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BE3149">
        <w:rPr>
          <w:rStyle w:val="tlid-translation"/>
          <w:rFonts w:ascii="Simplified Arabic" w:hAnsi="Simplified Arabic" w:cs="Simplified Arabic"/>
          <w:sz w:val="28"/>
          <w:szCs w:val="28"/>
          <w:rtl/>
        </w:rPr>
        <w:t>حي</w:t>
      </w:r>
      <w:r w:rsidR="00BE3149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ث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جود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ة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تناسق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قبل رفعها إلى قسم التشغيل التابع لمديرية الإحصاء</w:t>
      </w:r>
      <w:r w:rsidR="001840A4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.</w:t>
      </w:r>
    </w:p>
    <w:p w:rsidR="004A2B6F" w:rsidRDefault="004A2B6F" w:rsidP="004A2B6F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E7766B" w:rsidRPr="009E56A1" w:rsidRDefault="00445D67" w:rsidP="00445D67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</w:rPr>
      </w:pP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هذا 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فيما توفر لنفس البعثة أن تتأكد من ملاءمة التطبيقات الإحصائية المقرر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استعمالها مركزيا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في استغلال هذه المعطيات وكذا من جودة المؤشرات التي يتم إعدادها ونشرها على هذا الأساس، وهو ما تم 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بالذات 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بالنس</w:t>
      </w:r>
      <w:r w:rsidR="00064A70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بة لجميع مؤشرات </w:t>
      </w:r>
      <w:r w:rsidR="00064A70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لفصول الأربعة لسنة 2017 والفصل الأول من سنة 2018.</w:t>
      </w:r>
    </w:p>
    <w:p w:rsidR="00E7766B" w:rsidRPr="009E56A1" w:rsidRDefault="00E7766B" w:rsidP="009E56A1">
      <w:pPr>
        <w:bidi/>
        <w:spacing w:before="240" w:after="240" w:line="240" w:lineRule="auto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9E56A1" w:rsidRDefault="00E7766B" w:rsidP="00445D67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هذا، وفي المقابل فقد تبين للبعثة أن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هذا</w:t>
      </w:r>
      <w:r w:rsidR="0039201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ستغلال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المقرر للمعطيات قد عرف على مستوى قسم التشغيل معالجة غير مناسبة ابتداءا من الفصل الثاني من سنة 2018، مما انعكس بالتوالي على مؤشرات الفصول الموالية وبالذات المتعقلة بالشغل والنشاط والبطالة.</w:t>
      </w:r>
    </w:p>
    <w:p w:rsidR="00E7766B" w:rsidRPr="009E56A1" w:rsidRDefault="00E7766B" w:rsidP="009E56A1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B00A8" w:rsidRDefault="00C2676C" w:rsidP="0049573F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وبناءا على ذلك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، واعتمادا منها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على ا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لقيم المهنية والأخلاقية للإحصاء وانسجاما مع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التوصيات 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المنصوص عليها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 في مثل هذه الحالات،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في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"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المبادئ الأساسية للإحصا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ءا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 الرسمية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كما تتبناها اللجنة الإحصائية للأمم المتحدة، تعلن 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المندوبية السامية للتخطيط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مراجعتها </w:t>
      </w:r>
      <w:r w:rsidR="003A70F7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لنتائج</w:t>
      </w:r>
      <w:r w:rsidR="003A70F7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الفصلية 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لبحث الوطني حول التشغيل التي تم نشرها </w:t>
      </w:r>
      <w:r w:rsidR="0084770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ابتدءا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من الفصل الثاني من سنة 2018، 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سواء منها ما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يهم النشاط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أ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الشغل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أ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البطالة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وذالك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بالأحجام والنسب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.</w:t>
      </w:r>
    </w:p>
    <w:p w:rsidR="009E56A1" w:rsidRPr="009E56A1" w:rsidRDefault="009E56A1" w:rsidP="009E56A1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961343" w:rsidRDefault="00961343" w:rsidP="00F947DA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sz w:val="28"/>
          <w:szCs w:val="28"/>
          <w:rtl/>
        </w:rPr>
      </w:pP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وتتوفر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من الآن 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الجداول المتضمنة لهذه النتائج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قبل وبعد مراجعتها،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كما يمكن الإطلاع عليها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في الموقع الإلكتروني للمندوبية السامية للتخطيط المعنون</w:t>
      </w:r>
      <w:r w:rsidR="0049573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: </w:t>
      </w:r>
      <w:hyperlink r:id="rId8" w:history="1">
        <w:r w:rsidR="00A00785" w:rsidRPr="009E56A1">
          <w:rPr>
            <w:rFonts w:ascii="Simplified Arabic" w:eastAsia="Calibri" w:hAnsi="Simplified Arabic" w:cs="Simplified Arabic"/>
            <w:color w:val="0000FF"/>
            <w:sz w:val="28"/>
            <w:szCs w:val="28"/>
            <w:u w:val="single"/>
          </w:rPr>
          <w:t>www.hcp.ma</w:t>
        </w:r>
      </w:hyperlink>
      <w:r w:rsidR="0049573F" w:rsidRPr="0049573F">
        <w:rPr>
          <w:rStyle w:val="tlid-translation"/>
          <w:rFonts w:hint="cs"/>
          <w:sz w:val="28"/>
          <w:szCs w:val="28"/>
          <w:rtl/>
        </w:rPr>
        <w:t xml:space="preserve">. </w:t>
      </w:r>
    </w:p>
    <w:p w:rsidR="00F947DA" w:rsidRDefault="00F947DA" w:rsidP="00961343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04131E" w:rsidRPr="009E56A1" w:rsidRDefault="00961343" w:rsidP="00F947DA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فيما </w:t>
      </w:r>
      <w:r w:rsidR="0049573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يقدم الجدول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التالي هذه النتائج قبل وبعد تعديلها </w:t>
      </w:r>
      <w:r w:rsidRPr="0049573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على المستوى الوطني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بالنسبة لمجموع سنة 2018.</w:t>
      </w:r>
    </w:p>
    <w:p w:rsidR="00A00785" w:rsidRPr="009E56A1" w:rsidRDefault="00A00785" w:rsidP="009E56A1">
      <w:pPr>
        <w:bidi/>
        <w:spacing w:before="240" w:after="240" w:line="240" w:lineRule="auto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A00785" w:rsidRPr="009E56A1" w:rsidRDefault="00A00785" w:rsidP="0004131E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</w:pPr>
    </w:p>
    <w:p w:rsidR="00A00785" w:rsidRPr="009E56A1" w:rsidRDefault="00A00785">
      <w:pPr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</w:pPr>
      <w:r w:rsidRPr="009E56A1"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  <w:br w:type="page"/>
      </w:r>
    </w:p>
    <w:p w:rsidR="00E956BE" w:rsidRPr="000E3553" w:rsidRDefault="00E956BE" w:rsidP="00A00785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</w:pP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lastRenderedPageBreak/>
        <w:t>أهم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مؤشرات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النشاط</w:t>
      </w:r>
      <w:r w:rsidR="00BC5E6B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و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الشغل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والبطالة</w:t>
      </w:r>
    </w:p>
    <w:p w:rsidR="00E956BE" w:rsidRPr="000E3553" w:rsidRDefault="00E956BE" w:rsidP="0004131E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MA"/>
        </w:rPr>
      </w:pP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التي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تم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نشرها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ومراجعتها برسم سنة 2018</w:t>
      </w:r>
    </w:p>
    <w:p w:rsidR="0004131E" w:rsidRPr="009E56A1" w:rsidRDefault="0004131E" w:rsidP="0004131E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</w:pPr>
    </w:p>
    <w:tbl>
      <w:tblPr>
        <w:tblW w:w="10251" w:type="dxa"/>
        <w:tblInd w:w="-719" w:type="dxa"/>
        <w:tblCellMar>
          <w:left w:w="70" w:type="dxa"/>
          <w:right w:w="70" w:type="dxa"/>
        </w:tblCellMar>
        <w:tblLook w:val="04A0"/>
      </w:tblPr>
      <w:tblGrid>
        <w:gridCol w:w="1596"/>
        <w:gridCol w:w="1311"/>
        <w:gridCol w:w="1595"/>
        <w:gridCol w:w="1374"/>
        <w:gridCol w:w="1129"/>
        <w:gridCol w:w="1376"/>
        <w:gridCol w:w="1871"/>
      </w:tblGrid>
      <w:tr w:rsidR="00E956BE" w:rsidRPr="009E56A1" w:rsidTr="00E956BE">
        <w:trPr>
          <w:trHeight w:val="281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النتائج المراجعة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النتائج التي تم نشرها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 </w:t>
            </w:r>
          </w:p>
        </w:tc>
      </w:tr>
      <w:tr w:rsidR="00E956BE" w:rsidRPr="009E56A1" w:rsidTr="00E956BE">
        <w:trPr>
          <w:trHeight w:val="29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مجموع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قروي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حضري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مجموع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قروي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حضري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</w:p>
        </w:tc>
      </w:tr>
      <w:tr w:rsidR="00E956BE" w:rsidRPr="009E56A1" w:rsidTr="00E956BE">
        <w:trPr>
          <w:trHeight w:val="576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25 950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9 319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16 632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25 950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9 319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16 632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البالغون 15 سنة أوأكثر (بالآلاف)</w:t>
            </w:r>
          </w:p>
        </w:tc>
      </w:tr>
      <w:tr w:rsidR="00E956BE" w:rsidRPr="009E56A1" w:rsidTr="00E956BE">
        <w:trPr>
          <w:trHeight w:val="6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11 946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4 960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6 987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11 980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5 027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6 953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النشيطون (بالآلاف)</w:t>
            </w:r>
          </w:p>
        </w:tc>
      </w:tr>
      <w:tr w:rsidR="00E956BE" w:rsidRPr="009E56A1" w:rsidTr="00E956BE">
        <w:trPr>
          <w:trHeight w:val="66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53,2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53,9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41,8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نسبة النشاط (%)</w:t>
            </w:r>
          </w:p>
        </w:tc>
      </w:tr>
      <w:tr w:rsidR="00E956BE" w:rsidRPr="009E56A1" w:rsidTr="00E956BE">
        <w:trPr>
          <w:trHeight w:val="759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10 809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4 784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6 026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10 812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4 849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5 963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النشيطون المشتغلون  (بالآلاف)</w:t>
            </w:r>
          </w:p>
        </w:tc>
      </w:tr>
      <w:tr w:rsidR="00E956BE" w:rsidRPr="009E56A1" w:rsidTr="00E956BE">
        <w:trPr>
          <w:trHeight w:val="46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41,7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51,3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35,9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نسبة الشغل (%)</w:t>
            </w:r>
          </w:p>
        </w:tc>
      </w:tr>
      <w:tr w:rsidR="00E956BE" w:rsidRPr="009E56A1" w:rsidTr="00E956BE">
        <w:trPr>
          <w:trHeight w:val="506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1 137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176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1 168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النشيطون العاطلون ( بالآلاف)</w:t>
            </w:r>
          </w:p>
        </w:tc>
      </w:tr>
      <w:tr w:rsidR="00E956BE" w:rsidRPr="009E56A1" w:rsidTr="00E956BE">
        <w:trPr>
          <w:trHeight w:val="53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3,6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14,2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نسبة البطالة (%)</w:t>
            </w:r>
          </w:p>
        </w:tc>
      </w:tr>
    </w:tbl>
    <w:p w:rsidR="00E956BE" w:rsidRPr="009E56A1" w:rsidRDefault="00E956BE" w:rsidP="00E956BE">
      <w:pPr>
        <w:bidi/>
        <w:spacing w:line="360" w:lineRule="auto"/>
        <w:jc w:val="mediumKashida"/>
        <w:rPr>
          <w:rStyle w:val="tlid-translation"/>
          <w:rFonts w:ascii="Simplified Arabic" w:hAnsi="Simplified Arabic" w:cs="Simplified Arabic"/>
          <w:color w:val="FF0000"/>
          <w:sz w:val="28"/>
          <w:szCs w:val="28"/>
          <w:rtl/>
          <w:lang w:bidi="ar-MA"/>
        </w:rPr>
      </w:pPr>
    </w:p>
    <w:p w:rsidR="0097469F" w:rsidRDefault="0076747F" w:rsidP="00FC3262">
      <w:pPr>
        <w:bidi/>
        <w:spacing w:before="240" w:after="240" w:line="240" w:lineRule="auto"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color w:val="FF0000"/>
          <w:sz w:val="28"/>
          <w:szCs w:val="28"/>
          <w:rtl/>
          <w:lang w:bidi="ar-MA"/>
        </w:rPr>
        <w:tab/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ومع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التعبير عن</w:t>
      </w:r>
      <w:r w:rsidR="0004771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امتنان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ها، </w:t>
      </w:r>
      <w:r w:rsidR="004D2D08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لجميع من يتابع أو يستعمل نتائج البحث الوطني حول التشغيل، مؤسسات وأفرادا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961343" w:rsidRP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على تفهمهم ف</w:t>
      </w:r>
      <w:r w:rsidR="002A1FA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إ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ن المندوبية السامية للتخطيط </w:t>
      </w:r>
      <w:r w:rsidR="0004771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تحيطهم علما ب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</w:t>
      </w:r>
      <w:r w:rsidR="00507D7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ستئناف نشر</w:t>
      </w:r>
      <w:r w:rsidR="00507D7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النتائج الفصلية</w:t>
      </w:r>
      <w:r w:rsidR="00E92DF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الجهوية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لبحث الوطني حول التشغيل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بكيفية عادية بعدما سبق أن تم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توقيف </w:t>
      </w:r>
      <w:r w:rsidR="0096134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بصفة مؤقتة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</w:t>
      </w:r>
      <w:r w:rsidR="00961343">
        <w:rPr>
          <w:rStyle w:val="tlid-translation"/>
          <w:rFonts w:ascii="Simplified Arabic" w:hAnsi="Simplified Arabic" w:cs="Simplified Arabic"/>
          <w:sz w:val="28"/>
          <w:szCs w:val="28"/>
          <w:rtl/>
        </w:rPr>
        <w:t>نشر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ها بالنسبة ل</w:t>
      </w:r>
      <w:r w:rsidR="007E1B62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لفصل الثاني لسنة 20</w:t>
      </w:r>
      <w:r w:rsidR="007E1B62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18.</w:t>
      </w:r>
    </w:p>
    <w:p w:rsidR="0097469F" w:rsidRPr="009E56A1" w:rsidRDefault="0097469F" w:rsidP="0097469F">
      <w:pPr>
        <w:bidi/>
        <w:spacing w:after="0" w:line="360" w:lineRule="auto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sectPr w:rsidR="0097469F" w:rsidRPr="009E56A1" w:rsidSect="00AC69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A2" w:rsidRDefault="00CF1BA2" w:rsidP="0086695C">
      <w:pPr>
        <w:spacing w:after="0" w:line="240" w:lineRule="auto"/>
      </w:pPr>
      <w:r>
        <w:separator/>
      </w:r>
    </w:p>
  </w:endnote>
  <w:endnote w:type="continuationSeparator" w:id="1">
    <w:p w:rsidR="00CF1BA2" w:rsidRDefault="00CF1BA2" w:rsidP="0086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324002"/>
      <w:docPartObj>
        <w:docPartGallery w:val="Page Numbers (Bottom of Page)"/>
        <w:docPartUnique/>
      </w:docPartObj>
    </w:sdtPr>
    <w:sdtContent>
      <w:p w:rsidR="00445D67" w:rsidRDefault="00AB4AA1">
        <w:pPr>
          <w:pStyle w:val="Pieddepage"/>
          <w:jc w:val="center"/>
        </w:pPr>
        <w:fldSimple w:instr=" PAGE   \* MERGEFORMAT ">
          <w:r w:rsidR="00BA2401">
            <w:rPr>
              <w:noProof/>
            </w:rPr>
            <w:t>1</w:t>
          </w:r>
        </w:fldSimple>
      </w:p>
    </w:sdtContent>
  </w:sdt>
  <w:p w:rsidR="00445D67" w:rsidRDefault="00445D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A2" w:rsidRDefault="00CF1BA2" w:rsidP="0086695C">
      <w:pPr>
        <w:spacing w:after="0" w:line="240" w:lineRule="auto"/>
      </w:pPr>
      <w:r>
        <w:separator/>
      </w:r>
    </w:p>
  </w:footnote>
  <w:footnote w:type="continuationSeparator" w:id="1">
    <w:p w:rsidR="00CF1BA2" w:rsidRDefault="00CF1BA2" w:rsidP="0086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67" w:rsidRDefault="00445D67" w:rsidP="0086695C">
    <w:pPr>
      <w:pStyle w:val="En-tte"/>
    </w:pPr>
  </w:p>
  <w:p w:rsidR="00445D67" w:rsidRDefault="00445D6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76E"/>
    <w:multiLevelType w:val="hybridMultilevel"/>
    <w:tmpl w:val="D19A7926"/>
    <w:lvl w:ilvl="0" w:tplc="03760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56CD5"/>
    <w:multiLevelType w:val="hybridMultilevel"/>
    <w:tmpl w:val="0ED205FC"/>
    <w:lvl w:ilvl="0" w:tplc="037606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A81053"/>
    <w:multiLevelType w:val="hybridMultilevel"/>
    <w:tmpl w:val="C55CFBCE"/>
    <w:lvl w:ilvl="0" w:tplc="037606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603586"/>
    <w:multiLevelType w:val="hybridMultilevel"/>
    <w:tmpl w:val="1F28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D17D6"/>
    <w:multiLevelType w:val="hybridMultilevel"/>
    <w:tmpl w:val="DC204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17A4A"/>
    <w:multiLevelType w:val="hybridMultilevel"/>
    <w:tmpl w:val="A7E48974"/>
    <w:lvl w:ilvl="0" w:tplc="037606D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D2F511A"/>
    <w:multiLevelType w:val="hybridMultilevel"/>
    <w:tmpl w:val="2E0836C0"/>
    <w:lvl w:ilvl="0" w:tplc="03760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559"/>
    <w:rsid w:val="00003FEC"/>
    <w:rsid w:val="00020EBE"/>
    <w:rsid w:val="0004131E"/>
    <w:rsid w:val="00042D1D"/>
    <w:rsid w:val="0004771B"/>
    <w:rsid w:val="00064A70"/>
    <w:rsid w:val="000A5D68"/>
    <w:rsid w:val="000C5A37"/>
    <w:rsid w:val="000E3553"/>
    <w:rsid w:val="001606BF"/>
    <w:rsid w:val="001702A1"/>
    <w:rsid w:val="001840A4"/>
    <w:rsid w:val="001B6FC2"/>
    <w:rsid w:val="001E6722"/>
    <w:rsid w:val="00271231"/>
    <w:rsid w:val="00283611"/>
    <w:rsid w:val="002A1FAB"/>
    <w:rsid w:val="002B7712"/>
    <w:rsid w:val="002D4ACE"/>
    <w:rsid w:val="002D5719"/>
    <w:rsid w:val="002E65C9"/>
    <w:rsid w:val="002F4A2D"/>
    <w:rsid w:val="003077A4"/>
    <w:rsid w:val="00316299"/>
    <w:rsid w:val="00362EC8"/>
    <w:rsid w:val="0036584B"/>
    <w:rsid w:val="00367FB8"/>
    <w:rsid w:val="00392011"/>
    <w:rsid w:val="003A70F7"/>
    <w:rsid w:val="003B00A8"/>
    <w:rsid w:val="004001F3"/>
    <w:rsid w:val="00445D67"/>
    <w:rsid w:val="00456647"/>
    <w:rsid w:val="00457BBD"/>
    <w:rsid w:val="00494559"/>
    <w:rsid w:val="0049573F"/>
    <w:rsid w:val="004A23AB"/>
    <w:rsid w:val="004A2B6F"/>
    <w:rsid w:val="004A78DB"/>
    <w:rsid w:val="004D2D08"/>
    <w:rsid w:val="00507D71"/>
    <w:rsid w:val="00513E35"/>
    <w:rsid w:val="00530FFA"/>
    <w:rsid w:val="005339FC"/>
    <w:rsid w:val="0053543F"/>
    <w:rsid w:val="005406A4"/>
    <w:rsid w:val="005758FD"/>
    <w:rsid w:val="005A24D3"/>
    <w:rsid w:val="005C0956"/>
    <w:rsid w:val="005C7E33"/>
    <w:rsid w:val="005E7E93"/>
    <w:rsid w:val="005F71F3"/>
    <w:rsid w:val="00604819"/>
    <w:rsid w:val="00615EF3"/>
    <w:rsid w:val="00643FC0"/>
    <w:rsid w:val="00670931"/>
    <w:rsid w:val="00684789"/>
    <w:rsid w:val="006B23A8"/>
    <w:rsid w:val="006C0040"/>
    <w:rsid w:val="006C3B15"/>
    <w:rsid w:val="006C7A2D"/>
    <w:rsid w:val="006D5387"/>
    <w:rsid w:val="006D670E"/>
    <w:rsid w:val="00723D6B"/>
    <w:rsid w:val="007656F7"/>
    <w:rsid w:val="00765B13"/>
    <w:rsid w:val="0076747F"/>
    <w:rsid w:val="00777F7E"/>
    <w:rsid w:val="007B3770"/>
    <w:rsid w:val="007C1353"/>
    <w:rsid w:val="007E1B62"/>
    <w:rsid w:val="007F353E"/>
    <w:rsid w:val="00810BA5"/>
    <w:rsid w:val="00817164"/>
    <w:rsid w:val="00820EC2"/>
    <w:rsid w:val="00847702"/>
    <w:rsid w:val="008568D5"/>
    <w:rsid w:val="0086695C"/>
    <w:rsid w:val="00873B85"/>
    <w:rsid w:val="00894ECE"/>
    <w:rsid w:val="008B6DEA"/>
    <w:rsid w:val="00903531"/>
    <w:rsid w:val="00941ADC"/>
    <w:rsid w:val="00946872"/>
    <w:rsid w:val="00961343"/>
    <w:rsid w:val="0097469F"/>
    <w:rsid w:val="0097560E"/>
    <w:rsid w:val="00983B6A"/>
    <w:rsid w:val="009B3ECE"/>
    <w:rsid w:val="009B525D"/>
    <w:rsid w:val="009C537B"/>
    <w:rsid w:val="009D3453"/>
    <w:rsid w:val="009E56A1"/>
    <w:rsid w:val="009E7DBF"/>
    <w:rsid w:val="00A00785"/>
    <w:rsid w:val="00A44686"/>
    <w:rsid w:val="00A65033"/>
    <w:rsid w:val="00A90030"/>
    <w:rsid w:val="00AB4AA1"/>
    <w:rsid w:val="00AC14EC"/>
    <w:rsid w:val="00AC6931"/>
    <w:rsid w:val="00AC7B6E"/>
    <w:rsid w:val="00B0369D"/>
    <w:rsid w:val="00B047CF"/>
    <w:rsid w:val="00B21162"/>
    <w:rsid w:val="00B43D06"/>
    <w:rsid w:val="00B80147"/>
    <w:rsid w:val="00BA2401"/>
    <w:rsid w:val="00BB1BE8"/>
    <w:rsid w:val="00BB63AB"/>
    <w:rsid w:val="00BC5E6B"/>
    <w:rsid w:val="00BE3149"/>
    <w:rsid w:val="00C2676C"/>
    <w:rsid w:val="00C678CB"/>
    <w:rsid w:val="00C70151"/>
    <w:rsid w:val="00C70E07"/>
    <w:rsid w:val="00C76B2B"/>
    <w:rsid w:val="00CA3D30"/>
    <w:rsid w:val="00CB0233"/>
    <w:rsid w:val="00CC245E"/>
    <w:rsid w:val="00CC6C82"/>
    <w:rsid w:val="00CF1BA2"/>
    <w:rsid w:val="00D20F35"/>
    <w:rsid w:val="00D22D44"/>
    <w:rsid w:val="00D45C0A"/>
    <w:rsid w:val="00D477B6"/>
    <w:rsid w:val="00D61787"/>
    <w:rsid w:val="00D9433C"/>
    <w:rsid w:val="00DB5143"/>
    <w:rsid w:val="00DC2A47"/>
    <w:rsid w:val="00DD3155"/>
    <w:rsid w:val="00DE1668"/>
    <w:rsid w:val="00DE37A0"/>
    <w:rsid w:val="00E40FE4"/>
    <w:rsid w:val="00E5280E"/>
    <w:rsid w:val="00E537E1"/>
    <w:rsid w:val="00E63A99"/>
    <w:rsid w:val="00E7766B"/>
    <w:rsid w:val="00E81817"/>
    <w:rsid w:val="00E83B55"/>
    <w:rsid w:val="00E869C2"/>
    <w:rsid w:val="00E92DF1"/>
    <w:rsid w:val="00E94640"/>
    <w:rsid w:val="00E956BE"/>
    <w:rsid w:val="00ED55D6"/>
    <w:rsid w:val="00ED778D"/>
    <w:rsid w:val="00F01AC5"/>
    <w:rsid w:val="00F04804"/>
    <w:rsid w:val="00F07D01"/>
    <w:rsid w:val="00F20481"/>
    <w:rsid w:val="00F433BC"/>
    <w:rsid w:val="00F60C45"/>
    <w:rsid w:val="00F84487"/>
    <w:rsid w:val="00F947DA"/>
    <w:rsid w:val="00FA3817"/>
    <w:rsid w:val="00FC3262"/>
    <w:rsid w:val="00FE3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59"/>
    <w:rPr>
      <w:rFonts w:cstheme="minorBid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FA38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8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81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81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81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817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81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81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81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38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A38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A38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A381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A381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A381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A381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A381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A381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FA3817"/>
    <w:rPr>
      <w:b/>
      <w:bCs/>
      <w:color w:val="FE19FF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A38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A38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38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A381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A3817"/>
    <w:rPr>
      <w:b/>
      <w:bCs/>
    </w:rPr>
  </w:style>
  <w:style w:type="character" w:styleId="Accentuation">
    <w:name w:val="Emphasis"/>
    <w:basedOn w:val="Policepardfaut"/>
    <w:uiPriority w:val="20"/>
    <w:qFormat/>
    <w:rsid w:val="00FA381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FA3817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A3817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FA38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A381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A3817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3817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3817"/>
    <w:rPr>
      <w:b/>
      <w:i/>
      <w:sz w:val="24"/>
    </w:rPr>
  </w:style>
  <w:style w:type="character" w:styleId="Emphaseple">
    <w:name w:val="Subtle Emphasis"/>
    <w:uiPriority w:val="19"/>
    <w:qFormat/>
    <w:rsid w:val="00FA381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A381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A381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A381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A381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3817"/>
    <w:pPr>
      <w:outlineLvl w:val="9"/>
    </w:pPr>
  </w:style>
  <w:style w:type="paragraph" w:customStyle="1" w:styleId="Style1">
    <w:name w:val="Style1"/>
    <w:basedOn w:val="Normal"/>
    <w:qFormat/>
    <w:rsid w:val="00FA3817"/>
    <w:rPr>
      <w:sz w:val="90"/>
      <w:szCs w:val="90"/>
    </w:rPr>
  </w:style>
  <w:style w:type="character" w:styleId="Lienhypertexte">
    <w:name w:val="Hyperlink"/>
    <w:basedOn w:val="Policepardfaut"/>
    <w:uiPriority w:val="99"/>
    <w:unhideWhenUsed/>
    <w:rsid w:val="00494559"/>
    <w:rPr>
      <w:color w:val="00B050" w:themeColor="hyperlink"/>
      <w:u w:val="single"/>
    </w:rPr>
  </w:style>
  <w:style w:type="character" w:customStyle="1" w:styleId="tlid-translation">
    <w:name w:val="tlid-translation"/>
    <w:basedOn w:val="Policepardfaut"/>
    <w:rsid w:val="00494559"/>
  </w:style>
  <w:style w:type="paragraph" w:styleId="En-tte">
    <w:name w:val="header"/>
    <w:basedOn w:val="Normal"/>
    <w:link w:val="En-tteCar"/>
    <w:uiPriority w:val="99"/>
    <w:unhideWhenUsed/>
    <w:rsid w:val="0086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95C"/>
    <w:rPr>
      <w:rFonts w:cstheme="minorBidi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86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95C"/>
    <w:rPr>
      <w:rFonts w:cstheme="minorBidi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31E"/>
    <w:rPr>
      <w:rFonts w:ascii="Tahoma" w:hAnsi="Tahoma" w:cs="Tahoma"/>
      <w:sz w:val="16"/>
      <w:szCs w:val="16"/>
      <w:lang w:val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E19FF"/>
      </a:accent1>
      <a:accent2>
        <a:srgbClr val="E36C09"/>
      </a:accent2>
      <a:accent3>
        <a:srgbClr val="FFFF00"/>
      </a:accent3>
      <a:accent4>
        <a:srgbClr val="8064A2"/>
      </a:accent4>
      <a:accent5>
        <a:srgbClr val="00B0F0"/>
      </a:accent5>
      <a:accent6>
        <a:srgbClr val="FF0000"/>
      </a:accent6>
      <a:hlink>
        <a:srgbClr val="00B050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2698-2202-4CC3-A6FD-BB54A89F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2019-10-09T12:52:00Z</cp:lastPrinted>
  <dcterms:created xsi:type="dcterms:W3CDTF">2019-10-10T10:06:00Z</dcterms:created>
  <dcterms:modified xsi:type="dcterms:W3CDTF">2019-10-10T10:06:00Z</dcterms:modified>
</cp:coreProperties>
</file>