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E029E" w:rsidP="002E029E">
      <w:pPr>
        <w:spacing w:line="280" w:lineRule="exact"/>
        <w:ind w:left="-286" w:right="-426"/>
        <w:jc w:val="center"/>
        <w:rPr>
          <w:rFonts w:cs="Simplified Arabic"/>
          <w:b/>
          <w:bCs/>
          <w:szCs w:val="32"/>
          <w:lang w:bidi="ar-MA"/>
        </w:rPr>
      </w:pPr>
      <w:r>
        <w:rPr>
          <w:rFonts w:cs="Simplified Arabic" w:hint="cs"/>
          <w:b/>
          <w:bCs/>
          <w:szCs w:val="32"/>
          <w:rtl/>
          <w:lang w:bidi="ar-MA"/>
        </w:rPr>
        <w:t xml:space="preserve">                 </w:t>
      </w: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2E029E">
      <w:pPr>
        <w:pStyle w:val="Corpsdetexte"/>
        <w:bidi/>
        <w:spacing w:line="420" w:lineRule="exact"/>
        <w:ind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للاثمان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C7751F">
        <w:rPr>
          <w:rFonts w:cs="Simplified Arabic"/>
          <w:b/>
          <w:bCs/>
          <w:color w:val="0000FF"/>
          <w:sz w:val="36"/>
          <w:szCs w:val="36"/>
        </w:rPr>
        <w:t>9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</w:t>
      </w:r>
      <w:r w:rsidR="002D20F7"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rtl/>
          <w:lang w:bidi="ar-MA"/>
        </w:rPr>
      </w:pPr>
    </w:p>
    <w:p w:rsidR="002E029E" w:rsidRDefault="002E029E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1C38B3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775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</w:t>
      </w:r>
      <w:r w:rsidR="00C7751F">
        <w:rPr>
          <w:rFonts w:ascii="Arial" w:hAnsi="Arial" w:cs="Arial" w:hint="eastAsia"/>
          <w:b/>
          <w:bCs/>
          <w:color w:val="0000FF"/>
          <w:sz w:val="28"/>
          <w:szCs w:val="28"/>
          <w:rtl/>
          <w:lang w:bidi="ar-MA"/>
        </w:rPr>
        <w:t>ر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20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7751F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1C38B3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1C38B3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C7751F" w:rsidP="001C38B3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استقرار</w:t>
      </w:r>
      <w:r w:rsidR="00A76EE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F825C1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20</w:t>
      </w:r>
      <w:r w:rsidR="002D20F7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>
        <w:rPr>
          <w:rFonts w:cs="Simplified Arabic"/>
          <w:b/>
          <w:bCs/>
          <w:color w:val="0000FF"/>
          <w:sz w:val="30"/>
          <w:szCs w:val="30"/>
          <w:lang w:bidi="ar-MA"/>
        </w:rPr>
        <w:t>9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1C38B3" w:rsidRPr="001C38B3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انخفاض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لم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F725B0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C7751F" w:rsidRDefault="00633737" w:rsidP="009C3364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</w:t>
      </w:r>
      <w:r w:rsidR="00C7751F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751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C7751F">
        <w:rPr>
          <w:rFonts w:ascii="Arial" w:hAnsi="Arial" w:cs="Arial"/>
          <w:sz w:val="28"/>
          <w:szCs w:val="28"/>
          <w:lang w:bidi="ar-MA"/>
        </w:rPr>
        <w:t xml:space="preserve"> </w:t>
      </w:r>
      <w:r w:rsidR="00C7751F" w:rsidRPr="007C3A68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3364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الرقم الاستدلالي للمواد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751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7751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و </w:t>
      </w:r>
      <w:r w:rsidR="00C7751F">
        <w:rPr>
          <w:rFonts w:ascii="Arial" w:hAnsi="Arial" w:cs="Arial"/>
          <w:sz w:val="28"/>
          <w:szCs w:val="28"/>
          <w:rtl/>
          <w:lang w:bidi="ar-MA"/>
        </w:rPr>
        <w:t>ا</w:t>
      </w:r>
      <w:r w:rsidR="00C7751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C7751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</w:t>
      </w:r>
      <w:r w:rsidR="00C7751F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F2F8F" w:rsidRDefault="00676BBB" w:rsidP="00E06E5A">
      <w:pPr>
        <w:spacing w:line="320" w:lineRule="exact"/>
        <w:ind w:left="-286" w:right="-426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دجنبر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نونبر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2019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2,1%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D034FD">
        <w:rPr>
          <w:rFonts w:ascii="Arial" w:hAnsi="Arial" w:cs="Arial"/>
          <w:sz w:val="28"/>
          <w:szCs w:val="28"/>
          <w:rtl/>
          <w:lang w:bidi="ar-MA"/>
        </w:rPr>
        <w:t>اللحوم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0,8%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0,4%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ارتفعت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966376">
        <w:rPr>
          <w:rFonts w:ascii="Arial" w:hAnsi="Arial" w:cs="Arial"/>
          <w:sz w:val="28"/>
          <w:szCs w:val="28"/>
          <w:rtl/>
          <w:lang w:bidi="ar-MA"/>
        </w:rPr>
        <w:t xml:space="preserve"> الخضر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</w:t>
      </w:r>
      <w:r w:rsidR="00245CF8">
        <w:rPr>
          <w:rFonts w:ascii="Arial" w:hAnsi="Arial" w:cs="Arial"/>
          <w:sz w:val="28"/>
          <w:szCs w:val="28"/>
          <w:lang w:bidi="ar-MA"/>
        </w:rPr>
        <w:t>8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Pr="00966376">
        <w:rPr>
          <w:rtl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" و "</w:t>
      </w:r>
      <w:r w:rsidRPr="00966376">
        <w:rPr>
          <w:rtl/>
        </w:rPr>
        <w:t xml:space="preserve"> </w:t>
      </w:r>
      <w:r w:rsidRPr="00966376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245CF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45CF8">
        <w:rPr>
          <w:rFonts w:ascii="Arial" w:hAnsi="Arial" w:cs="Arial"/>
          <w:sz w:val="28"/>
          <w:szCs w:val="28"/>
          <w:lang w:bidi="ar-MA"/>
        </w:rPr>
        <w:t>0,3%</w:t>
      </w:r>
      <w:r w:rsidR="00245C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Pr="00966376">
        <w:rPr>
          <w:rtl/>
        </w:rPr>
        <w:t xml:space="preserve"> </w:t>
      </w:r>
      <w:r w:rsidRPr="001C4DCB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D034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245CF8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 الانخفاض هم على الخصوص أثمان 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E06E5A" w:rsidRPr="00E06E5A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 ب </w:t>
      </w:r>
      <w:r w:rsidR="00E06E5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E06E5A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7751F" w:rsidRPr="00581787" w:rsidRDefault="00C7751F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</w:p>
    <w:p w:rsidR="00A22E37" w:rsidRPr="007F2F8F" w:rsidRDefault="00A22E37" w:rsidP="001C38B3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1C38B3">
        <w:rPr>
          <w:rFonts w:ascii="Arial" w:hAnsi="Arial" w:cs="Arial" w:hint="cs"/>
          <w:sz w:val="28"/>
          <w:szCs w:val="28"/>
          <w:rtl/>
          <w:lang w:bidi="ar-MA"/>
        </w:rPr>
        <w:t>انخفاضا</w:t>
      </w:r>
      <w:r w:rsidR="00FC5AB8">
        <w:rPr>
          <w:rFonts w:cs="Simplified Arabic" w:hint="cs"/>
          <w:sz w:val="30"/>
          <w:szCs w:val="30"/>
          <w:rtl/>
          <w:lang w:bidi="ar-MA"/>
        </w:rPr>
        <w:t xml:space="preserve"> ب </w:t>
      </w:r>
      <w:r w:rsidR="00FC5AB8">
        <w:rPr>
          <w:rFonts w:cs="Simplified Arabic"/>
          <w:sz w:val="30"/>
          <w:szCs w:val="30"/>
          <w:lang w:bidi="ar-MA"/>
        </w:rPr>
        <w:t>0,</w:t>
      </w:r>
      <w:r w:rsidR="009239E0">
        <w:rPr>
          <w:rFonts w:cs="Simplified Arabic"/>
          <w:sz w:val="30"/>
          <w:szCs w:val="30"/>
          <w:lang w:bidi="ar-MA"/>
        </w:rPr>
        <w:t>1</w:t>
      </w:r>
      <w:r w:rsidR="00FC5AB8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 خلال شهر دجنبر</w:t>
      </w:r>
      <w:r w:rsidRPr="007F2F8F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مقارنة مع الشهر</w:t>
      </w:r>
      <w:r w:rsidR="00D827DB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>السابق</w:t>
      </w:r>
      <w:r w:rsidR="00680419"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1C38B3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7751F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C7751F">
        <w:rPr>
          <w:rFonts w:cs="Simplified Arabic"/>
          <w:b/>
          <w:bCs/>
          <w:color w:val="0000FF"/>
          <w:sz w:val="30"/>
          <w:szCs w:val="30"/>
          <w:lang w:bidi="ar-MA"/>
        </w:rPr>
        <w:t>2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1C38B3">
        <w:rPr>
          <w:rFonts w:cs="Simplified Arabic"/>
          <w:b/>
          <w:bCs/>
          <w:color w:val="0000FF"/>
          <w:sz w:val="30"/>
          <w:szCs w:val="30"/>
          <w:lang w:bidi="ar-MA"/>
        </w:rPr>
        <w:t>0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7F2F8F" w:rsidRDefault="00BA4E60" w:rsidP="00C7751F">
      <w:pPr>
        <w:spacing w:after="160"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خلال سنة</w:t>
      </w:r>
      <w:r w:rsidR="00C231F4"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C7751F">
        <w:rPr>
          <w:rFonts w:cs="Simplified Arabic"/>
          <w:sz w:val="30"/>
          <w:szCs w:val="30"/>
          <w:lang w:bidi="ar-MA"/>
        </w:rPr>
        <w:t>9</w:t>
      </w:r>
      <w:r w:rsidR="00C231F4" w:rsidRPr="007F2F8F">
        <w:rPr>
          <w:rFonts w:cs="Simplified Arabic"/>
          <w:sz w:val="30"/>
          <w:szCs w:val="30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سجل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الرقم </w:t>
      </w:r>
      <w:r w:rsidRPr="007F2F8F">
        <w:rPr>
          <w:rFonts w:cs="Simplified Arabic" w:hint="cs"/>
          <w:sz w:val="30"/>
          <w:szCs w:val="30"/>
          <w:rtl/>
          <w:lang w:bidi="ar-MA"/>
        </w:rPr>
        <w:t>الاستدلالي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السنوي 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ارتفاعا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قدره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2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="00C231F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بالمقارنة مع سنة </w:t>
      </w:r>
      <w:r w:rsidR="00D00BB9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 </w:t>
      </w:r>
      <w:r w:rsidR="00194EA6">
        <w:rPr>
          <w:rFonts w:cs="Simplified Arabic" w:hint="cs"/>
          <w:sz w:val="30"/>
          <w:szCs w:val="30"/>
          <w:rtl/>
          <w:lang w:bidi="ar-MA"/>
        </w:rPr>
        <w:t>وتعود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هذه الزيادة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إلى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ارتفاع </w:t>
      </w:r>
      <w:r w:rsidRPr="007F2F8F">
        <w:rPr>
          <w:rFonts w:cs="Simplified Arabic" w:hint="cs"/>
          <w:sz w:val="30"/>
          <w:szCs w:val="30"/>
          <w:rtl/>
          <w:lang w:bidi="ar-MA"/>
        </w:rPr>
        <w:t>المواد</w:t>
      </w:r>
      <w:r w:rsidR="00526C92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غير</w:t>
      </w:r>
      <w:r w:rsidR="00C775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الغذائية 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00BB9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r w:rsidR="00C7751F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C7751F">
        <w:rPr>
          <w:rFonts w:ascii="Arial" w:hAnsi="Arial" w:cs="Arial"/>
          <w:sz w:val="28"/>
          <w:szCs w:val="28"/>
          <w:lang w:bidi="ar-MA"/>
        </w:rPr>
        <w:t xml:space="preserve">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المواد </w:t>
      </w:r>
      <w:r w:rsidRPr="007F2F8F">
        <w:rPr>
          <w:rFonts w:cs="Simplified Arabic"/>
          <w:sz w:val="30"/>
          <w:szCs w:val="30"/>
          <w:rtl/>
          <w:lang w:bidi="ar-MA"/>
        </w:rPr>
        <w:t xml:space="preserve">الغذائية 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5</w:t>
      </w:r>
      <w:r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43B65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843B6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633737" w:rsidRPr="00B677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633737" w:rsidRPr="00B6774D">
        <w:rPr>
          <w:rFonts w:cs="Simplified Arabic"/>
          <w:sz w:val="30"/>
          <w:szCs w:val="30"/>
          <w:rtl/>
          <w:lang w:bidi="ar-MA"/>
        </w:rPr>
        <w:t>بالنسبة  ل</w:t>
      </w:r>
      <w:r w:rsidR="00633737" w:rsidRPr="00B6774D">
        <w:rPr>
          <w:rFonts w:cs="Simplified Arabic"/>
          <w:sz w:val="30"/>
          <w:szCs w:val="30"/>
          <w:lang w:bidi="ar-MA"/>
        </w:rPr>
        <w:t> 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النقل</w:t>
      </w:r>
      <w:r w:rsidR="00633737" w:rsidRPr="00B6774D">
        <w:rPr>
          <w:rFonts w:cs="Simplified Arabic"/>
          <w:sz w:val="30"/>
          <w:szCs w:val="30"/>
          <w:rtl/>
          <w:lang w:bidi="ar-MA"/>
        </w:rPr>
        <w:t>" و</w:t>
      </w:r>
      <w:r w:rsidR="00633737" w:rsidRPr="001F269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C7751F">
        <w:rPr>
          <w:rFonts w:ascii="Arial" w:hAnsi="Arial" w:cs="Arial"/>
          <w:sz w:val="28"/>
          <w:szCs w:val="28"/>
          <w:lang w:bidi="ar-MA"/>
        </w:rPr>
        <w:t>3</w:t>
      </w:r>
      <w:r w:rsidR="00633737">
        <w:rPr>
          <w:rFonts w:ascii="Arial" w:hAnsi="Arial" w:cs="Arial"/>
          <w:sz w:val="28"/>
          <w:szCs w:val="28"/>
          <w:lang w:bidi="ar-MA"/>
        </w:rPr>
        <w:t>,</w:t>
      </w:r>
      <w:r w:rsidR="00C7751F">
        <w:rPr>
          <w:rFonts w:ascii="Arial" w:hAnsi="Arial" w:cs="Arial"/>
          <w:sz w:val="28"/>
          <w:szCs w:val="28"/>
          <w:lang w:bidi="ar-MA"/>
        </w:rPr>
        <w:t>1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7751F" w:rsidRPr="00C7751F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7F2F8F" w:rsidRDefault="0088652B" w:rsidP="001C38B3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rtl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>و</w:t>
      </w:r>
      <w:r w:rsidR="00A00D9B" w:rsidRPr="007F2F8F">
        <w:rPr>
          <w:rFonts w:cs="Simplified Arabic" w:hint="cs"/>
          <w:sz w:val="30"/>
          <w:szCs w:val="30"/>
          <w:rtl/>
          <w:lang w:bidi="ar-MA"/>
        </w:rPr>
        <w:t>على هذا الأساس، يكون مؤشر التضخم الأساسي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، قد عرف ارتفاعا قدره </w:t>
      </w:r>
      <w:r w:rsidR="001C38B3">
        <w:rPr>
          <w:rFonts w:cs="Simplified Arabic"/>
          <w:sz w:val="30"/>
          <w:szCs w:val="30"/>
          <w:lang w:bidi="ar-MA"/>
        </w:rPr>
        <w:t>1</w:t>
      </w:r>
      <w:r w:rsidR="00787DDB" w:rsidRPr="007F2F8F">
        <w:rPr>
          <w:rFonts w:cs="Simplified Arabic"/>
          <w:sz w:val="30"/>
          <w:szCs w:val="30"/>
          <w:lang w:bidi="ar-MA"/>
        </w:rPr>
        <w:t>,</w:t>
      </w:r>
      <w:r w:rsidR="001C38B3">
        <w:rPr>
          <w:rFonts w:cs="Simplified Arabic"/>
          <w:sz w:val="30"/>
          <w:szCs w:val="30"/>
          <w:lang w:bidi="ar-MA"/>
        </w:rPr>
        <w:t>0</w:t>
      </w:r>
      <w:r w:rsidR="008F7F42" w:rsidRPr="007F2F8F">
        <w:rPr>
          <w:rFonts w:cs="Simplified Arabic"/>
          <w:sz w:val="30"/>
          <w:szCs w:val="30"/>
          <w:lang w:bidi="ar-MA"/>
        </w:rPr>
        <w:t>%</w:t>
      </w:r>
      <w:r w:rsidRPr="007F2F8F">
        <w:rPr>
          <w:rFonts w:cs="Simplified Arabic" w:hint="cs"/>
          <w:sz w:val="30"/>
          <w:szCs w:val="30"/>
          <w:rtl/>
          <w:lang w:bidi="ar-MA"/>
        </w:rPr>
        <w:t xml:space="preserve"> خلال سنة</w:t>
      </w:r>
      <w:r w:rsidRPr="007F2F8F">
        <w:rPr>
          <w:rFonts w:cs="Simplified Arabic"/>
          <w:sz w:val="30"/>
          <w:szCs w:val="30"/>
          <w:lang w:bidi="ar-MA"/>
        </w:rPr>
        <w:t>20</w:t>
      </w:r>
      <w:r w:rsidR="004D408A" w:rsidRPr="007F2F8F">
        <w:rPr>
          <w:rFonts w:cs="Simplified Arabic"/>
          <w:sz w:val="30"/>
          <w:szCs w:val="30"/>
          <w:lang w:bidi="ar-MA"/>
        </w:rPr>
        <w:t>1</w:t>
      </w:r>
      <w:r w:rsidR="00C7751F">
        <w:rPr>
          <w:rFonts w:cs="Simplified Arabic"/>
          <w:sz w:val="30"/>
          <w:szCs w:val="30"/>
          <w:lang w:bidi="ar-MA"/>
        </w:rPr>
        <w:t>9</w:t>
      </w:r>
      <w:r w:rsidRPr="007F2F8F">
        <w:rPr>
          <w:rFonts w:cs="Simplified Arabic"/>
          <w:sz w:val="30"/>
          <w:szCs w:val="30"/>
          <w:lang w:bidi="ar-MA"/>
        </w:rPr>
        <w:t xml:space="preserve"> 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مقارنة بسنة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8</w:t>
      </w:r>
      <w:r w:rsidRPr="007F2F8F">
        <w:rPr>
          <w:rFonts w:cs="Simplified Arabic" w:hint="cs"/>
          <w:sz w:val="30"/>
          <w:szCs w:val="30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88652B" w:rsidP="00C7751F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7F2F8F">
        <w:rPr>
          <w:rFonts w:cs="Times New Roman" w:hint="cs"/>
          <w:sz w:val="30"/>
          <w:szCs w:val="30"/>
          <w:rtl/>
          <w:lang w:bidi="ar-MA"/>
        </w:rPr>
        <w:t>ا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 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141B86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فاس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936DB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سطات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2A7AB9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2A7AB9" w:rsidRPr="002A7AB9">
        <w:rPr>
          <w:rtl/>
        </w:rPr>
        <w:t xml:space="preserve"> </w:t>
      </w:r>
      <w:r w:rsidR="00C7751F" w:rsidRPr="00C7751F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الدار البيضاء</w:t>
      </w:r>
    </w:p>
    <w:p w:rsidR="00CE64B9" w:rsidRPr="00AA5854" w:rsidRDefault="00A22E37" w:rsidP="00DC324D">
      <w:pPr>
        <w:tabs>
          <w:tab w:val="left" w:pos="850"/>
        </w:tabs>
        <w:spacing w:line="320" w:lineRule="exact"/>
        <w:ind w:left="-286" w:right="-426"/>
        <w:jc w:val="both"/>
        <w:rPr>
          <w:rFonts w:ascii="Arial" w:hAnsi="Arial" w:cs="Arial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أما على مستوى المدن، فقد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سجل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الرقم الاستدلالي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>للاثمان عند الاستهلاك</w:t>
      </w:r>
      <w:r w:rsidR="00BC5980">
        <w:rPr>
          <w:rFonts w:cs="Simplified Arabic" w:hint="cs"/>
          <w:sz w:val="30"/>
          <w:szCs w:val="30"/>
          <w:rtl/>
          <w:lang w:bidi="ar-MA"/>
        </w:rPr>
        <w:t xml:space="preserve"> خلال سنة </w:t>
      </w:r>
      <w:r w:rsidR="00BC5980">
        <w:rPr>
          <w:rFonts w:cs="Simplified Arabic"/>
          <w:sz w:val="30"/>
          <w:szCs w:val="30"/>
          <w:lang w:bidi="ar-MA"/>
        </w:rPr>
        <w:t>201</w:t>
      </w:r>
      <w:r w:rsidR="00C7751F">
        <w:rPr>
          <w:rFonts w:cs="Simplified Arabic"/>
          <w:sz w:val="30"/>
          <w:szCs w:val="30"/>
          <w:lang w:bidi="ar-MA"/>
        </w:rPr>
        <w:t>9</w:t>
      </w:r>
      <w:r w:rsidR="00BA4E60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>أهم</w:t>
      </w:r>
      <w:r w:rsidR="00966B1F" w:rsidRPr="007F2F8F">
        <w:rPr>
          <w:rFonts w:cs="Simplified Arabic" w:hint="cs"/>
          <w:sz w:val="30"/>
          <w:szCs w:val="30"/>
          <w:rtl/>
        </w:rPr>
        <w:t xml:space="preserve"> </w:t>
      </w:r>
      <w:r w:rsidR="001F0CDC" w:rsidRPr="007F2F8F">
        <w:rPr>
          <w:rFonts w:cs="Simplified Arabic" w:hint="cs"/>
          <w:sz w:val="30"/>
          <w:szCs w:val="30"/>
          <w:rtl/>
        </w:rPr>
        <w:t>الإ</w:t>
      </w:r>
      <w:r w:rsidR="00FD6398">
        <w:rPr>
          <w:rFonts w:cs="Simplified Arabic" w:hint="cs"/>
          <w:sz w:val="30"/>
          <w:szCs w:val="30"/>
          <w:rtl/>
        </w:rPr>
        <w:t>رتفاعا</w:t>
      </w:r>
      <w:r w:rsidR="006D3C4E">
        <w:rPr>
          <w:rFonts w:cs="Simplified Arabic" w:hint="cs"/>
          <w:sz w:val="30"/>
          <w:szCs w:val="30"/>
          <w:rtl/>
        </w:rPr>
        <w:t>ت</w:t>
      </w:r>
      <w:r w:rsidR="001F0CDC" w:rsidRPr="007F2F8F">
        <w:rPr>
          <w:rFonts w:cs="Simplified Arabic" w:hint="cs"/>
          <w:sz w:val="30"/>
          <w:szCs w:val="30"/>
          <w:rtl/>
        </w:rPr>
        <w:t xml:space="preserve"> </w:t>
      </w:r>
      <w:r w:rsidR="00BA4E60" w:rsidRPr="007F2F8F">
        <w:rPr>
          <w:rFonts w:cs="Simplified Arabic" w:hint="cs"/>
          <w:sz w:val="30"/>
          <w:szCs w:val="30"/>
          <w:rtl/>
        </w:rPr>
        <w:t>في</w:t>
      </w:r>
      <w:r w:rsidR="002A7AB9" w:rsidRPr="002A7AB9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فاس</w:t>
      </w:r>
      <w:r w:rsidR="00FD6398">
        <w:rPr>
          <w:rFonts w:cs="Simplified Arabic" w:hint="cs"/>
          <w:sz w:val="30"/>
          <w:szCs w:val="30"/>
          <w:rtl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1</w:t>
      </w:r>
      <w:r w:rsidR="002A7AB9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2</w:t>
      </w:r>
      <w:r w:rsidR="002A7AB9">
        <w:rPr>
          <w:rFonts w:cs="Simplified Arabic"/>
          <w:sz w:val="30"/>
          <w:szCs w:val="30"/>
          <w:lang w:bidi="ar-MA"/>
        </w:rPr>
        <w:t>%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A7AB9" w:rsidRPr="007F2F8F">
        <w:rPr>
          <w:rFonts w:cs="Simplified Arabic" w:hint="cs"/>
          <w:sz w:val="30"/>
          <w:szCs w:val="30"/>
          <w:rtl/>
        </w:rPr>
        <w:t>و</w:t>
      </w:r>
      <w:r w:rsidR="002A7AB9" w:rsidRPr="007F2F8F">
        <w:rPr>
          <w:rFonts w:cs="Simplified Arabic" w:hint="cs"/>
          <w:sz w:val="30"/>
          <w:szCs w:val="30"/>
          <w:rtl/>
          <w:lang w:bidi="ar-MA"/>
        </w:rPr>
        <w:t>في</w:t>
      </w:r>
      <w:r w:rsidR="002A7AB9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سطات</w:t>
      </w:r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966B1F" w:rsidRPr="007F2F8F">
        <w:rPr>
          <w:rFonts w:cs="Simplified Arabic" w:hint="cs"/>
          <w:sz w:val="30"/>
          <w:szCs w:val="30"/>
          <w:rtl/>
        </w:rPr>
        <w:t xml:space="preserve">ب </w:t>
      </w:r>
      <w:r w:rsidR="00676BBB">
        <w:rPr>
          <w:rFonts w:cs="Simplified Arabic"/>
          <w:sz w:val="30"/>
          <w:szCs w:val="30"/>
          <w:lang w:bidi="ar-MA"/>
        </w:rPr>
        <w:t>1</w:t>
      </w:r>
      <w:r w:rsidR="00FD6398">
        <w:rPr>
          <w:rFonts w:cs="Simplified Arabic"/>
          <w:sz w:val="30"/>
          <w:szCs w:val="30"/>
          <w:lang w:bidi="ar-MA"/>
        </w:rPr>
        <w:t>,</w:t>
      </w:r>
      <w:r w:rsidR="00676BBB">
        <w:rPr>
          <w:rFonts w:cs="Simplified Arabic"/>
          <w:sz w:val="30"/>
          <w:szCs w:val="30"/>
          <w:lang w:bidi="ar-MA"/>
        </w:rPr>
        <w:t>0</w:t>
      </w:r>
      <w:r w:rsidR="00FD6398">
        <w:rPr>
          <w:rFonts w:cs="Simplified Arabic"/>
          <w:sz w:val="30"/>
          <w:szCs w:val="30"/>
          <w:lang w:bidi="ar-MA"/>
        </w:rPr>
        <w:t>%</w:t>
      </w:r>
      <w:r w:rsidR="00966B1F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>و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في </w:t>
      </w:r>
      <w:r w:rsidR="00C7751F" w:rsidRPr="00DF2001">
        <w:rPr>
          <w:rFonts w:cs="Simplified Arabic"/>
          <w:sz w:val="30"/>
          <w:szCs w:val="30"/>
          <w:rtl/>
        </w:rPr>
        <w:t>الدار البيضاء</w:t>
      </w:r>
      <w:r w:rsidR="00C7751F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</w:rPr>
        <w:t xml:space="preserve">ب </w:t>
      </w:r>
      <w:r w:rsidR="00482F2D" w:rsidRPr="007F2F8F">
        <w:rPr>
          <w:rFonts w:cs="Simplified Arabic"/>
          <w:sz w:val="30"/>
          <w:szCs w:val="30"/>
        </w:rPr>
        <w:t xml:space="preserve">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7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وفي</w:t>
      </w:r>
      <w:r w:rsidR="00753634" w:rsidRPr="00753634">
        <w:rPr>
          <w:rFonts w:ascii="Arial" w:hAnsi="Arial" w:cs="Arial"/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كلميم</w:t>
      </w:r>
      <w:r w:rsidR="00753634"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482F2D" w:rsidRPr="007F2F8F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753634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6</w:t>
      </w:r>
      <w:r w:rsidR="00482F2D" w:rsidRPr="007F2F8F">
        <w:rPr>
          <w:rFonts w:cs="Simplified Arabic"/>
          <w:sz w:val="30"/>
          <w:szCs w:val="30"/>
          <w:lang w:bidi="ar-MA"/>
        </w:rPr>
        <w:t>%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وفي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مكناس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و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العيون</w:t>
      </w:r>
      <w:r w:rsidR="002A7AB9" w:rsidRPr="002A7AB9">
        <w:rPr>
          <w:rFonts w:cs="Simplified Arabic" w:hint="cs"/>
          <w:sz w:val="30"/>
          <w:szCs w:val="30"/>
          <w:rtl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 w:rsidRPr="00C7751F">
        <w:rPr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بني ملال</w:t>
      </w:r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  <w:lang w:bidi="ar-MA"/>
        </w:rPr>
        <w:t>الحسيمة</w:t>
      </w:r>
      <w:r w:rsidR="00C7751F" w:rsidRPr="00C7751F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BE1FCD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2D2D55">
        <w:rPr>
          <w:rFonts w:cs="Simplified Arabic"/>
          <w:sz w:val="30"/>
          <w:szCs w:val="30"/>
          <w:lang w:val="en-US" w:bidi="ar-MA"/>
        </w:rPr>
        <w:t>,</w:t>
      </w:r>
      <w:r w:rsidR="00C7751F">
        <w:rPr>
          <w:rFonts w:cs="Simplified Arabic"/>
          <w:sz w:val="30"/>
          <w:szCs w:val="30"/>
          <w:lang w:val="en-US" w:bidi="ar-MA"/>
        </w:rPr>
        <w:t>5</w:t>
      </w:r>
      <w:r w:rsidR="00BE1FCD">
        <w:rPr>
          <w:rFonts w:cs="Simplified Arabic"/>
          <w:sz w:val="30"/>
          <w:szCs w:val="30"/>
          <w:lang w:bidi="ar-MA"/>
        </w:rPr>
        <w:t>%</w:t>
      </w:r>
      <w:r w:rsidR="00DF2001" w:rsidRPr="00DF2001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وفي </w:t>
      </w:r>
      <w:r w:rsidR="00C7751F" w:rsidRPr="00C7751F">
        <w:rPr>
          <w:rFonts w:cs="Simplified Arabic"/>
          <w:sz w:val="30"/>
          <w:szCs w:val="30"/>
          <w:rtl/>
          <w:lang w:bidi="ar-MA"/>
        </w:rPr>
        <w:t xml:space="preserve">الداخلة </w:t>
      </w:r>
      <w:r w:rsidR="00C7751F">
        <w:rPr>
          <w:rFonts w:cs="Simplified Arabic" w:hint="cs"/>
          <w:sz w:val="30"/>
          <w:szCs w:val="30"/>
          <w:rtl/>
          <w:lang w:bidi="ar-MA"/>
        </w:rPr>
        <w:t>و</w:t>
      </w:r>
      <w:r w:rsidR="00C7751F">
        <w:rPr>
          <w:rFonts w:cs="Simplified Arabic"/>
          <w:sz w:val="30"/>
          <w:szCs w:val="30"/>
          <w:lang w:bidi="ar-MA"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آسفي</w:t>
      </w:r>
      <w:r w:rsidR="00C7751F" w:rsidRPr="00C7751F">
        <w:rPr>
          <w:rFonts w:cs="Simplified Arabic" w:hint="cs"/>
          <w:sz w:val="30"/>
          <w:szCs w:val="30"/>
          <w:rtl/>
        </w:rPr>
        <w:t xml:space="preserve"> </w:t>
      </w:r>
      <w:r w:rsidR="00DF2001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C7751F">
        <w:rPr>
          <w:rFonts w:cs="Simplified Arabic"/>
          <w:sz w:val="30"/>
          <w:szCs w:val="30"/>
          <w:lang w:val="en-US" w:bidi="ar-MA"/>
        </w:rPr>
        <w:t>0</w:t>
      </w:r>
      <w:r w:rsidR="00DF2001">
        <w:rPr>
          <w:rFonts w:cs="Simplified Arabic"/>
          <w:sz w:val="30"/>
          <w:szCs w:val="30"/>
          <w:lang w:val="en-US" w:bidi="ar-MA"/>
        </w:rPr>
        <w:t>,</w:t>
      </w:r>
      <w:r w:rsidR="00C7751F">
        <w:rPr>
          <w:rFonts w:cs="Simplified Arabic"/>
          <w:sz w:val="30"/>
          <w:szCs w:val="30"/>
          <w:lang w:val="en-US" w:bidi="ar-MA"/>
        </w:rPr>
        <w:t>4</w:t>
      </w:r>
      <w:r w:rsidR="00DF2001">
        <w:rPr>
          <w:rFonts w:cs="Simplified Arabic"/>
          <w:sz w:val="30"/>
          <w:szCs w:val="30"/>
          <w:lang w:bidi="ar-MA"/>
        </w:rPr>
        <w:t>%</w:t>
      </w:r>
      <w:r w:rsidR="00336FD3">
        <w:rPr>
          <w:rFonts w:cs="Simplified Arabic" w:hint="cs"/>
          <w:sz w:val="30"/>
          <w:szCs w:val="30"/>
          <w:rtl/>
          <w:lang w:bidi="ar-MA"/>
        </w:rPr>
        <w:t>،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بينما</w:t>
      </w:r>
      <w:r w:rsidR="00194EA6">
        <w:rPr>
          <w:rFonts w:cs="Simplified Arabic" w:hint="cs"/>
          <w:sz w:val="30"/>
          <w:szCs w:val="30"/>
          <w:rtl/>
          <w:lang w:bidi="ar-MA"/>
        </w:rPr>
        <w:t xml:space="preserve"> سجل</w:t>
      </w:r>
      <w:r w:rsidR="00DC324D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>ا</w:t>
      </w:r>
      <w:r w:rsidR="00C7751F" w:rsidRPr="00C7751F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A55F90" w:rsidRPr="007F2F8F">
        <w:rPr>
          <w:rFonts w:cs="Simplified Arabic" w:hint="cs"/>
          <w:sz w:val="30"/>
          <w:szCs w:val="30"/>
          <w:rtl/>
        </w:rPr>
        <w:t xml:space="preserve"> في</w:t>
      </w:r>
      <w:r w:rsidR="00194EA6">
        <w:rPr>
          <w:rFonts w:cs="Simplified Arabic" w:hint="cs"/>
          <w:sz w:val="30"/>
          <w:szCs w:val="30"/>
          <w:rtl/>
        </w:rPr>
        <w:t xml:space="preserve"> </w:t>
      </w:r>
      <w:r w:rsidR="00C7751F" w:rsidRPr="00C7751F">
        <w:rPr>
          <w:rFonts w:cs="Simplified Arabic"/>
          <w:sz w:val="30"/>
          <w:szCs w:val="30"/>
          <w:rtl/>
        </w:rPr>
        <w:t>وجدة</w:t>
      </w:r>
      <w:r w:rsidR="00A80345" w:rsidRPr="00A80345">
        <w:rPr>
          <w:rFonts w:cs="Simplified Arabic" w:hint="cs"/>
          <w:sz w:val="30"/>
          <w:szCs w:val="30"/>
          <w:rtl/>
          <w:lang w:bidi="ar-MA"/>
        </w:rPr>
        <w:t xml:space="preserve"> 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ب </w:t>
      </w:r>
      <w:r w:rsidR="00A80345">
        <w:rPr>
          <w:rFonts w:cs="Simplified Arabic"/>
          <w:sz w:val="30"/>
          <w:szCs w:val="30"/>
          <w:lang w:bidi="ar-MA"/>
        </w:rPr>
        <w:t>.</w:t>
      </w:r>
      <w:r w:rsidR="00C7751F">
        <w:rPr>
          <w:rFonts w:cs="Simplified Arabic"/>
          <w:sz w:val="30"/>
          <w:szCs w:val="30"/>
          <w:lang w:bidi="ar-MA"/>
        </w:rPr>
        <w:t>0</w:t>
      </w:r>
      <w:r w:rsidR="00A80345">
        <w:rPr>
          <w:rFonts w:cs="Simplified Arabic"/>
          <w:sz w:val="30"/>
          <w:szCs w:val="30"/>
          <w:lang w:bidi="ar-MA"/>
        </w:rPr>
        <w:t>,</w:t>
      </w:r>
      <w:r w:rsidR="00C7751F">
        <w:rPr>
          <w:rFonts w:cs="Simplified Arabic"/>
          <w:sz w:val="30"/>
          <w:szCs w:val="30"/>
          <w:lang w:bidi="ar-MA"/>
        </w:rPr>
        <w:t>3</w:t>
      </w:r>
      <w:r w:rsidR="002D2D55">
        <w:rPr>
          <w:rFonts w:cs="Simplified Arabic"/>
          <w:sz w:val="30"/>
          <w:szCs w:val="30"/>
          <w:lang w:bidi="ar-MA"/>
        </w:rPr>
        <w:t>%</w:t>
      </w:r>
      <w:r w:rsidR="002D2D55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7F2F8F" w:rsidRPr="00AA5854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38325A" w:rsidRPr="004671FE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  <w:r w:rsidR="0038325A"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</w:p>
    <w:p w:rsidR="0038325A" w:rsidRPr="004671FE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B6775C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38325A" w:rsidRPr="004671FE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6552A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CD270B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7912D6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D6552A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 w:rsidP="00000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0007FC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 w:rsidP="000007F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0007FC">
              <w:rPr>
                <w:rFonts w:ascii="Arial" w:hAnsi="Arial" w:cs="Arial"/>
              </w:rPr>
              <w:t>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D6552A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6552A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6552A" w:rsidRPr="008631B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772D6" w:rsidRDefault="00D772D6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38325A" w:rsidRPr="007F1A78">
              <w:rPr>
                <w:rFonts w:ascii="Arial" w:hAnsi="Arial" w:cs="Arial"/>
                <w:b/>
                <w:bCs/>
              </w:rPr>
              <w:t>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830950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405EC4">
              <w:rPr>
                <w:rFonts w:ascii="Arial" w:hAnsi="Arial" w:cs="Arial"/>
                <w:b/>
                <w:bCs/>
              </w:rPr>
              <w:t>201</w:t>
            </w:r>
            <w:r w:rsidR="00C7751F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0B9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C7751F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7751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A153E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D6552A" w:rsidRPr="00CD270B" w:rsidRDefault="00D6552A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6552A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D6552A" w:rsidRPr="00A153EC" w:rsidRDefault="00D6552A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6552A" w:rsidRDefault="00D6552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38325A" w:rsidRPr="004671FE" w:rsidRDefault="0038325A" w:rsidP="008560A9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38325A" w:rsidRPr="004671FE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94" w:rsidRDefault="000B7194">
      <w:r>
        <w:separator/>
      </w:r>
    </w:p>
  </w:endnote>
  <w:endnote w:type="continuationSeparator" w:id="1">
    <w:p w:rsidR="000B7194" w:rsidRDefault="000B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94" w:rsidRDefault="000B7194">
      <w:r>
        <w:separator/>
      </w:r>
    </w:p>
  </w:footnote>
  <w:footnote w:type="continuationSeparator" w:id="1">
    <w:p w:rsidR="000B7194" w:rsidRDefault="000B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07FC"/>
    <w:rsid w:val="00002AE4"/>
    <w:rsid w:val="00013E64"/>
    <w:rsid w:val="00030C76"/>
    <w:rsid w:val="000570C6"/>
    <w:rsid w:val="00064152"/>
    <w:rsid w:val="00065E5A"/>
    <w:rsid w:val="000714A9"/>
    <w:rsid w:val="00083113"/>
    <w:rsid w:val="0009454E"/>
    <w:rsid w:val="000A52E4"/>
    <w:rsid w:val="000A7915"/>
    <w:rsid w:val="000B603D"/>
    <w:rsid w:val="000B7194"/>
    <w:rsid w:val="000D49DC"/>
    <w:rsid w:val="000D759F"/>
    <w:rsid w:val="000E139F"/>
    <w:rsid w:val="000E4B9C"/>
    <w:rsid w:val="000E5657"/>
    <w:rsid w:val="000E593C"/>
    <w:rsid w:val="000F441B"/>
    <w:rsid w:val="000F57F7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03BD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B7958"/>
    <w:rsid w:val="002C0ACC"/>
    <w:rsid w:val="002D20F7"/>
    <w:rsid w:val="002D2D55"/>
    <w:rsid w:val="002E029E"/>
    <w:rsid w:val="002E3A6E"/>
    <w:rsid w:val="002E7BED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4F77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05EC8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65423"/>
    <w:rsid w:val="005714C9"/>
    <w:rsid w:val="00575E1D"/>
    <w:rsid w:val="005777BC"/>
    <w:rsid w:val="00581787"/>
    <w:rsid w:val="005921DC"/>
    <w:rsid w:val="00594542"/>
    <w:rsid w:val="0059556C"/>
    <w:rsid w:val="0059651D"/>
    <w:rsid w:val="005A135B"/>
    <w:rsid w:val="005A527C"/>
    <w:rsid w:val="005B4DC3"/>
    <w:rsid w:val="005C24B1"/>
    <w:rsid w:val="005C380E"/>
    <w:rsid w:val="005D3BBE"/>
    <w:rsid w:val="005D6635"/>
    <w:rsid w:val="005E18EA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76BBB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D7410"/>
    <w:rsid w:val="007E3AD0"/>
    <w:rsid w:val="007E567B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560A9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E2873"/>
    <w:rsid w:val="008F7F42"/>
    <w:rsid w:val="009058FF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949E7"/>
    <w:rsid w:val="009A62CD"/>
    <w:rsid w:val="009A69C6"/>
    <w:rsid w:val="009A6BAB"/>
    <w:rsid w:val="009C16F8"/>
    <w:rsid w:val="009C3364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6775C"/>
    <w:rsid w:val="00B73D18"/>
    <w:rsid w:val="00B73DF6"/>
    <w:rsid w:val="00B7695A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05064"/>
    <w:rsid w:val="00C201F7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9CE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6552A"/>
    <w:rsid w:val="00D72A44"/>
    <w:rsid w:val="00D72F9F"/>
    <w:rsid w:val="00D75664"/>
    <w:rsid w:val="00D772D6"/>
    <w:rsid w:val="00D80850"/>
    <w:rsid w:val="00D81C26"/>
    <w:rsid w:val="00D827DB"/>
    <w:rsid w:val="00D8772E"/>
    <w:rsid w:val="00D9245F"/>
    <w:rsid w:val="00D93EC5"/>
    <w:rsid w:val="00DA3822"/>
    <w:rsid w:val="00DA3994"/>
    <w:rsid w:val="00DA702F"/>
    <w:rsid w:val="00DA7716"/>
    <w:rsid w:val="00DC3108"/>
    <w:rsid w:val="00DC324D"/>
    <w:rsid w:val="00DD38C6"/>
    <w:rsid w:val="00DF10E0"/>
    <w:rsid w:val="00DF17C4"/>
    <w:rsid w:val="00DF2001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304FA"/>
    <w:rsid w:val="00F30CEB"/>
    <w:rsid w:val="00F340F4"/>
    <w:rsid w:val="00F42B16"/>
    <w:rsid w:val="00F650FE"/>
    <w:rsid w:val="00F725B0"/>
    <w:rsid w:val="00F74A7A"/>
    <w:rsid w:val="00F825C1"/>
    <w:rsid w:val="00F92894"/>
    <w:rsid w:val="00F95E19"/>
    <w:rsid w:val="00F96E9A"/>
    <w:rsid w:val="00F97C2E"/>
    <w:rsid w:val="00FA46BF"/>
    <w:rsid w:val="00FC51DE"/>
    <w:rsid w:val="00FC5AB8"/>
    <w:rsid w:val="00FC644A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2020-01-20T14:06:00Z</cp:lastPrinted>
  <dcterms:created xsi:type="dcterms:W3CDTF">2020-01-27T09:20:00Z</dcterms:created>
  <dcterms:modified xsi:type="dcterms:W3CDTF">2020-01-27T09:20:00Z</dcterms:modified>
</cp:coreProperties>
</file>