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817" w:rsidRPr="00006066" w:rsidRDefault="00E25817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</w:rPr>
      </w:pPr>
    </w:p>
    <w:p w:rsidR="00006066" w:rsidRPr="00006066" w:rsidRDefault="00006066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</w:pPr>
      <w:r w:rsidRPr="00006066"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  <w:t>Note sur la situation de la population active</w:t>
      </w:r>
    </w:p>
    <w:p w:rsidR="00006066" w:rsidRPr="00006066" w:rsidRDefault="00006066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</w:pPr>
      <w:r w:rsidRPr="00006066">
        <w:rPr>
          <w:rFonts w:ascii="Book Antiqua" w:hAnsi="Book Antiqua" w:cstheme="minorHAnsi"/>
          <w:b/>
          <w:bCs/>
          <w:color w:val="632423" w:themeColor="accent2" w:themeShade="80"/>
          <w:sz w:val="32"/>
          <w:szCs w:val="32"/>
        </w:rPr>
        <w:t>en chômage en 2019</w:t>
      </w:r>
    </w:p>
    <w:p w:rsidR="00006066" w:rsidRPr="00006066" w:rsidRDefault="0075507D" w:rsidP="00006066">
      <w:pPr>
        <w:spacing w:line="312" w:lineRule="auto"/>
        <w:jc w:val="center"/>
        <w:rPr>
          <w:rFonts w:ascii="Book Antiqua" w:hAnsi="Book Antiqua" w:cstheme="minorHAnsi"/>
          <w:b/>
          <w:bCs/>
          <w:color w:val="632423" w:themeColor="accent2" w:themeShade="80"/>
        </w:rPr>
      </w:pPr>
      <w:r>
        <w:rPr>
          <w:rFonts w:ascii="Book Antiqua" w:hAnsi="Book Antiqua" w:cstheme="minorHAnsi"/>
          <w:b/>
          <w:bCs/>
          <w:color w:val="632423" w:themeColor="accent2" w:themeShade="80"/>
        </w:rPr>
        <w:t xml:space="preserve">             </w:t>
      </w:r>
    </w:p>
    <w:p w:rsidR="00AF4CB6" w:rsidRPr="00E25817" w:rsidRDefault="00006066" w:rsidP="004E5C1E">
      <w:pPr>
        <w:autoSpaceDE w:val="0"/>
        <w:autoSpaceDN w:val="0"/>
        <w:adjustRightInd w:val="0"/>
        <w:spacing w:line="312" w:lineRule="auto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A la s</w:t>
      </w:r>
      <w:r w:rsidR="00E32390" w:rsidRPr="00E25817">
        <w:rPr>
          <w:rFonts w:ascii="Book Antiqua" w:hAnsi="Book Antiqua" w:cs="Arial"/>
        </w:rPr>
        <w:t xml:space="preserve">uite </w:t>
      </w:r>
      <w:r>
        <w:rPr>
          <w:rFonts w:ascii="Book Antiqua" w:hAnsi="Book Antiqua" w:cs="Arial"/>
        </w:rPr>
        <w:t>de</w:t>
      </w:r>
      <w:r w:rsidR="005B14A0" w:rsidRPr="00E25817">
        <w:rPr>
          <w:rFonts w:ascii="Book Antiqua" w:hAnsi="Book Antiqua" w:cs="Arial"/>
        </w:rPr>
        <w:t xml:space="preserve"> </w:t>
      </w:r>
      <w:r w:rsidR="00AF4CB6" w:rsidRPr="00E25817">
        <w:rPr>
          <w:rFonts w:ascii="Book Antiqua" w:hAnsi="Book Antiqua" w:cs="Arial"/>
        </w:rPr>
        <w:t xml:space="preserve">la dernière publication du Haut Commissariat au Plan sur la </w:t>
      </w:r>
      <w:r>
        <w:rPr>
          <w:rFonts w:ascii="Book Antiqua" w:hAnsi="Book Antiqua" w:cs="Arial"/>
        </w:rPr>
        <w:t>situation du marché du travail en 2019</w:t>
      </w:r>
      <w:r w:rsidR="00AF4CB6" w:rsidRPr="00E25817">
        <w:rPr>
          <w:rFonts w:ascii="Book Antiqua" w:hAnsi="Book Antiqua" w:cs="Arial"/>
        </w:rPr>
        <w:t xml:space="preserve">, cette note présente les principales caractéristiques de la population </w:t>
      </w:r>
      <w:r w:rsidR="00E93FE3" w:rsidRPr="00E25817">
        <w:rPr>
          <w:rFonts w:ascii="Book Antiqua" w:hAnsi="Book Antiqua" w:cs="Arial"/>
        </w:rPr>
        <w:t xml:space="preserve">active </w:t>
      </w:r>
      <w:r w:rsidR="00AF4CB6" w:rsidRPr="00E25817">
        <w:rPr>
          <w:rFonts w:ascii="Book Antiqua" w:hAnsi="Book Antiqua" w:cs="Arial"/>
        </w:rPr>
        <w:t>en chômage</w:t>
      </w:r>
      <w:r w:rsidR="004E5C1E">
        <w:rPr>
          <w:rFonts w:ascii="Book Antiqua" w:hAnsi="Book Antiqua" w:cs="Arial"/>
        </w:rPr>
        <w:t>.</w:t>
      </w:r>
    </w:p>
    <w:p w:rsidR="00EA7F3E" w:rsidRPr="00E25817" w:rsidRDefault="005B14A0" w:rsidP="00267B14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 xml:space="preserve">Il est à rappeler </w:t>
      </w:r>
      <w:r w:rsidR="00267B14">
        <w:rPr>
          <w:rFonts w:ascii="Book Antiqua" w:hAnsi="Book Antiqua" w:cs="Arial"/>
        </w:rPr>
        <w:t xml:space="preserve">que la population en chômage </w:t>
      </w:r>
      <w:r w:rsidR="00EA7F3E" w:rsidRPr="00E25817">
        <w:rPr>
          <w:rFonts w:ascii="Book Antiqua" w:hAnsi="Book Antiqua" w:cs="Arial"/>
        </w:rPr>
        <w:t>est passé</w:t>
      </w:r>
      <w:r w:rsidR="00267B14">
        <w:rPr>
          <w:rFonts w:ascii="Book Antiqua" w:hAnsi="Book Antiqua" w:cs="Arial"/>
        </w:rPr>
        <w:t>e</w:t>
      </w:r>
      <w:r w:rsidR="00430EC9" w:rsidRPr="00E25817">
        <w:rPr>
          <w:rFonts w:ascii="Book Antiqua" w:hAnsi="Book Antiqua" w:cs="Arial"/>
        </w:rPr>
        <w:t xml:space="preserve">, entre </w:t>
      </w:r>
      <w:r w:rsidR="00E32390" w:rsidRPr="00E25817">
        <w:rPr>
          <w:rFonts w:ascii="Book Antiqua" w:hAnsi="Book Antiqua" w:cs="Arial"/>
        </w:rPr>
        <w:t>2018</w:t>
      </w:r>
      <w:r w:rsidR="00430EC9" w:rsidRPr="00E25817">
        <w:rPr>
          <w:rFonts w:ascii="Book Antiqua" w:hAnsi="Book Antiqua" w:cs="Arial"/>
        </w:rPr>
        <w:t xml:space="preserve"> et </w:t>
      </w:r>
      <w:r w:rsidR="00E32390" w:rsidRPr="00E25817">
        <w:rPr>
          <w:rFonts w:ascii="Book Antiqua" w:hAnsi="Book Antiqua" w:cs="Arial"/>
        </w:rPr>
        <w:t>2019</w:t>
      </w:r>
      <w:r w:rsidR="00430EC9" w:rsidRPr="00E25817">
        <w:rPr>
          <w:rFonts w:ascii="Book Antiqua" w:hAnsi="Book Antiqua" w:cs="Arial"/>
        </w:rPr>
        <w:t xml:space="preserve">, </w:t>
      </w:r>
      <w:r w:rsidR="00EA7F3E" w:rsidRPr="00E25817">
        <w:rPr>
          <w:rFonts w:ascii="Book Antiqua" w:hAnsi="Book Antiqua" w:cs="Arial"/>
        </w:rPr>
        <w:t xml:space="preserve">de </w:t>
      </w:r>
      <w:r w:rsidR="004026D2" w:rsidRPr="00E25817">
        <w:rPr>
          <w:rFonts w:ascii="Book Antiqua" w:hAnsi="Book Antiqua" w:cs="Arial"/>
        </w:rPr>
        <w:t xml:space="preserve">1.137.000 </w:t>
      </w:r>
      <w:r w:rsidR="00EA7F3E" w:rsidRPr="00E25817">
        <w:rPr>
          <w:rFonts w:ascii="Book Antiqua" w:hAnsi="Book Antiqua" w:cs="Arial"/>
        </w:rPr>
        <w:t xml:space="preserve">à </w:t>
      </w:r>
      <w:r w:rsidR="004026D2" w:rsidRPr="00E25817">
        <w:rPr>
          <w:rFonts w:ascii="Book Antiqua" w:hAnsi="Book Antiqua" w:cs="Arial"/>
        </w:rPr>
        <w:t xml:space="preserve">1.107.000 </w:t>
      </w:r>
      <w:r w:rsidR="00EA7F3E" w:rsidRPr="00E25817">
        <w:rPr>
          <w:rFonts w:ascii="Book Antiqua" w:hAnsi="Book Antiqua" w:cs="Arial"/>
        </w:rPr>
        <w:t xml:space="preserve">personnes. </w:t>
      </w:r>
      <w:r w:rsidR="00267B14">
        <w:rPr>
          <w:rFonts w:ascii="Book Antiqua" w:hAnsi="Book Antiqua" w:cs="Arial"/>
        </w:rPr>
        <w:t>L</w:t>
      </w:r>
      <w:r w:rsidR="004026D2" w:rsidRPr="00E25817">
        <w:rPr>
          <w:rFonts w:ascii="Book Antiqua" w:hAnsi="Book Antiqua" w:cs="Arial"/>
        </w:rPr>
        <w:t>e taux de chômage est passé de 9,5% à 9,2% au niveau national, de 13,8% à 12,9% en milieu urbain et de 3,6% à 3,7% en milieu rural</w:t>
      </w:r>
      <w:r w:rsidR="00EA7F3E" w:rsidRPr="00E25817">
        <w:rPr>
          <w:rFonts w:ascii="Book Antiqua" w:hAnsi="Book Antiqua" w:cs="Arial"/>
        </w:rPr>
        <w:t xml:space="preserve">. </w:t>
      </w:r>
    </w:p>
    <w:p w:rsidR="00D16F69" w:rsidRPr="00D16F69" w:rsidRDefault="00D16F69" w:rsidP="00D16F69">
      <w:pPr>
        <w:spacing w:before="240" w:after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 xml:space="preserve">Les plus forts taux de chômage restent </w:t>
      </w:r>
      <w:r>
        <w:rPr>
          <w:rFonts w:ascii="Book Antiqua" w:hAnsi="Book Antiqua" w:cstheme="minorHAnsi"/>
          <w:b/>
          <w:bCs/>
          <w:color w:val="632423" w:themeColor="accent2" w:themeShade="80"/>
        </w:rPr>
        <w:t>le lot d</w:t>
      </w: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 xml:space="preserve">es jeunes, </w:t>
      </w:r>
      <w:r>
        <w:rPr>
          <w:rFonts w:ascii="Book Antiqua" w:hAnsi="Book Antiqua" w:cstheme="minorHAnsi"/>
          <w:b/>
          <w:bCs/>
          <w:color w:val="632423" w:themeColor="accent2" w:themeShade="80"/>
        </w:rPr>
        <w:t>d</w:t>
      </w: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 xml:space="preserve">es femmes et </w:t>
      </w:r>
      <w:r>
        <w:rPr>
          <w:rFonts w:ascii="Book Antiqua" w:hAnsi="Book Antiqua" w:cstheme="minorHAnsi"/>
          <w:b/>
          <w:bCs/>
          <w:color w:val="632423" w:themeColor="accent2" w:themeShade="80"/>
        </w:rPr>
        <w:t>d</w:t>
      </w:r>
      <w:r w:rsidRPr="00D16F69">
        <w:rPr>
          <w:rFonts w:ascii="Book Antiqua" w:hAnsi="Book Antiqua" w:cstheme="minorHAnsi"/>
          <w:b/>
          <w:bCs/>
          <w:color w:val="632423" w:themeColor="accent2" w:themeShade="80"/>
        </w:rPr>
        <w:t>es diplômés</w:t>
      </w:r>
    </w:p>
    <w:p w:rsidR="00862FBD" w:rsidRDefault="005449B2" w:rsidP="00EE0822">
      <w:pPr>
        <w:spacing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>L</w:t>
      </w:r>
      <w:r w:rsidR="00EA7F3E" w:rsidRPr="00E25817">
        <w:rPr>
          <w:rFonts w:ascii="Book Antiqua" w:hAnsi="Book Antiqua" w:cs="Arial"/>
        </w:rPr>
        <w:t xml:space="preserve">e taux de chômage </w:t>
      </w:r>
      <w:r w:rsidR="00CC3D48" w:rsidRPr="00E25817">
        <w:rPr>
          <w:rFonts w:ascii="Book Antiqua" w:hAnsi="Book Antiqua" w:cs="Arial"/>
        </w:rPr>
        <w:t xml:space="preserve">atteint </w:t>
      </w:r>
      <w:r w:rsidR="004026D2" w:rsidRPr="00E25817">
        <w:rPr>
          <w:rFonts w:ascii="Book Antiqua" w:hAnsi="Book Antiqua" w:cs="Arial"/>
        </w:rPr>
        <w:t>24,9%</w:t>
      </w:r>
      <w:r w:rsidR="00EA7F3E" w:rsidRPr="00E25817">
        <w:rPr>
          <w:rFonts w:ascii="Book Antiqua" w:hAnsi="Book Antiqua" w:cs="Arial"/>
        </w:rPr>
        <w:t xml:space="preserve"> parmi les jeunes âgés de 15 à 24 ans </w:t>
      </w:r>
      <w:r w:rsidR="008106EF">
        <w:rPr>
          <w:rFonts w:ascii="Book Antiqua" w:hAnsi="Book Antiqua" w:cs="Arial"/>
        </w:rPr>
        <w:t xml:space="preserve">contre 7% parmi les personnes âgées de 25 ans et plus. </w:t>
      </w:r>
      <w:r w:rsidR="00862FBD">
        <w:rPr>
          <w:rFonts w:ascii="Book Antiqua" w:hAnsi="Book Antiqua" w:cs="Arial"/>
        </w:rPr>
        <w:t xml:space="preserve">Ce taux </w:t>
      </w:r>
      <w:r w:rsidR="00D16F69">
        <w:rPr>
          <w:rFonts w:ascii="Book Antiqua" w:hAnsi="Book Antiqua" w:cs="Arial"/>
        </w:rPr>
        <w:t>enregistre</w:t>
      </w:r>
      <w:r w:rsidR="00EE0822">
        <w:rPr>
          <w:rFonts w:ascii="Book Antiqua" w:hAnsi="Book Antiqua" w:cs="Arial"/>
        </w:rPr>
        <w:t xml:space="preserve"> respectivement </w:t>
      </w:r>
      <w:r w:rsidR="00862FBD">
        <w:rPr>
          <w:rFonts w:ascii="Book Antiqua" w:hAnsi="Book Antiqua" w:cs="Arial"/>
        </w:rPr>
        <w:t xml:space="preserve">39,2% et </w:t>
      </w:r>
      <w:r w:rsidR="00521BC9">
        <w:rPr>
          <w:rFonts w:ascii="Book Antiqua" w:hAnsi="Book Antiqua" w:cs="Arial"/>
        </w:rPr>
        <w:t>9,9</w:t>
      </w:r>
      <w:r w:rsidR="00862FBD">
        <w:rPr>
          <w:rFonts w:ascii="Book Antiqua" w:hAnsi="Book Antiqua" w:cs="Arial"/>
        </w:rPr>
        <w:t>%</w:t>
      </w:r>
      <w:r w:rsidR="00EE0822">
        <w:rPr>
          <w:rFonts w:ascii="Book Antiqua" w:hAnsi="Book Antiqua" w:cs="Arial"/>
        </w:rPr>
        <w:t xml:space="preserve"> en milieu urbain.</w:t>
      </w:r>
    </w:p>
    <w:p w:rsidR="00862FBD" w:rsidRDefault="00CC3D48" w:rsidP="00EE082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>L</w:t>
      </w:r>
      <w:r w:rsidR="00EA7F3E" w:rsidRPr="00E25817">
        <w:rPr>
          <w:rFonts w:ascii="Book Antiqua" w:hAnsi="Book Antiqua" w:cs="Arial"/>
        </w:rPr>
        <w:t xml:space="preserve">e </w:t>
      </w:r>
      <w:r w:rsidR="00862FBD">
        <w:rPr>
          <w:rFonts w:ascii="Book Antiqua" w:hAnsi="Book Antiqua" w:cs="Arial"/>
        </w:rPr>
        <w:t xml:space="preserve">phénomène du </w:t>
      </w:r>
      <w:r w:rsidR="00EA7F3E" w:rsidRPr="00E25817">
        <w:rPr>
          <w:rFonts w:ascii="Book Antiqua" w:hAnsi="Book Antiqua" w:cs="Arial"/>
        </w:rPr>
        <w:t xml:space="preserve">chômage </w:t>
      </w:r>
      <w:r w:rsidR="00862FBD">
        <w:rPr>
          <w:rFonts w:ascii="Book Antiqua" w:hAnsi="Book Antiqua" w:cs="Arial"/>
        </w:rPr>
        <w:t>touche</w:t>
      </w:r>
      <w:r w:rsidR="00EA7F3E" w:rsidRPr="00E25817">
        <w:rPr>
          <w:rFonts w:ascii="Book Antiqua" w:hAnsi="Book Antiqua" w:cs="Arial"/>
        </w:rPr>
        <w:t xml:space="preserve"> les femmes </w:t>
      </w:r>
      <w:r w:rsidR="00213AA9" w:rsidRPr="00E25817">
        <w:rPr>
          <w:rFonts w:ascii="Book Antiqua" w:hAnsi="Book Antiqua" w:cs="Arial"/>
        </w:rPr>
        <w:t xml:space="preserve">plus </w:t>
      </w:r>
      <w:r w:rsidR="00EA7F3E" w:rsidRPr="00E25817">
        <w:rPr>
          <w:rFonts w:ascii="Book Antiqua" w:hAnsi="Book Antiqua" w:cs="Arial"/>
        </w:rPr>
        <w:t>que les hommes</w:t>
      </w:r>
      <w:r w:rsidR="00514652">
        <w:rPr>
          <w:rFonts w:ascii="Book Antiqua" w:hAnsi="Book Antiqua" w:cs="Arial"/>
        </w:rPr>
        <w:t>,</w:t>
      </w:r>
      <w:r w:rsidR="00EA7F3E" w:rsidRPr="00E25817">
        <w:rPr>
          <w:rFonts w:ascii="Book Antiqua" w:hAnsi="Book Antiqua" w:cs="Arial"/>
        </w:rPr>
        <w:t xml:space="preserve"> avec des </w:t>
      </w:r>
      <w:r w:rsidR="00862FBD">
        <w:rPr>
          <w:rFonts w:ascii="Book Antiqua" w:hAnsi="Book Antiqua" w:cs="Arial"/>
        </w:rPr>
        <w:t xml:space="preserve">taux </w:t>
      </w:r>
      <w:r w:rsidR="00EA7F3E" w:rsidRPr="00E25817">
        <w:rPr>
          <w:rFonts w:ascii="Book Antiqua" w:hAnsi="Book Antiqua" w:cs="Arial"/>
        </w:rPr>
        <w:t>respecti</w:t>
      </w:r>
      <w:r w:rsidR="00862FBD">
        <w:rPr>
          <w:rFonts w:ascii="Book Antiqua" w:hAnsi="Book Antiqua" w:cs="Arial"/>
        </w:rPr>
        <w:t>f</w:t>
      </w:r>
      <w:r w:rsidR="00EA7F3E" w:rsidRPr="00E25817">
        <w:rPr>
          <w:rFonts w:ascii="Book Antiqua" w:hAnsi="Book Antiqua" w:cs="Arial"/>
        </w:rPr>
        <w:t xml:space="preserve">s de </w:t>
      </w:r>
      <w:r w:rsidR="004026D2" w:rsidRPr="00E25817">
        <w:rPr>
          <w:rFonts w:ascii="Book Antiqua" w:hAnsi="Book Antiqua" w:cs="Arial"/>
        </w:rPr>
        <w:t>13,5%</w:t>
      </w:r>
      <w:r w:rsidR="00EA7F3E" w:rsidRPr="00E25817">
        <w:rPr>
          <w:rFonts w:ascii="Book Antiqua" w:hAnsi="Book Antiqua" w:cs="Arial"/>
        </w:rPr>
        <w:t xml:space="preserve"> et </w:t>
      </w:r>
      <w:r w:rsidR="00862FBD">
        <w:rPr>
          <w:rFonts w:ascii="Book Antiqua" w:hAnsi="Book Antiqua" w:cs="Arial"/>
        </w:rPr>
        <w:t xml:space="preserve">de </w:t>
      </w:r>
      <w:r w:rsidR="004026D2" w:rsidRPr="00E25817">
        <w:rPr>
          <w:rFonts w:ascii="Book Antiqua" w:hAnsi="Book Antiqua" w:cs="Arial"/>
        </w:rPr>
        <w:t>7,8%</w:t>
      </w:r>
      <w:r w:rsidR="00EA7F3E" w:rsidRPr="00E25817">
        <w:rPr>
          <w:rFonts w:ascii="Book Antiqua" w:hAnsi="Book Antiqua" w:cs="Arial"/>
        </w:rPr>
        <w:t xml:space="preserve">. </w:t>
      </w:r>
      <w:r w:rsidR="00862FBD">
        <w:rPr>
          <w:rFonts w:ascii="Book Antiqua" w:hAnsi="Book Antiqua" w:cs="Arial"/>
        </w:rPr>
        <w:t xml:space="preserve">Dans les villes, le taux de chômage des femmes est </w:t>
      </w:r>
      <w:r w:rsidR="00EE0822">
        <w:rPr>
          <w:rFonts w:ascii="Book Antiqua" w:hAnsi="Book Antiqua" w:cs="Arial"/>
        </w:rPr>
        <w:t>plus que</w:t>
      </w:r>
      <w:r w:rsidR="00862FBD">
        <w:rPr>
          <w:rFonts w:ascii="Book Antiqua" w:hAnsi="Book Antiqua" w:cs="Arial"/>
        </w:rPr>
        <w:t xml:space="preserve"> le double de celui des hommes</w:t>
      </w:r>
      <w:r w:rsidR="00EE0822">
        <w:rPr>
          <w:rFonts w:ascii="Book Antiqua" w:hAnsi="Book Antiqua" w:cs="Arial"/>
        </w:rPr>
        <w:t xml:space="preserve"> avec </w:t>
      </w:r>
      <w:r w:rsidR="00862FBD">
        <w:rPr>
          <w:rFonts w:ascii="Book Antiqua" w:hAnsi="Book Antiqua" w:cs="Arial"/>
        </w:rPr>
        <w:t>respectivement 21</w:t>
      </w:r>
      <w:r w:rsidR="00C67F74" w:rsidRPr="00E25817">
        <w:rPr>
          <w:rFonts w:ascii="Book Antiqua" w:hAnsi="Book Antiqua" w:cs="Arial"/>
        </w:rPr>
        <w:t>,8</w:t>
      </w:r>
      <w:r w:rsidR="00EA7F3E" w:rsidRPr="00E25817">
        <w:rPr>
          <w:rFonts w:ascii="Book Antiqua" w:hAnsi="Book Antiqua" w:cs="Arial"/>
        </w:rPr>
        <w:t xml:space="preserve">% </w:t>
      </w:r>
      <w:r w:rsidR="00862FBD">
        <w:rPr>
          <w:rFonts w:ascii="Book Antiqua" w:hAnsi="Book Antiqua" w:cs="Arial"/>
        </w:rPr>
        <w:t>et</w:t>
      </w:r>
      <w:r w:rsidR="00EA7F3E" w:rsidRPr="00E25817">
        <w:rPr>
          <w:rFonts w:ascii="Book Antiqua" w:hAnsi="Book Antiqua" w:cs="Arial"/>
        </w:rPr>
        <w:t xml:space="preserve"> </w:t>
      </w:r>
      <w:r w:rsidR="00C67F74" w:rsidRPr="00E25817">
        <w:rPr>
          <w:rFonts w:ascii="Book Antiqua" w:hAnsi="Book Antiqua" w:cs="Arial"/>
        </w:rPr>
        <w:t>10,3</w:t>
      </w:r>
      <w:r w:rsidR="00EA7F3E" w:rsidRPr="00E25817">
        <w:rPr>
          <w:rFonts w:ascii="Book Antiqua" w:hAnsi="Book Antiqua" w:cs="Arial"/>
        </w:rPr>
        <w:t>%</w:t>
      </w:r>
      <w:r w:rsidR="00862FBD">
        <w:rPr>
          <w:rFonts w:ascii="Book Antiqua" w:hAnsi="Book Antiqua" w:cs="Arial"/>
        </w:rPr>
        <w:t>.</w:t>
      </w:r>
    </w:p>
    <w:p w:rsidR="00EA7F3E" w:rsidRPr="00E25817" w:rsidRDefault="00EA7F3E" w:rsidP="00514652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 xml:space="preserve">Le taux de chômage </w:t>
      </w:r>
      <w:r w:rsidR="0094595B" w:rsidRPr="00E25817">
        <w:rPr>
          <w:rFonts w:ascii="Book Antiqua" w:hAnsi="Book Antiqua" w:cs="Arial"/>
        </w:rPr>
        <w:t>croît avec le niveau de qualification. Il passe</w:t>
      </w:r>
      <w:r w:rsidR="00B83257" w:rsidRPr="00E25817">
        <w:rPr>
          <w:rFonts w:ascii="Book Antiqua" w:hAnsi="Book Antiqua" w:cs="Arial"/>
        </w:rPr>
        <w:t xml:space="preserve">, ainsi, </w:t>
      </w:r>
      <w:r w:rsidR="0094595B" w:rsidRPr="00E25817">
        <w:rPr>
          <w:rFonts w:ascii="Book Antiqua" w:hAnsi="Book Antiqua" w:cs="Arial"/>
        </w:rPr>
        <w:t xml:space="preserve">de </w:t>
      </w:r>
      <w:r w:rsidR="00E343DF" w:rsidRPr="00E25817">
        <w:rPr>
          <w:rFonts w:ascii="Book Antiqua" w:hAnsi="Book Antiqua" w:cs="Arial"/>
        </w:rPr>
        <w:t>3,1</w:t>
      </w:r>
      <w:r w:rsidR="0094595B" w:rsidRPr="00E25817">
        <w:rPr>
          <w:rFonts w:ascii="Book Antiqua" w:hAnsi="Book Antiqua" w:cs="Arial"/>
        </w:rPr>
        <w:t xml:space="preserve">% parmi les personnes n’ayant aucun diplôme à </w:t>
      </w:r>
      <w:r w:rsidR="00E343DF" w:rsidRPr="00E25817">
        <w:rPr>
          <w:rFonts w:ascii="Book Antiqua" w:hAnsi="Book Antiqua" w:cs="Arial"/>
        </w:rPr>
        <w:t>15,7</w:t>
      </w:r>
      <w:r w:rsidR="0094595B" w:rsidRPr="00E25817">
        <w:rPr>
          <w:rFonts w:ascii="Book Antiqua" w:hAnsi="Book Antiqua" w:cs="Arial"/>
        </w:rPr>
        <w:t xml:space="preserve">% pour </w:t>
      </w:r>
      <w:r w:rsidR="00B83257" w:rsidRPr="00E25817">
        <w:rPr>
          <w:rFonts w:ascii="Book Antiqua" w:hAnsi="Book Antiqua" w:cs="Arial"/>
        </w:rPr>
        <w:t xml:space="preserve">les </w:t>
      </w:r>
      <w:r w:rsidR="00862FBD">
        <w:rPr>
          <w:rFonts w:ascii="Book Antiqua" w:hAnsi="Book Antiqua" w:cs="Arial"/>
        </w:rPr>
        <w:t xml:space="preserve">détenteurs d'un </w:t>
      </w:r>
      <w:r w:rsidR="0094595B" w:rsidRPr="00E25817">
        <w:rPr>
          <w:rFonts w:ascii="Book Antiqua" w:hAnsi="Book Antiqua" w:cs="Arial"/>
        </w:rPr>
        <w:t>diplôm</w:t>
      </w:r>
      <w:r w:rsidR="00862FBD">
        <w:rPr>
          <w:rFonts w:ascii="Book Antiqua" w:hAnsi="Book Antiqua" w:cs="Arial"/>
        </w:rPr>
        <w:t>e et de</w:t>
      </w:r>
      <w:r w:rsidR="00B83257" w:rsidRPr="00E25817">
        <w:rPr>
          <w:rFonts w:ascii="Book Antiqua" w:hAnsi="Book Antiqua" w:cs="Arial"/>
        </w:rPr>
        <w:t xml:space="preserve"> </w:t>
      </w:r>
      <w:r w:rsidR="00435B0F" w:rsidRPr="00E25817">
        <w:rPr>
          <w:rFonts w:ascii="Book Antiqua" w:hAnsi="Book Antiqua" w:cs="Arial"/>
        </w:rPr>
        <w:t>12,4</w:t>
      </w:r>
      <w:r w:rsidRPr="00E25817">
        <w:rPr>
          <w:rFonts w:ascii="Book Antiqua" w:hAnsi="Book Antiqua" w:cs="Arial"/>
        </w:rPr>
        <w:t xml:space="preserve">% </w:t>
      </w:r>
      <w:r w:rsidR="00862FBD">
        <w:rPr>
          <w:rFonts w:ascii="Book Antiqua" w:hAnsi="Book Antiqua" w:cs="Arial"/>
        </w:rPr>
        <w:t>parmi</w:t>
      </w:r>
      <w:r w:rsidRPr="00E25817">
        <w:rPr>
          <w:rFonts w:ascii="Book Antiqua" w:hAnsi="Book Antiqua" w:cs="Arial"/>
        </w:rPr>
        <w:t xml:space="preserve"> les </w:t>
      </w:r>
      <w:r w:rsidR="00862FBD">
        <w:rPr>
          <w:rFonts w:ascii="Book Antiqua" w:hAnsi="Book Antiqua" w:cs="Arial"/>
        </w:rPr>
        <w:t>personnes ayant un diplôme</w:t>
      </w:r>
      <w:r w:rsidRPr="00E25817">
        <w:rPr>
          <w:rFonts w:ascii="Book Antiqua" w:hAnsi="Book Antiqua" w:cs="Arial"/>
        </w:rPr>
        <w:t xml:space="preserve"> moyen </w:t>
      </w:r>
      <w:r w:rsidR="00B83257" w:rsidRPr="00E25817">
        <w:rPr>
          <w:rFonts w:ascii="Book Antiqua" w:hAnsi="Book Antiqua" w:cs="Arial"/>
        </w:rPr>
        <w:t>à</w:t>
      </w:r>
      <w:r w:rsidRPr="00E25817">
        <w:rPr>
          <w:rFonts w:ascii="Book Antiqua" w:hAnsi="Book Antiqua" w:cs="Arial"/>
        </w:rPr>
        <w:t xml:space="preserve"> </w:t>
      </w:r>
      <w:r w:rsidR="00435B0F" w:rsidRPr="00E25817">
        <w:rPr>
          <w:rFonts w:ascii="Book Antiqua" w:hAnsi="Book Antiqua" w:cs="Arial"/>
        </w:rPr>
        <w:t>21,6</w:t>
      </w:r>
      <w:r w:rsidRPr="00E25817">
        <w:rPr>
          <w:rFonts w:ascii="Book Antiqua" w:hAnsi="Book Antiqua" w:cs="Arial"/>
        </w:rPr>
        <w:t xml:space="preserve">% </w:t>
      </w:r>
      <w:r w:rsidR="00AD7E2B" w:rsidRPr="00E25817">
        <w:rPr>
          <w:rFonts w:ascii="Book Antiqua" w:hAnsi="Book Antiqua" w:cs="Arial"/>
        </w:rPr>
        <w:t>pour</w:t>
      </w:r>
      <w:r w:rsidR="00430EC9" w:rsidRPr="00E25817">
        <w:rPr>
          <w:rFonts w:ascii="Book Antiqua" w:hAnsi="Book Antiqua" w:cs="Arial"/>
        </w:rPr>
        <w:t xml:space="preserve"> </w:t>
      </w:r>
      <w:r w:rsidR="00514652">
        <w:rPr>
          <w:rFonts w:ascii="Book Antiqua" w:hAnsi="Book Antiqua" w:cs="Arial"/>
        </w:rPr>
        <w:t>celles</w:t>
      </w:r>
      <w:r w:rsidR="00CC3D48" w:rsidRPr="00E25817">
        <w:rPr>
          <w:rFonts w:ascii="Book Antiqua" w:hAnsi="Book Antiqua" w:cs="Arial"/>
        </w:rPr>
        <w:t xml:space="preserve"> ayant un diplôme </w:t>
      </w:r>
      <w:r w:rsidRPr="00E25817">
        <w:rPr>
          <w:rFonts w:ascii="Book Antiqua" w:hAnsi="Book Antiqua" w:cs="Arial"/>
        </w:rPr>
        <w:t xml:space="preserve">supérieur. </w:t>
      </w:r>
    </w:p>
    <w:p w:rsidR="00EA7F3E" w:rsidRDefault="00B83257" w:rsidP="00521BC9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  <w:r w:rsidRPr="00E25817">
        <w:rPr>
          <w:rFonts w:ascii="Book Antiqua" w:hAnsi="Book Antiqua" w:cs="Arial"/>
        </w:rPr>
        <w:t xml:space="preserve">Il reste relativement plus </w:t>
      </w:r>
      <w:r w:rsidR="00875228" w:rsidRPr="00E25817">
        <w:rPr>
          <w:rFonts w:ascii="Book Antiqua" w:hAnsi="Book Antiqua" w:cs="Arial"/>
        </w:rPr>
        <w:t xml:space="preserve">élevé parmi </w:t>
      </w:r>
      <w:r w:rsidRPr="00E25817">
        <w:rPr>
          <w:rFonts w:ascii="Book Antiqua" w:hAnsi="Book Antiqua" w:cs="Arial"/>
        </w:rPr>
        <w:t xml:space="preserve">certaines catégories de diplômés dont particulièrement </w:t>
      </w:r>
      <w:r w:rsidR="00875228" w:rsidRPr="00E25817">
        <w:rPr>
          <w:rFonts w:ascii="Book Antiqua" w:hAnsi="Book Antiqua" w:cs="Arial"/>
        </w:rPr>
        <w:t xml:space="preserve">les </w:t>
      </w:r>
      <w:r w:rsidRPr="00E25817">
        <w:rPr>
          <w:rFonts w:ascii="Book Antiqua" w:hAnsi="Book Antiqua" w:cs="Arial"/>
        </w:rPr>
        <w:t xml:space="preserve">détenteurs </w:t>
      </w:r>
      <w:r w:rsidR="00435B0F" w:rsidRPr="00E25817">
        <w:rPr>
          <w:rFonts w:ascii="Book Antiqua" w:hAnsi="Book Antiqua" w:cs="Arial"/>
        </w:rPr>
        <w:t>de</w:t>
      </w:r>
      <w:r w:rsidR="00514652">
        <w:rPr>
          <w:rFonts w:ascii="Book Antiqua" w:hAnsi="Book Antiqua" w:cs="Arial"/>
        </w:rPr>
        <w:t>s</w:t>
      </w:r>
      <w:r w:rsidR="00435B0F" w:rsidRPr="00E25817">
        <w:rPr>
          <w:rFonts w:ascii="Book Antiqua" w:hAnsi="Book Antiqua" w:cs="Arial"/>
        </w:rPr>
        <w:t xml:space="preserve"> diplômes </w:t>
      </w:r>
      <w:r w:rsidRPr="00E25817">
        <w:rPr>
          <w:rFonts w:ascii="Book Antiqua" w:hAnsi="Book Antiqua" w:cs="Arial"/>
        </w:rPr>
        <w:t>délivrés par les facultés (</w:t>
      </w:r>
      <w:r w:rsidR="00435B0F" w:rsidRPr="00E25817">
        <w:rPr>
          <w:rFonts w:ascii="Book Antiqua" w:hAnsi="Book Antiqua" w:cs="Arial"/>
        </w:rPr>
        <w:t>23,6</w:t>
      </w:r>
      <w:r w:rsidRPr="00E25817">
        <w:rPr>
          <w:rFonts w:ascii="Book Antiqua" w:hAnsi="Book Antiqua" w:cs="Arial"/>
        </w:rPr>
        <w:t xml:space="preserve">%), </w:t>
      </w:r>
      <w:r w:rsidR="00435B0F" w:rsidRPr="00E25817">
        <w:rPr>
          <w:rFonts w:ascii="Book Antiqua" w:hAnsi="Book Antiqua" w:cs="Arial"/>
        </w:rPr>
        <w:t>de</w:t>
      </w:r>
      <w:r w:rsidR="00514652">
        <w:rPr>
          <w:rFonts w:ascii="Book Antiqua" w:hAnsi="Book Antiqua" w:cs="Arial"/>
        </w:rPr>
        <w:t>s diplômes de</w:t>
      </w:r>
      <w:r w:rsidR="00435B0F" w:rsidRPr="00E25817">
        <w:rPr>
          <w:rFonts w:ascii="Book Antiqua" w:hAnsi="Book Antiqua" w:cs="Arial"/>
        </w:rPr>
        <w:t xml:space="preserve"> techniciens et cadres moyens </w:t>
      </w:r>
      <w:r w:rsidR="00435B0F" w:rsidRPr="00521BC9">
        <w:rPr>
          <w:rFonts w:ascii="Book Antiqua" w:hAnsi="Book Antiqua" w:cs="Arial"/>
        </w:rPr>
        <w:t>(</w:t>
      </w:r>
      <w:r w:rsidR="00521BC9" w:rsidRPr="00521BC9">
        <w:rPr>
          <w:rFonts w:ascii="Book Antiqua" w:hAnsi="Book Antiqua" w:cs="Arial"/>
        </w:rPr>
        <w:t>23,9</w:t>
      </w:r>
      <w:r w:rsidR="00435B0F" w:rsidRPr="00521BC9">
        <w:rPr>
          <w:rFonts w:ascii="Book Antiqua" w:hAnsi="Book Antiqua" w:cs="Arial"/>
        </w:rPr>
        <w:t>%)</w:t>
      </w:r>
      <w:r w:rsidR="00435B0F" w:rsidRPr="00E25817">
        <w:rPr>
          <w:rFonts w:ascii="Book Antiqua" w:hAnsi="Book Antiqua" w:cs="Arial"/>
        </w:rPr>
        <w:t xml:space="preserve"> et </w:t>
      </w:r>
      <w:r w:rsidRPr="00E25817">
        <w:rPr>
          <w:rFonts w:ascii="Book Antiqua" w:hAnsi="Book Antiqua" w:cs="Arial"/>
        </w:rPr>
        <w:t>de</w:t>
      </w:r>
      <w:r w:rsidR="005E7F8D">
        <w:rPr>
          <w:rFonts w:ascii="Book Antiqua" w:hAnsi="Book Antiqua" w:cs="Arial"/>
        </w:rPr>
        <w:t>s</w:t>
      </w:r>
      <w:r w:rsidRPr="00E25817">
        <w:rPr>
          <w:rFonts w:ascii="Book Antiqua" w:hAnsi="Book Antiqua" w:cs="Arial"/>
        </w:rPr>
        <w:t xml:space="preserve"> </w:t>
      </w:r>
      <w:r w:rsidR="00875228" w:rsidRPr="00E25817">
        <w:rPr>
          <w:rFonts w:ascii="Book Antiqua" w:hAnsi="Book Antiqua" w:cs="Arial"/>
        </w:rPr>
        <w:t>certificats en spécialisation professionnelle (</w:t>
      </w:r>
      <w:r w:rsidR="00435B0F" w:rsidRPr="00E25817">
        <w:rPr>
          <w:rFonts w:ascii="Book Antiqua" w:hAnsi="Book Antiqua" w:cs="Arial"/>
        </w:rPr>
        <w:t xml:space="preserve">20,9 </w:t>
      </w:r>
      <w:r w:rsidR="00875228" w:rsidRPr="00E25817">
        <w:rPr>
          <w:rFonts w:ascii="Book Antiqua" w:hAnsi="Book Antiqua" w:cs="Arial"/>
        </w:rPr>
        <w:t>%)</w:t>
      </w:r>
      <w:r w:rsidR="00435B0F" w:rsidRPr="00E25817">
        <w:rPr>
          <w:rFonts w:ascii="Book Antiqua" w:hAnsi="Book Antiqua" w:cs="Arial"/>
        </w:rPr>
        <w:t>.</w:t>
      </w:r>
    </w:p>
    <w:p w:rsidR="00E25817" w:rsidRDefault="00E25817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</w:p>
    <w:p w:rsidR="005E7F8D" w:rsidRDefault="005E7F8D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</w:p>
    <w:p w:rsidR="005E7F8D" w:rsidRPr="00E25817" w:rsidRDefault="005E7F8D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="Arial"/>
        </w:rPr>
      </w:pPr>
    </w:p>
    <w:p w:rsidR="00E32390" w:rsidRPr="00E25817" w:rsidRDefault="00EA7F3E" w:rsidP="00E25817">
      <w:pPr>
        <w:spacing w:after="200" w:line="276" w:lineRule="auto"/>
        <w:jc w:val="both"/>
        <w:rPr>
          <w:rFonts w:ascii="Book Antiqua" w:hAnsi="Book Antiqua" w:cstheme="minorHAnsi"/>
          <w:b/>
          <w:bCs/>
          <w:color w:val="404040" w:themeColor="text1" w:themeTint="BF"/>
        </w:rPr>
      </w:pP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lastRenderedPageBreak/>
        <w:t xml:space="preserve">Graphique </w:t>
      </w:r>
      <w:r w:rsidR="008D493E" w:rsidRPr="00E25817">
        <w:rPr>
          <w:rFonts w:ascii="Book Antiqua" w:hAnsi="Book Antiqua" w:cstheme="minorHAnsi"/>
          <w:b/>
          <w:bCs/>
          <w:color w:val="404040" w:themeColor="text1" w:themeTint="BF"/>
        </w:rPr>
        <w:t>1</w:t>
      </w: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t xml:space="preserve">. </w:t>
      </w:r>
      <w:r w:rsidR="00E32390" w:rsidRPr="00E25817">
        <w:rPr>
          <w:rFonts w:ascii="Book Antiqua" w:hAnsi="Book Antiqua" w:cstheme="minorHAnsi"/>
          <w:b/>
          <w:bCs/>
          <w:color w:val="404040" w:themeColor="text1" w:themeTint="BF"/>
        </w:rPr>
        <w:t>Évolution du taux de chômage entre 2018 et 2019 parmi certaines catégories de la population active (en %)</w:t>
      </w:r>
    </w:p>
    <w:p w:rsidR="00CD08EC" w:rsidRPr="00E25817" w:rsidRDefault="00E32390" w:rsidP="00E25817">
      <w:pPr>
        <w:spacing w:line="312" w:lineRule="auto"/>
        <w:jc w:val="both"/>
        <w:rPr>
          <w:rFonts w:ascii="Book Antiqua" w:hAnsi="Book Antiqua" w:cstheme="minorHAnsi"/>
          <w:b/>
          <w:bCs/>
          <w:color w:val="002060"/>
        </w:rPr>
      </w:pPr>
      <w:r w:rsidRPr="00E25817">
        <w:rPr>
          <w:rFonts w:ascii="Book Antiqua" w:hAnsi="Book Antiqua" w:cstheme="minorHAnsi"/>
          <w:b/>
          <w:bCs/>
          <w:noProof/>
          <w:color w:val="0070C0"/>
        </w:rPr>
        <w:drawing>
          <wp:inline distT="0" distB="0" distL="0" distR="0">
            <wp:extent cx="5669280" cy="2468880"/>
            <wp:effectExtent l="0" t="0" r="0" b="0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71AB8" w:rsidRDefault="00F71AB8" w:rsidP="00F71AB8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>
        <w:rPr>
          <w:rFonts w:ascii="Book Antiqua" w:hAnsi="Book Antiqua" w:cstheme="minorHAnsi"/>
          <w:b/>
          <w:bCs/>
          <w:color w:val="632423" w:themeColor="accent2" w:themeShade="80"/>
        </w:rPr>
        <w:t xml:space="preserve">Les chômeurs sont en majorité des citadins, des hommes et des jeunes </w:t>
      </w:r>
    </w:p>
    <w:p w:rsidR="00F71AB8" w:rsidRDefault="00F71AB8" w:rsidP="00D01718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 w:rsidRPr="00F71AB8">
        <w:rPr>
          <w:rFonts w:ascii="Book Antiqua" w:hAnsi="Book Antiqua" w:cstheme="minorHAnsi"/>
        </w:rPr>
        <w:t>Plus de 8 chômeurs sur 10 (83,8%) résident en milieu urbain, 2 sur 3 sont de sexe masculin (65%)</w:t>
      </w:r>
      <w:r w:rsidR="00B179C1">
        <w:rPr>
          <w:rFonts w:ascii="Book Antiqua" w:hAnsi="Book Antiqua" w:cstheme="minorHAnsi"/>
        </w:rPr>
        <w:t xml:space="preserve">, </w:t>
      </w:r>
      <w:r w:rsidRPr="00F71AB8">
        <w:rPr>
          <w:rFonts w:ascii="Book Antiqua" w:hAnsi="Book Antiqua" w:cstheme="minorHAnsi"/>
        </w:rPr>
        <w:t>8 sur 10 (80,</w:t>
      </w:r>
      <w:r w:rsidR="00D01718">
        <w:rPr>
          <w:rFonts w:ascii="Book Antiqua" w:hAnsi="Book Antiqua" w:cstheme="minorHAnsi"/>
        </w:rPr>
        <w:t>3</w:t>
      </w:r>
      <w:r w:rsidR="005B253B" w:rsidRPr="00F71AB8">
        <w:rPr>
          <w:rFonts w:ascii="Book Antiqua" w:hAnsi="Book Antiqua" w:cstheme="minorHAnsi"/>
        </w:rPr>
        <w:t>%</w:t>
      </w:r>
      <w:r w:rsidRPr="00F71AB8">
        <w:rPr>
          <w:rFonts w:ascii="Book Antiqua" w:hAnsi="Book Antiqua" w:cstheme="minorHAnsi"/>
        </w:rPr>
        <w:t>)</w:t>
      </w:r>
      <w:r w:rsidR="005B253B" w:rsidRPr="00F71AB8">
        <w:rPr>
          <w:rFonts w:ascii="Book Antiqua" w:hAnsi="Book Antiqua" w:cstheme="minorHAnsi"/>
        </w:rPr>
        <w:t xml:space="preserve"> sont âgés de </w:t>
      </w:r>
      <w:r w:rsidR="00B179C1">
        <w:rPr>
          <w:rFonts w:ascii="Book Antiqua" w:hAnsi="Book Antiqua" w:cstheme="minorHAnsi"/>
        </w:rPr>
        <w:t>15 à</w:t>
      </w:r>
      <w:r w:rsidR="005B253B" w:rsidRPr="00F71AB8">
        <w:rPr>
          <w:rFonts w:ascii="Book Antiqua" w:hAnsi="Book Antiqua" w:cstheme="minorHAnsi"/>
        </w:rPr>
        <w:t xml:space="preserve"> 3</w:t>
      </w:r>
      <w:r w:rsidR="00B179C1">
        <w:rPr>
          <w:rFonts w:ascii="Book Antiqua" w:hAnsi="Book Antiqua" w:cstheme="minorHAnsi"/>
        </w:rPr>
        <w:t>4</w:t>
      </w:r>
      <w:r w:rsidR="005B253B" w:rsidRPr="00F71AB8">
        <w:rPr>
          <w:rFonts w:ascii="Book Antiqua" w:hAnsi="Book Antiqua" w:cstheme="minorHAnsi"/>
        </w:rPr>
        <w:t xml:space="preserve"> ans</w:t>
      </w:r>
      <w:r w:rsidR="00B179C1">
        <w:rPr>
          <w:rFonts w:ascii="Book Antiqua" w:hAnsi="Book Antiqua" w:cstheme="minorHAnsi"/>
        </w:rPr>
        <w:t xml:space="preserve"> et </w:t>
      </w:r>
      <w:r w:rsidRPr="00F71AB8">
        <w:rPr>
          <w:rFonts w:ascii="Book Antiqua" w:hAnsi="Book Antiqua" w:cstheme="minorHAnsi"/>
        </w:rPr>
        <w:t>4 sur 10 (</w:t>
      </w:r>
      <w:r w:rsidR="005B253B" w:rsidRPr="00F71AB8">
        <w:rPr>
          <w:rFonts w:ascii="Book Antiqua" w:hAnsi="Book Antiqua" w:cstheme="minorHAnsi"/>
        </w:rPr>
        <w:t>40,8%</w:t>
      </w:r>
      <w:r w:rsidRPr="00F71AB8">
        <w:rPr>
          <w:rFonts w:ascii="Book Antiqua" w:hAnsi="Book Antiqua" w:cstheme="minorHAnsi"/>
        </w:rPr>
        <w:t>)</w:t>
      </w:r>
      <w:r w:rsidR="005B253B" w:rsidRPr="00F71AB8">
        <w:rPr>
          <w:rFonts w:ascii="Book Antiqua" w:hAnsi="Book Antiqua" w:cstheme="minorHAnsi"/>
        </w:rPr>
        <w:t xml:space="preserve"> </w:t>
      </w:r>
      <w:r w:rsidR="00B179C1">
        <w:rPr>
          <w:rFonts w:ascii="Book Antiqua" w:hAnsi="Book Antiqua" w:cstheme="minorHAnsi"/>
        </w:rPr>
        <w:t>sont détenteurs d'un</w:t>
      </w:r>
      <w:r w:rsidRPr="00F71AB8">
        <w:rPr>
          <w:rFonts w:ascii="Book Antiqua" w:hAnsi="Book Antiqua" w:cstheme="minorHAnsi"/>
        </w:rPr>
        <w:t xml:space="preserve"> diplôme supérieur.</w:t>
      </w:r>
    </w:p>
    <w:p w:rsidR="00F71AB8" w:rsidRPr="00F71AB8" w:rsidRDefault="00B179C1" w:rsidP="00B179C1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C</w:t>
      </w:r>
      <w:r w:rsidR="00F71AB8" w:rsidRPr="00F71AB8">
        <w:rPr>
          <w:rFonts w:ascii="Book Antiqua" w:hAnsi="Book Antiqua" w:cstheme="minorHAnsi"/>
        </w:rPr>
        <w:t xml:space="preserve">inq régions </w:t>
      </w:r>
      <w:r>
        <w:rPr>
          <w:rFonts w:ascii="Book Antiqua" w:hAnsi="Book Antiqua" w:cstheme="minorHAnsi"/>
        </w:rPr>
        <w:t>abritent</w:t>
      </w:r>
      <w:r w:rsidR="00F71AB8" w:rsidRPr="00F71AB8">
        <w:rPr>
          <w:rFonts w:ascii="Book Antiqua" w:hAnsi="Book Antiqua" w:cstheme="minorHAnsi"/>
        </w:rPr>
        <w:t xml:space="preserve"> </w:t>
      </w:r>
      <w:r w:rsidRPr="00F71AB8">
        <w:rPr>
          <w:rFonts w:ascii="Book Antiqua" w:hAnsi="Book Antiqua" w:cstheme="minorHAnsi"/>
        </w:rPr>
        <w:t>71,6%</w:t>
      </w:r>
      <w:r>
        <w:rPr>
          <w:rFonts w:ascii="Book Antiqua" w:hAnsi="Book Antiqua" w:cstheme="minorHAnsi"/>
        </w:rPr>
        <w:t xml:space="preserve"> </w:t>
      </w:r>
      <w:r w:rsidR="00F71AB8" w:rsidRPr="00F71AB8">
        <w:rPr>
          <w:rFonts w:ascii="Book Antiqua" w:hAnsi="Book Antiqua" w:cstheme="minorHAnsi"/>
        </w:rPr>
        <w:t>des chômeurs</w:t>
      </w:r>
      <w:r>
        <w:rPr>
          <w:rFonts w:ascii="Book Antiqua" w:hAnsi="Book Antiqua" w:cstheme="minorHAnsi"/>
        </w:rPr>
        <w:t>;</w:t>
      </w:r>
      <w:r w:rsidR="00F71AB8" w:rsidRPr="00F71AB8">
        <w:rPr>
          <w:rFonts w:ascii="Book Antiqua" w:hAnsi="Book Antiqua" w:cstheme="minorHAnsi"/>
        </w:rPr>
        <w:t xml:space="preserve"> Casablanca-Settat vient en première position avec 25%, suivie de Rabat-Salé-Kénitra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15,8%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 xml:space="preserve">, </w:t>
      </w:r>
      <w:r>
        <w:rPr>
          <w:rFonts w:ascii="Book Antiqua" w:hAnsi="Book Antiqua" w:cstheme="minorHAnsi"/>
        </w:rPr>
        <w:t xml:space="preserve">de </w:t>
      </w:r>
      <w:r w:rsidR="00F71AB8" w:rsidRPr="00F71AB8">
        <w:rPr>
          <w:rFonts w:ascii="Book Antiqua" w:hAnsi="Book Antiqua" w:cstheme="minorHAnsi"/>
        </w:rPr>
        <w:t xml:space="preserve">Fès-Meknès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11%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 xml:space="preserve">, </w:t>
      </w:r>
      <w:r>
        <w:rPr>
          <w:rFonts w:ascii="Book Antiqua" w:hAnsi="Book Antiqua" w:cstheme="minorHAnsi"/>
        </w:rPr>
        <w:t xml:space="preserve">de </w:t>
      </w:r>
      <w:r w:rsidR="00F71AB8" w:rsidRPr="00F71AB8">
        <w:rPr>
          <w:rFonts w:ascii="Book Antiqua" w:hAnsi="Book Antiqua" w:cstheme="minorHAnsi"/>
        </w:rPr>
        <w:t xml:space="preserve">Tanger-Tétouan-Al Hoceima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9,9%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 xml:space="preserve"> et </w:t>
      </w:r>
      <w:r>
        <w:rPr>
          <w:rFonts w:ascii="Book Antiqua" w:hAnsi="Book Antiqua" w:cstheme="minorHAnsi"/>
        </w:rPr>
        <w:t xml:space="preserve">de </w:t>
      </w:r>
      <w:r w:rsidR="00F71AB8" w:rsidRPr="00F71AB8">
        <w:rPr>
          <w:rFonts w:ascii="Book Antiqua" w:hAnsi="Book Antiqua" w:cstheme="minorHAnsi"/>
        </w:rPr>
        <w:t xml:space="preserve">l’Oriental </w:t>
      </w:r>
      <w:r>
        <w:rPr>
          <w:rFonts w:ascii="Book Antiqua" w:hAnsi="Book Antiqua" w:cstheme="minorHAnsi"/>
        </w:rPr>
        <w:t>(</w:t>
      </w:r>
      <w:r w:rsidR="00F71AB8" w:rsidRPr="00F71AB8">
        <w:rPr>
          <w:rFonts w:ascii="Book Antiqua" w:hAnsi="Book Antiqua" w:cstheme="minorHAnsi"/>
        </w:rPr>
        <w:t>9,9%</w:t>
      </w:r>
      <w:r>
        <w:rPr>
          <w:rFonts w:ascii="Book Antiqua" w:hAnsi="Book Antiqua" w:cstheme="minorHAnsi"/>
        </w:rPr>
        <w:t>)</w:t>
      </w:r>
      <w:r w:rsidR="00F71AB8" w:rsidRPr="00F71AB8">
        <w:rPr>
          <w:rFonts w:ascii="Book Antiqua" w:hAnsi="Book Antiqua" w:cstheme="minorHAnsi"/>
        </w:rPr>
        <w:t>.</w:t>
      </w:r>
    </w:p>
    <w:p w:rsidR="00E401F4" w:rsidRPr="00E25817" w:rsidRDefault="005E7F8D" w:rsidP="005E7F8D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>
        <w:rPr>
          <w:rFonts w:ascii="Book Antiqua" w:hAnsi="Book Antiqua" w:cstheme="minorHAnsi"/>
          <w:b/>
          <w:bCs/>
          <w:color w:val="632423" w:themeColor="accent2" w:themeShade="80"/>
        </w:rPr>
        <w:t xml:space="preserve">6 chômeurs sur 10 sont </w:t>
      </w:r>
      <w:r w:rsidR="00E401F4" w:rsidRPr="00E25817">
        <w:rPr>
          <w:rFonts w:ascii="Book Antiqua" w:hAnsi="Book Antiqua" w:cstheme="minorHAnsi"/>
          <w:b/>
          <w:bCs/>
          <w:color w:val="632423" w:themeColor="accent2" w:themeShade="80"/>
        </w:rPr>
        <w:t>des primo-demandeurs d’emploi</w:t>
      </w:r>
      <w:r w:rsidR="005449B2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 </w:t>
      </w:r>
    </w:p>
    <w:p w:rsidR="00E401F4" w:rsidRPr="00E25817" w:rsidRDefault="005E7F8D" w:rsidP="00224A83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Il ressort que </w:t>
      </w:r>
      <w:r w:rsidR="00E401F4" w:rsidRPr="00E25817">
        <w:rPr>
          <w:rFonts w:ascii="Book Antiqua" w:hAnsi="Book Antiqua" w:cstheme="minorHAnsi"/>
        </w:rPr>
        <w:t>57,</w:t>
      </w:r>
      <w:r w:rsidR="00CD405E" w:rsidRPr="00E25817">
        <w:rPr>
          <w:rFonts w:ascii="Book Antiqua" w:hAnsi="Book Antiqua" w:cstheme="minorHAnsi"/>
        </w:rPr>
        <w:t>2</w:t>
      </w:r>
      <w:r w:rsidR="00E401F4" w:rsidRPr="00E25817">
        <w:rPr>
          <w:rFonts w:ascii="Book Antiqua" w:hAnsi="Book Antiqua" w:cstheme="minorHAnsi"/>
        </w:rPr>
        <w:t>%</w:t>
      </w:r>
      <w:r w:rsidR="00455113" w:rsidRPr="00E25817">
        <w:rPr>
          <w:rFonts w:ascii="Book Antiqua" w:hAnsi="Book Antiqua" w:cstheme="minorHAnsi"/>
          <w:rtl/>
        </w:rPr>
        <w:t xml:space="preserve"> </w:t>
      </w:r>
      <w:r>
        <w:rPr>
          <w:rFonts w:ascii="Book Antiqua" w:hAnsi="Book Antiqua" w:cstheme="minorHAnsi"/>
        </w:rPr>
        <w:t xml:space="preserve">des chômeurs </w:t>
      </w:r>
      <w:r w:rsidR="00E401F4" w:rsidRPr="00E25817">
        <w:rPr>
          <w:rFonts w:ascii="Book Antiqua" w:hAnsi="Book Antiqua" w:cstheme="minorHAnsi"/>
        </w:rPr>
        <w:t xml:space="preserve">sont à la recherche de leur premier emploi, </w:t>
      </w:r>
      <w:r w:rsidR="00CD405E" w:rsidRPr="00E25817">
        <w:rPr>
          <w:rFonts w:ascii="Book Antiqua" w:hAnsi="Book Antiqua" w:cstheme="minorHAnsi"/>
        </w:rPr>
        <w:t>50,9% parmi les hommes et 69,0% parmi les femmes</w:t>
      </w:r>
      <w:r w:rsidR="00E401F4" w:rsidRPr="00E25817">
        <w:rPr>
          <w:rFonts w:ascii="Book Antiqua" w:hAnsi="Book Antiqua" w:cstheme="minorHAnsi"/>
        </w:rPr>
        <w:t xml:space="preserve">. </w:t>
      </w:r>
      <w:r w:rsidR="00EB672E">
        <w:rPr>
          <w:rFonts w:ascii="Book Antiqua" w:hAnsi="Book Antiqua" w:cstheme="minorHAnsi"/>
        </w:rPr>
        <w:t xml:space="preserve">Les primo demandeurs d'emploi </w:t>
      </w:r>
      <w:r>
        <w:rPr>
          <w:rFonts w:ascii="Book Antiqua" w:hAnsi="Book Antiqua" w:cstheme="minorHAnsi"/>
        </w:rPr>
        <w:t xml:space="preserve">sont en majorité des citadins avec </w:t>
      </w:r>
      <w:r w:rsidR="00C87D57" w:rsidRPr="00E25817">
        <w:rPr>
          <w:rFonts w:ascii="Book Antiqua" w:hAnsi="Book Antiqua" w:cstheme="minorHAnsi"/>
        </w:rPr>
        <w:t>85,2</w:t>
      </w:r>
      <w:r w:rsidR="00E401F4" w:rsidRPr="00E25817">
        <w:rPr>
          <w:rFonts w:ascii="Book Antiqua" w:hAnsi="Book Antiqua" w:cstheme="minorHAnsi"/>
        </w:rPr>
        <w:t>%</w:t>
      </w:r>
      <w:r w:rsidR="00C33886" w:rsidRPr="00E25817">
        <w:rPr>
          <w:rFonts w:ascii="Book Antiqua" w:hAnsi="Book Antiqua" w:cstheme="minorHAnsi"/>
        </w:rPr>
        <w:t>, des jeunes âgés de 15 à 34 ans</w:t>
      </w:r>
      <w:r>
        <w:rPr>
          <w:rFonts w:ascii="Book Antiqua" w:hAnsi="Book Antiqua" w:cstheme="minorHAnsi"/>
        </w:rPr>
        <w:t xml:space="preserve"> (</w:t>
      </w:r>
      <w:r w:rsidR="00C87D57" w:rsidRPr="00E25817">
        <w:rPr>
          <w:rFonts w:ascii="Book Antiqua" w:hAnsi="Book Antiqua" w:cstheme="minorHAnsi"/>
        </w:rPr>
        <w:t>92,9</w:t>
      </w:r>
      <w:r w:rsidR="00C33886" w:rsidRPr="00E25817">
        <w:rPr>
          <w:rFonts w:ascii="Book Antiqua" w:hAnsi="Book Antiqua" w:cstheme="minorHAnsi"/>
        </w:rPr>
        <w:t>%</w:t>
      </w:r>
      <w:r>
        <w:rPr>
          <w:rFonts w:ascii="Book Antiqua" w:hAnsi="Book Antiqua" w:cstheme="minorHAnsi"/>
        </w:rPr>
        <w:t>)</w:t>
      </w:r>
      <w:r w:rsidR="00C33886" w:rsidRPr="00E25817">
        <w:rPr>
          <w:rFonts w:ascii="Book Antiqua" w:hAnsi="Book Antiqua" w:cstheme="minorHAnsi"/>
        </w:rPr>
        <w:t xml:space="preserve"> et </w:t>
      </w:r>
      <w:r w:rsidR="00E401F4" w:rsidRPr="00E25817">
        <w:rPr>
          <w:rFonts w:ascii="Book Antiqua" w:hAnsi="Book Antiqua" w:cstheme="minorHAnsi"/>
        </w:rPr>
        <w:t xml:space="preserve">des </w:t>
      </w:r>
      <w:r>
        <w:rPr>
          <w:rFonts w:ascii="Book Antiqua" w:hAnsi="Book Antiqua" w:cstheme="minorHAnsi"/>
        </w:rPr>
        <w:t xml:space="preserve">détenteurs d'un </w:t>
      </w:r>
      <w:r w:rsidR="00E401F4" w:rsidRPr="00E25817">
        <w:rPr>
          <w:rFonts w:ascii="Book Antiqua" w:hAnsi="Book Antiqua" w:cstheme="minorHAnsi"/>
        </w:rPr>
        <w:t>diplôm</w:t>
      </w:r>
      <w:r>
        <w:rPr>
          <w:rFonts w:ascii="Book Antiqua" w:hAnsi="Book Antiqua" w:cstheme="minorHAnsi"/>
        </w:rPr>
        <w:t>e (</w:t>
      </w:r>
      <w:r w:rsidR="00C87D57" w:rsidRPr="00E25817">
        <w:rPr>
          <w:rFonts w:ascii="Book Antiqua" w:hAnsi="Book Antiqua" w:cstheme="minorHAnsi"/>
        </w:rPr>
        <w:t xml:space="preserve">91,9 </w:t>
      </w:r>
      <w:r w:rsidR="00E401F4" w:rsidRPr="00E25817">
        <w:rPr>
          <w:rFonts w:ascii="Book Antiqua" w:hAnsi="Book Antiqua" w:cstheme="minorHAnsi"/>
        </w:rPr>
        <w:t>%</w:t>
      </w:r>
      <w:r>
        <w:rPr>
          <w:rFonts w:ascii="Book Antiqua" w:hAnsi="Book Antiqua" w:cstheme="minorHAnsi"/>
        </w:rPr>
        <w:t>)</w:t>
      </w:r>
      <w:r w:rsidR="00C33886" w:rsidRPr="00E25817">
        <w:rPr>
          <w:rFonts w:ascii="Book Antiqua" w:hAnsi="Book Antiqua" w:cstheme="minorHAnsi"/>
        </w:rPr>
        <w:t>.</w:t>
      </w:r>
    </w:p>
    <w:p w:rsidR="00E401F4" w:rsidRPr="00E25817" w:rsidRDefault="001D7E84" w:rsidP="00EB672E">
      <w:pPr>
        <w:spacing w:after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Près des </w:t>
      </w:r>
      <w:r w:rsidR="00E401F4" w:rsidRPr="00E25817">
        <w:rPr>
          <w:rFonts w:ascii="Book Antiqua" w:hAnsi="Book Antiqua" w:cstheme="minorHAnsi"/>
        </w:rPr>
        <w:t>trois</w:t>
      </w:r>
      <w:r>
        <w:rPr>
          <w:rFonts w:ascii="Book Antiqua" w:hAnsi="Book Antiqua" w:cstheme="minorHAnsi"/>
        </w:rPr>
        <w:t>-</w:t>
      </w:r>
      <w:r w:rsidR="00E401F4" w:rsidRPr="00E25817">
        <w:rPr>
          <w:rFonts w:ascii="Book Antiqua" w:hAnsi="Book Antiqua" w:cstheme="minorHAnsi"/>
        </w:rPr>
        <w:t xml:space="preserve">quarts </w:t>
      </w:r>
      <w:r w:rsidR="00EB672E">
        <w:rPr>
          <w:rFonts w:ascii="Book Antiqua" w:hAnsi="Book Antiqua" w:cstheme="minorHAnsi"/>
        </w:rPr>
        <w:t>d'entre eux</w:t>
      </w:r>
      <w:r w:rsidR="00E401F4" w:rsidRPr="00E25817">
        <w:rPr>
          <w:rFonts w:ascii="Book Antiqua" w:hAnsi="Book Antiqua" w:cstheme="minorHAnsi"/>
        </w:rPr>
        <w:t xml:space="preserve"> (</w:t>
      </w:r>
      <w:r w:rsidR="00C87D57" w:rsidRPr="00E25817">
        <w:rPr>
          <w:rFonts w:ascii="Book Antiqua" w:hAnsi="Book Antiqua" w:cstheme="minorHAnsi"/>
        </w:rPr>
        <w:t>73</w:t>
      </w:r>
      <w:r w:rsidR="00E401F4" w:rsidRPr="00E25817">
        <w:rPr>
          <w:rFonts w:ascii="Book Antiqua" w:hAnsi="Book Antiqua" w:cstheme="minorHAnsi"/>
        </w:rPr>
        <w:t xml:space="preserve">%) sont concentrés dans </w:t>
      </w:r>
      <w:r w:rsidR="005E7F8D">
        <w:rPr>
          <w:rFonts w:ascii="Book Antiqua" w:hAnsi="Book Antiqua" w:cstheme="minorHAnsi"/>
        </w:rPr>
        <w:t>5</w:t>
      </w:r>
      <w:r w:rsidR="00E401F4" w:rsidRPr="00E25817">
        <w:rPr>
          <w:rFonts w:ascii="Book Antiqua" w:hAnsi="Book Antiqua" w:cstheme="minorHAnsi"/>
        </w:rPr>
        <w:t xml:space="preserve"> régions</w:t>
      </w:r>
      <w:r>
        <w:rPr>
          <w:rFonts w:ascii="Book Antiqua" w:hAnsi="Book Antiqua" w:cstheme="minorHAnsi"/>
        </w:rPr>
        <w:t>,</w:t>
      </w:r>
      <w:r w:rsidR="00E401F4" w:rsidRPr="00E25817">
        <w:rPr>
          <w:rFonts w:ascii="Book Antiqua" w:hAnsi="Book Antiqua" w:cstheme="minorHAnsi"/>
        </w:rPr>
        <w:t xml:space="preserve"> à savoir Casablanca-Settat </w:t>
      </w:r>
      <w:r w:rsidR="005E7F8D">
        <w:rPr>
          <w:rFonts w:ascii="Book Antiqua" w:hAnsi="Book Antiqua" w:cstheme="minorHAnsi"/>
        </w:rPr>
        <w:t xml:space="preserve">avec </w:t>
      </w:r>
      <w:r w:rsidR="00C87D57" w:rsidRPr="00E25817">
        <w:rPr>
          <w:rFonts w:ascii="Book Antiqua" w:hAnsi="Book Antiqua" w:cstheme="minorHAnsi"/>
        </w:rPr>
        <w:t>21,0</w:t>
      </w:r>
      <w:r w:rsidR="005E7F8D">
        <w:rPr>
          <w:rFonts w:ascii="Book Antiqua" w:hAnsi="Book Antiqua" w:cstheme="minorHAnsi"/>
        </w:rPr>
        <w:t>%</w:t>
      </w:r>
      <w:r w:rsidR="00E401F4" w:rsidRPr="00E25817">
        <w:rPr>
          <w:rFonts w:ascii="Book Antiqua" w:hAnsi="Book Antiqua" w:cstheme="minorHAnsi"/>
        </w:rPr>
        <w:t>, Rabat-Salé-Kénitra (</w:t>
      </w:r>
      <w:r w:rsidR="00C87D57" w:rsidRPr="00E25817">
        <w:rPr>
          <w:rFonts w:ascii="Book Antiqua" w:hAnsi="Book Antiqua" w:cstheme="minorHAnsi"/>
        </w:rPr>
        <w:t>18,0</w:t>
      </w:r>
      <w:r w:rsidR="00E401F4" w:rsidRPr="00E25817">
        <w:rPr>
          <w:rFonts w:ascii="Book Antiqua" w:hAnsi="Book Antiqua" w:cstheme="minorHAnsi"/>
        </w:rPr>
        <w:t>%), Fès-Meknès (</w:t>
      </w:r>
      <w:r w:rsidR="00C87D57" w:rsidRPr="00E25817">
        <w:rPr>
          <w:rFonts w:ascii="Book Antiqua" w:hAnsi="Book Antiqua" w:cstheme="minorHAnsi"/>
        </w:rPr>
        <w:t>12,9</w:t>
      </w:r>
      <w:r w:rsidR="00E401F4" w:rsidRPr="00E25817">
        <w:rPr>
          <w:rFonts w:ascii="Book Antiqua" w:hAnsi="Book Antiqua" w:cstheme="minorHAnsi"/>
        </w:rPr>
        <w:t>%), Tanger-Tétouan-Al Hoceima (</w:t>
      </w:r>
      <w:r w:rsidR="00C87D57" w:rsidRPr="00E25817">
        <w:rPr>
          <w:rFonts w:ascii="Book Antiqua" w:hAnsi="Book Antiqua" w:cstheme="minorHAnsi"/>
        </w:rPr>
        <w:t>12,4</w:t>
      </w:r>
      <w:r w:rsidR="005E7F8D">
        <w:rPr>
          <w:rFonts w:ascii="Book Antiqua" w:hAnsi="Book Antiqua" w:cstheme="minorHAnsi"/>
        </w:rPr>
        <w:t xml:space="preserve">%) </w:t>
      </w:r>
      <w:r w:rsidR="00E401F4" w:rsidRPr="00E25817">
        <w:rPr>
          <w:rFonts w:ascii="Book Antiqua" w:hAnsi="Book Antiqua" w:cstheme="minorHAnsi"/>
        </w:rPr>
        <w:t>et Marrakech-Safi (</w:t>
      </w:r>
      <w:r w:rsidR="00C87D57" w:rsidRPr="00E25817">
        <w:rPr>
          <w:rFonts w:ascii="Book Antiqua" w:hAnsi="Book Antiqua" w:cstheme="minorHAnsi"/>
        </w:rPr>
        <w:t>8,7</w:t>
      </w:r>
      <w:r w:rsidR="00E401F4" w:rsidRPr="00E25817">
        <w:rPr>
          <w:rFonts w:ascii="Book Antiqua" w:hAnsi="Book Antiqua" w:cstheme="minorHAnsi"/>
        </w:rPr>
        <w:t>%).</w:t>
      </w:r>
    </w:p>
    <w:p w:rsidR="00E401F4" w:rsidRPr="00E25817" w:rsidRDefault="00732C48" w:rsidP="00E25817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E25817">
        <w:rPr>
          <w:rFonts w:ascii="Book Antiqua" w:hAnsi="Book Antiqua" w:cstheme="minorHAnsi"/>
          <w:b/>
          <w:bCs/>
          <w:color w:val="632423" w:themeColor="accent2" w:themeShade="80"/>
        </w:rPr>
        <w:t>Pré</w:t>
      </w:r>
      <w:r w:rsidR="00AD7E2B" w:rsidRPr="00E25817">
        <w:rPr>
          <w:rFonts w:ascii="Book Antiqua" w:hAnsi="Book Antiqua" w:cstheme="minorHAnsi"/>
          <w:b/>
          <w:bCs/>
          <w:color w:val="632423" w:themeColor="accent2" w:themeShade="80"/>
        </w:rPr>
        <w:t>pondérance</w:t>
      </w:r>
      <w:r w:rsidR="00E401F4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 du  chômage de longue durée</w:t>
      </w:r>
    </w:p>
    <w:p w:rsidR="001D7E84" w:rsidRDefault="00333F55" w:rsidP="005E57F8">
      <w:pPr>
        <w:pStyle w:val="NormalWeb"/>
        <w:shd w:val="clear" w:color="auto" w:fill="FFFFFF"/>
        <w:spacing w:before="240" w:beforeAutospacing="0" w:after="240" w:afterAutospacing="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>Plus d</w:t>
      </w:r>
      <w:r w:rsidR="00E401F4" w:rsidRPr="00E25817">
        <w:rPr>
          <w:rFonts w:ascii="Book Antiqua" w:hAnsi="Book Antiqua" w:cstheme="minorHAnsi"/>
        </w:rPr>
        <w:t>es deux-tiers des chômeurs (</w:t>
      </w:r>
      <w:r w:rsidR="005E57F8">
        <w:rPr>
          <w:rFonts w:ascii="Book Antiqua" w:hAnsi="Book Antiqua" w:cstheme="minorHAnsi"/>
        </w:rPr>
        <w:t>67</w:t>
      </w:r>
      <w:r w:rsidRPr="00E25817">
        <w:rPr>
          <w:rFonts w:ascii="Book Antiqua" w:hAnsi="Book Antiqua" w:cstheme="minorHAnsi"/>
        </w:rPr>
        <w:t>,</w:t>
      </w:r>
      <w:r w:rsidR="005E57F8">
        <w:rPr>
          <w:rFonts w:ascii="Book Antiqua" w:hAnsi="Book Antiqua" w:cstheme="minorHAnsi"/>
        </w:rPr>
        <w:t>8</w:t>
      </w:r>
      <w:r w:rsidR="00E401F4" w:rsidRPr="00E25817">
        <w:rPr>
          <w:rFonts w:ascii="Book Antiqua" w:hAnsi="Book Antiqua" w:cstheme="minorHAnsi"/>
        </w:rPr>
        <w:t xml:space="preserve">%) sont </w:t>
      </w:r>
      <w:r w:rsidR="00975F21">
        <w:rPr>
          <w:rFonts w:ascii="Book Antiqua" w:hAnsi="Book Antiqua" w:cstheme="minorHAnsi"/>
        </w:rPr>
        <w:t>en situation de</w:t>
      </w:r>
      <w:r w:rsidR="001D7E84">
        <w:rPr>
          <w:rFonts w:ascii="Book Antiqua" w:hAnsi="Book Antiqua" w:cstheme="minorHAnsi"/>
        </w:rPr>
        <w:t xml:space="preserve"> chômage</w:t>
      </w:r>
      <w:r w:rsidR="00E401F4" w:rsidRPr="00E25817">
        <w:rPr>
          <w:rFonts w:ascii="Book Antiqua" w:hAnsi="Book Antiqua" w:cstheme="minorHAnsi"/>
        </w:rPr>
        <w:t xml:space="preserve"> </w:t>
      </w:r>
      <w:r w:rsidR="001D7E84">
        <w:rPr>
          <w:rFonts w:ascii="Book Antiqua" w:hAnsi="Book Antiqua" w:cstheme="minorHAnsi"/>
        </w:rPr>
        <w:t xml:space="preserve">depuis </w:t>
      </w:r>
      <w:r w:rsidR="00E401F4" w:rsidRPr="00E25817">
        <w:rPr>
          <w:rFonts w:ascii="Book Antiqua" w:hAnsi="Book Antiqua" w:cstheme="minorHAnsi"/>
        </w:rPr>
        <w:t>une année ou plus, </w:t>
      </w:r>
      <w:r w:rsidR="001D7E84" w:rsidRPr="00E25817">
        <w:rPr>
          <w:rFonts w:ascii="Book Antiqua" w:hAnsi="Book Antiqua" w:cstheme="minorHAnsi"/>
        </w:rPr>
        <w:t xml:space="preserve">les femmes </w:t>
      </w:r>
      <w:r w:rsidR="001D7E84">
        <w:rPr>
          <w:rFonts w:ascii="Book Antiqua" w:hAnsi="Book Antiqua" w:cstheme="minorHAnsi"/>
        </w:rPr>
        <w:t xml:space="preserve">plus que les hommes avec respectivement </w:t>
      </w:r>
      <w:r w:rsidR="005E57F8">
        <w:rPr>
          <w:rFonts w:ascii="Book Antiqua" w:hAnsi="Book Antiqua" w:cstheme="minorHAnsi"/>
        </w:rPr>
        <w:t>75,9</w:t>
      </w:r>
      <w:r w:rsidRPr="00E25817">
        <w:rPr>
          <w:rFonts w:ascii="Book Antiqua" w:hAnsi="Book Antiqua" w:cstheme="minorHAnsi"/>
        </w:rPr>
        <w:t xml:space="preserve">% </w:t>
      </w:r>
      <w:r w:rsidR="001D7E84">
        <w:rPr>
          <w:rFonts w:ascii="Book Antiqua" w:hAnsi="Book Antiqua" w:cstheme="minorHAnsi"/>
        </w:rPr>
        <w:t>et 63,</w:t>
      </w:r>
      <w:r w:rsidR="005E57F8">
        <w:rPr>
          <w:rFonts w:ascii="Book Antiqua" w:hAnsi="Book Antiqua" w:cstheme="minorHAnsi"/>
        </w:rPr>
        <w:t>5</w:t>
      </w:r>
      <w:r w:rsidR="001D7E84">
        <w:rPr>
          <w:rFonts w:ascii="Book Antiqua" w:hAnsi="Book Antiqua" w:cstheme="minorHAnsi"/>
        </w:rPr>
        <w:t>%</w:t>
      </w:r>
      <w:r w:rsidR="00975F21">
        <w:rPr>
          <w:rFonts w:ascii="Book Antiqua" w:hAnsi="Book Antiqua" w:cstheme="minorHAnsi"/>
        </w:rPr>
        <w:t xml:space="preserve">, les jeunes de 15 à 34 ans </w:t>
      </w:r>
      <w:r w:rsidR="00EB672E">
        <w:rPr>
          <w:rFonts w:ascii="Book Antiqua" w:hAnsi="Book Antiqua" w:cstheme="minorHAnsi"/>
        </w:rPr>
        <w:t xml:space="preserve">plus </w:t>
      </w:r>
      <w:r w:rsidR="00975F21">
        <w:rPr>
          <w:rFonts w:ascii="Book Antiqua" w:hAnsi="Book Antiqua" w:cstheme="minorHAnsi"/>
        </w:rPr>
        <w:t xml:space="preserve">que les personnes de 35 ans et plus (respectivement </w:t>
      </w:r>
      <w:r w:rsidR="00975F21" w:rsidRPr="007C3F39">
        <w:rPr>
          <w:rFonts w:ascii="Book Antiqua" w:hAnsi="Book Antiqua" w:cstheme="minorHAnsi"/>
        </w:rPr>
        <w:lastRenderedPageBreak/>
        <w:t xml:space="preserve">71,1% et </w:t>
      </w:r>
      <w:r w:rsidR="00521BC9" w:rsidRPr="007C3F39">
        <w:rPr>
          <w:rFonts w:ascii="Book Antiqua" w:hAnsi="Book Antiqua" w:cstheme="minorHAnsi"/>
        </w:rPr>
        <w:t>54,8</w:t>
      </w:r>
      <w:r w:rsidR="00975F21" w:rsidRPr="007C3F39">
        <w:rPr>
          <w:rFonts w:ascii="Book Antiqua" w:hAnsi="Book Antiqua" w:cstheme="minorHAnsi"/>
        </w:rPr>
        <w:t>%)</w:t>
      </w:r>
      <w:r w:rsidR="00975F21" w:rsidRPr="00521BC9">
        <w:rPr>
          <w:rFonts w:ascii="Book Antiqua" w:hAnsi="Book Antiqua" w:cstheme="minorHAnsi"/>
        </w:rPr>
        <w:t xml:space="preserve"> </w:t>
      </w:r>
      <w:r w:rsidR="00975F21">
        <w:rPr>
          <w:rFonts w:ascii="Book Antiqua" w:hAnsi="Book Antiqua" w:cstheme="minorHAnsi"/>
        </w:rPr>
        <w:t xml:space="preserve">et les détenteurs d'un diplôme supérieur plus que ceux ayant un diplôme moyen (respectivement 78% et </w:t>
      </w:r>
      <w:r w:rsidR="00975F21" w:rsidRPr="00975F21">
        <w:rPr>
          <w:rFonts w:ascii="Book Antiqua" w:hAnsi="Book Antiqua" w:cstheme="minorHAnsi"/>
        </w:rPr>
        <w:t>67,5%).</w:t>
      </w:r>
    </w:p>
    <w:p w:rsidR="00CD08EC" w:rsidRDefault="009A5B71" w:rsidP="00E25817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404040" w:themeColor="text1" w:themeTint="BF"/>
        </w:rPr>
      </w:pP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t>Graphique 2. Part du chômage de longue durée dans le volume global du chômage selon le s</w:t>
      </w:r>
      <w:r w:rsidR="00EB672E">
        <w:rPr>
          <w:rFonts w:ascii="Book Antiqua" w:hAnsi="Book Antiqua" w:cstheme="minorHAnsi"/>
          <w:b/>
          <w:bCs/>
          <w:color w:val="404040" w:themeColor="text1" w:themeTint="BF"/>
        </w:rPr>
        <w:t>exe, l’âge et le diplôme (en %)</w:t>
      </w:r>
    </w:p>
    <w:p w:rsidR="004E5C1E" w:rsidRPr="00E25817" w:rsidRDefault="004E5C1E" w:rsidP="004E5C1E">
      <w:pPr>
        <w:spacing w:before="240" w:line="312" w:lineRule="auto"/>
        <w:jc w:val="center"/>
        <w:rPr>
          <w:rFonts w:ascii="Book Antiqua" w:hAnsi="Book Antiqua" w:cstheme="minorHAnsi"/>
          <w:b/>
          <w:bCs/>
          <w:color w:val="404040" w:themeColor="text1" w:themeTint="BF"/>
        </w:rPr>
      </w:pPr>
      <w:r w:rsidRPr="004E5C1E">
        <w:rPr>
          <w:rFonts w:ascii="Book Antiqua" w:hAnsi="Book Antiqua" w:cstheme="minorHAnsi"/>
          <w:b/>
          <w:bCs/>
          <w:noProof/>
          <w:color w:val="404040" w:themeColor="text1" w:themeTint="BF"/>
        </w:rPr>
        <w:drawing>
          <wp:inline distT="0" distB="0" distL="0" distR="0">
            <wp:extent cx="5172240" cy="2003729"/>
            <wp:effectExtent l="19050" t="0" r="2841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01F4" w:rsidRPr="00E25817" w:rsidRDefault="0005041A" w:rsidP="004E5C1E">
      <w:pPr>
        <w:pStyle w:val="MMTopic2"/>
        <w:numPr>
          <w:ilvl w:val="0"/>
          <w:numId w:val="0"/>
        </w:numPr>
        <w:spacing w:before="240" w:line="312" w:lineRule="auto"/>
        <w:jc w:val="both"/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</w:pPr>
      <w:r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Profil</w:t>
      </w:r>
      <w:r w:rsidR="00732C48" w:rsidRPr="00E25817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 xml:space="preserve"> d</w:t>
      </w:r>
      <w:r w:rsidR="00E401F4" w:rsidRPr="00E25817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es chô</w:t>
      </w:r>
      <w:r w:rsidR="004E5C1E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m</w:t>
      </w:r>
      <w:r w:rsidR="00E401F4" w:rsidRPr="00E25817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 xml:space="preserve">eurs ayant </w:t>
      </w:r>
      <w:r w:rsidR="00521BC9">
        <w:rPr>
          <w:rFonts w:ascii="Book Antiqua" w:eastAsia="Times New Roman" w:hAnsi="Book Antiqua" w:cstheme="minorHAnsi"/>
          <w:color w:val="632423" w:themeColor="accent2" w:themeShade="80"/>
          <w:sz w:val="24"/>
          <w:szCs w:val="24"/>
        </w:rPr>
        <w:t>déjà travaillé</w:t>
      </w:r>
    </w:p>
    <w:p w:rsidR="00E401F4" w:rsidRPr="00E25817" w:rsidRDefault="00E401F4" w:rsidP="00D01718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>En 201</w:t>
      </w:r>
      <w:r w:rsidR="004D0E2A" w:rsidRPr="00E25817">
        <w:rPr>
          <w:rFonts w:ascii="Book Antiqua" w:hAnsi="Book Antiqua" w:cstheme="minorHAnsi"/>
        </w:rPr>
        <w:t>9</w:t>
      </w:r>
      <w:r w:rsidRPr="00E25817">
        <w:rPr>
          <w:rFonts w:ascii="Book Antiqua" w:hAnsi="Book Antiqua" w:cstheme="minorHAnsi"/>
        </w:rPr>
        <w:t xml:space="preserve">, </w:t>
      </w:r>
      <w:r w:rsidR="0005041A">
        <w:rPr>
          <w:rFonts w:ascii="Book Antiqua" w:hAnsi="Book Antiqua" w:cstheme="minorHAnsi"/>
        </w:rPr>
        <w:t xml:space="preserve">plus de 4 </w:t>
      </w:r>
      <w:r w:rsidRPr="00E25817">
        <w:rPr>
          <w:rFonts w:ascii="Book Antiqua" w:hAnsi="Book Antiqua" w:cstheme="minorHAnsi"/>
        </w:rPr>
        <w:t>chômeurs</w:t>
      </w:r>
      <w:r w:rsidR="00AD7E2B" w:rsidRPr="00E25817">
        <w:rPr>
          <w:rFonts w:ascii="Book Antiqua" w:hAnsi="Book Antiqua" w:cstheme="minorHAnsi"/>
        </w:rPr>
        <w:t xml:space="preserve"> </w:t>
      </w:r>
      <w:r w:rsidR="0005041A">
        <w:rPr>
          <w:rFonts w:ascii="Book Antiqua" w:hAnsi="Book Antiqua" w:cstheme="minorHAnsi"/>
        </w:rPr>
        <w:t>sur 10 (</w:t>
      </w:r>
      <w:r w:rsidR="0005041A" w:rsidRPr="00E25817">
        <w:rPr>
          <w:rFonts w:ascii="Book Antiqua" w:hAnsi="Book Antiqua" w:cstheme="minorHAnsi"/>
        </w:rPr>
        <w:t>42,</w:t>
      </w:r>
      <w:r w:rsidR="00D01718">
        <w:rPr>
          <w:rFonts w:ascii="Book Antiqua" w:hAnsi="Book Antiqua" w:cstheme="minorHAnsi"/>
        </w:rPr>
        <w:t>7%</w:t>
      </w:r>
      <w:r w:rsidR="0005041A">
        <w:rPr>
          <w:rFonts w:ascii="Book Antiqua" w:hAnsi="Book Antiqua" w:cstheme="minorHAnsi"/>
        </w:rPr>
        <w:t xml:space="preserve">) </w:t>
      </w:r>
      <w:r w:rsidRPr="00E25817">
        <w:rPr>
          <w:rFonts w:ascii="Book Antiqua" w:hAnsi="Book Antiqua" w:cstheme="minorHAnsi"/>
        </w:rPr>
        <w:t xml:space="preserve">ont déjà exercé un emploi avant de se retrouver en situation de chômage. Ils sont en majorité des citadins </w:t>
      </w:r>
      <w:r w:rsidR="0005041A">
        <w:rPr>
          <w:rFonts w:ascii="Book Antiqua" w:hAnsi="Book Antiqua" w:cstheme="minorHAnsi"/>
        </w:rPr>
        <w:t xml:space="preserve">avec </w:t>
      </w:r>
      <w:r w:rsidR="00C87D57" w:rsidRPr="00E25817">
        <w:rPr>
          <w:rFonts w:ascii="Book Antiqua" w:hAnsi="Book Antiqua" w:cstheme="minorHAnsi"/>
        </w:rPr>
        <w:t>81,9</w:t>
      </w:r>
      <w:r w:rsidR="0005041A">
        <w:rPr>
          <w:rFonts w:ascii="Book Antiqua" w:hAnsi="Book Antiqua" w:cstheme="minorHAnsi"/>
        </w:rPr>
        <w:t>%</w:t>
      </w:r>
      <w:r w:rsidR="009E0887" w:rsidRPr="00E25817">
        <w:rPr>
          <w:rFonts w:ascii="Book Antiqua" w:hAnsi="Book Antiqua" w:cstheme="minorHAnsi"/>
        </w:rPr>
        <w:t xml:space="preserve">, </w:t>
      </w:r>
      <w:r w:rsidR="0005041A">
        <w:rPr>
          <w:rFonts w:ascii="Book Antiqua" w:hAnsi="Book Antiqua" w:cstheme="minorHAnsi"/>
        </w:rPr>
        <w:t xml:space="preserve">des hommes </w:t>
      </w:r>
      <w:r w:rsidR="00AD7E2B" w:rsidRPr="00E25817">
        <w:rPr>
          <w:rFonts w:ascii="Book Antiqua" w:hAnsi="Book Antiqua" w:cstheme="minorHAnsi"/>
        </w:rPr>
        <w:t>(</w:t>
      </w:r>
      <w:r w:rsidR="00C87D57" w:rsidRPr="00E25817">
        <w:rPr>
          <w:rFonts w:ascii="Book Antiqua" w:hAnsi="Book Antiqua" w:cstheme="minorHAnsi"/>
        </w:rPr>
        <w:t>74,6</w:t>
      </w:r>
      <w:r w:rsidR="00AD7E2B" w:rsidRPr="00E25817">
        <w:rPr>
          <w:rFonts w:ascii="Book Antiqua" w:hAnsi="Book Antiqua" w:cstheme="minorHAnsi"/>
        </w:rPr>
        <w:t>%)</w:t>
      </w:r>
      <w:r w:rsidR="009E0887" w:rsidRPr="00E25817">
        <w:rPr>
          <w:rFonts w:ascii="Book Antiqua" w:hAnsi="Book Antiqua" w:cstheme="minorHAnsi"/>
        </w:rPr>
        <w:t xml:space="preserve"> et </w:t>
      </w:r>
      <w:r w:rsidR="00AD7E2B" w:rsidRPr="00E25817">
        <w:rPr>
          <w:rFonts w:ascii="Book Antiqua" w:hAnsi="Book Antiqua" w:cstheme="minorHAnsi"/>
        </w:rPr>
        <w:t>des jeunes de 15 à 34</w:t>
      </w:r>
      <w:r w:rsidR="0005041A">
        <w:rPr>
          <w:rFonts w:ascii="Book Antiqua" w:hAnsi="Book Antiqua" w:cstheme="minorHAnsi"/>
        </w:rPr>
        <w:t xml:space="preserve"> ans</w:t>
      </w:r>
      <w:r w:rsidR="00AD7E2B" w:rsidRPr="00E25817">
        <w:rPr>
          <w:rFonts w:ascii="Book Antiqua" w:hAnsi="Book Antiqua" w:cstheme="minorHAnsi"/>
        </w:rPr>
        <w:t xml:space="preserve"> (</w:t>
      </w:r>
      <w:r w:rsidR="00C87D57" w:rsidRPr="00E25817">
        <w:rPr>
          <w:rFonts w:ascii="Book Antiqua" w:hAnsi="Book Antiqua" w:cstheme="minorHAnsi"/>
        </w:rPr>
        <w:t>63,4</w:t>
      </w:r>
      <w:r w:rsidR="00AD7E2B" w:rsidRPr="00E25817">
        <w:rPr>
          <w:rFonts w:ascii="Book Antiqua" w:hAnsi="Book Antiqua" w:cstheme="minorHAnsi"/>
        </w:rPr>
        <w:t>%)</w:t>
      </w:r>
      <w:r w:rsidR="009E0887" w:rsidRPr="00E25817">
        <w:rPr>
          <w:rFonts w:ascii="Book Antiqua" w:hAnsi="Book Antiqua" w:cstheme="minorHAnsi"/>
        </w:rPr>
        <w:t>.</w:t>
      </w:r>
      <w:r w:rsidR="00521BC9">
        <w:rPr>
          <w:rFonts w:ascii="Book Antiqua" w:hAnsi="Book Antiqua" w:cstheme="minorHAnsi"/>
        </w:rPr>
        <w:t xml:space="preserve"> </w:t>
      </w:r>
      <w:r w:rsidR="0005041A">
        <w:rPr>
          <w:rFonts w:ascii="Book Antiqua" w:hAnsi="Book Antiqua" w:cstheme="minorHAnsi"/>
        </w:rPr>
        <w:t>Plus des deux-</w:t>
      </w:r>
      <w:r w:rsidRPr="00E25817">
        <w:rPr>
          <w:rFonts w:ascii="Book Antiqua" w:hAnsi="Book Antiqua" w:cstheme="minorHAnsi"/>
        </w:rPr>
        <w:t>tiers (</w:t>
      </w:r>
      <w:r w:rsidR="00C87D57" w:rsidRPr="00E25817">
        <w:rPr>
          <w:rFonts w:ascii="Book Antiqua" w:hAnsi="Book Antiqua" w:cstheme="minorHAnsi"/>
        </w:rPr>
        <w:t>69,1</w:t>
      </w:r>
      <w:r w:rsidRPr="00E25817">
        <w:rPr>
          <w:rFonts w:ascii="Book Antiqua" w:hAnsi="Book Antiqua" w:cstheme="minorHAnsi"/>
        </w:rPr>
        <w:t xml:space="preserve">%) </w:t>
      </w:r>
      <w:r w:rsidR="009E0887" w:rsidRPr="00E25817">
        <w:rPr>
          <w:rFonts w:ascii="Book Antiqua" w:hAnsi="Book Antiqua" w:cstheme="minorHAnsi"/>
        </w:rPr>
        <w:t>ont un</w:t>
      </w:r>
      <w:r w:rsidRPr="00E25817">
        <w:rPr>
          <w:rFonts w:ascii="Book Antiqua" w:hAnsi="Book Antiqua" w:cstheme="minorHAnsi"/>
        </w:rPr>
        <w:t xml:space="preserve"> diplôm</w:t>
      </w:r>
      <w:r w:rsidR="009E0887" w:rsidRPr="00E25817">
        <w:rPr>
          <w:rFonts w:ascii="Book Antiqua" w:hAnsi="Book Antiqua" w:cstheme="minorHAnsi"/>
        </w:rPr>
        <w:t>e</w:t>
      </w:r>
      <w:r w:rsidRPr="00E25817">
        <w:rPr>
          <w:rFonts w:ascii="Book Antiqua" w:hAnsi="Book Antiqua" w:cstheme="minorHAnsi"/>
        </w:rPr>
        <w:t xml:space="preserve">, </w:t>
      </w:r>
      <w:r w:rsidR="00C87D57" w:rsidRPr="00E25817">
        <w:rPr>
          <w:rFonts w:ascii="Book Antiqua" w:hAnsi="Book Antiqua" w:cstheme="minorHAnsi"/>
        </w:rPr>
        <w:t>46,9</w:t>
      </w:r>
      <w:r w:rsidRPr="00E25817">
        <w:rPr>
          <w:rFonts w:ascii="Book Antiqua" w:hAnsi="Book Antiqua" w:cstheme="minorHAnsi"/>
        </w:rPr>
        <w:t xml:space="preserve">% de niveau moyen et </w:t>
      </w:r>
      <w:r w:rsidR="00C87D57" w:rsidRPr="00E25817">
        <w:rPr>
          <w:rFonts w:ascii="Book Antiqua" w:hAnsi="Book Antiqua" w:cstheme="minorHAnsi"/>
        </w:rPr>
        <w:t xml:space="preserve">22,2 </w:t>
      </w:r>
      <w:r w:rsidRPr="00E25817">
        <w:rPr>
          <w:rFonts w:ascii="Book Antiqua" w:hAnsi="Book Antiqua" w:cstheme="minorHAnsi"/>
        </w:rPr>
        <w:t xml:space="preserve">% de niveau supérieur.  </w:t>
      </w:r>
    </w:p>
    <w:p w:rsidR="00E401F4" w:rsidRPr="00E25817" w:rsidRDefault="00521BC9" w:rsidP="00521BC9">
      <w:pPr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Par ailleurs, </w:t>
      </w:r>
      <w:r w:rsidR="00C87D57" w:rsidRPr="00E25817">
        <w:rPr>
          <w:rFonts w:ascii="Book Antiqua" w:hAnsi="Book Antiqua" w:cstheme="minorHAnsi"/>
        </w:rPr>
        <w:t>87,9</w:t>
      </w:r>
      <w:r w:rsidR="00E401F4" w:rsidRPr="00E25817">
        <w:rPr>
          <w:rFonts w:ascii="Book Antiqua" w:hAnsi="Book Antiqua" w:cstheme="minorHAnsi"/>
        </w:rPr>
        <w:t xml:space="preserve">% </w:t>
      </w:r>
      <w:r>
        <w:rPr>
          <w:rFonts w:ascii="Book Antiqua" w:hAnsi="Book Antiqua" w:cstheme="minorHAnsi"/>
        </w:rPr>
        <w:t xml:space="preserve">de ces chômeurs </w:t>
      </w:r>
      <w:r w:rsidR="00E401F4" w:rsidRPr="00E25817">
        <w:rPr>
          <w:rFonts w:ascii="Book Antiqua" w:hAnsi="Book Antiqua" w:cstheme="minorHAnsi"/>
        </w:rPr>
        <w:t xml:space="preserve">étaient des salariés et </w:t>
      </w:r>
      <w:r w:rsidR="00C87D57" w:rsidRPr="00E25817">
        <w:rPr>
          <w:rFonts w:ascii="Book Antiqua" w:hAnsi="Book Antiqua" w:cstheme="minorHAnsi"/>
        </w:rPr>
        <w:t>9,2</w:t>
      </w:r>
      <w:r w:rsidR="00E401F4" w:rsidRPr="00E25817">
        <w:rPr>
          <w:rFonts w:ascii="Book Antiqua" w:hAnsi="Book Antiqua" w:cstheme="minorHAnsi"/>
        </w:rPr>
        <w:t>% des indépendants. Près de la moitié d'entre eux (</w:t>
      </w:r>
      <w:r w:rsidR="00C87D57" w:rsidRPr="00E25817">
        <w:rPr>
          <w:rFonts w:ascii="Book Antiqua" w:hAnsi="Book Antiqua" w:cstheme="minorHAnsi"/>
        </w:rPr>
        <w:t>50,8</w:t>
      </w:r>
      <w:r w:rsidR="00E401F4" w:rsidRPr="00E25817">
        <w:rPr>
          <w:rFonts w:ascii="Book Antiqua" w:hAnsi="Book Antiqua" w:cstheme="minorHAnsi"/>
        </w:rPr>
        <w:t xml:space="preserve">%) exerçaient dans le secteur des services, </w:t>
      </w:r>
      <w:r w:rsidR="00C87D57" w:rsidRPr="00E25817">
        <w:rPr>
          <w:rFonts w:ascii="Book Antiqua" w:hAnsi="Book Antiqua" w:cstheme="minorHAnsi"/>
        </w:rPr>
        <w:t>20,7</w:t>
      </w:r>
      <w:r w:rsidR="00E401F4" w:rsidRPr="00E25817">
        <w:rPr>
          <w:rFonts w:ascii="Book Antiqua" w:hAnsi="Book Antiqua" w:cstheme="minorHAnsi"/>
        </w:rPr>
        <w:t xml:space="preserve">% dans l’industrie y compris l’artisanat et </w:t>
      </w:r>
      <w:r w:rsidR="00C87D57" w:rsidRPr="00E25817">
        <w:rPr>
          <w:rFonts w:ascii="Book Antiqua" w:hAnsi="Book Antiqua" w:cstheme="minorHAnsi"/>
        </w:rPr>
        <w:t>19,1</w:t>
      </w:r>
      <w:r w:rsidR="00E401F4" w:rsidRPr="00E25817">
        <w:rPr>
          <w:rFonts w:ascii="Book Antiqua" w:hAnsi="Book Antiqua" w:cstheme="minorHAnsi"/>
        </w:rPr>
        <w:t xml:space="preserve">% dans les BTP. </w:t>
      </w:r>
    </w:p>
    <w:p w:rsidR="00E401F4" w:rsidRPr="00E25817" w:rsidRDefault="00E401F4" w:rsidP="00E25817">
      <w:pPr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 xml:space="preserve">Ils </w:t>
      </w:r>
      <w:r w:rsidR="00AD7E2B" w:rsidRPr="00E25817">
        <w:rPr>
          <w:rFonts w:ascii="Book Antiqua" w:hAnsi="Book Antiqua" w:cstheme="minorHAnsi"/>
        </w:rPr>
        <w:t xml:space="preserve">exerçaient </w:t>
      </w:r>
      <w:r w:rsidRPr="00E25817">
        <w:rPr>
          <w:rFonts w:ascii="Book Antiqua" w:hAnsi="Book Antiqua" w:cstheme="minorHAnsi"/>
        </w:rPr>
        <w:t xml:space="preserve">en tant que manœuvres non agricoles, manutentionnaires et travailleurs de petits métiers avec </w:t>
      </w:r>
      <w:r w:rsidR="00C87D57" w:rsidRPr="00E25817">
        <w:rPr>
          <w:rFonts w:ascii="Book Antiqua" w:hAnsi="Book Antiqua" w:cstheme="minorHAnsi"/>
        </w:rPr>
        <w:t>30,4</w:t>
      </w:r>
      <w:r w:rsidRPr="00E25817">
        <w:rPr>
          <w:rFonts w:ascii="Book Antiqua" w:hAnsi="Book Antiqua" w:cstheme="minorHAnsi"/>
        </w:rPr>
        <w:t>%, artisans et ouvriers qualifiés des métiers artisanaux (</w:t>
      </w:r>
      <w:r w:rsidR="00C87D57" w:rsidRPr="00E25817">
        <w:rPr>
          <w:rFonts w:ascii="Book Antiqua" w:hAnsi="Book Antiqua" w:cstheme="minorHAnsi"/>
        </w:rPr>
        <w:t>23,0</w:t>
      </w:r>
      <w:r w:rsidRPr="00E25817">
        <w:rPr>
          <w:rFonts w:ascii="Book Antiqua" w:hAnsi="Book Antiqua" w:cstheme="minorHAnsi"/>
        </w:rPr>
        <w:t>%) et employés (</w:t>
      </w:r>
      <w:r w:rsidR="00C87D57" w:rsidRPr="00E25817">
        <w:rPr>
          <w:rFonts w:ascii="Book Antiqua" w:hAnsi="Book Antiqua" w:cstheme="minorHAnsi"/>
        </w:rPr>
        <w:t>20,7</w:t>
      </w:r>
      <w:r w:rsidRPr="00E25817">
        <w:rPr>
          <w:rFonts w:ascii="Book Antiqua" w:hAnsi="Book Antiqua" w:cstheme="minorHAnsi"/>
        </w:rPr>
        <w:t>%).</w:t>
      </w:r>
    </w:p>
    <w:p w:rsidR="00E401F4" w:rsidRPr="00E25817" w:rsidRDefault="00521BC9" w:rsidP="00521BC9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Près de 80% des </w:t>
      </w:r>
      <w:r w:rsidR="00E401F4" w:rsidRPr="00E25817">
        <w:rPr>
          <w:rFonts w:ascii="Book Antiqua" w:hAnsi="Book Antiqua" w:cstheme="minorHAnsi"/>
        </w:rPr>
        <w:t xml:space="preserve">chômeurs </w:t>
      </w:r>
      <w:r>
        <w:rPr>
          <w:rFonts w:ascii="Book Antiqua" w:hAnsi="Book Antiqua" w:cstheme="minorHAnsi"/>
        </w:rPr>
        <w:t xml:space="preserve">ayant déjà travaillé </w:t>
      </w:r>
      <w:r w:rsidR="00E401F4" w:rsidRPr="00E25817">
        <w:rPr>
          <w:rFonts w:ascii="Book Antiqua" w:hAnsi="Book Antiqua" w:cstheme="minorHAnsi"/>
        </w:rPr>
        <w:t xml:space="preserve">sont concentrés dans </w:t>
      </w:r>
      <w:r>
        <w:rPr>
          <w:rFonts w:ascii="Book Antiqua" w:hAnsi="Book Antiqua" w:cstheme="minorHAnsi"/>
        </w:rPr>
        <w:t>5</w:t>
      </w:r>
      <w:r w:rsidR="00E401F4" w:rsidRPr="00E25817">
        <w:rPr>
          <w:rFonts w:ascii="Book Antiqua" w:hAnsi="Book Antiqua" w:cstheme="minorHAnsi"/>
        </w:rPr>
        <w:t xml:space="preserve"> régions</w:t>
      </w:r>
      <w:r w:rsidR="009E0887" w:rsidRPr="00E25817">
        <w:rPr>
          <w:rFonts w:ascii="Book Antiqua" w:hAnsi="Book Antiqua" w:cstheme="minorHAnsi"/>
        </w:rPr>
        <w:t xml:space="preserve"> : </w:t>
      </w:r>
      <w:r w:rsidR="00E401F4" w:rsidRPr="00E25817">
        <w:rPr>
          <w:rFonts w:ascii="Book Antiqua" w:hAnsi="Book Antiqua" w:cstheme="minorHAnsi"/>
        </w:rPr>
        <w:t xml:space="preserve">Casablanca-Settat avec </w:t>
      </w:r>
      <w:r w:rsidR="00C87D57" w:rsidRPr="00E25817">
        <w:rPr>
          <w:rFonts w:ascii="Book Antiqua" w:hAnsi="Book Antiqua" w:cstheme="minorHAnsi"/>
        </w:rPr>
        <w:t>30,4</w:t>
      </w:r>
      <w:r w:rsidR="00E401F4" w:rsidRPr="00E25817">
        <w:rPr>
          <w:rFonts w:ascii="Book Antiqua" w:hAnsi="Book Antiqua" w:cstheme="minorHAnsi"/>
        </w:rPr>
        <w:t>%, l’Oriental (</w:t>
      </w:r>
      <w:r w:rsidR="00C87D57" w:rsidRPr="00E25817">
        <w:rPr>
          <w:rFonts w:ascii="Book Antiqua" w:hAnsi="Book Antiqua" w:cstheme="minorHAnsi"/>
        </w:rPr>
        <w:t>14,2</w:t>
      </w:r>
      <w:r w:rsidR="00E401F4" w:rsidRPr="00E25817">
        <w:rPr>
          <w:rFonts w:ascii="Book Antiqua" w:hAnsi="Book Antiqua" w:cstheme="minorHAnsi"/>
        </w:rPr>
        <w:t>%), Rabat-Salé-Kénitra (</w:t>
      </w:r>
      <w:r w:rsidR="00C87D57" w:rsidRPr="00E25817">
        <w:rPr>
          <w:rFonts w:ascii="Book Antiqua" w:hAnsi="Book Antiqua" w:cstheme="minorHAnsi"/>
        </w:rPr>
        <w:t>12,8</w:t>
      </w:r>
      <w:r w:rsidR="00E401F4" w:rsidRPr="00E25817">
        <w:rPr>
          <w:rFonts w:ascii="Book Antiqua" w:hAnsi="Book Antiqua" w:cstheme="minorHAnsi"/>
        </w:rPr>
        <w:t>%), Sous-Massa (</w:t>
      </w:r>
      <w:r w:rsidR="00C87D57" w:rsidRPr="00E25817">
        <w:rPr>
          <w:rFonts w:ascii="Book Antiqua" w:hAnsi="Book Antiqua" w:cstheme="minorHAnsi"/>
        </w:rPr>
        <w:t>12,1</w:t>
      </w:r>
      <w:r w:rsidR="00E401F4" w:rsidRPr="00E25817">
        <w:rPr>
          <w:rFonts w:ascii="Book Antiqua" w:hAnsi="Book Antiqua" w:cstheme="minorHAnsi"/>
        </w:rPr>
        <w:t xml:space="preserve">%) et </w:t>
      </w:r>
      <w:r w:rsidR="00C87D57" w:rsidRPr="00E25817">
        <w:rPr>
          <w:rFonts w:ascii="Book Antiqua" w:hAnsi="Book Antiqua" w:cstheme="minorHAnsi"/>
        </w:rPr>
        <w:t xml:space="preserve">Fès-Meknès </w:t>
      </w:r>
      <w:r w:rsidR="00E401F4" w:rsidRPr="00E25817">
        <w:rPr>
          <w:rFonts w:ascii="Book Antiqua" w:hAnsi="Book Antiqua" w:cstheme="minorHAnsi"/>
        </w:rPr>
        <w:t>(</w:t>
      </w:r>
      <w:r w:rsidR="00C87D57" w:rsidRPr="00E25817">
        <w:rPr>
          <w:rFonts w:ascii="Book Antiqua" w:hAnsi="Book Antiqua" w:cstheme="minorHAnsi"/>
        </w:rPr>
        <w:t>8,5</w:t>
      </w:r>
      <w:r w:rsidR="00E401F4" w:rsidRPr="00E25817">
        <w:rPr>
          <w:rFonts w:ascii="Book Antiqua" w:hAnsi="Book Antiqua" w:cstheme="minorHAnsi"/>
        </w:rPr>
        <w:t>%).</w:t>
      </w:r>
    </w:p>
    <w:p w:rsidR="00E25817" w:rsidRDefault="00E25817">
      <w:pPr>
        <w:spacing w:after="200" w:line="276" w:lineRule="auto"/>
        <w:rPr>
          <w:rFonts w:ascii="Book Antiqua" w:eastAsiaTheme="minorHAnsi" w:hAnsi="Book Antiqua" w:cstheme="minorHAnsi"/>
          <w:b/>
          <w:bCs/>
          <w:color w:val="002060"/>
          <w:lang w:eastAsia="en-US"/>
        </w:rPr>
      </w:pPr>
      <w:r>
        <w:rPr>
          <w:rFonts w:ascii="Book Antiqua" w:eastAsiaTheme="minorHAnsi" w:hAnsi="Book Antiqua" w:cstheme="minorHAnsi"/>
          <w:b/>
          <w:bCs/>
          <w:color w:val="002060"/>
          <w:lang w:eastAsia="en-US"/>
        </w:rPr>
        <w:br w:type="page"/>
      </w:r>
    </w:p>
    <w:p w:rsidR="00EA7F3E" w:rsidRPr="00E25817" w:rsidRDefault="005B25AC" w:rsidP="00E25817">
      <w:pPr>
        <w:autoSpaceDE w:val="0"/>
        <w:autoSpaceDN w:val="0"/>
        <w:adjustRightInd w:val="0"/>
        <w:spacing w:before="240" w:after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E25817">
        <w:rPr>
          <w:rFonts w:ascii="Book Antiqua" w:hAnsi="Book Antiqua" w:cstheme="minorHAnsi"/>
          <w:b/>
          <w:bCs/>
          <w:color w:val="632423" w:themeColor="accent2" w:themeShade="80"/>
        </w:rPr>
        <w:lastRenderedPageBreak/>
        <w:t>F</w:t>
      </w:r>
      <w:r w:rsidR="00732C48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aible recours à l’intermédiation institutionnelle dans la </w:t>
      </w:r>
      <w:r w:rsidR="008F3121" w:rsidRPr="00E25817">
        <w:rPr>
          <w:rFonts w:ascii="Book Antiqua" w:hAnsi="Book Antiqua" w:cstheme="minorHAnsi"/>
          <w:b/>
          <w:bCs/>
          <w:color w:val="632423" w:themeColor="accent2" w:themeShade="80"/>
        </w:rPr>
        <w:t>recherche d’emploi </w:t>
      </w:r>
      <w:r w:rsidR="00EA7F3E"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 </w:t>
      </w:r>
    </w:p>
    <w:p w:rsidR="009E0887" w:rsidRPr="00E25817" w:rsidRDefault="003607C6" w:rsidP="003607C6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>Dans leur recherche d'emploi, les deux-</w:t>
      </w:r>
      <w:r w:rsidR="009E0887" w:rsidRPr="00E25817">
        <w:rPr>
          <w:rFonts w:ascii="Book Antiqua" w:hAnsi="Book Antiqua" w:cstheme="minorHAnsi"/>
        </w:rPr>
        <w:t>tiers des chômeurs (</w:t>
      </w:r>
      <w:r w:rsidR="00700655" w:rsidRPr="00E25817">
        <w:rPr>
          <w:rFonts w:ascii="Book Antiqua" w:hAnsi="Book Antiqua" w:cstheme="minorHAnsi"/>
        </w:rPr>
        <w:t>64,9</w:t>
      </w:r>
      <w:r w:rsidR="009E0887" w:rsidRPr="00E25817">
        <w:rPr>
          <w:rFonts w:ascii="Book Antiqua" w:hAnsi="Book Antiqua" w:cstheme="minorHAnsi"/>
        </w:rPr>
        <w:t>%) font appel aux personnes parentes ou à l'entourage</w:t>
      </w:r>
      <w:r w:rsidR="00700655" w:rsidRPr="00E25817">
        <w:rPr>
          <w:rFonts w:ascii="Book Antiqua" w:hAnsi="Book Antiqua" w:cstheme="minorHAnsi"/>
        </w:rPr>
        <w:t xml:space="preserve"> (31,4%) </w:t>
      </w:r>
      <w:r w:rsidR="009E0887" w:rsidRPr="00E25817">
        <w:rPr>
          <w:rFonts w:ascii="Book Antiqua" w:hAnsi="Book Antiqua" w:cstheme="minorHAnsi"/>
        </w:rPr>
        <w:t>ou au contact direct des employeurs</w:t>
      </w:r>
      <w:r w:rsidR="00700655" w:rsidRPr="00E25817">
        <w:rPr>
          <w:rFonts w:ascii="Book Antiqua" w:hAnsi="Book Antiqua" w:cstheme="minorHAnsi"/>
        </w:rPr>
        <w:t xml:space="preserve"> (33,5%)</w:t>
      </w:r>
      <w:r w:rsidR="009E0887" w:rsidRPr="00E25817">
        <w:rPr>
          <w:rFonts w:ascii="Book Antiqua" w:hAnsi="Book Antiqua" w:cstheme="minorHAnsi"/>
        </w:rPr>
        <w:t xml:space="preserve">. </w:t>
      </w:r>
      <w:r w:rsidR="009E0887" w:rsidRPr="005B253B">
        <w:rPr>
          <w:rFonts w:ascii="Book Antiqua" w:hAnsi="Book Antiqua" w:cstheme="minorHAnsi"/>
        </w:rPr>
        <w:t>Ces deux modes sont employés par les hommes (</w:t>
      </w:r>
      <w:r w:rsidR="00700655" w:rsidRPr="005B253B">
        <w:rPr>
          <w:rFonts w:ascii="Book Antiqua" w:hAnsi="Book Antiqua" w:cstheme="minorHAnsi"/>
        </w:rPr>
        <w:t>70,6</w:t>
      </w:r>
      <w:r w:rsidR="009E0887" w:rsidRPr="005B253B">
        <w:rPr>
          <w:rFonts w:ascii="Book Antiqua" w:hAnsi="Book Antiqua" w:cstheme="minorHAnsi"/>
        </w:rPr>
        <w:t>%) plus que les femmes (</w:t>
      </w:r>
      <w:r w:rsidR="00700655" w:rsidRPr="005B253B">
        <w:rPr>
          <w:rFonts w:ascii="Book Antiqua" w:hAnsi="Book Antiqua" w:cstheme="minorHAnsi"/>
        </w:rPr>
        <w:t>54,2</w:t>
      </w:r>
      <w:r w:rsidR="009E0887" w:rsidRPr="005B253B">
        <w:rPr>
          <w:rFonts w:ascii="Book Antiqua" w:hAnsi="Book Antiqua" w:cstheme="minorHAnsi"/>
        </w:rPr>
        <w:t>%).</w:t>
      </w:r>
      <w:r w:rsidR="009E0887" w:rsidRPr="00E25817">
        <w:rPr>
          <w:rFonts w:ascii="Book Antiqua" w:hAnsi="Book Antiqua" w:cstheme="minorHAnsi"/>
        </w:rPr>
        <w:t xml:space="preserve"> </w:t>
      </w:r>
    </w:p>
    <w:p w:rsidR="00EA7F3E" w:rsidRDefault="00EA7F3E" w:rsidP="00D01718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>L</w:t>
      </w:r>
      <w:r w:rsidR="00A229A8" w:rsidRPr="00E25817">
        <w:rPr>
          <w:rFonts w:ascii="Book Antiqua" w:hAnsi="Book Antiqua" w:cstheme="minorHAnsi"/>
        </w:rPr>
        <w:t xml:space="preserve">a participation aux </w:t>
      </w:r>
      <w:r w:rsidRPr="00E25817">
        <w:rPr>
          <w:rFonts w:ascii="Book Antiqua" w:hAnsi="Book Antiqua" w:cstheme="minorHAnsi"/>
        </w:rPr>
        <w:t xml:space="preserve">concours et les réponses aux annonces ont été </w:t>
      </w:r>
      <w:r w:rsidR="00AF4CB6" w:rsidRPr="00E25817">
        <w:rPr>
          <w:rFonts w:ascii="Book Antiqua" w:hAnsi="Book Antiqua" w:cstheme="minorHAnsi"/>
        </w:rPr>
        <w:t>déclaré</w:t>
      </w:r>
      <w:r w:rsidR="009701C3" w:rsidRPr="00E25817">
        <w:rPr>
          <w:rFonts w:ascii="Book Antiqua" w:hAnsi="Book Antiqua" w:cstheme="minorHAnsi"/>
        </w:rPr>
        <w:t>e</w:t>
      </w:r>
      <w:r w:rsidR="00AF4CB6" w:rsidRPr="00E25817">
        <w:rPr>
          <w:rFonts w:ascii="Book Antiqua" w:hAnsi="Book Antiqua" w:cstheme="minorHAnsi"/>
        </w:rPr>
        <w:t xml:space="preserve">s </w:t>
      </w:r>
      <w:r w:rsidRPr="00E25817">
        <w:rPr>
          <w:rFonts w:ascii="Book Antiqua" w:hAnsi="Book Antiqua" w:cstheme="minorHAnsi"/>
        </w:rPr>
        <w:t xml:space="preserve">comme </w:t>
      </w:r>
      <w:r w:rsidR="00AF4CB6" w:rsidRPr="00E25817">
        <w:rPr>
          <w:rFonts w:ascii="Book Antiqua" w:hAnsi="Book Antiqua" w:cstheme="minorHAnsi"/>
        </w:rPr>
        <w:t>mode</w:t>
      </w:r>
      <w:r w:rsidR="009E0887" w:rsidRPr="00E25817">
        <w:rPr>
          <w:rFonts w:ascii="Book Antiqua" w:hAnsi="Book Antiqua" w:cstheme="minorHAnsi"/>
        </w:rPr>
        <w:t>s</w:t>
      </w:r>
      <w:r w:rsidR="00AF4CB6" w:rsidRPr="00E25817">
        <w:rPr>
          <w:rFonts w:ascii="Book Antiqua" w:hAnsi="Book Antiqua" w:cstheme="minorHAnsi"/>
        </w:rPr>
        <w:t xml:space="preserve"> </w:t>
      </w:r>
      <w:r w:rsidRPr="00E25817">
        <w:rPr>
          <w:rFonts w:ascii="Book Antiqua" w:hAnsi="Book Antiqua" w:cstheme="minorHAnsi"/>
        </w:rPr>
        <w:t>de recherche d</w:t>
      </w:r>
      <w:r w:rsidR="009701C3" w:rsidRPr="00E25817">
        <w:rPr>
          <w:rFonts w:ascii="Book Antiqua" w:hAnsi="Book Antiqua" w:cstheme="minorHAnsi"/>
        </w:rPr>
        <w:t>’</w:t>
      </w:r>
      <w:r w:rsidR="009E0887" w:rsidRPr="00E25817">
        <w:rPr>
          <w:rFonts w:ascii="Book Antiqua" w:hAnsi="Book Antiqua" w:cstheme="minorHAnsi"/>
        </w:rPr>
        <w:t xml:space="preserve">emploi par </w:t>
      </w:r>
      <w:r w:rsidR="00D01718">
        <w:rPr>
          <w:rFonts w:ascii="Book Antiqua" w:hAnsi="Book Antiqua" w:cstheme="minorHAnsi"/>
        </w:rPr>
        <w:t>18,2</w:t>
      </w:r>
      <w:r w:rsidR="009E0887" w:rsidRPr="00E25817">
        <w:rPr>
          <w:rFonts w:ascii="Book Antiqua" w:hAnsi="Book Antiqua" w:cstheme="minorHAnsi"/>
        </w:rPr>
        <w:t>% des chômeurs, l</w:t>
      </w:r>
      <w:r w:rsidRPr="00E25817">
        <w:rPr>
          <w:rFonts w:ascii="Book Antiqua" w:hAnsi="Book Antiqua" w:cstheme="minorHAnsi"/>
        </w:rPr>
        <w:t>es femmes plus que les hommes</w:t>
      </w:r>
      <w:r w:rsidR="001B0FE2" w:rsidRPr="00E25817">
        <w:rPr>
          <w:rFonts w:ascii="Book Antiqua" w:hAnsi="Book Antiqua" w:cstheme="minorHAnsi"/>
        </w:rPr>
        <w:t xml:space="preserve"> avec</w:t>
      </w:r>
      <w:r w:rsidR="00AF4CB6" w:rsidRPr="00E25817">
        <w:rPr>
          <w:rFonts w:ascii="Book Antiqua" w:hAnsi="Book Antiqua" w:cstheme="minorHAnsi"/>
        </w:rPr>
        <w:t xml:space="preserve"> respectivement </w:t>
      </w:r>
      <w:r w:rsidR="00D01718">
        <w:rPr>
          <w:rFonts w:ascii="Book Antiqua" w:hAnsi="Book Antiqua" w:cstheme="minorHAnsi"/>
        </w:rPr>
        <w:t>26,9</w:t>
      </w:r>
      <w:r w:rsidR="00AF4CB6" w:rsidRPr="00E25817">
        <w:rPr>
          <w:rFonts w:ascii="Book Antiqua" w:hAnsi="Book Antiqua" w:cstheme="minorHAnsi"/>
        </w:rPr>
        <w:t xml:space="preserve">% et </w:t>
      </w:r>
      <w:r w:rsidR="00D01718">
        <w:rPr>
          <w:rFonts w:ascii="Book Antiqua" w:hAnsi="Book Antiqua" w:cstheme="minorHAnsi"/>
        </w:rPr>
        <w:t>13,5</w:t>
      </w:r>
      <w:r w:rsidRPr="00E25817">
        <w:rPr>
          <w:rFonts w:ascii="Book Antiqua" w:hAnsi="Book Antiqua" w:cstheme="minorHAnsi"/>
        </w:rPr>
        <w:t>%.</w:t>
      </w:r>
    </w:p>
    <w:p w:rsidR="002776CB" w:rsidRDefault="005B253B" w:rsidP="002776CB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</w:rPr>
      </w:pPr>
      <w:r w:rsidRPr="002776CB">
        <w:rPr>
          <w:rFonts w:ascii="Book Antiqua" w:hAnsi="Book Antiqua" w:cstheme="minorHAnsi"/>
        </w:rPr>
        <w:t xml:space="preserve">Le recours aux institutions d'intermédiation ne représente que </w:t>
      </w:r>
      <w:r w:rsidR="002776CB" w:rsidRPr="002776CB">
        <w:rPr>
          <w:rFonts w:ascii="Book Antiqua" w:hAnsi="Book Antiqua" w:cstheme="minorHAnsi"/>
        </w:rPr>
        <w:t>5</w:t>
      </w:r>
      <w:r w:rsidRPr="002776CB">
        <w:rPr>
          <w:rFonts w:ascii="Book Antiqua" w:hAnsi="Book Antiqua" w:cstheme="minorHAnsi"/>
        </w:rPr>
        <w:t xml:space="preserve">%, </w:t>
      </w:r>
      <w:r w:rsidR="002776CB" w:rsidRPr="00E25817">
        <w:rPr>
          <w:rFonts w:ascii="Book Antiqua" w:hAnsi="Book Antiqua" w:cstheme="minorHAnsi"/>
        </w:rPr>
        <w:t xml:space="preserve">les femmes plus que les hommes avec respectivement </w:t>
      </w:r>
      <w:r w:rsidR="002776CB">
        <w:rPr>
          <w:rFonts w:ascii="Book Antiqua" w:hAnsi="Book Antiqua" w:cstheme="minorHAnsi"/>
        </w:rPr>
        <w:t>6,5</w:t>
      </w:r>
      <w:r w:rsidR="002776CB" w:rsidRPr="00E25817">
        <w:rPr>
          <w:rFonts w:ascii="Book Antiqua" w:hAnsi="Book Antiqua" w:cstheme="minorHAnsi"/>
        </w:rPr>
        <w:t xml:space="preserve">% et </w:t>
      </w:r>
      <w:r w:rsidR="002776CB">
        <w:rPr>
          <w:rFonts w:ascii="Book Antiqua" w:hAnsi="Book Antiqua" w:cstheme="minorHAnsi"/>
        </w:rPr>
        <w:t>4</w:t>
      </w:r>
      <w:r w:rsidR="002776CB" w:rsidRPr="00E25817">
        <w:rPr>
          <w:rFonts w:ascii="Book Antiqua" w:hAnsi="Book Antiqua" w:cstheme="minorHAnsi"/>
        </w:rPr>
        <w:t>,</w:t>
      </w:r>
      <w:r w:rsidR="002776CB">
        <w:rPr>
          <w:rFonts w:ascii="Book Antiqua" w:hAnsi="Book Antiqua" w:cstheme="minorHAnsi"/>
        </w:rPr>
        <w:t>1</w:t>
      </w:r>
      <w:r w:rsidR="002776CB" w:rsidRPr="00E25817">
        <w:rPr>
          <w:rFonts w:ascii="Book Antiqua" w:hAnsi="Book Antiqua" w:cstheme="minorHAnsi"/>
        </w:rPr>
        <w:t>%.</w:t>
      </w:r>
    </w:p>
    <w:p w:rsidR="00EA7F3E" w:rsidRPr="00E25817" w:rsidRDefault="009701C3" w:rsidP="002776CB">
      <w:pPr>
        <w:autoSpaceDE w:val="0"/>
        <w:autoSpaceDN w:val="0"/>
        <w:adjustRightInd w:val="0"/>
        <w:spacing w:before="240" w:line="312" w:lineRule="auto"/>
        <w:jc w:val="both"/>
        <w:rPr>
          <w:rFonts w:ascii="Book Antiqua" w:hAnsi="Book Antiqua" w:cstheme="minorHAnsi"/>
          <w:b/>
          <w:bCs/>
          <w:color w:val="404040" w:themeColor="text1" w:themeTint="BF"/>
        </w:rPr>
      </w:pPr>
      <w:r w:rsidRPr="00E25817">
        <w:rPr>
          <w:rFonts w:ascii="Book Antiqua" w:hAnsi="Book Antiqua" w:cstheme="minorHAnsi"/>
          <w:b/>
          <w:bCs/>
          <w:color w:val="404040" w:themeColor="text1" w:themeTint="BF"/>
        </w:rPr>
        <w:t>Graphique 3</w:t>
      </w:r>
      <w:r w:rsidR="00EA7F3E" w:rsidRPr="00E25817">
        <w:rPr>
          <w:rFonts w:ascii="Book Antiqua" w:hAnsi="Book Antiqua" w:cstheme="minorHAnsi"/>
          <w:b/>
          <w:bCs/>
          <w:color w:val="404040" w:themeColor="text1" w:themeTint="BF"/>
        </w:rPr>
        <w:t>. Structure de la population active en chômage selon les moyens de recherche d’emploi</w:t>
      </w:r>
      <w:r w:rsidR="00C36C5B">
        <w:rPr>
          <w:rFonts w:ascii="Book Antiqua" w:hAnsi="Book Antiqua" w:cstheme="minorHAnsi"/>
          <w:b/>
          <w:bCs/>
          <w:color w:val="404040" w:themeColor="text1" w:themeTint="BF"/>
        </w:rPr>
        <w:t xml:space="preserve"> et le diplôme (en %)</w:t>
      </w:r>
    </w:p>
    <w:p w:rsidR="00EA7F3E" w:rsidRPr="00E25817" w:rsidRDefault="0027401A" w:rsidP="00E25817">
      <w:pPr>
        <w:spacing w:before="240" w:line="312" w:lineRule="auto"/>
        <w:ind w:left="-709" w:right="-709"/>
        <w:jc w:val="both"/>
        <w:rPr>
          <w:rFonts w:ascii="Book Antiqua" w:hAnsi="Book Antiqua" w:cstheme="minorHAnsi"/>
          <w:b/>
          <w:bCs/>
        </w:rPr>
      </w:pPr>
      <w:r w:rsidRPr="00E25817">
        <w:rPr>
          <w:rFonts w:ascii="Book Antiqua" w:hAnsi="Book Antiqua" w:cstheme="minorHAnsi"/>
          <w:b/>
          <w:bCs/>
          <w:noProof/>
        </w:rPr>
        <w:drawing>
          <wp:inline distT="0" distB="0" distL="0" distR="0">
            <wp:extent cx="6726804" cy="3411109"/>
            <wp:effectExtent l="0" t="0" r="0" b="0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A7F3E" w:rsidRPr="00E25817" w:rsidRDefault="000C4252" w:rsidP="00E25817">
      <w:pPr>
        <w:spacing w:before="240" w:line="312" w:lineRule="auto"/>
        <w:jc w:val="both"/>
        <w:rPr>
          <w:rFonts w:ascii="Book Antiqua" w:hAnsi="Book Antiqua" w:cstheme="minorHAnsi"/>
          <w:b/>
          <w:bCs/>
          <w:color w:val="632423" w:themeColor="accent2" w:themeShade="80"/>
        </w:rPr>
      </w:pPr>
      <w:r w:rsidRPr="00E25817">
        <w:rPr>
          <w:rFonts w:ascii="Book Antiqua" w:hAnsi="Book Antiqua" w:cstheme="minorHAnsi"/>
          <w:b/>
          <w:bCs/>
          <w:color w:val="632423" w:themeColor="accent2" w:themeShade="80"/>
        </w:rPr>
        <w:t xml:space="preserve">Le salariat est le statut d’emploi le plus </w:t>
      </w:r>
      <w:r w:rsidR="00817E3E" w:rsidRPr="00E25817">
        <w:rPr>
          <w:rFonts w:ascii="Book Antiqua" w:hAnsi="Book Antiqua" w:cstheme="minorHAnsi"/>
          <w:b/>
          <w:bCs/>
          <w:color w:val="632423" w:themeColor="accent2" w:themeShade="80"/>
        </w:rPr>
        <w:t>recherch</w:t>
      </w:r>
      <w:r w:rsidR="0031260D" w:rsidRPr="00E25817">
        <w:rPr>
          <w:rFonts w:ascii="Book Antiqua" w:hAnsi="Book Antiqua" w:cstheme="minorHAnsi"/>
          <w:b/>
          <w:bCs/>
          <w:color w:val="632423" w:themeColor="accent2" w:themeShade="80"/>
        </w:rPr>
        <w:t>é</w:t>
      </w:r>
    </w:p>
    <w:p w:rsidR="00EA7F3E" w:rsidRPr="00E25817" w:rsidRDefault="003607C6" w:rsidP="003629D7">
      <w:pPr>
        <w:spacing w:before="240" w:line="312" w:lineRule="auto"/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Près de 7 chômeurs sur 10 </w:t>
      </w:r>
      <w:r w:rsidR="00EA7F3E" w:rsidRPr="00E25817">
        <w:rPr>
          <w:rFonts w:ascii="Book Antiqua" w:hAnsi="Book Antiqua" w:cstheme="minorHAnsi"/>
        </w:rPr>
        <w:t>(</w:t>
      </w:r>
      <w:r w:rsidR="00D907C9" w:rsidRPr="00E25817">
        <w:rPr>
          <w:rFonts w:ascii="Book Antiqua" w:hAnsi="Book Antiqua" w:cstheme="minorHAnsi"/>
        </w:rPr>
        <w:t>71,9</w:t>
      </w:r>
      <w:r w:rsidR="00EA7F3E" w:rsidRPr="00E25817">
        <w:rPr>
          <w:rFonts w:ascii="Book Antiqua" w:hAnsi="Book Antiqua" w:cstheme="minorHAnsi"/>
        </w:rPr>
        <w:t xml:space="preserve">%) </w:t>
      </w:r>
      <w:r w:rsidR="003629D7">
        <w:rPr>
          <w:rFonts w:ascii="Book Antiqua" w:hAnsi="Book Antiqua" w:cstheme="minorHAnsi"/>
        </w:rPr>
        <w:t>souhaitent</w:t>
      </w:r>
      <w:r w:rsidR="00EA7F3E" w:rsidRPr="00E25817">
        <w:rPr>
          <w:rFonts w:ascii="Book Antiqua" w:hAnsi="Book Antiqua" w:cstheme="minorHAnsi"/>
        </w:rPr>
        <w:t xml:space="preserve"> travailler en tant que salariés. Ce statut est </w:t>
      </w:r>
      <w:r w:rsidR="000C4252" w:rsidRPr="00E25817">
        <w:rPr>
          <w:rFonts w:ascii="Book Antiqua" w:hAnsi="Book Antiqua" w:cstheme="minorHAnsi"/>
        </w:rPr>
        <w:t>recherché</w:t>
      </w:r>
      <w:r w:rsidR="007F5C1D" w:rsidRPr="00E25817">
        <w:rPr>
          <w:rFonts w:ascii="Book Antiqua" w:hAnsi="Book Antiqua" w:cstheme="minorHAnsi"/>
        </w:rPr>
        <w:t xml:space="preserve"> </w:t>
      </w:r>
      <w:r w:rsidR="00EA7F3E" w:rsidRPr="00E25817">
        <w:rPr>
          <w:rFonts w:ascii="Book Antiqua" w:hAnsi="Book Antiqua" w:cstheme="minorHAnsi"/>
        </w:rPr>
        <w:t>par les femmes (</w:t>
      </w:r>
      <w:r w:rsidR="00D907C9" w:rsidRPr="00E25817">
        <w:rPr>
          <w:rFonts w:ascii="Book Antiqua" w:hAnsi="Book Antiqua" w:cstheme="minorHAnsi"/>
        </w:rPr>
        <w:t>78,3</w:t>
      </w:r>
      <w:r w:rsidR="00EA7F3E" w:rsidRPr="00E25817">
        <w:rPr>
          <w:rFonts w:ascii="Book Antiqua" w:hAnsi="Book Antiqua" w:cstheme="minorHAnsi"/>
        </w:rPr>
        <w:t xml:space="preserve">%) </w:t>
      </w:r>
      <w:r w:rsidR="007F5C1D" w:rsidRPr="00E25817">
        <w:rPr>
          <w:rFonts w:ascii="Book Antiqua" w:hAnsi="Book Antiqua" w:cstheme="minorHAnsi"/>
        </w:rPr>
        <w:t xml:space="preserve">relativement </w:t>
      </w:r>
      <w:r w:rsidR="0000014D" w:rsidRPr="00E25817">
        <w:rPr>
          <w:rFonts w:ascii="Book Antiqua" w:hAnsi="Book Antiqua" w:cstheme="minorHAnsi"/>
        </w:rPr>
        <w:t xml:space="preserve">plus </w:t>
      </w:r>
      <w:r w:rsidR="00EA7F3E" w:rsidRPr="00E25817">
        <w:rPr>
          <w:rFonts w:ascii="Book Antiqua" w:hAnsi="Book Antiqua" w:cstheme="minorHAnsi"/>
        </w:rPr>
        <w:t>que les hommes (</w:t>
      </w:r>
      <w:r w:rsidR="00D907C9" w:rsidRPr="00E25817">
        <w:rPr>
          <w:rFonts w:ascii="Book Antiqua" w:hAnsi="Book Antiqua" w:cstheme="minorHAnsi"/>
        </w:rPr>
        <w:t>68,4</w:t>
      </w:r>
      <w:r w:rsidR="00EA7F3E" w:rsidRPr="00E25817">
        <w:rPr>
          <w:rFonts w:ascii="Book Antiqua" w:hAnsi="Book Antiqua" w:cstheme="minorHAnsi"/>
        </w:rPr>
        <w:t xml:space="preserve">%) et </w:t>
      </w:r>
      <w:r w:rsidR="0000014D" w:rsidRPr="00E25817">
        <w:rPr>
          <w:rFonts w:ascii="Book Antiqua" w:hAnsi="Book Antiqua" w:cstheme="minorHAnsi"/>
        </w:rPr>
        <w:t xml:space="preserve">par </w:t>
      </w:r>
      <w:r w:rsidR="00EA7F3E" w:rsidRPr="00E25817">
        <w:rPr>
          <w:rFonts w:ascii="Book Antiqua" w:hAnsi="Book Antiqua" w:cstheme="minorHAnsi"/>
        </w:rPr>
        <w:t xml:space="preserve">les </w:t>
      </w:r>
      <w:r w:rsidR="003629D7">
        <w:rPr>
          <w:rFonts w:ascii="Book Antiqua" w:hAnsi="Book Antiqua" w:cstheme="minorHAnsi"/>
        </w:rPr>
        <w:t>détenteurs d'un diplôme</w:t>
      </w:r>
      <w:r w:rsidR="00EA7F3E" w:rsidRPr="00E25817">
        <w:rPr>
          <w:rFonts w:ascii="Book Antiqua" w:hAnsi="Book Antiqua" w:cstheme="minorHAnsi"/>
        </w:rPr>
        <w:t xml:space="preserve"> supérieur (</w:t>
      </w:r>
      <w:r w:rsidR="00D907C9" w:rsidRPr="00E25817">
        <w:rPr>
          <w:rFonts w:ascii="Book Antiqua" w:hAnsi="Book Antiqua" w:cstheme="minorHAnsi"/>
        </w:rPr>
        <w:t>78,7</w:t>
      </w:r>
      <w:r w:rsidR="00EA7F3E" w:rsidRPr="00E25817">
        <w:rPr>
          <w:rFonts w:ascii="Book Antiqua" w:hAnsi="Book Antiqua" w:cstheme="minorHAnsi"/>
        </w:rPr>
        <w:t>%</w:t>
      </w:r>
      <w:r w:rsidR="000C4252" w:rsidRPr="00E25817">
        <w:rPr>
          <w:rFonts w:ascii="Book Antiqua" w:hAnsi="Book Antiqua" w:cstheme="minorHAnsi"/>
        </w:rPr>
        <w:t xml:space="preserve">) </w:t>
      </w:r>
      <w:r w:rsidR="009E0887" w:rsidRPr="00E25817">
        <w:rPr>
          <w:rFonts w:ascii="Book Antiqua" w:hAnsi="Book Antiqua" w:cstheme="minorHAnsi"/>
        </w:rPr>
        <w:t xml:space="preserve">plus </w:t>
      </w:r>
      <w:r w:rsidR="000C4252" w:rsidRPr="00E25817">
        <w:rPr>
          <w:rFonts w:ascii="Book Antiqua" w:hAnsi="Book Antiqua" w:cstheme="minorHAnsi"/>
        </w:rPr>
        <w:t xml:space="preserve">que </w:t>
      </w:r>
      <w:r w:rsidR="00EA7F3E" w:rsidRPr="00E25817">
        <w:rPr>
          <w:rFonts w:ascii="Book Antiqua" w:hAnsi="Book Antiqua" w:cstheme="minorHAnsi"/>
        </w:rPr>
        <w:t xml:space="preserve">les </w:t>
      </w:r>
      <w:r w:rsidR="003629D7">
        <w:rPr>
          <w:rFonts w:ascii="Book Antiqua" w:hAnsi="Book Antiqua" w:cstheme="minorHAnsi"/>
        </w:rPr>
        <w:t>non diplômés</w:t>
      </w:r>
      <w:r w:rsidR="00EA7F3E" w:rsidRPr="00E25817">
        <w:rPr>
          <w:rFonts w:ascii="Book Antiqua" w:hAnsi="Book Antiqua" w:cstheme="minorHAnsi"/>
        </w:rPr>
        <w:t xml:space="preserve"> (</w:t>
      </w:r>
      <w:r w:rsidR="00D907C9" w:rsidRPr="00E25817">
        <w:rPr>
          <w:rFonts w:ascii="Book Antiqua" w:hAnsi="Book Antiqua" w:cstheme="minorHAnsi"/>
        </w:rPr>
        <w:t>64,9</w:t>
      </w:r>
      <w:r w:rsidR="003752EF" w:rsidRPr="00E25817">
        <w:rPr>
          <w:rFonts w:ascii="Book Antiqua" w:hAnsi="Book Antiqua" w:cstheme="minorHAnsi"/>
        </w:rPr>
        <w:t>%</w:t>
      </w:r>
      <w:r w:rsidR="00EA7F3E" w:rsidRPr="00E25817">
        <w:rPr>
          <w:rFonts w:ascii="Book Antiqua" w:hAnsi="Book Antiqua" w:cstheme="minorHAnsi"/>
        </w:rPr>
        <w:t>).</w:t>
      </w:r>
    </w:p>
    <w:p w:rsidR="005B14A0" w:rsidRPr="00E25817" w:rsidRDefault="00817E3E" w:rsidP="00E25817">
      <w:pPr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lastRenderedPageBreak/>
        <w:t>Par ailleurs,</w:t>
      </w:r>
      <w:r w:rsidR="005B14A0" w:rsidRPr="00E25817">
        <w:rPr>
          <w:rFonts w:ascii="Book Antiqua" w:hAnsi="Book Antiqua" w:cstheme="minorHAnsi"/>
        </w:rPr>
        <w:t xml:space="preserve"> </w:t>
      </w:r>
      <w:r w:rsidR="00D907C9" w:rsidRPr="00E25817">
        <w:rPr>
          <w:rFonts w:ascii="Book Antiqua" w:hAnsi="Book Antiqua" w:cstheme="minorHAnsi"/>
        </w:rPr>
        <w:t>68,9</w:t>
      </w:r>
      <w:r w:rsidR="000C4252" w:rsidRPr="00E25817">
        <w:rPr>
          <w:rFonts w:ascii="Book Antiqua" w:hAnsi="Book Antiqua" w:cstheme="minorHAnsi"/>
        </w:rPr>
        <w:t>% des</w:t>
      </w:r>
      <w:r w:rsidR="005B14A0" w:rsidRPr="00E25817">
        <w:rPr>
          <w:rFonts w:ascii="Book Antiqua" w:hAnsi="Book Antiqua" w:cstheme="minorHAnsi"/>
        </w:rPr>
        <w:t xml:space="preserve"> chômeurs sont disposés à exerc</w:t>
      </w:r>
      <w:r w:rsidR="000C4252" w:rsidRPr="00E25817">
        <w:rPr>
          <w:rFonts w:ascii="Book Antiqua" w:hAnsi="Book Antiqua" w:cstheme="minorHAnsi"/>
        </w:rPr>
        <w:t>er dans n'importe quel secteur</w:t>
      </w:r>
      <w:r w:rsidR="00D9733D" w:rsidRPr="00E25817">
        <w:rPr>
          <w:rFonts w:ascii="Book Antiqua" w:hAnsi="Book Antiqua" w:cstheme="minorHAnsi"/>
        </w:rPr>
        <w:t xml:space="preserve">, </w:t>
      </w:r>
      <w:r w:rsidR="00D907C9" w:rsidRPr="00E25817">
        <w:rPr>
          <w:rFonts w:ascii="Book Antiqua" w:hAnsi="Book Antiqua" w:cstheme="minorHAnsi"/>
        </w:rPr>
        <w:t>19,6</w:t>
      </w:r>
      <w:r w:rsidR="000C4252" w:rsidRPr="00E25817">
        <w:rPr>
          <w:rFonts w:ascii="Book Antiqua" w:hAnsi="Book Antiqua" w:cstheme="minorHAnsi"/>
        </w:rPr>
        <w:t xml:space="preserve">% optent pour </w:t>
      </w:r>
      <w:r w:rsidR="005B14A0" w:rsidRPr="00E25817">
        <w:rPr>
          <w:rFonts w:ascii="Book Antiqua" w:hAnsi="Book Antiqua" w:cstheme="minorHAnsi"/>
        </w:rPr>
        <w:t xml:space="preserve">le secteur privé et </w:t>
      </w:r>
      <w:r w:rsidR="00D907C9" w:rsidRPr="00E25817">
        <w:rPr>
          <w:rFonts w:ascii="Book Antiqua" w:hAnsi="Book Antiqua" w:cstheme="minorHAnsi"/>
        </w:rPr>
        <w:t>8,8</w:t>
      </w:r>
      <w:r w:rsidR="005B14A0" w:rsidRPr="00E25817">
        <w:rPr>
          <w:rFonts w:ascii="Book Antiqua" w:hAnsi="Book Antiqua" w:cstheme="minorHAnsi"/>
        </w:rPr>
        <w:t xml:space="preserve">% </w:t>
      </w:r>
      <w:r w:rsidR="009E0887" w:rsidRPr="00E25817">
        <w:rPr>
          <w:rFonts w:ascii="Book Antiqua" w:hAnsi="Book Antiqua" w:cstheme="minorHAnsi"/>
        </w:rPr>
        <w:t>pour</w:t>
      </w:r>
      <w:r w:rsidR="005B14A0" w:rsidRPr="00E25817">
        <w:rPr>
          <w:rFonts w:ascii="Book Antiqua" w:hAnsi="Book Antiqua" w:cstheme="minorHAnsi"/>
        </w:rPr>
        <w:t xml:space="preserve"> le secteur public. Parmi les </w:t>
      </w:r>
      <w:r w:rsidR="009E0887" w:rsidRPr="00E25817">
        <w:rPr>
          <w:rFonts w:ascii="Book Antiqua" w:hAnsi="Book Antiqua" w:cstheme="minorHAnsi"/>
        </w:rPr>
        <w:t>diplômés</w:t>
      </w:r>
      <w:r w:rsidR="005B14A0" w:rsidRPr="00E25817">
        <w:rPr>
          <w:rFonts w:ascii="Book Antiqua" w:hAnsi="Book Antiqua" w:cstheme="minorHAnsi"/>
        </w:rPr>
        <w:t xml:space="preserve"> de niveau supérieur, </w:t>
      </w:r>
      <w:r w:rsidR="00D907C9" w:rsidRPr="00E25817">
        <w:rPr>
          <w:rFonts w:ascii="Book Antiqua" w:hAnsi="Book Antiqua" w:cstheme="minorHAnsi"/>
        </w:rPr>
        <w:t>19,8</w:t>
      </w:r>
      <w:r w:rsidR="005B14A0" w:rsidRPr="00E25817">
        <w:rPr>
          <w:rFonts w:ascii="Book Antiqua" w:hAnsi="Book Antiqua" w:cstheme="minorHAnsi"/>
        </w:rPr>
        <w:t>% ont une préférence  pour le secteur public.</w:t>
      </w:r>
    </w:p>
    <w:p w:rsidR="005B14A0" w:rsidRDefault="009E0887" w:rsidP="00E25817">
      <w:pPr>
        <w:spacing w:before="240" w:line="312" w:lineRule="auto"/>
        <w:jc w:val="both"/>
        <w:rPr>
          <w:rFonts w:ascii="Book Antiqua" w:hAnsi="Book Antiqua" w:cstheme="minorHAnsi"/>
        </w:rPr>
      </w:pPr>
      <w:r w:rsidRPr="00E25817">
        <w:rPr>
          <w:rFonts w:ascii="Book Antiqua" w:hAnsi="Book Antiqua" w:cstheme="minorHAnsi"/>
        </w:rPr>
        <w:t xml:space="preserve">S’agissant du </w:t>
      </w:r>
      <w:r w:rsidR="00817E3E" w:rsidRPr="00E25817">
        <w:rPr>
          <w:rFonts w:ascii="Book Antiqua" w:hAnsi="Book Antiqua" w:cstheme="minorHAnsi"/>
        </w:rPr>
        <w:t xml:space="preserve">lieu </w:t>
      </w:r>
      <w:r w:rsidRPr="00E25817">
        <w:rPr>
          <w:rFonts w:ascii="Book Antiqua" w:hAnsi="Book Antiqua" w:cstheme="minorHAnsi"/>
        </w:rPr>
        <w:t>d</w:t>
      </w:r>
      <w:r w:rsidR="003629D7">
        <w:rPr>
          <w:rFonts w:ascii="Book Antiqua" w:hAnsi="Book Antiqua" w:cstheme="minorHAnsi"/>
        </w:rPr>
        <w:t>e l</w:t>
      </w:r>
      <w:r w:rsidRPr="00E25817">
        <w:rPr>
          <w:rFonts w:ascii="Book Antiqua" w:hAnsi="Book Antiqua" w:cstheme="minorHAnsi"/>
        </w:rPr>
        <w:t xml:space="preserve">’emploi </w:t>
      </w:r>
      <w:r w:rsidR="009701C3" w:rsidRPr="00E25817">
        <w:rPr>
          <w:rFonts w:ascii="Book Antiqua" w:hAnsi="Book Antiqua" w:cstheme="minorHAnsi"/>
        </w:rPr>
        <w:t>souhaité</w:t>
      </w:r>
      <w:r w:rsidRPr="00E25817">
        <w:rPr>
          <w:rFonts w:ascii="Book Antiqua" w:hAnsi="Book Antiqua" w:cstheme="minorHAnsi"/>
        </w:rPr>
        <w:t>,</w:t>
      </w:r>
      <w:r w:rsidR="009701C3" w:rsidRPr="00E25817">
        <w:rPr>
          <w:rFonts w:ascii="Book Antiqua" w:hAnsi="Book Antiqua" w:cstheme="minorHAnsi"/>
        </w:rPr>
        <w:t xml:space="preserve"> </w:t>
      </w:r>
      <w:r w:rsidR="00C923C5" w:rsidRPr="00E25817">
        <w:rPr>
          <w:rFonts w:ascii="Book Antiqua" w:hAnsi="Book Antiqua" w:cstheme="minorHAnsi"/>
        </w:rPr>
        <w:t xml:space="preserve">près de </w:t>
      </w:r>
      <w:r w:rsidR="005B14A0" w:rsidRPr="00E25817">
        <w:rPr>
          <w:rFonts w:ascii="Book Antiqua" w:hAnsi="Book Antiqua" w:cstheme="minorHAnsi"/>
        </w:rPr>
        <w:t>6 chômeurs sur 10 (</w:t>
      </w:r>
      <w:r w:rsidR="00C923C5" w:rsidRPr="00E25817">
        <w:rPr>
          <w:rFonts w:ascii="Book Antiqua" w:hAnsi="Book Antiqua" w:cstheme="minorHAnsi"/>
        </w:rPr>
        <w:t>57,9</w:t>
      </w:r>
      <w:r w:rsidR="005B14A0" w:rsidRPr="00E25817">
        <w:rPr>
          <w:rFonts w:ascii="Book Antiqua" w:hAnsi="Book Antiqua" w:cstheme="minorHAnsi"/>
        </w:rPr>
        <w:t xml:space="preserve">%) </w:t>
      </w:r>
      <w:r w:rsidRPr="00E25817">
        <w:rPr>
          <w:rFonts w:ascii="Book Antiqua" w:hAnsi="Book Antiqua" w:cstheme="minorHAnsi"/>
        </w:rPr>
        <w:t>préfèrent</w:t>
      </w:r>
      <w:r w:rsidR="009701C3" w:rsidRPr="00E25817">
        <w:rPr>
          <w:rFonts w:ascii="Book Antiqua" w:hAnsi="Book Antiqua" w:cstheme="minorHAnsi"/>
        </w:rPr>
        <w:t xml:space="preserve"> travailler </w:t>
      </w:r>
      <w:r w:rsidR="005B14A0" w:rsidRPr="00E25817">
        <w:rPr>
          <w:rFonts w:ascii="Book Antiqua" w:hAnsi="Book Antiqua" w:cstheme="minorHAnsi"/>
        </w:rPr>
        <w:t xml:space="preserve">dans leur </w:t>
      </w:r>
      <w:r w:rsidR="0031260D" w:rsidRPr="00E25817">
        <w:rPr>
          <w:rFonts w:ascii="Book Antiqua" w:hAnsi="Book Antiqua" w:cstheme="minorHAnsi"/>
        </w:rPr>
        <w:t>localité</w:t>
      </w:r>
      <w:r w:rsidR="005B14A0" w:rsidRPr="00E25817">
        <w:rPr>
          <w:rFonts w:ascii="Book Antiqua" w:hAnsi="Book Antiqua" w:cstheme="minorHAnsi"/>
        </w:rPr>
        <w:t xml:space="preserve"> de résidence, </w:t>
      </w:r>
      <w:r w:rsidR="00C923C5" w:rsidRPr="00E25817">
        <w:rPr>
          <w:rFonts w:ascii="Book Antiqua" w:hAnsi="Book Antiqua" w:cstheme="minorHAnsi"/>
        </w:rPr>
        <w:t>71,5</w:t>
      </w:r>
      <w:r w:rsidR="005B14A0" w:rsidRPr="00E25817">
        <w:rPr>
          <w:rFonts w:ascii="Book Antiqua" w:hAnsi="Book Antiqua" w:cstheme="minorHAnsi"/>
        </w:rPr>
        <w:t xml:space="preserve">% parmi les femmes et </w:t>
      </w:r>
      <w:r w:rsidR="00C923C5" w:rsidRPr="00E25817">
        <w:rPr>
          <w:rFonts w:ascii="Book Antiqua" w:hAnsi="Book Antiqua" w:cstheme="minorHAnsi"/>
        </w:rPr>
        <w:t>50,6</w:t>
      </w:r>
      <w:r w:rsidR="005B14A0" w:rsidRPr="00E25817">
        <w:rPr>
          <w:rFonts w:ascii="Book Antiqua" w:hAnsi="Book Antiqua" w:cstheme="minorHAnsi"/>
        </w:rPr>
        <w:t xml:space="preserve">% parmi les hommes. </w:t>
      </w:r>
    </w:p>
    <w:p w:rsidR="0088634F" w:rsidRPr="00E25817" w:rsidRDefault="0088634F" w:rsidP="00E25817">
      <w:pPr>
        <w:spacing w:before="240" w:line="312" w:lineRule="auto"/>
        <w:jc w:val="both"/>
        <w:rPr>
          <w:rFonts w:ascii="Book Antiqua" w:hAnsi="Book Antiqua" w:cstheme="minorHAnsi"/>
        </w:rPr>
      </w:pPr>
    </w:p>
    <w:sectPr w:rsidR="0088634F" w:rsidRPr="00E25817" w:rsidSect="00A6304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D42" w:rsidRDefault="00E96D42" w:rsidP="00B577D0">
      <w:r>
        <w:separator/>
      </w:r>
    </w:p>
  </w:endnote>
  <w:endnote w:type="continuationSeparator" w:id="1">
    <w:p w:rsidR="00E96D42" w:rsidRDefault="00E96D42" w:rsidP="00B57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7346"/>
      <w:docPartObj>
        <w:docPartGallery w:val="Page Numbers (Bottom of Page)"/>
        <w:docPartUnique/>
      </w:docPartObj>
    </w:sdtPr>
    <w:sdtContent>
      <w:p w:rsidR="00975F21" w:rsidRDefault="00D2559F">
        <w:pPr>
          <w:pStyle w:val="Pieddepage"/>
          <w:jc w:val="center"/>
        </w:pPr>
        <w:fldSimple w:instr=" PAGE   \* MERGEFORMAT ">
          <w:r w:rsidR="00312309">
            <w:rPr>
              <w:noProof/>
            </w:rPr>
            <w:t>2</w:t>
          </w:r>
        </w:fldSimple>
      </w:p>
    </w:sdtContent>
  </w:sdt>
  <w:p w:rsidR="00975F21" w:rsidRDefault="00975F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D42" w:rsidRDefault="00E96D42" w:rsidP="00B577D0">
      <w:r>
        <w:separator/>
      </w:r>
    </w:p>
  </w:footnote>
  <w:footnote w:type="continuationSeparator" w:id="1">
    <w:p w:rsidR="00E96D42" w:rsidRDefault="00E96D42" w:rsidP="00B57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632E"/>
    <w:multiLevelType w:val="multilevel"/>
    <w:tmpl w:val="203AB1AC"/>
    <w:lvl w:ilvl="0">
      <w:start w:val="1"/>
      <w:numFmt w:val="decimal"/>
      <w:pStyle w:val="MMTopic1"/>
      <w:suff w:val="space"/>
      <w:lvlText w:val="%1-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284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284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F3E"/>
    <w:rsid w:val="0000014D"/>
    <w:rsid w:val="00006066"/>
    <w:rsid w:val="00032609"/>
    <w:rsid w:val="000355EB"/>
    <w:rsid w:val="00044805"/>
    <w:rsid w:val="0005041A"/>
    <w:rsid w:val="00067090"/>
    <w:rsid w:val="000B3A8E"/>
    <w:rsid w:val="000B5EA7"/>
    <w:rsid w:val="000C4252"/>
    <w:rsid w:val="000D076F"/>
    <w:rsid w:val="000D7CBA"/>
    <w:rsid w:val="000E48F1"/>
    <w:rsid w:val="000E70E6"/>
    <w:rsid w:val="000F48C0"/>
    <w:rsid w:val="001329F4"/>
    <w:rsid w:val="001410D8"/>
    <w:rsid w:val="00162559"/>
    <w:rsid w:val="001B0FE2"/>
    <w:rsid w:val="001D7E84"/>
    <w:rsid w:val="00213AA9"/>
    <w:rsid w:val="00224A83"/>
    <w:rsid w:val="00235FE5"/>
    <w:rsid w:val="002360DF"/>
    <w:rsid w:val="0024074E"/>
    <w:rsid w:val="00243075"/>
    <w:rsid w:val="00247D1B"/>
    <w:rsid w:val="00261664"/>
    <w:rsid w:val="00264C94"/>
    <w:rsid w:val="00267B14"/>
    <w:rsid w:val="0027401A"/>
    <w:rsid w:val="002776CB"/>
    <w:rsid w:val="002953DE"/>
    <w:rsid w:val="002C11A9"/>
    <w:rsid w:val="002E17A6"/>
    <w:rsid w:val="00312309"/>
    <w:rsid w:val="0031260D"/>
    <w:rsid w:val="00333F55"/>
    <w:rsid w:val="003607C6"/>
    <w:rsid w:val="00360BA1"/>
    <w:rsid w:val="003629D7"/>
    <w:rsid w:val="003752EF"/>
    <w:rsid w:val="00381F8D"/>
    <w:rsid w:val="003826AC"/>
    <w:rsid w:val="003D50AC"/>
    <w:rsid w:val="003E6D63"/>
    <w:rsid w:val="004026D2"/>
    <w:rsid w:val="00430EC9"/>
    <w:rsid w:val="00435B0F"/>
    <w:rsid w:val="004420FC"/>
    <w:rsid w:val="00445800"/>
    <w:rsid w:val="00455113"/>
    <w:rsid w:val="004B1336"/>
    <w:rsid w:val="004D0E2A"/>
    <w:rsid w:val="004D1602"/>
    <w:rsid w:val="004E5C1E"/>
    <w:rsid w:val="00514652"/>
    <w:rsid w:val="00521BC9"/>
    <w:rsid w:val="005449B2"/>
    <w:rsid w:val="005A57E9"/>
    <w:rsid w:val="005B14A0"/>
    <w:rsid w:val="005B253B"/>
    <w:rsid w:val="005B25AC"/>
    <w:rsid w:val="005C4A38"/>
    <w:rsid w:val="005D1510"/>
    <w:rsid w:val="005E57F8"/>
    <w:rsid w:val="005E7F8D"/>
    <w:rsid w:val="005F794D"/>
    <w:rsid w:val="00622B17"/>
    <w:rsid w:val="00626291"/>
    <w:rsid w:val="00640842"/>
    <w:rsid w:val="0065370E"/>
    <w:rsid w:val="00671423"/>
    <w:rsid w:val="00700655"/>
    <w:rsid w:val="00720D4A"/>
    <w:rsid w:val="007321EA"/>
    <w:rsid w:val="00732C48"/>
    <w:rsid w:val="0075507D"/>
    <w:rsid w:val="00772448"/>
    <w:rsid w:val="007739F6"/>
    <w:rsid w:val="007A4A62"/>
    <w:rsid w:val="007B06E7"/>
    <w:rsid w:val="007C3F39"/>
    <w:rsid w:val="007C666E"/>
    <w:rsid w:val="007D4EAA"/>
    <w:rsid w:val="007F15F6"/>
    <w:rsid w:val="007F5C1D"/>
    <w:rsid w:val="00804664"/>
    <w:rsid w:val="008106EF"/>
    <w:rsid w:val="008146A9"/>
    <w:rsid w:val="00817E3E"/>
    <w:rsid w:val="0085131F"/>
    <w:rsid w:val="00857D26"/>
    <w:rsid w:val="00862FBD"/>
    <w:rsid w:val="00875228"/>
    <w:rsid w:val="0088634F"/>
    <w:rsid w:val="008D493E"/>
    <w:rsid w:val="008F3121"/>
    <w:rsid w:val="0094595B"/>
    <w:rsid w:val="009701C3"/>
    <w:rsid w:val="00975F21"/>
    <w:rsid w:val="009A5B71"/>
    <w:rsid w:val="009E0887"/>
    <w:rsid w:val="00A229A8"/>
    <w:rsid w:val="00A401D9"/>
    <w:rsid w:val="00A41929"/>
    <w:rsid w:val="00A4769C"/>
    <w:rsid w:val="00A51AFA"/>
    <w:rsid w:val="00A6304C"/>
    <w:rsid w:val="00A82A52"/>
    <w:rsid w:val="00AA1E60"/>
    <w:rsid w:val="00AA53A7"/>
    <w:rsid w:val="00AD3458"/>
    <w:rsid w:val="00AD7E2B"/>
    <w:rsid w:val="00AF4CB6"/>
    <w:rsid w:val="00B179C1"/>
    <w:rsid w:val="00B54DDB"/>
    <w:rsid w:val="00B577D0"/>
    <w:rsid w:val="00B61A1D"/>
    <w:rsid w:val="00B64D1D"/>
    <w:rsid w:val="00B6792B"/>
    <w:rsid w:val="00B83257"/>
    <w:rsid w:val="00BD56A9"/>
    <w:rsid w:val="00C33886"/>
    <w:rsid w:val="00C36C5B"/>
    <w:rsid w:val="00C56F53"/>
    <w:rsid w:val="00C67F74"/>
    <w:rsid w:val="00C80C92"/>
    <w:rsid w:val="00C83C4F"/>
    <w:rsid w:val="00C87D57"/>
    <w:rsid w:val="00C923C5"/>
    <w:rsid w:val="00CC3D48"/>
    <w:rsid w:val="00CD08EC"/>
    <w:rsid w:val="00CD405E"/>
    <w:rsid w:val="00CE2E87"/>
    <w:rsid w:val="00D01718"/>
    <w:rsid w:val="00D16F69"/>
    <w:rsid w:val="00D241E7"/>
    <w:rsid w:val="00D2559F"/>
    <w:rsid w:val="00D5616B"/>
    <w:rsid w:val="00D60D1F"/>
    <w:rsid w:val="00D76234"/>
    <w:rsid w:val="00D907C9"/>
    <w:rsid w:val="00D9733D"/>
    <w:rsid w:val="00E15A7D"/>
    <w:rsid w:val="00E17B93"/>
    <w:rsid w:val="00E25817"/>
    <w:rsid w:val="00E32390"/>
    <w:rsid w:val="00E343DF"/>
    <w:rsid w:val="00E401F4"/>
    <w:rsid w:val="00E427E0"/>
    <w:rsid w:val="00E656A3"/>
    <w:rsid w:val="00E817BC"/>
    <w:rsid w:val="00E85DFD"/>
    <w:rsid w:val="00E93FE3"/>
    <w:rsid w:val="00E96D42"/>
    <w:rsid w:val="00EA7F3E"/>
    <w:rsid w:val="00EB4129"/>
    <w:rsid w:val="00EB672E"/>
    <w:rsid w:val="00EE0822"/>
    <w:rsid w:val="00EE1B0C"/>
    <w:rsid w:val="00F634AE"/>
    <w:rsid w:val="00F71AB8"/>
    <w:rsid w:val="00F77200"/>
    <w:rsid w:val="00F8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A7F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7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A7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7F3E"/>
    <w:pPr>
      <w:ind w:left="720"/>
      <w:contextualSpacing/>
    </w:pPr>
  </w:style>
  <w:style w:type="paragraph" w:customStyle="1" w:styleId="MMTopic1">
    <w:name w:val="MM Topic 1"/>
    <w:basedOn w:val="Titre1"/>
    <w:rsid w:val="00EA7F3E"/>
    <w:pPr>
      <w:numPr>
        <w:numId w:val="1"/>
      </w:numPr>
      <w:tabs>
        <w:tab w:val="num" w:pos="360"/>
      </w:tabs>
      <w:spacing w:line="276" w:lineRule="auto"/>
    </w:pPr>
    <w:rPr>
      <w:lang w:eastAsia="en-US"/>
    </w:rPr>
  </w:style>
  <w:style w:type="paragraph" w:customStyle="1" w:styleId="MMTopic2">
    <w:name w:val="MM Topic 2"/>
    <w:basedOn w:val="Titre2"/>
    <w:link w:val="MMTopic2Car"/>
    <w:rsid w:val="00EA7F3E"/>
    <w:pPr>
      <w:numPr>
        <w:ilvl w:val="1"/>
        <w:numId w:val="1"/>
      </w:numPr>
      <w:spacing w:line="276" w:lineRule="auto"/>
    </w:pPr>
  </w:style>
  <w:style w:type="character" w:customStyle="1" w:styleId="MMTopic2Car">
    <w:name w:val="MM Topic 2 Car"/>
    <w:basedOn w:val="Titre2Car"/>
    <w:link w:val="MMTopic2"/>
    <w:rsid w:val="00EA7F3E"/>
  </w:style>
  <w:style w:type="paragraph" w:customStyle="1" w:styleId="MMTopic3">
    <w:name w:val="MM Topic 3"/>
    <w:basedOn w:val="Titre3"/>
    <w:rsid w:val="00EA7F3E"/>
    <w:pPr>
      <w:numPr>
        <w:ilvl w:val="2"/>
        <w:numId w:val="1"/>
      </w:numPr>
      <w:tabs>
        <w:tab w:val="num" w:pos="360"/>
      </w:tabs>
      <w:spacing w:line="276" w:lineRule="auto"/>
      <w:ind w:left="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A7F3E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EA7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A7F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7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7F3E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577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577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77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service%20analyse\Note%20Annuelle\partie%20ch&#244;m+ss%20emploi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lasseur4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HCP\11%20service%20analyse\16%20notes%20hors%20s&#233;rie\2019%20note%20chomag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1.9801980198020052E-2"/>
          <c:y val="4.3689320388349467E-2"/>
          <c:w val="0.95159515951595153"/>
          <c:h val="0.61277310603164892"/>
        </c:manualLayout>
      </c:layout>
      <c:barChart>
        <c:barDir val="col"/>
        <c:grouping val="clustered"/>
        <c:ser>
          <c:idx val="0"/>
          <c:order val="0"/>
          <c:tx>
            <c:strRef>
              <c:f>Texte!$L$17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</c:spPr>
          <c:dLbls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Texte!$K$18:$K$24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Texte!$L$18:$L$24</c:f>
              <c:numCache>
                <c:formatCode>0.0</c:formatCode>
                <c:ptCount val="7"/>
                <c:pt idx="0">
                  <c:v>13.751509084025924</c:v>
                </c:pt>
                <c:pt idx="1">
                  <c:v>3.5507666049716513</c:v>
                </c:pt>
                <c:pt idx="2">
                  <c:v>8.0783766694812496</c:v>
                </c:pt>
                <c:pt idx="3">
                  <c:v>14.058621468613698</c:v>
                </c:pt>
                <c:pt idx="4">
                  <c:v>25.5566675919444</c:v>
                </c:pt>
                <c:pt idx="5">
                  <c:v>16.748969205335978</c:v>
                </c:pt>
                <c:pt idx="6">
                  <c:v>9.5165693644777605</c:v>
                </c:pt>
              </c:numCache>
            </c:numRef>
          </c:val>
        </c:ser>
        <c:ser>
          <c:idx val="1"/>
          <c:order val="1"/>
          <c:tx>
            <c:strRef>
              <c:f>Texte!$M$17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1.1111111111111148E-2"/>
                  <c:y val="4.6348318194707845E-3"/>
                </c:manualLayout>
              </c:layout>
              <c:showVal val="1"/>
            </c:dLbl>
            <c:dLbl>
              <c:idx val="2"/>
              <c:layout>
                <c:manualLayout>
                  <c:x val="8.3333333333334026E-3"/>
                  <c:y val="4.6348318194707446E-3"/>
                </c:manualLayout>
              </c:layout>
              <c:showVal val="1"/>
            </c:dLbl>
            <c:dLbl>
              <c:idx val="3"/>
              <c:layout>
                <c:manualLayout>
                  <c:x val="1.6666666666666739E-2"/>
                  <c:y val="9.2696636389415239E-3"/>
                </c:manualLayout>
              </c:layout>
              <c:showVal val="1"/>
            </c:dLbl>
            <c:dLbl>
              <c:idx val="4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1111111111111247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3888888888889223E-2"/>
                  <c:y val="4.2485467549404852E-17"/>
                </c:manualLayout>
              </c:layout>
              <c:showVal val="1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Texte!$K$18:$K$24</c:f>
              <c:strCache>
                <c:ptCount val="7"/>
                <c:pt idx="0">
                  <c:v>Urbain</c:v>
                </c:pt>
                <c:pt idx="1">
                  <c:v>Rural</c:v>
                </c:pt>
                <c:pt idx="2">
                  <c:v>Masculin</c:v>
                </c:pt>
                <c:pt idx="3">
                  <c:v>Féminin</c:v>
                </c:pt>
                <c:pt idx="4">
                  <c:v>Jeunes âgés de 15 à 24 ans</c:v>
                </c:pt>
                <c:pt idx="5">
                  <c:v>Diplômés</c:v>
                </c:pt>
                <c:pt idx="6">
                  <c:v>National</c:v>
                </c:pt>
              </c:strCache>
            </c:strRef>
          </c:cat>
          <c:val>
            <c:numRef>
              <c:f>Texte!$M$18:$M$24</c:f>
              <c:numCache>
                <c:formatCode>0.0</c:formatCode>
                <c:ptCount val="7"/>
                <c:pt idx="0">
                  <c:v>12.876928909139446</c:v>
                </c:pt>
                <c:pt idx="1">
                  <c:v>3.6762989629205118</c:v>
                </c:pt>
                <c:pt idx="2">
                  <c:v>7.8147608015988546</c:v>
                </c:pt>
                <c:pt idx="3">
                  <c:v>13.475271614063654</c:v>
                </c:pt>
                <c:pt idx="4">
                  <c:v>24.928843996200289</c:v>
                </c:pt>
                <c:pt idx="5">
                  <c:v>15.692612601377583</c:v>
                </c:pt>
                <c:pt idx="6">
                  <c:v>9.1626829251630824</c:v>
                </c:pt>
              </c:numCache>
            </c:numRef>
          </c:val>
        </c:ser>
        <c:axId val="118429184"/>
        <c:axId val="118442624"/>
      </c:barChart>
      <c:catAx>
        <c:axId val="1184291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solidFill>
                  <a:schemeClr val="bg2">
                    <a:lumMod val="25000"/>
                  </a:schemeClr>
                </a:solidFill>
              </a:defRPr>
            </a:pPr>
            <a:endParaRPr lang="fr-FR"/>
          </a:p>
        </c:txPr>
        <c:crossAx val="118442624"/>
        <c:crosses val="autoZero"/>
        <c:auto val="1"/>
        <c:lblAlgn val="ctr"/>
        <c:lblOffset val="100"/>
      </c:catAx>
      <c:valAx>
        <c:axId val="118442624"/>
        <c:scaling>
          <c:orientation val="minMax"/>
        </c:scaling>
        <c:delete val="1"/>
        <c:axPos val="l"/>
        <c:numFmt formatCode="0.0" sourceLinked="1"/>
        <c:tickLblPos val="none"/>
        <c:crossAx val="1184291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b="1">
              <a:solidFill>
                <a:schemeClr val="bg2">
                  <a:lumMod val="25000"/>
                </a:schemeClr>
              </a:solidFill>
            </a:defRPr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accent2"/>
            </a:solidFill>
          </c:spPr>
          <c:dPt>
            <c:idx val="1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00B050"/>
              </a:solidFill>
            </c:spPr>
          </c:dPt>
          <c:dPt>
            <c:idx val="4"/>
            <c:spPr>
              <a:solidFill>
                <a:schemeClr val="accent3">
                  <a:lumMod val="50000"/>
                </a:schemeClr>
              </a:solidFill>
            </c:spPr>
          </c:dPt>
          <c:dPt>
            <c:idx val="5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6"/>
            <c:spPr>
              <a:solidFill>
                <a:schemeClr val="tx2">
                  <a:lumMod val="75000"/>
                </a:schemeClr>
              </a:solidFill>
            </c:spPr>
          </c:dPt>
          <c:dPt>
            <c:idx val="7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8"/>
            <c:spPr>
              <a:solidFill>
                <a:schemeClr val="tx2">
                  <a:lumMod val="50000"/>
                </a:schemeClr>
              </a:solidFill>
            </c:spPr>
          </c:dPt>
          <c:dLbls>
            <c:showVal val="1"/>
          </c:dLbls>
          <c:cat>
            <c:strRef>
              <c:f>Feuil2!$C$9:$C$17</c:f>
              <c:strCache>
                <c:ptCount val="9"/>
                <c:pt idx="0">
                  <c:v>Masculin</c:v>
                </c:pt>
                <c:pt idx="1">
                  <c:v>Féminin</c:v>
                </c:pt>
                <c:pt idx="2">
                  <c:v>De 15 à 34 ans</c:v>
                </c:pt>
                <c:pt idx="3">
                  <c:v>De 35 à 44 ans</c:v>
                </c:pt>
                <c:pt idx="4">
                  <c:v>45 ans et plus</c:v>
                </c:pt>
                <c:pt idx="5">
                  <c:v>Sans diplôme</c:v>
                </c:pt>
                <c:pt idx="6">
                  <c:v>Niveau moyen</c:v>
                </c:pt>
                <c:pt idx="7">
                  <c:v>Niveau supérieur</c:v>
                </c:pt>
                <c:pt idx="8">
                  <c:v>Total</c:v>
                </c:pt>
              </c:strCache>
            </c:strRef>
          </c:cat>
          <c:val>
            <c:numRef>
              <c:f>Feuil2!$D$9:$D$17</c:f>
              <c:numCache>
                <c:formatCode>General</c:formatCode>
                <c:ptCount val="9"/>
                <c:pt idx="0" formatCode="0.0">
                  <c:v>63.5</c:v>
                </c:pt>
                <c:pt idx="1">
                  <c:v>75.900000000000006</c:v>
                </c:pt>
                <c:pt idx="2">
                  <c:v>71.099999999999994</c:v>
                </c:pt>
                <c:pt idx="3">
                  <c:v>59.2</c:v>
                </c:pt>
                <c:pt idx="4">
                  <c:v>46.8</c:v>
                </c:pt>
                <c:pt idx="5">
                  <c:v>45.2</c:v>
                </c:pt>
                <c:pt idx="6">
                  <c:v>67.5</c:v>
                </c:pt>
                <c:pt idx="7">
                  <c:v>78</c:v>
                </c:pt>
                <c:pt idx="8">
                  <c:v>67.8</c:v>
                </c:pt>
              </c:numCache>
            </c:numRef>
          </c:val>
        </c:ser>
        <c:axId val="140363264"/>
        <c:axId val="140365184"/>
      </c:barChart>
      <c:catAx>
        <c:axId val="140363264"/>
        <c:scaling>
          <c:orientation val="minMax"/>
        </c:scaling>
        <c:axPos val="b"/>
        <c:tickLblPos val="nextTo"/>
        <c:crossAx val="140365184"/>
        <c:crosses val="autoZero"/>
        <c:auto val="1"/>
        <c:lblAlgn val="ctr"/>
        <c:lblOffset val="100"/>
      </c:catAx>
      <c:valAx>
        <c:axId val="140365184"/>
        <c:scaling>
          <c:orientation val="minMax"/>
        </c:scaling>
        <c:delete val="1"/>
        <c:axPos val="l"/>
        <c:numFmt formatCode="0.0" sourceLinked="1"/>
        <c:tickLblPos val="none"/>
        <c:crossAx val="14036326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percentStacked"/>
        <c:ser>
          <c:idx val="0"/>
          <c:order val="0"/>
          <c:tx>
            <c:strRef>
              <c:f>Feuil1!$K$142</c:f>
              <c:strCache>
                <c:ptCount val="1"/>
                <c:pt idx="0">
                  <c:v>Gérér des ressources financières, faire une demande de licence ou d'autorisation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Feuil1!$L$142:$N$142</c:f>
              <c:numCache>
                <c:formatCode>0.0</c:formatCode>
                <c:ptCount val="3"/>
                <c:pt idx="0">
                  <c:v>0.64251434695086529</c:v>
                </c:pt>
                <c:pt idx="1">
                  <c:v>0.65659494546812625</c:v>
                </c:pt>
                <c:pt idx="2">
                  <c:v>0.4951688004492229</c:v>
                </c:pt>
              </c:numCache>
            </c:numRef>
          </c:val>
        </c:ser>
        <c:ser>
          <c:idx val="1"/>
          <c:order val="1"/>
          <c:tx>
            <c:strRef>
              <c:f>Feuil1!$K$143</c:f>
              <c:strCache>
                <c:ptCount val="1"/>
                <c:pt idx="0">
                  <c:v>Rechercher un terrain, des local professionnel, des machines ou des matériaux pour une activité agricole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Feuil1!$L$143:$N$143</c:f>
              <c:numCache>
                <c:formatCode>0.0</c:formatCode>
                <c:ptCount val="3"/>
                <c:pt idx="0">
                  <c:v>0.28752595612346787</c:v>
                </c:pt>
                <c:pt idx="1">
                  <c:v>0.13665620049636748</c:v>
                </c:pt>
                <c:pt idx="2">
                  <c:v>0.70182811095875464</c:v>
                </c:pt>
              </c:numCache>
            </c:numRef>
          </c:val>
        </c:ser>
        <c:ser>
          <c:idx val="2"/>
          <c:order val="2"/>
          <c:tx>
            <c:strRef>
              <c:f>Feuil1!$K$144</c:f>
              <c:strCache>
                <c:ptCount val="1"/>
                <c:pt idx="0">
                  <c:v>Contact personnel des employeurs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Feuil1!$L$144:$N$144</c:f>
              <c:numCache>
                <c:formatCode>0.0</c:formatCode>
                <c:ptCount val="3"/>
                <c:pt idx="0">
                  <c:v>42.239057237040242</c:v>
                </c:pt>
                <c:pt idx="1">
                  <c:v>22.818244601087752</c:v>
                </c:pt>
                <c:pt idx="2">
                  <c:v>37.596461617715377</c:v>
                </c:pt>
              </c:numCache>
            </c:numRef>
          </c:val>
        </c:ser>
        <c:ser>
          <c:idx val="3"/>
          <c:order val="3"/>
          <c:tx>
            <c:strRef>
              <c:f>Feuil1!$K$145</c:f>
              <c:strCache>
                <c:ptCount val="1"/>
                <c:pt idx="0">
                  <c:v> Famille, amis, connaissances</c:v>
                </c:pt>
              </c:strCache>
            </c:strRef>
          </c:tx>
          <c:spPr>
            <a:solidFill>
              <a:srgbClr val="002060"/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Feuil1!$L$145:$N$145</c:f>
              <c:numCache>
                <c:formatCode>0.0</c:formatCode>
                <c:ptCount val="3"/>
                <c:pt idx="0">
                  <c:v>44.387844678587328</c:v>
                </c:pt>
                <c:pt idx="1">
                  <c:v>9.9358399257618206</c:v>
                </c:pt>
                <c:pt idx="2">
                  <c:v>50.199390874425688</c:v>
                </c:pt>
              </c:numCache>
            </c:numRef>
          </c:val>
        </c:ser>
        <c:ser>
          <c:idx val="4"/>
          <c:order val="4"/>
          <c:tx>
            <c:strRef>
              <c:f>Feuil1!$K$146</c:f>
              <c:strCache>
                <c:ptCount val="1"/>
                <c:pt idx="0">
                  <c:v> Passer des concours</c:v>
                </c:pt>
              </c:strCache>
            </c:strRef>
          </c:tx>
          <c:spPr>
            <a:solidFill>
              <a:srgbClr val="FFFF00"/>
            </a:solidFill>
          </c:spPr>
          <c:dLbls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Feuil1!$L$146:$N$146</c:f>
              <c:numCache>
                <c:formatCode>0.0</c:formatCode>
                <c:ptCount val="3"/>
                <c:pt idx="0">
                  <c:v>1.737359844139055</c:v>
                </c:pt>
                <c:pt idx="1">
                  <c:v>28.07053262755878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strRef>
              <c:f>Feuil1!$K$147</c:f>
              <c:strCache>
                <c:ptCount val="1"/>
                <c:pt idx="0">
                  <c:v>Agence Nationale de Promotion de l'Emploi et des Compétences</c:v>
                </c:pt>
              </c:strCache>
            </c:strRef>
          </c:tx>
          <c:dLbls>
            <c:dLbl>
              <c:idx val="0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Feuil1!$L$147:$N$147</c:f>
              <c:numCache>
                <c:formatCode>0.0</c:formatCode>
                <c:ptCount val="3"/>
                <c:pt idx="0">
                  <c:v>0.84000810357555877</c:v>
                </c:pt>
                <c:pt idx="1">
                  <c:v>9.1385618669683613</c:v>
                </c:pt>
                <c:pt idx="2">
                  <c:v>4.2324337488133523E-2</c:v>
                </c:pt>
              </c:numCache>
            </c:numRef>
          </c:val>
        </c:ser>
        <c:ser>
          <c:idx val="6"/>
          <c:order val="6"/>
          <c:tx>
            <c:strRef>
              <c:f>Feuil1!$K$148</c:f>
              <c:strCache>
                <c:ptCount val="1"/>
                <c:pt idx="0">
                  <c:v> Etablissement  privé  spécialisé dans l'intermédiation pour l'emploi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Feuil1!$L$148:$N$148</c:f>
              <c:numCache>
                <c:formatCode>0.0</c:formatCode>
                <c:ptCount val="3"/>
                <c:pt idx="0">
                  <c:v>0.39047191796234709</c:v>
                </c:pt>
                <c:pt idx="1">
                  <c:v>1.749285058723786</c:v>
                </c:pt>
                <c:pt idx="2">
                  <c:v>5.1752790361722714E-2</c:v>
                </c:pt>
              </c:numCache>
            </c:numRef>
          </c:val>
        </c:ser>
        <c:ser>
          <c:idx val="7"/>
          <c:order val="7"/>
          <c:tx>
            <c:strRef>
              <c:f>Feuil1!$K$149</c:f>
              <c:strCache>
                <c:ptCount val="1"/>
                <c:pt idx="0">
                  <c:v> Réponses aux annonces, demandes écrites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0"/>
                  <c:y val="3.7037037037037056E-2"/>
                </c:manualLayout>
              </c:layout>
              <c:showVal val="1"/>
            </c:dLbl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Feuil1!$L$149:$N$149</c:f>
              <c:numCache>
                <c:formatCode>0.0</c:formatCode>
                <c:ptCount val="3"/>
                <c:pt idx="0">
                  <c:v>3.0599399872395181</c:v>
                </c:pt>
                <c:pt idx="1">
                  <c:v>11.672597024242705</c:v>
                </c:pt>
                <c:pt idx="2">
                  <c:v>0.13411972588016971</c:v>
                </c:pt>
              </c:numCache>
            </c:numRef>
          </c:val>
        </c:ser>
        <c:ser>
          <c:idx val="8"/>
          <c:order val="8"/>
          <c:tx>
            <c:strRef>
              <c:f>Feuil1!$K$150</c:f>
              <c:strCache>
                <c:ptCount val="1"/>
                <c:pt idx="0">
                  <c:v> Via internet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2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Feuil1!$L$150:$N$150</c:f>
              <c:numCache>
                <c:formatCode>0.0</c:formatCode>
                <c:ptCount val="3"/>
                <c:pt idx="0">
                  <c:v>2.5435606089095644</c:v>
                </c:pt>
                <c:pt idx="1">
                  <c:v>14.350700498138076</c:v>
                </c:pt>
                <c:pt idx="2">
                  <c:v>5.4033912138499125E-2</c:v>
                </c:pt>
              </c:numCache>
            </c:numRef>
          </c:val>
        </c:ser>
        <c:ser>
          <c:idx val="9"/>
          <c:order val="9"/>
          <c:tx>
            <c:strRef>
              <c:f>Feuil1!$K$151</c:f>
              <c:strCache>
                <c:ptCount val="1"/>
                <c:pt idx="0">
                  <c:v> Mokaf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showVal val="1"/>
          </c:dLbls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Feuil1!$L$151:$N$151</c:f>
              <c:numCache>
                <c:formatCode>0.0</c:formatCode>
                <c:ptCount val="3"/>
                <c:pt idx="0">
                  <c:v>1.446052231617402</c:v>
                </c:pt>
                <c:pt idx="1">
                  <c:v>0.11028847046850219</c:v>
                </c:pt>
                <c:pt idx="2">
                  <c:v>7.0918234372320734</c:v>
                </c:pt>
              </c:numCache>
            </c:numRef>
          </c:val>
        </c:ser>
        <c:ser>
          <c:idx val="10"/>
          <c:order val="10"/>
          <c:tx>
            <c:strRef>
              <c:f>Feuil1!$K$152</c:f>
              <c:strCache>
                <c:ptCount val="1"/>
                <c:pt idx="0">
                  <c:v>Autre moyen</c:v>
                </c:pt>
              </c:strCache>
            </c:strRef>
          </c:tx>
          <c:cat>
            <c:strRef>
              <c:f>Feuil1!$L$141:$N$141</c:f>
              <c:strCache>
                <c:ptCount val="3"/>
                <c:pt idx="0">
                  <c:v>Diplôme moyen</c:v>
                </c:pt>
                <c:pt idx="1">
                  <c:v>Diplôme supérieur</c:v>
                </c:pt>
                <c:pt idx="2">
                  <c:v>Aucun diplôme</c:v>
                </c:pt>
              </c:strCache>
            </c:strRef>
          </c:cat>
          <c:val>
            <c:numRef>
              <c:f>Feuil1!$L$152:$N$152</c:f>
              <c:numCache>
                <c:formatCode>0.0</c:formatCode>
                <c:ptCount val="3"/>
                <c:pt idx="0">
                  <c:v>1.5026822024625159</c:v>
                </c:pt>
                <c:pt idx="1">
                  <c:v>0.67505836335860114</c:v>
                </c:pt>
                <c:pt idx="2">
                  <c:v>2.1335065267162272</c:v>
                </c:pt>
              </c:numCache>
            </c:numRef>
          </c:val>
        </c:ser>
        <c:overlap val="100"/>
        <c:axId val="145297408"/>
        <c:axId val="145298944"/>
      </c:barChart>
      <c:catAx>
        <c:axId val="145297408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45298944"/>
        <c:crosses val="autoZero"/>
        <c:auto val="1"/>
        <c:lblAlgn val="ctr"/>
        <c:lblOffset val="100"/>
      </c:catAx>
      <c:valAx>
        <c:axId val="145298944"/>
        <c:scaling>
          <c:orientation val="minMax"/>
        </c:scaling>
        <c:delete val="1"/>
        <c:axPos val="b"/>
        <c:numFmt formatCode="0%" sourceLinked="1"/>
        <c:tickLblPos val="none"/>
        <c:crossAx val="145297408"/>
        <c:crosses val="autoZero"/>
        <c:crossBetween val="between"/>
      </c:valAx>
    </c:plotArea>
    <c:legend>
      <c:legendPos val="r"/>
      <c:txPr>
        <a:bodyPr/>
        <a:lstStyle/>
        <a:p>
          <a:pPr>
            <a:defRPr sz="7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nlabroude</dc:creator>
  <cp:lastModifiedBy>hcp</cp:lastModifiedBy>
  <cp:revision>2</cp:revision>
  <cp:lastPrinted>2020-02-18T12:33:00Z</cp:lastPrinted>
  <dcterms:created xsi:type="dcterms:W3CDTF">2020-02-19T11:18:00Z</dcterms:created>
  <dcterms:modified xsi:type="dcterms:W3CDTF">2020-02-19T11:18:00Z</dcterms:modified>
</cp:coreProperties>
</file>