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A" w:rsidRDefault="00691E8C" w:rsidP="000B3FCA">
      <w:pPr>
        <w:jc w:val="center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       </w:t>
      </w:r>
    </w:p>
    <w:p w:rsidR="000B3FCA" w:rsidRDefault="000B3FCA" w:rsidP="000B3FCA">
      <w:pPr>
        <w:jc w:val="center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</w:p>
    <w:p w:rsidR="006C3AB1" w:rsidRPr="00691E8C" w:rsidRDefault="006C3AB1" w:rsidP="000B3FCA">
      <w:pPr>
        <w:jc w:val="center"/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</w:pPr>
      <w:r w:rsidRPr="00691E8C"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  <w:t>Communiqué de presse</w:t>
      </w:r>
    </w:p>
    <w:p w:rsidR="006C3AB1" w:rsidRPr="00691E8C" w:rsidRDefault="006C3AB1" w:rsidP="006C3AB1">
      <w:pPr>
        <w:jc w:val="center"/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</w:pPr>
      <w:r w:rsidRPr="00691E8C"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  <w:t>du Haut-commissariat au Plan</w:t>
      </w:r>
    </w:p>
    <w:p w:rsidR="006C3AB1" w:rsidRPr="00E453C6" w:rsidRDefault="006C3AB1" w:rsidP="006C3AB1">
      <w:pPr>
        <w:jc w:val="center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  <w:r w:rsidRPr="00691E8C">
        <w:rPr>
          <w:rFonts w:asciiTheme="minorHAnsi" w:hAnsiTheme="minorHAnsi" w:cstheme="minorHAnsi"/>
          <w:bCs/>
          <w:iCs/>
          <w:shadow/>
          <w:color w:val="0070C0"/>
          <w:sz w:val="24"/>
          <w:szCs w:val="24"/>
        </w:rPr>
        <w:t>à l’occasion de la Journée Mondiale de la Population</w:t>
      </w:r>
    </w:p>
    <w:p w:rsidR="006C3AB1" w:rsidRDefault="006C3AB1" w:rsidP="00785EA0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6C3AB1" w:rsidRDefault="006C3AB1" w:rsidP="00785EA0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82251C" w:rsidRPr="005960AE" w:rsidRDefault="0026663E" w:rsidP="00275DB0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La communauté internationale célèbre le</w:t>
      </w:r>
      <w:r w:rsidR="00275DB0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11 juillet de chaque année la Journée Mondiale de la P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opulation. S’inscrivant dans le contexte dominé par la pandémie liée </w:t>
      </w:r>
      <w:r w:rsidR="00275DB0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à la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Covid-19, le thème retenu est celui de la protection des droits et de la santé des femmes et des filles face à cette pandémie</w:t>
      </w:r>
      <w:r w:rsidR="0075635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. L</w:t>
      </w:r>
      <w:r w:rsidR="00275DB0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e Haut-C</w:t>
      </w:r>
      <w:r w:rsidR="00D03AC2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ommissariat au Plan</w:t>
      </w:r>
      <w:r w:rsidR="00785EA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présente, à cette occasion, </w:t>
      </w:r>
      <w:r w:rsidR="00476BC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quelques éléments d’information sur les risques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147C1C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sanitaire et psychologique </w:t>
      </w:r>
      <w:r w:rsidR="001C474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encourus par les femmes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</w:t>
      </w:r>
      <w:r w:rsidR="00765D3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à la lumière </w:t>
      </w:r>
      <w:r w:rsidR="001D33AC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des résultats 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de l'E</w:t>
      </w:r>
      <w:r w:rsidR="00765D3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nquête auprès des ménages réalisée </w:t>
      </w:r>
      <w:r w:rsidR="00C8748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durant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765D3A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le mois d'avril. </w:t>
      </w:r>
    </w:p>
    <w:p w:rsidR="000235DD" w:rsidRPr="00F8677B" w:rsidRDefault="000235DD" w:rsidP="0083315E">
      <w:pPr>
        <w:spacing w:before="240" w:after="240"/>
        <w:jc w:val="left"/>
        <w:rPr>
          <w:rFonts w:asciiTheme="minorHAnsi" w:hAnsiTheme="minorHAnsi" w:cstheme="minorHAnsi"/>
          <w:bCs/>
          <w:iCs/>
          <w:color w:val="0070C0"/>
          <w:sz w:val="24"/>
          <w:szCs w:val="24"/>
        </w:rPr>
      </w:pPr>
      <w:r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Risque</w:t>
      </w:r>
      <w:r w:rsidR="001B7835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s</w:t>
      </w:r>
      <w:r w:rsidR="005960AE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</w:t>
      </w:r>
      <w:r w:rsidR="00AF6250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liés à la santé</w:t>
      </w:r>
    </w:p>
    <w:p w:rsidR="00A026E9" w:rsidRDefault="00F54582" w:rsidP="009B7936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femmes et les hommes sont exposés différemment aux facteurs de risque pour la </w:t>
      </w:r>
      <w:r w:rsidR="00C8748A"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santé</w:t>
      </w:r>
      <w:r w:rsidR="00C8748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engendrés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 accentués, par la</w:t>
      </w: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Covid-19.</w:t>
      </w:r>
      <w:r w:rsid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Tout d'abord</w:t>
      </w:r>
      <w:r w:rsidR="00076B6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l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 sur</w:t>
      </w:r>
      <w:r w:rsidR="00CB1923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représentation</w:t>
      </w:r>
      <w:r w:rsidR="001440C0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des femmes dans les emplois </w:t>
      </w:r>
      <w:r w:rsidR="00076B6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liés à la santé et aux </w:t>
      </w:r>
      <w:r w:rsidR="00F74A3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services de 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soins </w:t>
      </w:r>
      <w:r w:rsidR="001440C0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surexpose au virus et fait augmenter, de manière </w:t>
      </w:r>
      <w:r w:rsidR="001440C0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substantielle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le risque </w:t>
      </w:r>
      <w:r w:rsidR="009B793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de </w:t>
      </w:r>
      <w:r w:rsidR="00A1032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contamination</w:t>
      </w:r>
      <w:r w:rsidR="0088636A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chez elles. </w:t>
      </w:r>
      <w:r w:rsidR="001D33A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femmes</w:t>
      </w:r>
      <w:r w:rsidR="00A026E9" w:rsidRP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représentent 5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="00A026E9" w:rsidRP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du personnel médical et 6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="00A026E9" w:rsidRP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du personnel paramédical</w:t>
      </w:r>
      <w:r w:rsidR="005960A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A026E9" w:rsidRPr="00D86FC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(infirmiers et techniciens)</w:t>
      </w:r>
      <w:r w:rsidR="00A026E9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C8748A" w:rsidRDefault="00C8748A" w:rsidP="009B7936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B52948" w:rsidRPr="005960AE" w:rsidRDefault="00C8748A" w:rsidP="005960AE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Durant son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CE2E3F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instauration, le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D06CF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confinement 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a fortement impacté </w:t>
      </w:r>
      <w:r w:rsidR="00D06CF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l'accès aux services de santé pour les femmes. </w:t>
      </w:r>
      <w:r w:rsidR="000F2FC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Alors que les efforts se concentrent sur la réduction de la propagation d</w:t>
      </w:r>
      <w:r w:rsidR="00454990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u</w:t>
      </w:r>
      <w:r w:rsidR="005960A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E554C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virus</w:t>
      </w:r>
      <w:r w:rsidR="000F2FCE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des services essentiels tels que l'accès aux services de santé sexuelle et reproductive ont été perturbés. </w:t>
      </w:r>
      <w:r w:rsidR="00A10324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Chez </w:t>
      </w:r>
      <w:r w:rsidR="00B5294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les ménages ayant parmi leurs membres des femmes éligibles aux services des consultations prénatales et postnatales, 30% ont dû renoncer à ces services pendant le confinement 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sanitaire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;</w:t>
      </w:r>
      <w:r w:rsidR="000848B6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et </w:t>
      </w:r>
      <w:r w:rsidR="00B52948" w:rsidRPr="005960AE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parmi les ménages concernés par la santé reproductive, 34% n’ont pas accédé aux services de santé pendant le confinement.</w:t>
      </w:r>
    </w:p>
    <w:p w:rsidR="00B52948" w:rsidRDefault="00B52948" w:rsidP="00B52948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</w:p>
    <w:p w:rsidR="001B189F" w:rsidRPr="00147C1C" w:rsidRDefault="001D33AC" w:rsidP="001B189F">
      <w:pPr>
        <w:shd w:val="clear" w:color="auto" w:fill="FFFFFF"/>
        <w:jc w:val="both"/>
        <w:textAlignment w:val="baseline"/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C</w:t>
      </w:r>
      <w:r w:rsidR="000F2FCE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ette 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crise semble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,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D03AC2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par ailleurs</w:t>
      </w:r>
      <w:r w:rsidR="00CB1923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,</w:t>
      </w:r>
      <w:r w:rsidR="00D03AC2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avoir précarisé davantage</w:t>
      </w:r>
      <w:r w:rsidR="00D67524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 les membres des ménages dirigés par les femmes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</w:t>
      </w:r>
      <w:r w:rsidR="000F2FCE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toujours 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du point de vue de l’accès aux soins de santé. Sur l’ensemble des ménages dirigés par les femmes ayant un membre ou plus souffrant de maladies </w:t>
      </w:r>
      <w:r w:rsidR="001B189F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ordinaire</w:t>
      </w:r>
      <w:r w:rsidR="007459E6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s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, près de </w:t>
      </w:r>
      <w:r w:rsidR="001B189F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47,5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% n’a pas accédé aux services de santé contre </w:t>
      </w:r>
      <w:r w:rsidR="001B189F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>37,9</w:t>
      </w:r>
      <w:r w:rsidR="00F216E8" w:rsidRPr="00147C1C">
        <w:rPr>
          <w:rFonts w:asciiTheme="majorBidi" w:hAnsiTheme="majorBidi" w:cstheme="majorBidi"/>
          <w:b w:val="0"/>
          <w:bCs/>
          <w:i w:val="0"/>
          <w:iCs/>
          <w:color w:val="auto"/>
          <w:sz w:val="24"/>
          <w:szCs w:val="24"/>
        </w:rPr>
        <w:t xml:space="preserve">% des ménages dirigés par un homme. </w:t>
      </w:r>
    </w:p>
    <w:p w:rsidR="008D5BE6" w:rsidRPr="00F8677B" w:rsidRDefault="008D5BE6" w:rsidP="001B7835">
      <w:pPr>
        <w:spacing w:before="240" w:after="240"/>
        <w:jc w:val="left"/>
        <w:rPr>
          <w:rFonts w:asciiTheme="minorHAnsi" w:hAnsiTheme="minorHAnsi" w:cstheme="minorHAnsi"/>
          <w:bCs/>
          <w:iCs/>
          <w:color w:val="222222"/>
          <w:sz w:val="24"/>
          <w:szCs w:val="24"/>
        </w:rPr>
      </w:pPr>
      <w:r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Risque</w:t>
      </w:r>
      <w:r w:rsidR="001B7835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s</w:t>
      </w:r>
      <w:r w:rsidR="005960AE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</w:t>
      </w:r>
      <w:r w:rsidR="00155204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lié</w:t>
      </w:r>
      <w:r w:rsidR="001B7835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s</w:t>
      </w:r>
      <w:r w:rsidR="00155204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à la </w:t>
      </w:r>
      <w:r w:rsidR="00445482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détresse</w:t>
      </w:r>
      <w:r w:rsidR="005960AE">
        <w:rPr>
          <w:rFonts w:asciiTheme="minorHAnsi" w:hAnsiTheme="minorHAnsi" w:cstheme="minorHAnsi"/>
          <w:bCs/>
          <w:iCs/>
          <w:color w:val="0070C0"/>
          <w:sz w:val="24"/>
          <w:szCs w:val="24"/>
        </w:rPr>
        <w:t xml:space="preserve"> </w:t>
      </w:r>
      <w:r w:rsidR="00445482" w:rsidRPr="00F8677B">
        <w:rPr>
          <w:rFonts w:asciiTheme="minorHAnsi" w:hAnsiTheme="minorHAnsi" w:cstheme="minorHAnsi"/>
          <w:bCs/>
          <w:iCs/>
          <w:color w:val="0070C0"/>
          <w:sz w:val="24"/>
          <w:szCs w:val="24"/>
        </w:rPr>
        <w:t>psychologique</w:t>
      </w:r>
    </w:p>
    <w:p w:rsidR="000C266C" w:rsidRDefault="00445482" w:rsidP="00985DF8">
      <w:pPr>
        <w:shd w:val="clear" w:color="auto" w:fill="FFFFFF"/>
        <w:jc w:val="both"/>
        <w:textAlignment w:val="baseline"/>
      </w:pP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femmes et les hommes sont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également </w:t>
      </w:r>
      <w:r w:rsidRPr="00F545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exposés différemment aux 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effets psychologiques de la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Covid-19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 Si</w:t>
      </w:r>
      <w:r w:rsidR="00875F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selon l'E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nquête 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auprès des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ménage</w:t>
      </w:r>
      <w:r w:rsidR="00CB192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bookmarkStart w:id="0" w:name="_GoBack"/>
      <w:bookmarkEnd w:id="0"/>
      <w:r w:rsidR="00875F1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5960A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les principales conséquences sont le trouble du sommeil, l’anxiété, la peur et les comportements obsessionnels</w:t>
      </w:r>
      <w:r w:rsidR="00DF0B8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il faut noter que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les femmes chefs de ménage apparaissent plus </w:t>
      </w:r>
      <w:r w:rsidR="002B53E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touchées par cette </w:t>
      </w:r>
      <w:r w:rsidR="002B53E7" w:rsidRPr="002B53E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détresse psychologique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que leurs homologues hommes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. </w:t>
      </w:r>
      <w:r w:rsidR="00985DF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En effet, l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es femmes s</w:t>
      </w:r>
      <w:r w:rsidR="00985DF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emblent 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plus touchées par le trouble de sommeil que les hommes (26% contre 23%), par l'anxiété 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(51% contre 49%)</w:t>
      </w:r>
      <w:r w:rsidR="005B7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et par la dépression (9% contre 6%)</w:t>
      </w:r>
      <w:r w:rsidRPr="004454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sectPr w:rsidR="000C266C" w:rsidSect="00FD78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157" w:rsidRDefault="00085157" w:rsidP="00DB67D2">
      <w:r>
        <w:separator/>
      </w:r>
    </w:p>
  </w:endnote>
  <w:endnote w:type="continuationSeparator" w:id="1">
    <w:p w:rsidR="00085157" w:rsidRDefault="00085157" w:rsidP="00DB6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67" w:rsidRPr="00935095" w:rsidRDefault="00E71B67" w:rsidP="005960AE">
    <w:pPr>
      <w:pStyle w:val="Pieddepage"/>
      <w:jc w:val="center"/>
      <w:rPr>
        <w:b w:val="0"/>
        <w:bCs/>
        <w:i w:val="0"/>
        <w:iCs/>
      </w:rPr>
    </w:pPr>
  </w:p>
  <w:p w:rsidR="00E71B67" w:rsidRDefault="00E71B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157" w:rsidRDefault="00085157" w:rsidP="00DB67D2">
      <w:r>
        <w:separator/>
      </w:r>
    </w:p>
  </w:footnote>
  <w:footnote w:type="continuationSeparator" w:id="1">
    <w:p w:rsidR="00085157" w:rsidRDefault="00085157" w:rsidP="00DB6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5CE"/>
    <w:rsid w:val="00004DB5"/>
    <w:rsid w:val="00010251"/>
    <w:rsid w:val="000113C3"/>
    <w:rsid w:val="00013C03"/>
    <w:rsid w:val="000235DD"/>
    <w:rsid w:val="000676A8"/>
    <w:rsid w:val="000704D6"/>
    <w:rsid w:val="00076B64"/>
    <w:rsid w:val="000848B6"/>
    <w:rsid w:val="00085157"/>
    <w:rsid w:val="000929CB"/>
    <w:rsid w:val="000B3FCA"/>
    <w:rsid w:val="000C266C"/>
    <w:rsid w:val="000E763E"/>
    <w:rsid w:val="000E7640"/>
    <w:rsid w:val="000F2FCE"/>
    <w:rsid w:val="0010122E"/>
    <w:rsid w:val="00127C7E"/>
    <w:rsid w:val="0013119B"/>
    <w:rsid w:val="001440C0"/>
    <w:rsid w:val="00145D91"/>
    <w:rsid w:val="00147C1C"/>
    <w:rsid w:val="00155204"/>
    <w:rsid w:val="001719D1"/>
    <w:rsid w:val="00173EB4"/>
    <w:rsid w:val="001B189F"/>
    <w:rsid w:val="001B3A1D"/>
    <w:rsid w:val="001B7835"/>
    <w:rsid w:val="001B7EB7"/>
    <w:rsid w:val="001C017B"/>
    <w:rsid w:val="001C364B"/>
    <w:rsid w:val="001C474E"/>
    <w:rsid w:val="001D33AC"/>
    <w:rsid w:val="001D7260"/>
    <w:rsid w:val="001F08B6"/>
    <w:rsid w:val="002064DF"/>
    <w:rsid w:val="00212AE7"/>
    <w:rsid w:val="002205CA"/>
    <w:rsid w:val="00245ED9"/>
    <w:rsid w:val="0026663E"/>
    <w:rsid w:val="00275DB0"/>
    <w:rsid w:val="00292380"/>
    <w:rsid w:val="002A6B18"/>
    <w:rsid w:val="002B2285"/>
    <w:rsid w:val="002B53E7"/>
    <w:rsid w:val="002C5625"/>
    <w:rsid w:val="0031611C"/>
    <w:rsid w:val="00332375"/>
    <w:rsid w:val="00386909"/>
    <w:rsid w:val="00391DFE"/>
    <w:rsid w:val="003A3C06"/>
    <w:rsid w:val="003B5A56"/>
    <w:rsid w:val="004245CE"/>
    <w:rsid w:val="004411DE"/>
    <w:rsid w:val="00442F4B"/>
    <w:rsid w:val="00445482"/>
    <w:rsid w:val="0044626C"/>
    <w:rsid w:val="00454990"/>
    <w:rsid w:val="00457246"/>
    <w:rsid w:val="00476BC8"/>
    <w:rsid w:val="00496055"/>
    <w:rsid w:val="004A780A"/>
    <w:rsid w:val="004B4235"/>
    <w:rsid w:val="004B4861"/>
    <w:rsid w:val="004B6330"/>
    <w:rsid w:val="004D57CE"/>
    <w:rsid w:val="00526AF3"/>
    <w:rsid w:val="005422F8"/>
    <w:rsid w:val="00551A73"/>
    <w:rsid w:val="00553E2B"/>
    <w:rsid w:val="005960AE"/>
    <w:rsid w:val="00597B33"/>
    <w:rsid w:val="005A2CDA"/>
    <w:rsid w:val="005B728B"/>
    <w:rsid w:val="005C261F"/>
    <w:rsid w:val="005C459A"/>
    <w:rsid w:val="006026E2"/>
    <w:rsid w:val="00623DB6"/>
    <w:rsid w:val="00632328"/>
    <w:rsid w:val="00643AE5"/>
    <w:rsid w:val="006525CE"/>
    <w:rsid w:val="006561AD"/>
    <w:rsid w:val="00663022"/>
    <w:rsid w:val="00685AAF"/>
    <w:rsid w:val="0068620D"/>
    <w:rsid w:val="00691E8C"/>
    <w:rsid w:val="00692214"/>
    <w:rsid w:val="006929B6"/>
    <w:rsid w:val="00695B6A"/>
    <w:rsid w:val="006A13B6"/>
    <w:rsid w:val="006B09EB"/>
    <w:rsid w:val="006B6BFD"/>
    <w:rsid w:val="006C3AB1"/>
    <w:rsid w:val="006D766C"/>
    <w:rsid w:val="006F3B6D"/>
    <w:rsid w:val="00712206"/>
    <w:rsid w:val="00726FD4"/>
    <w:rsid w:val="00735EE4"/>
    <w:rsid w:val="007459E6"/>
    <w:rsid w:val="0075122F"/>
    <w:rsid w:val="00756358"/>
    <w:rsid w:val="00760BAE"/>
    <w:rsid w:val="00765D3A"/>
    <w:rsid w:val="00785EA0"/>
    <w:rsid w:val="00794210"/>
    <w:rsid w:val="00797BA5"/>
    <w:rsid w:val="007B33C6"/>
    <w:rsid w:val="007C03CC"/>
    <w:rsid w:val="007D7BB5"/>
    <w:rsid w:val="007F2653"/>
    <w:rsid w:val="0082251C"/>
    <w:rsid w:val="0083315E"/>
    <w:rsid w:val="00875F1B"/>
    <w:rsid w:val="00880D2A"/>
    <w:rsid w:val="0088636A"/>
    <w:rsid w:val="00886E69"/>
    <w:rsid w:val="008A0BAD"/>
    <w:rsid w:val="008A3FD2"/>
    <w:rsid w:val="008B4763"/>
    <w:rsid w:val="008C6ECB"/>
    <w:rsid w:val="008D5BE6"/>
    <w:rsid w:val="008F5608"/>
    <w:rsid w:val="008F59DA"/>
    <w:rsid w:val="009072F1"/>
    <w:rsid w:val="00935095"/>
    <w:rsid w:val="0095325B"/>
    <w:rsid w:val="0095531E"/>
    <w:rsid w:val="00964C78"/>
    <w:rsid w:val="00972597"/>
    <w:rsid w:val="00985DF8"/>
    <w:rsid w:val="00992880"/>
    <w:rsid w:val="009B76B4"/>
    <w:rsid w:val="009B7936"/>
    <w:rsid w:val="009C32C1"/>
    <w:rsid w:val="009D2FED"/>
    <w:rsid w:val="009F0082"/>
    <w:rsid w:val="00A026E9"/>
    <w:rsid w:val="00A05794"/>
    <w:rsid w:val="00A10324"/>
    <w:rsid w:val="00A140B9"/>
    <w:rsid w:val="00A22D1F"/>
    <w:rsid w:val="00A361F2"/>
    <w:rsid w:val="00A461E3"/>
    <w:rsid w:val="00A57219"/>
    <w:rsid w:val="00A776E9"/>
    <w:rsid w:val="00A80C68"/>
    <w:rsid w:val="00A87205"/>
    <w:rsid w:val="00A87DD7"/>
    <w:rsid w:val="00AA55FD"/>
    <w:rsid w:val="00AC1CCF"/>
    <w:rsid w:val="00AC4362"/>
    <w:rsid w:val="00AC4A91"/>
    <w:rsid w:val="00AF353B"/>
    <w:rsid w:val="00AF6250"/>
    <w:rsid w:val="00B13A8A"/>
    <w:rsid w:val="00B175BC"/>
    <w:rsid w:val="00B32CB9"/>
    <w:rsid w:val="00B33A89"/>
    <w:rsid w:val="00B47796"/>
    <w:rsid w:val="00B52948"/>
    <w:rsid w:val="00B56C48"/>
    <w:rsid w:val="00B70B62"/>
    <w:rsid w:val="00B77D44"/>
    <w:rsid w:val="00B8359F"/>
    <w:rsid w:val="00B9427D"/>
    <w:rsid w:val="00BB1747"/>
    <w:rsid w:val="00BB5932"/>
    <w:rsid w:val="00BF1D5A"/>
    <w:rsid w:val="00C0343C"/>
    <w:rsid w:val="00C21175"/>
    <w:rsid w:val="00C3155A"/>
    <w:rsid w:val="00C3763D"/>
    <w:rsid w:val="00C504B4"/>
    <w:rsid w:val="00C72E18"/>
    <w:rsid w:val="00C8748A"/>
    <w:rsid w:val="00CA260F"/>
    <w:rsid w:val="00CA2FBA"/>
    <w:rsid w:val="00CA3B0D"/>
    <w:rsid w:val="00CB1923"/>
    <w:rsid w:val="00CD67A1"/>
    <w:rsid w:val="00CE2E3F"/>
    <w:rsid w:val="00CE7EC9"/>
    <w:rsid w:val="00D03AC2"/>
    <w:rsid w:val="00D06CF0"/>
    <w:rsid w:val="00D25606"/>
    <w:rsid w:val="00D34043"/>
    <w:rsid w:val="00D60CF8"/>
    <w:rsid w:val="00D67524"/>
    <w:rsid w:val="00D7101C"/>
    <w:rsid w:val="00D86FCB"/>
    <w:rsid w:val="00DB2DE5"/>
    <w:rsid w:val="00DB67D2"/>
    <w:rsid w:val="00DC0FFF"/>
    <w:rsid w:val="00DF0B8E"/>
    <w:rsid w:val="00DF32F8"/>
    <w:rsid w:val="00DF3D8A"/>
    <w:rsid w:val="00E04325"/>
    <w:rsid w:val="00E27560"/>
    <w:rsid w:val="00E3577E"/>
    <w:rsid w:val="00E40BD3"/>
    <w:rsid w:val="00E453C6"/>
    <w:rsid w:val="00E554CE"/>
    <w:rsid w:val="00E71B67"/>
    <w:rsid w:val="00F216E8"/>
    <w:rsid w:val="00F26103"/>
    <w:rsid w:val="00F30199"/>
    <w:rsid w:val="00F36A54"/>
    <w:rsid w:val="00F423DC"/>
    <w:rsid w:val="00F50352"/>
    <w:rsid w:val="00F53830"/>
    <w:rsid w:val="00F54582"/>
    <w:rsid w:val="00F56AE2"/>
    <w:rsid w:val="00F74A36"/>
    <w:rsid w:val="00F8677B"/>
    <w:rsid w:val="00F96272"/>
    <w:rsid w:val="00FA1EAF"/>
    <w:rsid w:val="00FA3B27"/>
    <w:rsid w:val="00FC737C"/>
    <w:rsid w:val="00FD4EFB"/>
    <w:rsid w:val="00FD78BF"/>
    <w:rsid w:val="00FE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tieA titreN2"/>
    <w:qFormat/>
    <w:rsid w:val="004245CE"/>
    <w:pPr>
      <w:spacing w:after="0" w:line="240" w:lineRule="auto"/>
      <w:jc w:val="lowKashida"/>
    </w:pPr>
    <w:rPr>
      <w:rFonts w:ascii="Garamond" w:eastAsia="Times New Roman" w:hAnsi="Garamond" w:cs="Calibri"/>
      <w:b/>
      <w:i/>
      <w:color w:val="000000"/>
      <w:sz w:val="20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8636A"/>
    <w:pPr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Cs/>
      <w:i w:val="0"/>
      <w:color w:val="auto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7D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DB67D2"/>
    <w:pPr>
      <w:jc w:val="left"/>
    </w:pPr>
    <w:rPr>
      <w:rFonts w:ascii="Times New Roman" w:hAnsi="Times New Roman" w:cs="Times New Roman"/>
      <w:b w:val="0"/>
      <w:i w:val="0"/>
      <w:color w:val="auto"/>
    </w:rPr>
  </w:style>
  <w:style w:type="character" w:customStyle="1" w:styleId="NotedebasdepageCar">
    <w:name w:val="Note de bas de page Car"/>
    <w:basedOn w:val="Policepardfaut"/>
    <w:link w:val="Notedebasdepage"/>
    <w:semiHidden/>
    <w:rsid w:val="00DB67D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B67D2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88636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bodytext">
    <w:name w:val="bodytext"/>
    <w:basedOn w:val="Normal"/>
    <w:rsid w:val="0088636A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8636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A87DD7"/>
    <w:rPr>
      <w:rFonts w:asciiTheme="majorHAnsi" w:eastAsiaTheme="majorEastAsia" w:hAnsiTheme="majorHAnsi" w:cstheme="majorBidi"/>
      <w:bCs/>
      <w:i/>
      <w:color w:val="4F81BD" w:themeColor="accent1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87DD7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table" w:styleId="Grilledutableau">
    <w:name w:val="Table Grid"/>
    <w:basedOn w:val="TableauNormal"/>
    <w:uiPriority w:val="59"/>
    <w:rsid w:val="008F5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5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155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5204"/>
    <w:rPr>
      <w:rFonts w:ascii="Garamond" w:eastAsia="Times New Roman" w:hAnsi="Garamond" w:cs="Calibri"/>
      <w:b/>
      <w:i/>
      <w:color w:val="00000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5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5204"/>
    <w:rPr>
      <w:rFonts w:ascii="Garamond" w:eastAsia="Times New Roman" w:hAnsi="Garamond" w:cs="Calibri"/>
      <w:b/>
      <w:i/>
      <w:color w:val="000000"/>
      <w:sz w:val="20"/>
      <w:szCs w:val="20"/>
      <w:lang w:eastAsia="fr-FR"/>
    </w:rPr>
  </w:style>
  <w:style w:type="paragraph" w:customStyle="1" w:styleId="spip2">
    <w:name w:val="spip2"/>
    <w:basedOn w:val="Normal"/>
    <w:uiPriority w:val="99"/>
    <w:rsid w:val="006C3AB1"/>
    <w:pPr>
      <w:spacing w:before="100" w:beforeAutospacing="1" w:after="100" w:afterAutospacing="1"/>
      <w:jc w:val="both"/>
    </w:pPr>
    <w:rPr>
      <w:rFonts w:ascii="Georgia" w:hAnsi="Georgia" w:cs="Times New Roman"/>
      <w:b w:val="0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dcterms:created xsi:type="dcterms:W3CDTF">2020-07-14T10:54:00Z</dcterms:created>
  <dcterms:modified xsi:type="dcterms:W3CDTF">2020-07-14T10:54:00Z</dcterms:modified>
</cp:coreProperties>
</file>