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11049E">
      <w:pPr>
        <w:pStyle w:val="Titre"/>
        <w:jc w:val="left"/>
      </w:pPr>
    </w:p>
    <w:p w:rsidR="00FE10A9" w:rsidRDefault="00FE10A9" w:rsidP="00FE10A9">
      <w:pPr>
        <w:pStyle w:val="Titre"/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F065AA" w:rsidRDefault="00093022" w:rsidP="00534DC4">
      <w:pPr>
        <w:spacing w:after="240"/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Note d’information</w:t>
      </w:r>
    </w:p>
    <w:p w:rsidR="00093022" w:rsidRPr="00F065AA" w:rsidRDefault="007D73A9" w:rsidP="0037258B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Compte satellite d</w:t>
      </w:r>
      <w:r w:rsidR="009A0476"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u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tourisme</w:t>
      </w:r>
      <w:r w:rsidR="001D5DE3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de </w:t>
      </w:r>
      <w:r w:rsidR="00535117"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2019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F16A3A" w:rsidRDefault="00F16A3A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DB273C" w:rsidRPr="004D7CE2" w:rsidRDefault="00DB273C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503F7" w:rsidRPr="006A2D48" w:rsidRDefault="00093022" w:rsidP="0097219C">
      <w:pPr>
        <w:pStyle w:val="Notedebasdepage"/>
        <w:spacing w:after="0" w:line="360" w:lineRule="auto"/>
        <w:jc w:val="both"/>
        <w:rPr>
          <w:rFonts w:ascii="Book Antiqua" w:hAnsi="Book Antiqua"/>
          <w:sz w:val="28"/>
          <w:szCs w:val="28"/>
        </w:rPr>
      </w:pPr>
      <w:r w:rsidRPr="004D7CE2">
        <w:rPr>
          <w:rFonts w:ascii="Book Antiqua" w:hAnsi="Book Antiqua"/>
          <w:b/>
          <w:bCs/>
          <w:sz w:val="28"/>
          <w:szCs w:val="28"/>
        </w:rPr>
        <w:t xml:space="preserve">L’arrêté du compte satellite du tourisme pour l’année </w:t>
      </w:r>
      <w:r w:rsidR="00535117">
        <w:rPr>
          <w:rFonts w:ascii="Book Antiqua" w:hAnsi="Book Antiqua"/>
          <w:b/>
          <w:bCs/>
          <w:sz w:val="28"/>
          <w:szCs w:val="28"/>
        </w:rPr>
        <w:t>2019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7A4590" w:rsidRPr="004D7CE2">
        <w:rPr>
          <w:rFonts w:ascii="Book Antiqua" w:hAnsi="Book Antiqua"/>
          <w:b/>
          <w:bCs/>
          <w:sz w:val="28"/>
          <w:szCs w:val="28"/>
        </w:rPr>
        <w:t>fait ressortir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 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u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n ralenti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ssement du </w:t>
      </w:r>
      <w:r w:rsidR="0097219C">
        <w:rPr>
          <w:rFonts w:ascii="Book Antiqua" w:hAnsi="Book Antiqua"/>
          <w:b/>
          <w:bCs/>
          <w:sz w:val="28"/>
          <w:szCs w:val="28"/>
        </w:rPr>
        <w:t>taux d’accroissement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du produit intérieur brut touristique de </w:t>
      </w:r>
      <w:r w:rsidR="00735250" w:rsidRPr="0098451B">
        <w:rPr>
          <w:rFonts w:ascii="Book Antiqua" w:hAnsi="Book Antiqua"/>
          <w:b/>
          <w:bCs/>
          <w:sz w:val="28"/>
          <w:szCs w:val="28"/>
        </w:rPr>
        <w:t>5,9</w:t>
      </w:r>
      <w:r w:rsidR="004D7CE2" w:rsidRPr="0098451B">
        <w:rPr>
          <w:rFonts w:ascii="Book Antiqua" w:hAnsi="Book Antiqua"/>
          <w:b/>
          <w:bCs/>
          <w:sz w:val="28"/>
          <w:szCs w:val="28"/>
        </w:rPr>
        <w:t>%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au lieu de </w:t>
      </w:r>
      <w:r w:rsidR="00735250" w:rsidRPr="0098451B">
        <w:rPr>
          <w:rFonts w:ascii="Book Antiqua" w:hAnsi="Book Antiqua"/>
          <w:b/>
          <w:bCs/>
          <w:sz w:val="28"/>
          <w:szCs w:val="28"/>
        </w:rPr>
        <w:t>6,2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en </w:t>
      </w:r>
      <w:r w:rsidR="00535117">
        <w:rPr>
          <w:rFonts w:ascii="Book Antiqua" w:hAnsi="Book Antiqua"/>
          <w:b/>
          <w:bCs/>
          <w:sz w:val="28"/>
          <w:szCs w:val="28"/>
        </w:rPr>
        <w:t>2018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et</w:t>
      </w:r>
      <w:r w:rsidR="00A35131">
        <w:rPr>
          <w:rFonts w:ascii="Book Antiqua" w:hAnsi="Book Antiqua"/>
          <w:b/>
          <w:bCs/>
          <w:sz w:val="28"/>
          <w:szCs w:val="28"/>
        </w:rPr>
        <w:t xml:space="preserve"> une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97219C">
        <w:rPr>
          <w:rFonts w:ascii="Book Antiqua" w:hAnsi="Book Antiqua"/>
          <w:b/>
          <w:bCs/>
          <w:sz w:val="28"/>
          <w:szCs w:val="28"/>
        </w:rPr>
        <w:t>hausse</w:t>
      </w:r>
      <w:r w:rsidR="00E7014F">
        <w:rPr>
          <w:rFonts w:ascii="Book Antiqua" w:hAnsi="Book Antiqua"/>
          <w:b/>
          <w:bCs/>
          <w:sz w:val="28"/>
          <w:szCs w:val="28"/>
        </w:rPr>
        <w:t xml:space="preserve"> de celui 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>d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e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 la consommation intérieure du tourisme de </w:t>
      </w:r>
      <w:r w:rsidR="00E7014F" w:rsidRPr="0098451B">
        <w:rPr>
          <w:rFonts w:ascii="Book Antiqua" w:hAnsi="Book Antiqua"/>
          <w:b/>
          <w:bCs/>
          <w:sz w:val="28"/>
          <w:szCs w:val="28"/>
        </w:rPr>
        <w:t>5,7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au lieu de </w:t>
      </w:r>
      <w:r w:rsidR="00E7014F" w:rsidRPr="0098451B">
        <w:rPr>
          <w:rFonts w:ascii="Book Antiqua" w:hAnsi="Book Antiqua"/>
          <w:b/>
          <w:bCs/>
          <w:sz w:val="28"/>
          <w:szCs w:val="28"/>
        </w:rPr>
        <w:t>5,4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%.</w:t>
      </w:r>
    </w:p>
    <w:p w:rsidR="00A52C23" w:rsidRDefault="00A52C23" w:rsidP="0004288A">
      <w:pPr>
        <w:jc w:val="both"/>
        <w:rPr>
          <w:rFonts w:ascii="Arial" w:hAnsi="Arial"/>
          <w:b/>
          <w:bCs/>
        </w:rPr>
      </w:pPr>
    </w:p>
    <w:p w:rsidR="00E54F12" w:rsidRPr="00313AA8" w:rsidRDefault="004D7CE2" w:rsidP="0098451B">
      <w:pPr>
        <w:spacing w:after="120" w:line="360" w:lineRule="auto"/>
        <w:jc w:val="both"/>
        <w:rPr>
          <w:rFonts w:ascii="Book Antiqua" w:hAnsi="Book Antiqua"/>
          <w:color w:val="000000"/>
        </w:rPr>
      </w:pPr>
      <w:r w:rsidRPr="0098451B">
        <w:rPr>
          <w:rFonts w:ascii="Book Antiqua" w:hAnsi="Book Antiqua"/>
        </w:rPr>
        <w:t>C’est ainsi que</w:t>
      </w:r>
      <w:r w:rsidR="00A3315F" w:rsidRPr="0098451B">
        <w:rPr>
          <w:rFonts w:ascii="Book Antiqua" w:hAnsi="Book Antiqua"/>
        </w:rPr>
        <w:t xml:space="preserve"> l</w:t>
      </w:r>
      <w:r w:rsidR="00093022" w:rsidRPr="0098451B">
        <w:rPr>
          <w:rFonts w:ascii="Book Antiqua" w:hAnsi="Book Antiqua"/>
        </w:rPr>
        <w:t>a consommation intérieure</w:t>
      </w:r>
      <w:r w:rsidR="00093022" w:rsidRPr="0098451B">
        <w:rPr>
          <w:rStyle w:val="Appelnotedebasdep"/>
          <w:rFonts w:ascii="Book Antiqua" w:hAnsi="Book Antiqua"/>
        </w:rPr>
        <w:footnoteReference w:id="2"/>
      </w:r>
      <w:r w:rsidR="00093022" w:rsidRPr="0098451B">
        <w:rPr>
          <w:rFonts w:ascii="Book Antiqua" w:hAnsi="Book Antiqua"/>
        </w:rPr>
        <w:t xml:space="preserve"> du tourisme </w:t>
      </w:r>
      <w:r w:rsidR="00427ABE" w:rsidRPr="0098451B">
        <w:rPr>
          <w:rFonts w:ascii="Book Antiqua" w:hAnsi="Book Antiqua"/>
        </w:rPr>
        <w:t>s’est établie à</w:t>
      </w:r>
      <w:r w:rsidR="001D5DE3">
        <w:rPr>
          <w:rFonts w:ascii="Book Antiqua" w:hAnsi="Book Antiqua"/>
        </w:rPr>
        <w:t xml:space="preserve"> </w:t>
      </w:r>
      <w:r w:rsidR="00735250" w:rsidRPr="0098451B">
        <w:rPr>
          <w:rFonts w:ascii="Book Antiqua" w:hAnsi="Book Antiqua"/>
          <w:bCs/>
        </w:rPr>
        <w:t>138,3</w:t>
      </w:r>
      <w:r w:rsidR="008C170C" w:rsidRPr="0098451B">
        <w:rPr>
          <w:rFonts w:ascii="Book Antiqua" w:hAnsi="Book Antiqua"/>
          <w:color w:val="000000"/>
        </w:rPr>
        <w:t xml:space="preserve">milliards de dirhams en </w:t>
      </w:r>
      <w:r w:rsidR="00535117" w:rsidRPr="0098451B">
        <w:rPr>
          <w:rFonts w:ascii="Book Antiqua" w:hAnsi="Book Antiqua"/>
          <w:color w:val="000000"/>
        </w:rPr>
        <w:t>2019</w:t>
      </w:r>
      <w:r w:rsidR="008C170C" w:rsidRPr="0098451B">
        <w:rPr>
          <w:rFonts w:ascii="Book Antiqua" w:hAnsi="Book Antiqua"/>
          <w:color w:val="000000"/>
        </w:rPr>
        <w:t xml:space="preserve"> au lieu de </w:t>
      </w:r>
      <w:r w:rsidR="00735250" w:rsidRPr="0098451B">
        <w:rPr>
          <w:rFonts w:ascii="Book Antiqua" w:hAnsi="Book Antiqua"/>
          <w:bCs/>
        </w:rPr>
        <w:t>130,8</w:t>
      </w:r>
      <w:r w:rsidR="001D5DE3">
        <w:rPr>
          <w:rFonts w:ascii="Book Antiqua" w:hAnsi="Book Antiqua"/>
          <w:bCs/>
        </w:rPr>
        <w:t xml:space="preserve"> </w:t>
      </w:r>
      <w:r w:rsidR="008C170C" w:rsidRPr="0098451B">
        <w:rPr>
          <w:rFonts w:ascii="Book Antiqua" w:hAnsi="Book Antiqua"/>
          <w:color w:val="000000"/>
        </w:rPr>
        <w:t xml:space="preserve">milliards en </w:t>
      </w:r>
      <w:r w:rsidR="00535117" w:rsidRPr="0098451B">
        <w:rPr>
          <w:rFonts w:ascii="Book Antiqua" w:hAnsi="Book Antiqua"/>
          <w:color w:val="000000"/>
        </w:rPr>
        <w:t>2018</w:t>
      </w:r>
      <w:r w:rsidR="00EB40D1" w:rsidRPr="0098451B">
        <w:rPr>
          <w:rFonts w:ascii="Book Antiqua" w:hAnsi="Book Antiqua"/>
          <w:color w:val="000000"/>
        </w:rPr>
        <w:t>,</w:t>
      </w:r>
      <w:r w:rsidR="001D5DE3">
        <w:rPr>
          <w:rFonts w:ascii="Book Antiqua" w:hAnsi="Book Antiqua"/>
          <w:color w:val="000000"/>
        </w:rPr>
        <w:t xml:space="preserve"> </w:t>
      </w:r>
      <w:r w:rsidR="00F04FAF" w:rsidRPr="0098451B">
        <w:rPr>
          <w:rFonts w:ascii="Book Antiqua" w:hAnsi="Book Antiqua"/>
          <w:color w:val="000000"/>
        </w:rPr>
        <w:t>en</w:t>
      </w:r>
      <w:r w:rsidR="00E709F4" w:rsidRPr="0098451B">
        <w:rPr>
          <w:rFonts w:ascii="Book Antiqua" w:hAnsi="Book Antiqua"/>
          <w:color w:val="000000"/>
        </w:rPr>
        <w:t xml:space="preserve"> augmentation de </w:t>
      </w:r>
      <w:r w:rsidR="00735250" w:rsidRPr="0098451B">
        <w:rPr>
          <w:rFonts w:ascii="Book Antiqua" w:hAnsi="Book Antiqua"/>
          <w:bCs/>
        </w:rPr>
        <w:t>5,7</w:t>
      </w:r>
      <w:r w:rsidR="00535117" w:rsidRPr="0098451B">
        <w:rPr>
          <w:rFonts w:ascii="Book Antiqua" w:hAnsi="Book Antiqua"/>
          <w:bCs/>
        </w:rPr>
        <w:t>%</w:t>
      </w:r>
      <w:r w:rsidR="00E54F12" w:rsidRPr="0098451B">
        <w:rPr>
          <w:rFonts w:ascii="Book Antiqua" w:hAnsi="Book Antiqua"/>
        </w:rPr>
        <w:t>.</w:t>
      </w:r>
      <w:r w:rsidR="001D5DE3">
        <w:rPr>
          <w:rFonts w:ascii="Book Antiqua" w:hAnsi="Book Antiqua"/>
        </w:rPr>
        <w:t xml:space="preserve"> </w:t>
      </w:r>
      <w:r w:rsidR="00E54F12" w:rsidRPr="0098451B">
        <w:rPr>
          <w:rFonts w:ascii="Book Antiqua" w:hAnsi="Book Antiqua"/>
          <w:color w:val="000000"/>
        </w:rPr>
        <w:t>Cette évolution est le résultat de l’accroissement </w:t>
      </w:r>
      <w:r w:rsidR="00900C72" w:rsidRPr="0098451B">
        <w:rPr>
          <w:rFonts w:ascii="Book Antiqua" w:hAnsi="Book Antiqua"/>
          <w:color w:val="000000"/>
        </w:rPr>
        <w:t xml:space="preserve">de la consommation </w:t>
      </w:r>
      <w:r w:rsidR="00900C72" w:rsidRPr="00313AA8">
        <w:rPr>
          <w:rFonts w:ascii="Book Antiqua" w:hAnsi="Book Antiqua"/>
          <w:color w:val="000000"/>
        </w:rPr>
        <w:t>intérieure</w:t>
      </w:r>
      <w:r w:rsidR="001D5DE3">
        <w:rPr>
          <w:rFonts w:ascii="Book Antiqua" w:hAnsi="Book Antiqua"/>
          <w:color w:val="000000"/>
        </w:rPr>
        <w:t xml:space="preserve"> </w:t>
      </w:r>
      <w:r w:rsidR="000308D3">
        <w:rPr>
          <w:rFonts w:ascii="Book Antiqua" w:hAnsi="Book Antiqua"/>
          <w:color w:val="000000"/>
        </w:rPr>
        <w:t>du</w:t>
      </w:r>
      <w:r w:rsidR="001D5DE3">
        <w:rPr>
          <w:rFonts w:ascii="Book Antiqua" w:hAnsi="Book Antiqua"/>
          <w:color w:val="000000"/>
        </w:rPr>
        <w:t xml:space="preserve"> </w:t>
      </w:r>
      <w:r w:rsidR="00E54F12" w:rsidRPr="00313AA8">
        <w:rPr>
          <w:rFonts w:ascii="Book Antiqua" w:hAnsi="Book Antiqua"/>
          <w:color w:val="000000"/>
        </w:rPr>
        <w:t>:</w:t>
      </w:r>
    </w:p>
    <w:p w:rsidR="00D326B6" w:rsidRPr="0098451B" w:rsidRDefault="00DC1A97" w:rsidP="0098451B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  <w:color w:val="000000"/>
        </w:rPr>
      </w:pPr>
      <w:r w:rsidRPr="00313AA8">
        <w:rPr>
          <w:rFonts w:ascii="Book Antiqua" w:hAnsi="Book Antiqua"/>
          <w:b/>
          <w:color w:val="000000"/>
        </w:rPr>
        <w:t>tourisme récepteu</w:t>
      </w:r>
      <w:r w:rsidRPr="00313AA8">
        <w:rPr>
          <w:rFonts w:ascii="Book Antiqua" w:hAnsi="Book Antiqua"/>
          <w:bCs/>
          <w:color w:val="000000"/>
        </w:rPr>
        <w:t>r</w:t>
      </w:r>
      <w:r w:rsidR="001D5DE3">
        <w:rPr>
          <w:rFonts w:ascii="Book Antiqua" w:hAnsi="Book Antiqua"/>
          <w:bCs/>
          <w:color w:val="000000"/>
        </w:rPr>
        <w:t xml:space="preserve"> </w:t>
      </w:r>
      <w:r w:rsidR="00390C67" w:rsidRPr="00313AA8">
        <w:rPr>
          <w:rFonts w:ascii="Book Antiqua" w:hAnsi="Book Antiqua"/>
          <w:color w:val="000000"/>
        </w:rPr>
        <w:t xml:space="preserve">de </w:t>
      </w:r>
      <w:r w:rsidR="00735250" w:rsidRPr="00313AA8">
        <w:rPr>
          <w:rFonts w:ascii="Book Antiqua" w:hAnsi="Book Antiqua"/>
          <w:bCs/>
        </w:rPr>
        <w:t>4,8</w:t>
      </w:r>
      <w:r w:rsidR="00535117" w:rsidRPr="00313AA8">
        <w:rPr>
          <w:rFonts w:ascii="Book Antiqua" w:hAnsi="Book Antiqua"/>
          <w:bCs/>
        </w:rPr>
        <w:t>%</w:t>
      </w:r>
      <w:r w:rsidR="0097219C" w:rsidRPr="00313AA8">
        <w:rPr>
          <w:rFonts w:ascii="Book Antiqua" w:hAnsi="Book Antiqua"/>
          <w:bCs/>
        </w:rPr>
        <w:t xml:space="preserve"> au lieu de 5,9%</w:t>
      </w:r>
      <w:r w:rsidR="00E84243">
        <w:rPr>
          <w:rFonts w:ascii="Book Antiqua" w:hAnsi="Book Antiqua"/>
          <w:bCs/>
        </w:rPr>
        <w:t xml:space="preserve"> en 2018</w:t>
      </w:r>
      <w:r w:rsidR="00390C67" w:rsidRPr="00313AA8">
        <w:rPr>
          <w:rFonts w:ascii="Book Antiqua" w:hAnsi="Book Antiqua"/>
        </w:rPr>
        <w:t>,</w:t>
      </w:r>
      <w:r w:rsidR="001D5DE3">
        <w:rPr>
          <w:rFonts w:ascii="Book Antiqua" w:hAnsi="Book Antiqua"/>
        </w:rPr>
        <w:t xml:space="preserve"> </w:t>
      </w:r>
      <w:r w:rsidR="00EC60F0" w:rsidRPr="00313AA8">
        <w:rPr>
          <w:rFonts w:ascii="Book Antiqua" w:hAnsi="Book Antiqua"/>
          <w:color w:val="000000"/>
        </w:rPr>
        <w:t xml:space="preserve">passant </w:t>
      </w:r>
      <w:r w:rsidRPr="00313AA8">
        <w:rPr>
          <w:rFonts w:ascii="Book Antiqua" w:hAnsi="Book Antiqua"/>
          <w:color w:val="000000"/>
        </w:rPr>
        <w:t>de</w:t>
      </w:r>
      <w:r w:rsidR="001D5DE3">
        <w:rPr>
          <w:rFonts w:ascii="Book Antiqua" w:hAnsi="Book Antiqua"/>
          <w:color w:val="000000"/>
        </w:rPr>
        <w:t xml:space="preserve"> </w:t>
      </w:r>
      <w:r w:rsidR="00735250" w:rsidRPr="00313AA8">
        <w:rPr>
          <w:rFonts w:ascii="Book Antiqua" w:hAnsi="Book Antiqua"/>
        </w:rPr>
        <w:t>89</w:t>
      </w:r>
      <w:r w:rsidR="001D5DE3">
        <w:rPr>
          <w:rFonts w:ascii="Book Antiqua" w:hAnsi="Book Antiqua"/>
        </w:rPr>
        <w:t xml:space="preserve"> </w:t>
      </w:r>
      <w:r w:rsidRPr="00313AA8">
        <w:rPr>
          <w:rFonts w:ascii="Book Antiqua" w:hAnsi="Book Antiqua"/>
        </w:rPr>
        <w:t>milliards</w:t>
      </w:r>
      <w:r w:rsidR="001D5DE3">
        <w:rPr>
          <w:rFonts w:ascii="Book Antiqua" w:hAnsi="Book Antiqua"/>
        </w:rPr>
        <w:t xml:space="preserve"> </w:t>
      </w:r>
      <w:r w:rsidR="00984CEE" w:rsidRPr="0098451B">
        <w:rPr>
          <w:rFonts w:ascii="Book Antiqua" w:hAnsi="Book Antiqua"/>
        </w:rPr>
        <w:t xml:space="preserve">de dirhams </w:t>
      </w:r>
      <w:r w:rsidR="0027672E"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2018</w:t>
      </w:r>
      <w:r w:rsidR="0027672E" w:rsidRPr="0098451B">
        <w:rPr>
          <w:rFonts w:ascii="Book Antiqua" w:hAnsi="Book Antiqua"/>
        </w:rPr>
        <w:t xml:space="preserve"> à </w:t>
      </w:r>
      <w:r w:rsidR="00735250" w:rsidRPr="0098451B">
        <w:rPr>
          <w:rFonts w:ascii="Book Antiqua" w:hAnsi="Book Antiqua"/>
        </w:rPr>
        <w:t>93</w:t>
      </w:r>
      <w:r w:rsidR="00BF5C47">
        <w:rPr>
          <w:rFonts w:ascii="Book Antiqua" w:hAnsi="Book Antiqua"/>
        </w:rPr>
        <w:t>,2</w:t>
      </w:r>
      <w:r w:rsidRPr="0098451B">
        <w:rPr>
          <w:rFonts w:ascii="Book Antiqua" w:hAnsi="Book Antiqua"/>
        </w:rPr>
        <w:t xml:space="preserve"> milliards en </w:t>
      </w:r>
      <w:r w:rsidR="00535117" w:rsidRPr="0098451B">
        <w:rPr>
          <w:rFonts w:ascii="Book Antiqua" w:hAnsi="Book Antiqua"/>
        </w:rPr>
        <w:t>2019</w:t>
      </w:r>
      <w:r w:rsidR="001D5DE3">
        <w:rPr>
          <w:rFonts w:ascii="Book Antiqua" w:hAnsi="Book Antiqua"/>
        </w:rPr>
        <w:t xml:space="preserve"> </w:t>
      </w:r>
      <w:r w:rsidR="006046B0" w:rsidRPr="0098451B">
        <w:rPr>
          <w:rFonts w:ascii="Book Antiqua" w:hAnsi="Book Antiqua"/>
        </w:rPr>
        <w:t>;</w:t>
      </w:r>
    </w:p>
    <w:p w:rsidR="00582271" w:rsidRPr="0098451B" w:rsidRDefault="00DC1A97" w:rsidP="0098451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/>
        </w:rPr>
      </w:pPr>
      <w:r w:rsidRPr="0098451B">
        <w:rPr>
          <w:rFonts w:ascii="Book Antiqua" w:hAnsi="Book Antiqua"/>
          <w:b/>
          <w:color w:val="000000"/>
        </w:rPr>
        <w:t>tourisme interne et émetteur</w:t>
      </w:r>
      <w:r w:rsidRPr="0098451B">
        <w:rPr>
          <w:rStyle w:val="Appelnotedebasdep"/>
          <w:rFonts w:ascii="Book Antiqua" w:hAnsi="Book Antiqua"/>
          <w:b/>
          <w:color w:val="000000"/>
        </w:rPr>
        <w:footnoteReference w:id="3"/>
      </w:r>
      <w:r w:rsidR="001D5DE3">
        <w:rPr>
          <w:rFonts w:ascii="Book Antiqua" w:hAnsi="Book Antiqua"/>
          <w:b/>
          <w:color w:val="000000"/>
        </w:rPr>
        <w:t xml:space="preserve"> </w:t>
      </w:r>
      <w:r w:rsidR="00A20BD8" w:rsidRPr="0098451B">
        <w:rPr>
          <w:rFonts w:ascii="Book Antiqua" w:hAnsi="Book Antiqua"/>
        </w:rPr>
        <w:t xml:space="preserve">de </w:t>
      </w:r>
      <w:r w:rsidR="00735250" w:rsidRPr="0098451B">
        <w:rPr>
          <w:rFonts w:ascii="Book Antiqua" w:hAnsi="Book Antiqua"/>
          <w:bCs/>
        </w:rPr>
        <w:t>7,6</w:t>
      </w:r>
      <w:r w:rsidR="00535117" w:rsidRPr="0098451B">
        <w:rPr>
          <w:rFonts w:ascii="Book Antiqua" w:hAnsi="Book Antiqua"/>
          <w:bCs/>
        </w:rPr>
        <w:t>%</w:t>
      </w:r>
      <w:r w:rsidR="00E84243">
        <w:rPr>
          <w:rFonts w:ascii="Book Antiqua" w:hAnsi="Book Antiqua"/>
          <w:bCs/>
        </w:rPr>
        <w:t xml:space="preserve"> au lieu de 4,4%</w:t>
      </w:r>
      <w:r w:rsidR="00390C67" w:rsidRPr="0098451B">
        <w:rPr>
          <w:rFonts w:ascii="Book Antiqua" w:hAnsi="Book Antiqua"/>
        </w:rPr>
        <w:t xml:space="preserve">, </w:t>
      </w:r>
      <w:r w:rsidR="00EC60F0" w:rsidRPr="0098451B">
        <w:rPr>
          <w:rFonts w:ascii="Book Antiqua" w:hAnsi="Book Antiqua"/>
        </w:rPr>
        <w:t>passant</w:t>
      </w:r>
      <w:r w:rsidRPr="0098451B">
        <w:rPr>
          <w:rFonts w:ascii="Book Antiqua" w:hAnsi="Book Antiqua"/>
        </w:rPr>
        <w:t xml:space="preserve"> de </w:t>
      </w:r>
      <w:r w:rsidR="00BF5C47">
        <w:rPr>
          <w:rFonts w:ascii="Book Antiqua" w:hAnsi="Book Antiqua"/>
        </w:rPr>
        <w:t>41,8</w:t>
      </w:r>
      <w:r w:rsidR="001D5DE3">
        <w:rPr>
          <w:rFonts w:ascii="Book Antiqua" w:hAnsi="Book Antiqua"/>
        </w:rPr>
        <w:t xml:space="preserve"> </w:t>
      </w:r>
      <w:r w:rsidRPr="0098451B">
        <w:rPr>
          <w:rFonts w:ascii="Book Antiqua" w:hAnsi="Book Antiqua"/>
        </w:rPr>
        <w:t xml:space="preserve">milliards </w:t>
      </w:r>
      <w:r w:rsidR="00984CEE" w:rsidRPr="0098451B">
        <w:rPr>
          <w:rFonts w:ascii="Book Antiqua" w:hAnsi="Book Antiqua"/>
        </w:rPr>
        <w:t xml:space="preserve">de dirhams </w:t>
      </w:r>
      <w:r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2018</w:t>
      </w:r>
      <w:r w:rsidRPr="0098451B">
        <w:rPr>
          <w:rFonts w:ascii="Book Antiqua" w:hAnsi="Book Antiqua"/>
        </w:rPr>
        <w:t xml:space="preserve"> à </w:t>
      </w:r>
      <w:r w:rsidR="00735250" w:rsidRPr="00313AA8">
        <w:rPr>
          <w:rFonts w:ascii="Book Antiqua" w:hAnsi="Book Antiqua"/>
        </w:rPr>
        <w:t>45</w:t>
      </w:r>
      <w:r w:rsidR="001D5DE3">
        <w:rPr>
          <w:rFonts w:ascii="Book Antiqua" w:hAnsi="Book Antiqua"/>
        </w:rPr>
        <w:t xml:space="preserve"> </w:t>
      </w:r>
      <w:r w:rsidR="0027672E" w:rsidRPr="0098451B">
        <w:rPr>
          <w:rFonts w:ascii="Book Antiqua" w:hAnsi="Book Antiqua"/>
        </w:rPr>
        <w:t xml:space="preserve">milliards en </w:t>
      </w:r>
      <w:r w:rsidR="00535117" w:rsidRPr="0098451B">
        <w:rPr>
          <w:rFonts w:ascii="Book Antiqua" w:hAnsi="Book Antiqua"/>
        </w:rPr>
        <w:t>2019</w:t>
      </w:r>
      <w:r w:rsidRPr="0098451B">
        <w:rPr>
          <w:rFonts w:ascii="Book Antiqua" w:hAnsi="Book Antiqua"/>
        </w:rPr>
        <w:t>.</w:t>
      </w:r>
    </w:p>
    <w:p w:rsidR="00582271" w:rsidRPr="0011049E" w:rsidRDefault="00582271" w:rsidP="006819A9">
      <w:p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Dans ce cadre :</w:t>
      </w:r>
    </w:p>
    <w:p w:rsidR="00390C67" w:rsidRPr="0011049E" w:rsidRDefault="00582271" w:rsidP="001D5DE3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lastRenderedPageBreak/>
        <w:t>l</w:t>
      </w:r>
      <w:r w:rsidR="006F0A43" w:rsidRPr="0011049E">
        <w:rPr>
          <w:rFonts w:ascii="Book Antiqua" w:hAnsi="Book Antiqua"/>
        </w:rPr>
        <w:t xml:space="preserve">a part du tourisme récepteur </w:t>
      </w:r>
      <w:r w:rsidR="002F6F50" w:rsidRPr="0011049E">
        <w:rPr>
          <w:rFonts w:ascii="Book Antiqua" w:hAnsi="Book Antiqua"/>
        </w:rPr>
        <w:t xml:space="preserve">dans </w:t>
      </w:r>
      <w:r w:rsidR="00A3593F" w:rsidRPr="0011049E">
        <w:rPr>
          <w:rFonts w:ascii="Book Antiqua" w:hAnsi="Book Antiqua"/>
        </w:rPr>
        <w:t xml:space="preserve">la consommation intérieure </w:t>
      </w:r>
      <w:r w:rsidR="00735250" w:rsidRPr="0011049E">
        <w:rPr>
          <w:rFonts w:ascii="Book Antiqua" w:hAnsi="Book Antiqua"/>
        </w:rPr>
        <w:t>a baissé de</w:t>
      </w:r>
      <w:r w:rsidR="001D5DE3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68</w:t>
      </w:r>
      <w:r w:rsidR="00535117" w:rsidRPr="0011049E">
        <w:rPr>
          <w:rFonts w:ascii="Book Antiqua" w:hAnsi="Book Antiqua"/>
          <w:bCs/>
        </w:rPr>
        <w:t xml:space="preserve">% </w:t>
      </w:r>
      <w:r w:rsidR="00781C5F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C03588" w:rsidRPr="0011049E">
        <w:rPr>
          <w:rFonts w:ascii="Book Antiqua" w:hAnsi="Book Antiqua"/>
        </w:rPr>
        <w:t xml:space="preserve"> à  </w:t>
      </w:r>
      <w:r w:rsidR="00735250" w:rsidRPr="0011049E">
        <w:rPr>
          <w:rFonts w:ascii="Book Antiqua" w:hAnsi="Book Antiqua"/>
          <w:bCs/>
        </w:rPr>
        <w:t>67,4</w:t>
      </w:r>
      <w:r w:rsidR="00535117" w:rsidRPr="0011049E">
        <w:rPr>
          <w:rFonts w:ascii="Book Antiqua" w:hAnsi="Book Antiqua"/>
          <w:bCs/>
        </w:rPr>
        <w:t xml:space="preserve">% </w:t>
      </w:r>
      <w:r w:rsidR="000B32A1" w:rsidRPr="0011049E">
        <w:rPr>
          <w:rFonts w:ascii="Book Antiqua" w:hAnsi="Book Antiqua"/>
        </w:rPr>
        <w:t xml:space="preserve"> en </w:t>
      </w:r>
      <w:r w:rsidR="00535117" w:rsidRPr="0011049E">
        <w:rPr>
          <w:rFonts w:ascii="Book Antiqua" w:hAnsi="Book Antiqua"/>
        </w:rPr>
        <w:t>2019</w:t>
      </w:r>
      <w:r w:rsidR="00390C67" w:rsidRPr="0011049E">
        <w:rPr>
          <w:rFonts w:ascii="Book Antiqua" w:hAnsi="Book Antiqua"/>
        </w:rPr>
        <w:t>, c</w:t>
      </w:r>
      <w:r w:rsidR="00097844" w:rsidRPr="0011049E">
        <w:rPr>
          <w:rFonts w:ascii="Book Antiqua" w:hAnsi="Book Antiqua"/>
        </w:rPr>
        <w:t xml:space="preserve">elle </w:t>
      </w:r>
      <w:r w:rsidR="006F0A43" w:rsidRPr="0011049E">
        <w:rPr>
          <w:rFonts w:ascii="Book Antiqua" w:hAnsi="Book Antiqua"/>
        </w:rPr>
        <w:t xml:space="preserve">du tourisme interne et émetteur </w:t>
      </w:r>
      <w:r w:rsidR="00735250" w:rsidRPr="0011049E">
        <w:rPr>
          <w:rFonts w:ascii="Book Antiqua" w:hAnsi="Book Antiqua"/>
        </w:rPr>
        <w:t>s’est accrue de</w:t>
      </w:r>
      <w:r w:rsidR="001D5DE3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32</w:t>
      </w:r>
      <w:r w:rsidR="00535117" w:rsidRPr="0011049E">
        <w:rPr>
          <w:rFonts w:ascii="Book Antiqua" w:hAnsi="Book Antiqua"/>
          <w:bCs/>
        </w:rPr>
        <w:t xml:space="preserve">% </w:t>
      </w:r>
      <w:r w:rsidR="00C03588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1D5DE3">
        <w:rPr>
          <w:rFonts w:ascii="Book Antiqua" w:hAnsi="Book Antiqua"/>
        </w:rPr>
        <w:t xml:space="preserve"> </w:t>
      </w:r>
      <w:r w:rsidR="00390C67" w:rsidRPr="0011049E">
        <w:rPr>
          <w:rFonts w:ascii="Book Antiqua" w:hAnsi="Book Antiqua"/>
        </w:rPr>
        <w:t>à</w:t>
      </w:r>
      <w:r w:rsidR="001D5DE3">
        <w:rPr>
          <w:rFonts w:ascii="Book Antiqua" w:hAnsi="Book Antiqua"/>
        </w:rPr>
        <w:t xml:space="preserve"> </w:t>
      </w:r>
      <w:r w:rsidR="00735250" w:rsidRPr="0011049E">
        <w:rPr>
          <w:rFonts w:ascii="Book Antiqua" w:hAnsi="Book Antiqua"/>
          <w:bCs/>
        </w:rPr>
        <w:t>32,6</w:t>
      </w:r>
      <w:r w:rsidR="00535117" w:rsidRPr="0011049E">
        <w:rPr>
          <w:rFonts w:ascii="Book Antiqua" w:hAnsi="Book Antiqua"/>
          <w:bCs/>
        </w:rPr>
        <w:t xml:space="preserve">% </w:t>
      </w:r>
      <w:r w:rsidR="0027672E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2019</w:t>
      </w:r>
      <w:r w:rsidR="006F0A43" w:rsidRPr="0011049E">
        <w:rPr>
          <w:rFonts w:ascii="Book Antiqua" w:hAnsi="Book Antiqua"/>
        </w:rPr>
        <w:t>.</w:t>
      </w:r>
    </w:p>
    <w:p w:rsidR="00582271" w:rsidRPr="0011049E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l</w:t>
      </w:r>
      <w:r w:rsidR="00850013" w:rsidRPr="0011049E">
        <w:rPr>
          <w:rFonts w:ascii="Book Antiqua" w:hAnsi="Book Antiqua"/>
        </w:rPr>
        <w:t>a production du secteu</w:t>
      </w:r>
      <w:r w:rsidR="00902233" w:rsidRPr="0011049E">
        <w:rPr>
          <w:rFonts w:ascii="Book Antiqua" w:hAnsi="Book Antiqua"/>
        </w:rPr>
        <w:t>r d</w:t>
      </w:r>
      <w:r w:rsidR="00E54F12" w:rsidRPr="0011049E">
        <w:rPr>
          <w:rFonts w:ascii="Book Antiqua" w:hAnsi="Book Antiqua"/>
        </w:rPr>
        <w:t xml:space="preserve">u  tourisme s’est située à </w:t>
      </w:r>
      <w:r w:rsidR="00735250" w:rsidRPr="0011049E">
        <w:rPr>
          <w:rFonts w:ascii="Book Antiqua" w:hAnsi="Book Antiqua"/>
        </w:rPr>
        <w:t>122,6</w:t>
      </w:r>
      <w:r w:rsidR="00850013" w:rsidRPr="0011049E">
        <w:rPr>
          <w:rFonts w:ascii="Book Antiqua" w:hAnsi="Book Antiqua"/>
        </w:rPr>
        <w:t xml:space="preserve"> milliards de dirhams en </w:t>
      </w:r>
      <w:r w:rsidR="00535117" w:rsidRPr="0011049E">
        <w:rPr>
          <w:rFonts w:ascii="Book Antiqua" w:hAnsi="Book Antiqua"/>
        </w:rPr>
        <w:t>2019</w:t>
      </w:r>
      <w:r w:rsidR="00850013" w:rsidRPr="0011049E">
        <w:rPr>
          <w:rFonts w:ascii="Book Antiqua" w:hAnsi="Book Antiqua"/>
        </w:rPr>
        <w:t xml:space="preserve"> au lieu de </w:t>
      </w:r>
      <w:r w:rsidR="00735250" w:rsidRPr="0011049E">
        <w:rPr>
          <w:rFonts w:ascii="Book Antiqua" w:hAnsi="Book Antiqua"/>
        </w:rPr>
        <w:t>115,5</w:t>
      </w:r>
      <w:r w:rsidR="001D5DE3">
        <w:rPr>
          <w:rFonts w:ascii="Book Antiqua" w:hAnsi="Book Antiqua"/>
        </w:rPr>
        <w:t xml:space="preserve"> </w:t>
      </w:r>
      <w:r w:rsidR="00850013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2018</w:t>
      </w:r>
      <w:r w:rsidRPr="0011049E">
        <w:rPr>
          <w:rFonts w:ascii="Book Antiqua" w:hAnsi="Book Antiqua"/>
        </w:rPr>
        <w:t>, avec</w:t>
      </w:r>
      <w:r w:rsidR="00850013" w:rsidRPr="0011049E">
        <w:rPr>
          <w:rFonts w:ascii="Book Antiqua" w:hAnsi="Book Antiqua"/>
        </w:rPr>
        <w:t xml:space="preserve"> un taux d’accroissement de </w:t>
      </w:r>
      <w:r w:rsidR="00735250" w:rsidRPr="0011049E">
        <w:rPr>
          <w:rFonts w:ascii="Book Antiqua" w:hAnsi="Book Antiqua"/>
          <w:bCs/>
        </w:rPr>
        <w:t>6,1</w:t>
      </w:r>
      <w:r w:rsidR="00535117" w:rsidRPr="0011049E">
        <w:rPr>
          <w:rFonts w:ascii="Book Antiqua" w:hAnsi="Book Antiqua"/>
          <w:bCs/>
        </w:rPr>
        <w:t>%.</w:t>
      </w:r>
    </w:p>
    <w:p w:rsidR="00045E46" w:rsidRPr="0011049E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La </w:t>
      </w:r>
      <w:r w:rsidR="00045E46" w:rsidRPr="0011049E">
        <w:rPr>
          <w:rFonts w:ascii="Book Antiqua" w:hAnsi="Book Antiqua"/>
        </w:rPr>
        <w:t xml:space="preserve"> valeur ajoutée</w:t>
      </w:r>
      <w:r w:rsidRPr="0011049E">
        <w:rPr>
          <w:rFonts w:ascii="Book Antiqua" w:hAnsi="Book Antiqua"/>
        </w:rPr>
        <w:t>, de son côté,</w:t>
      </w:r>
      <w:r w:rsidR="00045E46" w:rsidRPr="0011049E">
        <w:rPr>
          <w:rFonts w:ascii="Book Antiqua" w:hAnsi="Book Antiqua"/>
        </w:rPr>
        <w:t xml:space="preserve"> est passée de</w:t>
      </w:r>
      <w:r w:rsidR="001D5DE3">
        <w:rPr>
          <w:rFonts w:ascii="Book Antiqua" w:hAnsi="Book Antiqua"/>
        </w:rPr>
        <w:t xml:space="preserve"> </w:t>
      </w:r>
      <w:r w:rsidR="00735250" w:rsidRPr="0011049E">
        <w:rPr>
          <w:rFonts w:ascii="Book Antiqua" w:hAnsi="Book Antiqua"/>
        </w:rPr>
        <w:t>61,6</w:t>
      </w:r>
      <w:r w:rsidR="00902233" w:rsidRPr="0011049E">
        <w:rPr>
          <w:rFonts w:ascii="Book Antiqua" w:hAnsi="Book Antiqua"/>
        </w:rPr>
        <w:t xml:space="preserve"> milliards </w:t>
      </w:r>
      <w:r w:rsidR="006819A9" w:rsidRPr="0011049E">
        <w:rPr>
          <w:rFonts w:ascii="Book Antiqua" w:hAnsi="Book Antiqua"/>
        </w:rPr>
        <w:t xml:space="preserve">de dirhams </w:t>
      </w:r>
      <w:r w:rsidR="0090223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045E46" w:rsidRPr="0011049E">
        <w:rPr>
          <w:rFonts w:ascii="Book Antiqua" w:hAnsi="Book Antiqua"/>
        </w:rPr>
        <w:t xml:space="preserve"> à </w:t>
      </w:r>
      <w:r w:rsidR="00735250" w:rsidRPr="0011049E">
        <w:rPr>
          <w:rFonts w:ascii="Book Antiqua" w:hAnsi="Book Antiqua"/>
        </w:rPr>
        <w:t>65,8</w:t>
      </w:r>
      <w:r w:rsidR="00045E46" w:rsidRPr="0011049E">
        <w:rPr>
          <w:rFonts w:ascii="Book Antiqua" w:hAnsi="Book Antiqua"/>
        </w:rPr>
        <w:t xml:space="preserve"> milliards en </w:t>
      </w:r>
      <w:r w:rsidR="00535117" w:rsidRPr="0011049E">
        <w:rPr>
          <w:rFonts w:ascii="Book Antiqua" w:hAnsi="Book Antiqua"/>
        </w:rPr>
        <w:t>2019</w:t>
      </w:r>
      <w:r w:rsidR="00045E46" w:rsidRPr="0011049E">
        <w:rPr>
          <w:rFonts w:ascii="Book Antiqua" w:hAnsi="Book Antiqua"/>
        </w:rPr>
        <w:t xml:space="preserve"> enregistrant</w:t>
      </w:r>
      <w:r w:rsidR="000308D3">
        <w:rPr>
          <w:rFonts w:ascii="Book Antiqua" w:hAnsi="Book Antiqua"/>
        </w:rPr>
        <w:t xml:space="preserve"> ainsi</w:t>
      </w:r>
      <w:r w:rsidR="00045E46" w:rsidRPr="0011049E">
        <w:rPr>
          <w:rFonts w:ascii="Book Antiqua" w:hAnsi="Book Antiqua"/>
        </w:rPr>
        <w:t xml:space="preserve"> une croissance de </w:t>
      </w:r>
      <w:r w:rsidR="001266CC" w:rsidRPr="0011049E">
        <w:rPr>
          <w:rFonts w:ascii="Book Antiqua" w:hAnsi="Book Antiqua"/>
          <w:bCs/>
        </w:rPr>
        <w:t>6,8</w:t>
      </w:r>
      <w:r w:rsidR="00535117" w:rsidRPr="0011049E">
        <w:rPr>
          <w:rFonts w:ascii="Book Antiqua" w:hAnsi="Book Antiqua"/>
          <w:bCs/>
        </w:rPr>
        <w:t xml:space="preserve">% </w:t>
      </w:r>
      <w:r w:rsidR="00045E46" w:rsidRPr="0011049E">
        <w:rPr>
          <w:rFonts w:ascii="Book Antiqua" w:hAnsi="Book Antiqua"/>
        </w:rPr>
        <w:t>par rapport à l’année précédente.</w:t>
      </w:r>
      <w:bookmarkStart w:id="0" w:name="_GoBack"/>
      <w:bookmarkEnd w:id="0"/>
    </w:p>
    <w:p w:rsidR="00AF3B45" w:rsidRPr="0011049E" w:rsidRDefault="00AF3B45" w:rsidP="004900B2">
      <w:pPr>
        <w:spacing w:line="360" w:lineRule="auto"/>
        <w:jc w:val="both"/>
        <w:rPr>
          <w:rFonts w:ascii="Book Antiqua" w:hAnsi="Book Antiqua"/>
        </w:rPr>
      </w:pPr>
    </w:p>
    <w:p w:rsidR="00721870" w:rsidRPr="0011049E" w:rsidRDefault="001D47A4" w:rsidP="00582271">
      <w:p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Compte </w:t>
      </w:r>
      <w:r w:rsidR="00E26377" w:rsidRPr="00E03FF0">
        <w:rPr>
          <w:rFonts w:ascii="Book Antiqua" w:hAnsi="Book Antiqua"/>
          <w:lang w:val="fr-MA"/>
        </w:rPr>
        <w:t>tenu</w:t>
      </w:r>
      <w:r w:rsidR="00E03FF0" w:rsidRPr="00E03FF0">
        <w:rPr>
          <w:rFonts w:ascii="Book Antiqua" w:hAnsi="Book Antiqua"/>
          <w:lang w:val="fr-MA"/>
        </w:rPr>
        <w:t>e</w:t>
      </w:r>
      <w:r w:rsidRPr="0011049E">
        <w:rPr>
          <w:rFonts w:ascii="Book Antiqua" w:hAnsi="Book Antiqua"/>
        </w:rPr>
        <w:t xml:space="preserve"> de</w:t>
      </w:r>
      <w:r w:rsidR="002817C4" w:rsidRPr="0011049E">
        <w:rPr>
          <w:rFonts w:ascii="Book Antiqua" w:hAnsi="Book Antiqua"/>
        </w:rPr>
        <w:t xml:space="preserve"> l’</w:t>
      </w:r>
      <w:r w:rsidR="00097844" w:rsidRPr="0011049E">
        <w:rPr>
          <w:rFonts w:ascii="Book Antiqua" w:hAnsi="Book Antiqua"/>
        </w:rPr>
        <w:t xml:space="preserve">augmentation de </w:t>
      </w:r>
      <w:r w:rsidR="001266CC" w:rsidRPr="0011049E">
        <w:rPr>
          <w:rFonts w:ascii="Book Antiqua" w:hAnsi="Book Antiqua"/>
          <w:bCs/>
        </w:rPr>
        <w:t>2,4</w:t>
      </w:r>
      <w:r w:rsidR="00535117" w:rsidRPr="0011049E">
        <w:rPr>
          <w:rFonts w:ascii="Book Antiqua" w:hAnsi="Book Antiqua"/>
          <w:bCs/>
        </w:rPr>
        <w:t xml:space="preserve">% </w:t>
      </w:r>
      <w:r w:rsidR="00097844" w:rsidRPr="0011049E">
        <w:rPr>
          <w:rFonts w:ascii="Book Antiqua" w:hAnsi="Book Antiqua"/>
        </w:rPr>
        <w:t>des impôts nets de subventions sur les produits touristiques</w:t>
      </w:r>
      <w:r w:rsidR="00427ABE" w:rsidRPr="0011049E">
        <w:rPr>
          <w:rFonts w:ascii="Book Antiqua" w:hAnsi="Book Antiqua"/>
        </w:rPr>
        <w:t>,</w:t>
      </w:r>
      <w:r w:rsidR="001D5DE3">
        <w:rPr>
          <w:rFonts w:ascii="Book Antiqua" w:hAnsi="Book Antiqua"/>
        </w:rPr>
        <w:t xml:space="preserve"> </w:t>
      </w:r>
      <w:r w:rsidR="00427ABE" w:rsidRPr="0011049E">
        <w:rPr>
          <w:rFonts w:ascii="Book Antiqua" w:hAnsi="Book Antiqua"/>
        </w:rPr>
        <w:t>le PIB du tourisme s’est</w:t>
      </w:r>
      <w:r w:rsidR="002817C4" w:rsidRPr="0011049E">
        <w:rPr>
          <w:rFonts w:ascii="Book Antiqua" w:hAnsi="Book Antiqua"/>
        </w:rPr>
        <w:t xml:space="preserve">, au total, </w:t>
      </w:r>
      <w:r w:rsidR="00427ABE" w:rsidRPr="0011049E">
        <w:rPr>
          <w:rFonts w:ascii="Book Antiqua" w:hAnsi="Book Antiqua"/>
        </w:rPr>
        <w:t xml:space="preserve">accru de </w:t>
      </w:r>
      <w:r w:rsidR="001266CC" w:rsidRPr="0011049E">
        <w:rPr>
          <w:rFonts w:ascii="Book Antiqua" w:hAnsi="Book Antiqua"/>
          <w:bCs/>
        </w:rPr>
        <w:t>5,9</w:t>
      </w:r>
      <w:r w:rsidR="00535117" w:rsidRPr="0011049E">
        <w:rPr>
          <w:rFonts w:ascii="Book Antiqua" w:hAnsi="Book Antiqua"/>
          <w:bCs/>
        </w:rPr>
        <w:t xml:space="preserve">% </w:t>
      </w:r>
      <w:r w:rsidR="00582271" w:rsidRPr="0011049E">
        <w:rPr>
          <w:rFonts w:ascii="Book Antiqua" w:hAnsi="Book Antiqua"/>
        </w:rPr>
        <w:t xml:space="preserve">au lieu de </w:t>
      </w:r>
      <w:r w:rsidR="001266CC" w:rsidRPr="0011049E">
        <w:rPr>
          <w:rFonts w:ascii="Book Antiqua" w:hAnsi="Book Antiqua"/>
          <w:bCs/>
        </w:rPr>
        <w:t>6,2</w:t>
      </w:r>
      <w:r w:rsidR="00535117" w:rsidRPr="0011049E">
        <w:rPr>
          <w:rFonts w:ascii="Book Antiqua" w:hAnsi="Book Antiqua"/>
          <w:bCs/>
        </w:rPr>
        <w:t xml:space="preserve">% </w:t>
      </w:r>
      <w:r w:rsidR="00582271" w:rsidRPr="0011049E">
        <w:rPr>
          <w:rFonts w:ascii="Book Antiqua" w:hAnsi="Book Antiqua"/>
        </w:rPr>
        <w:t xml:space="preserve">l’année précédente, </w:t>
      </w:r>
      <w:r w:rsidR="002817C4" w:rsidRPr="0011049E">
        <w:rPr>
          <w:rFonts w:ascii="Book Antiqua" w:hAnsi="Book Antiqua"/>
        </w:rPr>
        <w:t xml:space="preserve">se chiffrant </w:t>
      </w:r>
      <w:r w:rsidR="00EC7393" w:rsidRPr="0011049E">
        <w:rPr>
          <w:rFonts w:ascii="Book Antiqua" w:hAnsi="Book Antiqua"/>
        </w:rPr>
        <w:t>à</w:t>
      </w:r>
      <w:r w:rsidR="001D5DE3">
        <w:rPr>
          <w:rFonts w:ascii="Book Antiqua" w:hAnsi="Book Antiqua"/>
        </w:rPr>
        <w:t xml:space="preserve"> </w:t>
      </w:r>
      <w:r w:rsidR="001266CC" w:rsidRPr="0011049E">
        <w:rPr>
          <w:rFonts w:ascii="Book Antiqua" w:hAnsi="Book Antiqua"/>
        </w:rPr>
        <w:t>81,4</w:t>
      </w:r>
      <w:r w:rsidR="001D5DE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de </w:t>
      </w:r>
      <w:r w:rsidR="0027672E" w:rsidRPr="0011049E">
        <w:rPr>
          <w:rFonts w:ascii="Book Antiqua" w:hAnsi="Book Antiqua"/>
        </w:rPr>
        <w:t xml:space="preserve">dirhams en </w:t>
      </w:r>
      <w:r w:rsidR="00535117" w:rsidRPr="0011049E">
        <w:rPr>
          <w:rFonts w:ascii="Book Antiqua" w:hAnsi="Book Antiqua"/>
        </w:rPr>
        <w:t>2019</w:t>
      </w:r>
      <w:r w:rsidR="001D5DE3">
        <w:rPr>
          <w:rFonts w:ascii="Book Antiqua" w:hAnsi="Book Antiqua"/>
        </w:rPr>
        <w:t xml:space="preserve"> </w:t>
      </w:r>
      <w:r w:rsidR="00390E7A" w:rsidRPr="0011049E">
        <w:rPr>
          <w:rFonts w:ascii="Book Antiqua" w:hAnsi="Book Antiqua"/>
        </w:rPr>
        <w:t xml:space="preserve">contre </w:t>
      </w:r>
      <w:r w:rsidR="001266CC" w:rsidRPr="0011049E">
        <w:rPr>
          <w:rFonts w:ascii="Book Antiqua" w:hAnsi="Book Antiqua"/>
        </w:rPr>
        <w:t>76,9</w:t>
      </w:r>
      <w:r w:rsidR="001D5DE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2018</w:t>
      </w:r>
      <w:r w:rsidR="000B32A1" w:rsidRPr="0011049E">
        <w:rPr>
          <w:rFonts w:ascii="Book Antiqua" w:hAnsi="Book Antiqua"/>
        </w:rPr>
        <w:t>. Sa contribution au PIB</w:t>
      </w:r>
      <w:r w:rsidR="006A58A3" w:rsidRPr="0011049E">
        <w:rPr>
          <w:rFonts w:ascii="Book Antiqua" w:hAnsi="Book Antiqua"/>
        </w:rPr>
        <w:t xml:space="preserve"> national</w:t>
      </w:r>
      <w:r w:rsidR="000B32A1" w:rsidRPr="0011049E">
        <w:rPr>
          <w:rFonts w:ascii="Book Antiqua" w:hAnsi="Book Antiqua"/>
        </w:rPr>
        <w:t xml:space="preserve"> a connu une légère hausse </w:t>
      </w:r>
      <w:r w:rsidR="006A58A3" w:rsidRPr="0011049E">
        <w:rPr>
          <w:rFonts w:ascii="Book Antiqua" w:hAnsi="Book Antiqua"/>
        </w:rPr>
        <w:t xml:space="preserve">pour se situer à </w:t>
      </w:r>
      <w:r w:rsidR="009923D1" w:rsidRPr="0011049E">
        <w:rPr>
          <w:rFonts w:ascii="Book Antiqua" w:hAnsi="Book Antiqua"/>
          <w:bCs/>
        </w:rPr>
        <w:t>7,1</w:t>
      </w:r>
      <w:r w:rsidR="00535117" w:rsidRPr="0011049E">
        <w:rPr>
          <w:rFonts w:ascii="Book Antiqua" w:hAnsi="Book Antiqua"/>
          <w:bCs/>
        </w:rPr>
        <w:t xml:space="preserve">% </w:t>
      </w:r>
      <w:r w:rsidR="006A58A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2019</w:t>
      </w:r>
      <w:r w:rsidR="006A58A3" w:rsidRPr="0011049E">
        <w:rPr>
          <w:rFonts w:ascii="Book Antiqua" w:hAnsi="Book Antiqua"/>
        </w:rPr>
        <w:t xml:space="preserve"> après </w:t>
      </w:r>
      <w:r w:rsidR="009923D1" w:rsidRPr="0011049E">
        <w:rPr>
          <w:rFonts w:ascii="Book Antiqua" w:hAnsi="Book Antiqua"/>
          <w:bCs/>
        </w:rPr>
        <w:t>6,9</w:t>
      </w:r>
      <w:r w:rsidR="00535117" w:rsidRPr="0011049E">
        <w:rPr>
          <w:rFonts w:ascii="Book Antiqua" w:hAnsi="Book Antiqua"/>
          <w:bCs/>
        </w:rPr>
        <w:t xml:space="preserve">% </w:t>
      </w:r>
      <w:r w:rsidR="00390E7A" w:rsidRPr="0011049E">
        <w:rPr>
          <w:rFonts w:ascii="Book Antiqua" w:hAnsi="Book Antiqua"/>
        </w:rPr>
        <w:t>une année auparavant</w:t>
      </w:r>
      <w:r w:rsidR="006A58A3" w:rsidRPr="0011049E">
        <w:rPr>
          <w:rFonts w:ascii="Book Antiqua" w:hAnsi="Book Antiqua"/>
        </w:rPr>
        <w:t>.</w:t>
      </w:r>
    </w:p>
    <w:p w:rsidR="009C322A" w:rsidRPr="0011049E" w:rsidRDefault="009C322A" w:rsidP="004900B2">
      <w:pPr>
        <w:spacing w:line="360" w:lineRule="auto"/>
        <w:jc w:val="both"/>
        <w:rPr>
          <w:rFonts w:ascii="Book Antiqua" w:hAnsi="Book Antiqua"/>
        </w:rPr>
      </w:pPr>
    </w:p>
    <w:p w:rsidR="00863E70" w:rsidRDefault="00863E70" w:rsidP="004900B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4900B2">
      <w:pPr>
        <w:jc w:val="both"/>
      </w:pPr>
    </w:p>
    <w:p w:rsidR="00905C15" w:rsidRDefault="00905C15" w:rsidP="004900B2">
      <w:pPr>
        <w:jc w:val="both"/>
      </w:pPr>
    </w:p>
    <w:p w:rsidR="007F139C" w:rsidRDefault="007F139C" w:rsidP="004900B2">
      <w:pPr>
        <w:jc w:val="both"/>
      </w:pPr>
    </w:p>
    <w:p w:rsidR="00AA6A4E" w:rsidRDefault="00AA6A4E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AA6A4E" w:rsidRDefault="00AA6A4E" w:rsidP="004900B2">
      <w:pPr>
        <w:jc w:val="both"/>
      </w:pPr>
    </w:p>
    <w:p w:rsidR="00AA6A4E" w:rsidRDefault="00AA6A4E" w:rsidP="004900B2">
      <w:pPr>
        <w:jc w:val="both"/>
      </w:pPr>
    </w:p>
    <w:p w:rsidR="006A2D48" w:rsidRDefault="006A2D48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6A2D48" w:rsidRDefault="006A2D48" w:rsidP="004900B2">
      <w:pPr>
        <w:jc w:val="both"/>
      </w:pPr>
    </w:p>
    <w:p w:rsidR="00A6364D" w:rsidRDefault="00A6364D" w:rsidP="00A6364D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Default="009A0476" w:rsidP="00902233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 xml:space="preserve">En annexe les tableaux présentant les résultats du </w:t>
      </w:r>
      <w:r w:rsidR="00902233">
        <w:rPr>
          <w:i/>
          <w:iCs/>
          <w:sz w:val="20"/>
          <w:szCs w:val="20"/>
        </w:rPr>
        <w:t xml:space="preserve">compte satellite du tourisme </w:t>
      </w:r>
      <w:r w:rsidR="00535117">
        <w:rPr>
          <w:i/>
          <w:iCs/>
          <w:sz w:val="20"/>
          <w:szCs w:val="20"/>
        </w:rPr>
        <w:t>2019</w:t>
      </w:r>
      <w:r w:rsidRPr="00A6364D">
        <w:rPr>
          <w:i/>
          <w:iCs/>
          <w:sz w:val="20"/>
          <w:szCs w:val="20"/>
        </w:rPr>
        <w:t>.</w:t>
      </w:r>
    </w:p>
    <w:p w:rsidR="00E26377" w:rsidRPr="00A6364D" w:rsidRDefault="00E26377" w:rsidP="00902233">
      <w:pPr>
        <w:ind w:right="-375" w:firstLine="426"/>
        <w:jc w:val="right"/>
        <w:rPr>
          <w:i/>
          <w:iCs/>
          <w:sz w:val="20"/>
          <w:szCs w:val="20"/>
        </w:rPr>
      </w:pPr>
    </w:p>
    <w:p w:rsidR="00AA6A4E" w:rsidRDefault="00AA6A4E" w:rsidP="00AA6A4E"/>
    <w:p w:rsidR="00AA6A4E" w:rsidRDefault="00AA6A4E" w:rsidP="00AA6A4E"/>
    <w:p w:rsidR="00313AA8" w:rsidRDefault="00313AA8" w:rsidP="00AA6A4E"/>
    <w:p w:rsidR="00313AA8" w:rsidRPr="00AA6A4E" w:rsidRDefault="00313AA8" w:rsidP="00AA6A4E"/>
    <w:p w:rsidR="003E6F0A" w:rsidRPr="00B03C7E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lastRenderedPageBreak/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1A74B3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1A74B3" w:rsidRPr="00A01735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535117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1A74B3" w:rsidRPr="00734AE5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3E6F0A" w:rsidRDefault="001A74B3" w:rsidP="00DA722D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 intérieure du tourisme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1A74B3" w:rsidRPr="00B03C7E" w:rsidRDefault="001A74B3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138 280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B03C7E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5,7</w:t>
            </w:r>
          </w:p>
        </w:tc>
      </w:tr>
      <w:tr w:rsidR="001A74B3" w:rsidRPr="00B04857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93 237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4,8</w:t>
            </w:r>
          </w:p>
        </w:tc>
      </w:tr>
      <w:tr w:rsidR="001A74B3" w:rsidRPr="00936ACA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45 043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7,6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160"/>
        <w:gridCol w:w="974"/>
        <w:gridCol w:w="160"/>
        <w:gridCol w:w="974"/>
        <w:gridCol w:w="160"/>
        <w:gridCol w:w="1682"/>
      </w:tblGrid>
      <w:tr w:rsidR="0037258B" w:rsidRPr="00A01735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37258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37258B" w:rsidRPr="00734AE5" w:rsidTr="0037258B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122 638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Calibri"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800080"/>
                <w:sz w:val="22"/>
                <w:szCs w:val="22"/>
              </w:rPr>
              <w:t>6,1</w:t>
            </w:r>
          </w:p>
        </w:tc>
      </w:tr>
      <w:tr w:rsidR="0037258B" w:rsidRPr="00B04857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65 787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6,8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15 2</w:t>
            </w:r>
            <w:r w:rsidR="00313AA8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15 641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2,4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2832D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81 428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B03C7E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5,9</w:t>
            </w:r>
          </w:p>
        </w:tc>
      </w:tr>
      <w:tr w:rsidR="0037258B" w:rsidRPr="0051217F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37258B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37258B" w:rsidRPr="00734AE5" w:rsidTr="00365219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37258B" w:rsidRPr="00B04857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32366" w:rsidRDefault="0037258B" w:rsidP="00DA722D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7,1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A9791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50" w:rsidRDefault="00053750">
      <w:r>
        <w:separator/>
      </w:r>
    </w:p>
  </w:endnote>
  <w:endnote w:type="continuationSeparator" w:id="1">
    <w:p w:rsidR="00053750" w:rsidRDefault="0005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CF4EE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CF4EE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a9ggIAAA8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" stroked="f">
          <v:textbox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50" w:rsidRDefault="00053750">
      <w:r>
        <w:separator/>
      </w:r>
    </w:p>
  </w:footnote>
  <w:footnote w:type="continuationSeparator" w:id="1">
    <w:p w:rsidR="00053750" w:rsidRDefault="00053750">
      <w:r>
        <w:continuationSeparator/>
      </w:r>
    </w:p>
  </w:footnote>
  <w:footnote w:id="2">
    <w:p w:rsidR="00457A41" w:rsidRPr="00B94234" w:rsidRDefault="00457A41" w:rsidP="00E7014F">
      <w:pPr>
        <w:pStyle w:val="Notedebasdepage"/>
        <w:spacing w:after="0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F1"/>
    <w:multiLevelType w:val="hybridMultilevel"/>
    <w:tmpl w:val="6E763DE4"/>
    <w:lvl w:ilvl="0" w:tplc="83608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1666E"/>
    <w:multiLevelType w:val="hybridMultilevel"/>
    <w:tmpl w:val="7FCC1C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0079"/>
    <w:multiLevelType w:val="hybridMultilevel"/>
    <w:tmpl w:val="EB7CA184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44E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308D3"/>
    <w:rsid w:val="00040202"/>
    <w:rsid w:val="00040F0F"/>
    <w:rsid w:val="0004288A"/>
    <w:rsid w:val="00045E46"/>
    <w:rsid w:val="000503F7"/>
    <w:rsid w:val="00050A6E"/>
    <w:rsid w:val="00053750"/>
    <w:rsid w:val="000554EE"/>
    <w:rsid w:val="0005571A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2A1"/>
    <w:rsid w:val="000B3D51"/>
    <w:rsid w:val="000C13D7"/>
    <w:rsid w:val="000C18AF"/>
    <w:rsid w:val="000C5E54"/>
    <w:rsid w:val="000C7682"/>
    <w:rsid w:val="000D25AF"/>
    <w:rsid w:val="000D38E4"/>
    <w:rsid w:val="000D7016"/>
    <w:rsid w:val="000D7544"/>
    <w:rsid w:val="000E1BE1"/>
    <w:rsid w:val="000E21D3"/>
    <w:rsid w:val="000E7503"/>
    <w:rsid w:val="000F6A29"/>
    <w:rsid w:val="00100AF5"/>
    <w:rsid w:val="00102905"/>
    <w:rsid w:val="0010618B"/>
    <w:rsid w:val="001063C7"/>
    <w:rsid w:val="00107113"/>
    <w:rsid w:val="0011049E"/>
    <w:rsid w:val="00110E92"/>
    <w:rsid w:val="00114C7E"/>
    <w:rsid w:val="00115CF8"/>
    <w:rsid w:val="00116A79"/>
    <w:rsid w:val="00116B4A"/>
    <w:rsid w:val="00120AF1"/>
    <w:rsid w:val="0012265F"/>
    <w:rsid w:val="00125DFC"/>
    <w:rsid w:val="001266CC"/>
    <w:rsid w:val="00137652"/>
    <w:rsid w:val="001379C2"/>
    <w:rsid w:val="001437B0"/>
    <w:rsid w:val="00143964"/>
    <w:rsid w:val="001465EA"/>
    <w:rsid w:val="00147C70"/>
    <w:rsid w:val="0015391F"/>
    <w:rsid w:val="00153DC3"/>
    <w:rsid w:val="001547C9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61C"/>
    <w:rsid w:val="00181EFF"/>
    <w:rsid w:val="0018347F"/>
    <w:rsid w:val="00190301"/>
    <w:rsid w:val="001A0BC6"/>
    <w:rsid w:val="001A116A"/>
    <w:rsid w:val="001A1A9C"/>
    <w:rsid w:val="001A51EF"/>
    <w:rsid w:val="001A7093"/>
    <w:rsid w:val="001A74B3"/>
    <w:rsid w:val="001B1D20"/>
    <w:rsid w:val="001B3A93"/>
    <w:rsid w:val="001B5762"/>
    <w:rsid w:val="001C3920"/>
    <w:rsid w:val="001C4BE1"/>
    <w:rsid w:val="001C4E4B"/>
    <w:rsid w:val="001D07F7"/>
    <w:rsid w:val="001D0B13"/>
    <w:rsid w:val="001D1874"/>
    <w:rsid w:val="001D34E6"/>
    <w:rsid w:val="001D47A4"/>
    <w:rsid w:val="001D57E1"/>
    <w:rsid w:val="001D5DE3"/>
    <w:rsid w:val="001E05D5"/>
    <w:rsid w:val="001E110E"/>
    <w:rsid w:val="001F1343"/>
    <w:rsid w:val="001F230E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26E5D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533"/>
    <w:rsid w:val="002A688F"/>
    <w:rsid w:val="002A739B"/>
    <w:rsid w:val="002B5535"/>
    <w:rsid w:val="002B729A"/>
    <w:rsid w:val="002C02CC"/>
    <w:rsid w:val="002C09B2"/>
    <w:rsid w:val="002C4812"/>
    <w:rsid w:val="002C6433"/>
    <w:rsid w:val="002C7A97"/>
    <w:rsid w:val="002D022C"/>
    <w:rsid w:val="002D0832"/>
    <w:rsid w:val="002D3BD2"/>
    <w:rsid w:val="002D49EF"/>
    <w:rsid w:val="002D5C16"/>
    <w:rsid w:val="002D5D41"/>
    <w:rsid w:val="002D7578"/>
    <w:rsid w:val="002E1AE0"/>
    <w:rsid w:val="002E7DC6"/>
    <w:rsid w:val="002F3B72"/>
    <w:rsid w:val="002F6F50"/>
    <w:rsid w:val="002F719D"/>
    <w:rsid w:val="0030605C"/>
    <w:rsid w:val="003121A0"/>
    <w:rsid w:val="00313AA8"/>
    <w:rsid w:val="00314191"/>
    <w:rsid w:val="00316A57"/>
    <w:rsid w:val="0031735D"/>
    <w:rsid w:val="003178AB"/>
    <w:rsid w:val="00321B38"/>
    <w:rsid w:val="003243B5"/>
    <w:rsid w:val="003249B8"/>
    <w:rsid w:val="0032647E"/>
    <w:rsid w:val="00326824"/>
    <w:rsid w:val="00327972"/>
    <w:rsid w:val="003347C0"/>
    <w:rsid w:val="0033724B"/>
    <w:rsid w:val="00341BE6"/>
    <w:rsid w:val="00346F33"/>
    <w:rsid w:val="00351D4C"/>
    <w:rsid w:val="003557D2"/>
    <w:rsid w:val="00355CDB"/>
    <w:rsid w:val="00357DF4"/>
    <w:rsid w:val="00361BB7"/>
    <w:rsid w:val="00365219"/>
    <w:rsid w:val="003671BE"/>
    <w:rsid w:val="0037258B"/>
    <w:rsid w:val="00374572"/>
    <w:rsid w:val="00376C2C"/>
    <w:rsid w:val="00376C4A"/>
    <w:rsid w:val="00381F76"/>
    <w:rsid w:val="00385013"/>
    <w:rsid w:val="00386E90"/>
    <w:rsid w:val="0039063A"/>
    <w:rsid w:val="00390C67"/>
    <w:rsid w:val="00390E7A"/>
    <w:rsid w:val="00392F88"/>
    <w:rsid w:val="00393237"/>
    <w:rsid w:val="00393B90"/>
    <w:rsid w:val="00393EF8"/>
    <w:rsid w:val="003943E9"/>
    <w:rsid w:val="003961C2"/>
    <w:rsid w:val="003A14B5"/>
    <w:rsid w:val="003A5CB2"/>
    <w:rsid w:val="003B7C9A"/>
    <w:rsid w:val="003C2BEC"/>
    <w:rsid w:val="003C357A"/>
    <w:rsid w:val="003D129B"/>
    <w:rsid w:val="003D5077"/>
    <w:rsid w:val="003D5ED4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5408"/>
    <w:rsid w:val="00416E5B"/>
    <w:rsid w:val="004202B8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09FC"/>
    <w:rsid w:val="00462676"/>
    <w:rsid w:val="0046268D"/>
    <w:rsid w:val="00464561"/>
    <w:rsid w:val="00466581"/>
    <w:rsid w:val="00467F88"/>
    <w:rsid w:val="004744FF"/>
    <w:rsid w:val="00475BA5"/>
    <w:rsid w:val="00481E24"/>
    <w:rsid w:val="00484E8D"/>
    <w:rsid w:val="004900B2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D7CE2"/>
    <w:rsid w:val="004E0373"/>
    <w:rsid w:val="004E17D0"/>
    <w:rsid w:val="004E1EAB"/>
    <w:rsid w:val="004E3167"/>
    <w:rsid w:val="004E36E2"/>
    <w:rsid w:val="004E67F8"/>
    <w:rsid w:val="004F505B"/>
    <w:rsid w:val="004F5172"/>
    <w:rsid w:val="004F572F"/>
    <w:rsid w:val="004F57F8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3844"/>
    <w:rsid w:val="00534DC4"/>
    <w:rsid w:val="00535117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1A3B"/>
    <w:rsid w:val="00582271"/>
    <w:rsid w:val="00582403"/>
    <w:rsid w:val="00585A9E"/>
    <w:rsid w:val="00586213"/>
    <w:rsid w:val="00587B62"/>
    <w:rsid w:val="00590E1B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6717"/>
    <w:rsid w:val="005C707A"/>
    <w:rsid w:val="005C7D21"/>
    <w:rsid w:val="005D02AC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2AC2"/>
    <w:rsid w:val="005F4D57"/>
    <w:rsid w:val="006046B0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2ADE"/>
    <w:rsid w:val="00656BFF"/>
    <w:rsid w:val="00656EDF"/>
    <w:rsid w:val="00661B0F"/>
    <w:rsid w:val="00665592"/>
    <w:rsid w:val="00667E75"/>
    <w:rsid w:val="00667ECC"/>
    <w:rsid w:val="006707C0"/>
    <w:rsid w:val="006732B3"/>
    <w:rsid w:val="0067457A"/>
    <w:rsid w:val="00680347"/>
    <w:rsid w:val="006819A9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2D48"/>
    <w:rsid w:val="006A3883"/>
    <w:rsid w:val="006A4A25"/>
    <w:rsid w:val="006A57FB"/>
    <w:rsid w:val="006A58A3"/>
    <w:rsid w:val="006B2B90"/>
    <w:rsid w:val="006B4CD8"/>
    <w:rsid w:val="006B5F68"/>
    <w:rsid w:val="006C21ED"/>
    <w:rsid w:val="006D0F8B"/>
    <w:rsid w:val="006D1FBD"/>
    <w:rsid w:val="006D22BC"/>
    <w:rsid w:val="006D4F49"/>
    <w:rsid w:val="006D5BB8"/>
    <w:rsid w:val="006D7AEF"/>
    <w:rsid w:val="006D7BF3"/>
    <w:rsid w:val="006D7FA4"/>
    <w:rsid w:val="006E2219"/>
    <w:rsid w:val="006E2C7A"/>
    <w:rsid w:val="006E4229"/>
    <w:rsid w:val="006E456F"/>
    <w:rsid w:val="006E5679"/>
    <w:rsid w:val="006E7909"/>
    <w:rsid w:val="006F0531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64CF"/>
    <w:rsid w:val="007273F0"/>
    <w:rsid w:val="00730CFE"/>
    <w:rsid w:val="007320F2"/>
    <w:rsid w:val="00735250"/>
    <w:rsid w:val="00737D26"/>
    <w:rsid w:val="007418E0"/>
    <w:rsid w:val="007503E9"/>
    <w:rsid w:val="00751E02"/>
    <w:rsid w:val="00753565"/>
    <w:rsid w:val="00755863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C5F"/>
    <w:rsid w:val="00782073"/>
    <w:rsid w:val="00785179"/>
    <w:rsid w:val="00786244"/>
    <w:rsid w:val="00790B01"/>
    <w:rsid w:val="00791486"/>
    <w:rsid w:val="00791A3A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03F0"/>
    <w:rsid w:val="007C2982"/>
    <w:rsid w:val="007C6380"/>
    <w:rsid w:val="007D3B83"/>
    <w:rsid w:val="007D6070"/>
    <w:rsid w:val="007D73A9"/>
    <w:rsid w:val="007D7F9B"/>
    <w:rsid w:val="007E1420"/>
    <w:rsid w:val="007E19D1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7F5748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49EF"/>
    <w:rsid w:val="008373A3"/>
    <w:rsid w:val="0084269C"/>
    <w:rsid w:val="0084549E"/>
    <w:rsid w:val="00850013"/>
    <w:rsid w:val="00852402"/>
    <w:rsid w:val="00852D95"/>
    <w:rsid w:val="00853857"/>
    <w:rsid w:val="0086177A"/>
    <w:rsid w:val="00861B29"/>
    <w:rsid w:val="00863E70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0F66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08F2"/>
    <w:rsid w:val="008C170C"/>
    <w:rsid w:val="008C2B3E"/>
    <w:rsid w:val="008C2C3C"/>
    <w:rsid w:val="008C699D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0C72"/>
    <w:rsid w:val="00902233"/>
    <w:rsid w:val="00905C15"/>
    <w:rsid w:val="00911933"/>
    <w:rsid w:val="00911D8D"/>
    <w:rsid w:val="00916CEF"/>
    <w:rsid w:val="0092264F"/>
    <w:rsid w:val="00930BC1"/>
    <w:rsid w:val="00931126"/>
    <w:rsid w:val="00937ACE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219C"/>
    <w:rsid w:val="009750B7"/>
    <w:rsid w:val="009801E4"/>
    <w:rsid w:val="0098451B"/>
    <w:rsid w:val="00984C53"/>
    <w:rsid w:val="00984CEE"/>
    <w:rsid w:val="00990C6F"/>
    <w:rsid w:val="009923D1"/>
    <w:rsid w:val="00996F92"/>
    <w:rsid w:val="009A0476"/>
    <w:rsid w:val="009A049E"/>
    <w:rsid w:val="009A205F"/>
    <w:rsid w:val="009A3A8A"/>
    <w:rsid w:val="009A62AA"/>
    <w:rsid w:val="009B2B2B"/>
    <w:rsid w:val="009B2BE5"/>
    <w:rsid w:val="009B3D02"/>
    <w:rsid w:val="009B42C1"/>
    <w:rsid w:val="009B68BD"/>
    <w:rsid w:val="009C0E61"/>
    <w:rsid w:val="009C322A"/>
    <w:rsid w:val="009C4940"/>
    <w:rsid w:val="009C64F3"/>
    <w:rsid w:val="009C74B7"/>
    <w:rsid w:val="009D0EEB"/>
    <w:rsid w:val="009D1867"/>
    <w:rsid w:val="009D3F74"/>
    <w:rsid w:val="009D664A"/>
    <w:rsid w:val="009E1925"/>
    <w:rsid w:val="009E23E8"/>
    <w:rsid w:val="009E3005"/>
    <w:rsid w:val="009E4032"/>
    <w:rsid w:val="009E4BD5"/>
    <w:rsid w:val="009F161A"/>
    <w:rsid w:val="009F5937"/>
    <w:rsid w:val="009F5A4C"/>
    <w:rsid w:val="00A021DE"/>
    <w:rsid w:val="00A028B9"/>
    <w:rsid w:val="00A03537"/>
    <w:rsid w:val="00A03BBB"/>
    <w:rsid w:val="00A06843"/>
    <w:rsid w:val="00A068C3"/>
    <w:rsid w:val="00A07A35"/>
    <w:rsid w:val="00A07E32"/>
    <w:rsid w:val="00A11972"/>
    <w:rsid w:val="00A1335E"/>
    <w:rsid w:val="00A16299"/>
    <w:rsid w:val="00A17CEA"/>
    <w:rsid w:val="00A17FBE"/>
    <w:rsid w:val="00A20BD8"/>
    <w:rsid w:val="00A250DB"/>
    <w:rsid w:val="00A25AF0"/>
    <w:rsid w:val="00A30D62"/>
    <w:rsid w:val="00A322D1"/>
    <w:rsid w:val="00A3315F"/>
    <w:rsid w:val="00A3434A"/>
    <w:rsid w:val="00A35131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210F"/>
    <w:rsid w:val="00A6364D"/>
    <w:rsid w:val="00A638E4"/>
    <w:rsid w:val="00A65992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0CA3"/>
    <w:rsid w:val="00A91F22"/>
    <w:rsid w:val="00A925A2"/>
    <w:rsid w:val="00A9304B"/>
    <w:rsid w:val="00A93774"/>
    <w:rsid w:val="00A97914"/>
    <w:rsid w:val="00AA3E6A"/>
    <w:rsid w:val="00AA48F7"/>
    <w:rsid w:val="00AA508B"/>
    <w:rsid w:val="00AA558D"/>
    <w:rsid w:val="00AA6A4E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3B45"/>
    <w:rsid w:val="00AF442C"/>
    <w:rsid w:val="00AF56D7"/>
    <w:rsid w:val="00AF74CA"/>
    <w:rsid w:val="00B016B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3149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6DE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0751"/>
    <w:rsid w:val="00BE12C8"/>
    <w:rsid w:val="00BE673C"/>
    <w:rsid w:val="00BF5C47"/>
    <w:rsid w:val="00BF5EE8"/>
    <w:rsid w:val="00C005F2"/>
    <w:rsid w:val="00C02BDF"/>
    <w:rsid w:val="00C03277"/>
    <w:rsid w:val="00C03588"/>
    <w:rsid w:val="00C03E14"/>
    <w:rsid w:val="00C049E9"/>
    <w:rsid w:val="00C0580C"/>
    <w:rsid w:val="00C10731"/>
    <w:rsid w:val="00C10BDD"/>
    <w:rsid w:val="00C14DCE"/>
    <w:rsid w:val="00C16026"/>
    <w:rsid w:val="00C2225D"/>
    <w:rsid w:val="00C26145"/>
    <w:rsid w:val="00C272F8"/>
    <w:rsid w:val="00C31EF5"/>
    <w:rsid w:val="00C36CAE"/>
    <w:rsid w:val="00C36D1C"/>
    <w:rsid w:val="00C3713A"/>
    <w:rsid w:val="00C455CF"/>
    <w:rsid w:val="00C45E08"/>
    <w:rsid w:val="00C46235"/>
    <w:rsid w:val="00C5042A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46AA"/>
    <w:rsid w:val="00C77AA4"/>
    <w:rsid w:val="00C8273F"/>
    <w:rsid w:val="00C83E7A"/>
    <w:rsid w:val="00C84722"/>
    <w:rsid w:val="00C92504"/>
    <w:rsid w:val="00C92E38"/>
    <w:rsid w:val="00CA2232"/>
    <w:rsid w:val="00CA5D85"/>
    <w:rsid w:val="00CA75DE"/>
    <w:rsid w:val="00CA7AEC"/>
    <w:rsid w:val="00CB05C8"/>
    <w:rsid w:val="00CB3A44"/>
    <w:rsid w:val="00CB3F6C"/>
    <w:rsid w:val="00CB58B1"/>
    <w:rsid w:val="00CC289A"/>
    <w:rsid w:val="00CC5A17"/>
    <w:rsid w:val="00CC5EB3"/>
    <w:rsid w:val="00CC5F3B"/>
    <w:rsid w:val="00CD2A96"/>
    <w:rsid w:val="00CD31ED"/>
    <w:rsid w:val="00CD6E99"/>
    <w:rsid w:val="00CD7C5C"/>
    <w:rsid w:val="00CE0767"/>
    <w:rsid w:val="00CE08CE"/>
    <w:rsid w:val="00CE55B7"/>
    <w:rsid w:val="00CE718A"/>
    <w:rsid w:val="00CE7BB5"/>
    <w:rsid w:val="00CF3217"/>
    <w:rsid w:val="00CF4EED"/>
    <w:rsid w:val="00D0012D"/>
    <w:rsid w:val="00D01031"/>
    <w:rsid w:val="00D047B2"/>
    <w:rsid w:val="00D07E75"/>
    <w:rsid w:val="00D12FA1"/>
    <w:rsid w:val="00D14C8B"/>
    <w:rsid w:val="00D15C80"/>
    <w:rsid w:val="00D15EC7"/>
    <w:rsid w:val="00D224CC"/>
    <w:rsid w:val="00D30672"/>
    <w:rsid w:val="00D30B74"/>
    <w:rsid w:val="00D326B6"/>
    <w:rsid w:val="00D333C5"/>
    <w:rsid w:val="00D37C0F"/>
    <w:rsid w:val="00D40AE4"/>
    <w:rsid w:val="00D4135D"/>
    <w:rsid w:val="00D46A93"/>
    <w:rsid w:val="00D4763E"/>
    <w:rsid w:val="00D50955"/>
    <w:rsid w:val="00D50BE6"/>
    <w:rsid w:val="00D60382"/>
    <w:rsid w:val="00D71FF6"/>
    <w:rsid w:val="00D820EB"/>
    <w:rsid w:val="00D82174"/>
    <w:rsid w:val="00D82E00"/>
    <w:rsid w:val="00D83F3B"/>
    <w:rsid w:val="00DA3A4B"/>
    <w:rsid w:val="00DA5F6D"/>
    <w:rsid w:val="00DB273C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6C0C"/>
    <w:rsid w:val="00DF7F46"/>
    <w:rsid w:val="00E00298"/>
    <w:rsid w:val="00E022E3"/>
    <w:rsid w:val="00E03309"/>
    <w:rsid w:val="00E03659"/>
    <w:rsid w:val="00E03B7C"/>
    <w:rsid w:val="00E03FF0"/>
    <w:rsid w:val="00E052C6"/>
    <w:rsid w:val="00E10773"/>
    <w:rsid w:val="00E1478F"/>
    <w:rsid w:val="00E2111D"/>
    <w:rsid w:val="00E21DF5"/>
    <w:rsid w:val="00E2252B"/>
    <w:rsid w:val="00E225AC"/>
    <w:rsid w:val="00E24DC2"/>
    <w:rsid w:val="00E26377"/>
    <w:rsid w:val="00E30992"/>
    <w:rsid w:val="00E32678"/>
    <w:rsid w:val="00E32D1F"/>
    <w:rsid w:val="00E33256"/>
    <w:rsid w:val="00E343C3"/>
    <w:rsid w:val="00E365DE"/>
    <w:rsid w:val="00E40104"/>
    <w:rsid w:val="00E41A5C"/>
    <w:rsid w:val="00E46A42"/>
    <w:rsid w:val="00E47B61"/>
    <w:rsid w:val="00E52A17"/>
    <w:rsid w:val="00E5449E"/>
    <w:rsid w:val="00E54E88"/>
    <w:rsid w:val="00E54F12"/>
    <w:rsid w:val="00E62E93"/>
    <w:rsid w:val="00E643D8"/>
    <w:rsid w:val="00E644BD"/>
    <w:rsid w:val="00E64E39"/>
    <w:rsid w:val="00E65927"/>
    <w:rsid w:val="00E6596F"/>
    <w:rsid w:val="00E7014F"/>
    <w:rsid w:val="00E709F4"/>
    <w:rsid w:val="00E74B66"/>
    <w:rsid w:val="00E81203"/>
    <w:rsid w:val="00E81537"/>
    <w:rsid w:val="00E82E2E"/>
    <w:rsid w:val="00E84243"/>
    <w:rsid w:val="00E84D02"/>
    <w:rsid w:val="00E85B18"/>
    <w:rsid w:val="00E86900"/>
    <w:rsid w:val="00E947A6"/>
    <w:rsid w:val="00E94BF3"/>
    <w:rsid w:val="00E9733C"/>
    <w:rsid w:val="00E978E1"/>
    <w:rsid w:val="00EA5644"/>
    <w:rsid w:val="00EA59C9"/>
    <w:rsid w:val="00EA7B80"/>
    <w:rsid w:val="00EB2784"/>
    <w:rsid w:val="00EB40D1"/>
    <w:rsid w:val="00EB537F"/>
    <w:rsid w:val="00EB5AC5"/>
    <w:rsid w:val="00EB7741"/>
    <w:rsid w:val="00EC60F0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065AA"/>
    <w:rsid w:val="00F1016F"/>
    <w:rsid w:val="00F11331"/>
    <w:rsid w:val="00F13493"/>
    <w:rsid w:val="00F14900"/>
    <w:rsid w:val="00F15891"/>
    <w:rsid w:val="00F16832"/>
    <w:rsid w:val="00F16A3A"/>
    <w:rsid w:val="00F24784"/>
    <w:rsid w:val="00F2657B"/>
    <w:rsid w:val="00F26DFE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249E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53C3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CD2B-C349-43D9-AA60-0F491BEE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2020-10-21T08:27:00Z</cp:lastPrinted>
  <dcterms:created xsi:type="dcterms:W3CDTF">2020-11-04T09:35:00Z</dcterms:created>
  <dcterms:modified xsi:type="dcterms:W3CDTF">2020-11-04T09:35:00Z</dcterms:modified>
</cp:coreProperties>
</file>