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E1" w:rsidRDefault="004F65E1" w:rsidP="004F65E1">
      <w:pPr>
        <w:pBdr>
          <w:top w:val="nil"/>
          <w:left w:val="nil"/>
          <w:bottom w:val="nil"/>
          <w:right w:val="nil"/>
          <w:between w:val="nil"/>
        </w:pBdr>
        <w:bidi/>
        <w:spacing w:line="360" w:lineRule="auto"/>
        <w:jc w:val="center"/>
        <w:rPr>
          <w:rFonts w:asciiTheme="majorBidi" w:eastAsia="Times New Roman" w:hAnsiTheme="majorBidi" w:cstheme="majorBidi"/>
          <w:bCs/>
          <w:i/>
          <w:color w:val="366091"/>
          <w:sz w:val="32"/>
          <w:szCs w:val="32"/>
        </w:rPr>
      </w:pPr>
      <w:r w:rsidRPr="00384C3B">
        <w:rPr>
          <w:rFonts w:asciiTheme="majorBidi" w:hAnsiTheme="majorBidi" w:cstheme="majorBidi"/>
          <w:noProof/>
          <w:lang w:eastAsia="fr-FR"/>
        </w:rPr>
        <w:drawing>
          <wp:inline distT="0" distB="0" distL="0" distR="0">
            <wp:extent cx="1456896" cy="1268351"/>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cstate="print"/>
                    <a:srcRect/>
                    <a:stretch>
                      <a:fillRect/>
                    </a:stretch>
                  </pic:blipFill>
                  <pic:spPr>
                    <a:xfrm>
                      <a:off x="0" y="0"/>
                      <a:ext cx="1456896" cy="1268351"/>
                    </a:xfrm>
                    <a:prstGeom prst="rect">
                      <a:avLst/>
                    </a:prstGeom>
                    <a:ln/>
                  </pic:spPr>
                </pic:pic>
              </a:graphicData>
            </a:graphic>
          </wp:inline>
        </w:drawing>
      </w:r>
    </w:p>
    <w:p w:rsidR="004F65E1" w:rsidRDefault="004F65E1" w:rsidP="004F65E1">
      <w:pPr>
        <w:pBdr>
          <w:top w:val="nil"/>
          <w:left w:val="nil"/>
          <w:bottom w:val="nil"/>
          <w:right w:val="nil"/>
          <w:between w:val="nil"/>
        </w:pBdr>
        <w:bidi/>
        <w:spacing w:line="360" w:lineRule="auto"/>
        <w:jc w:val="center"/>
        <w:rPr>
          <w:rFonts w:asciiTheme="majorBidi" w:eastAsia="Times New Roman" w:hAnsiTheme="majorBidi" w:cstheme="majorBidi"/>
          <w:bCs/>
          <w:i/>
          <w:color w:val="366091"/>
          <w:sz w:val="32"/>
          <w:szCs w:val="32"/>
        </w:rPr>
      </w:pPr>
    </w:p>
    <w:p w:rsidR="003D39B0" w:rsidRPr="001E6A33" w:rsidRDefault="008D2FD7" w:rsidP="004F65E1">
      <w:pPr>
        <w:pBdr>
          <w:top w:val="nil"/>
          <w:left w:val="nil"/>
          <w:bottom w:val="nil"/>
          <w:right w:val="nil"/>
          <w:between w:val="nil"/>
        </w:pBdr>
        <w:bidi/>
        <w:spacing w:line="360" w:lineRule="auto"/>
        <w:jc w:val="center"/>
        <w:rPr>
          <w:rFonts w:asciiTheme="majorBidi" w:eastAsia="Times New Roman" w:hAnsiTheme="majorBidi" w:cstheme="majorBidi"/>
          <w:bCs/>
          <w:i/>
          <w:color w:val="366091"/>
          <w:sz w:val="32"/>
          <w:szCs w:val="32"/>
        </w:rPr>
      </w:pPr>
      <w:r w:rsidRPr="001E6A33">
        <w:rPr>
          <w:rFonts w:asciiTheme="majorBidi" w:eastAsia="Times New Roman" w:hAnsiTheme="majorBidi" w:cstheme="majorBidi"/>
          <w:bCs/>
          <w:i/>
          <w:color w:val="366091"/>
          <w:sz w:val="32"/>
          <w:szCs w:val="32"/>
          <w:rtl/>
        </w:rPr>
        <w:t>التكلفة الاجتماعية للعنف ضد النساء والفتيات:</w:t>
      </w:r>
    </w:p>
    <w:p w:rsidR="003D39B0" w:rsidRPr="001E6A33" w:rsidRDefault="008D2FD7" w:rsidP="001E6A33">
      <w:pPr>
        <w:pBdr>
          <w:top w:val="nil"/>
          <w:left w:val="nil"/>
          <w:bottom w:val="nil"/>
          <w:right w:val="nil"/>
          <w:between w:val="nil"/>
        </w:pBdr>
        <w:bidi/>
        <w:spacing w:line="360" w:lineRule="auto"/>
        <w:jc w:val="center"/>
        <w:rPr>
          <w:rFonts w:asciiTheme="majorBidi" w:eastAsia="Times New Roman" w:hAnsiTheme="majorBidi" w:cstheme="majorBidi"/>
          <w:bCs/>
          <w:sz w:val="32"/>
          <w:szCs w:val="32"/>
        </w:rPr>
      </w:pPr>
      <w:r w:rsidRPr="001E6A33">
        <w:rPr>
          <w:rFonts w:asciiTheme="majorBidi" w:eastAsia="Times New Roman" w:hAnsiTheme="majorBidi" w:cstheme="majorBidi"/>
          <w:bCs/>
          <w:i/>
          <w:color w:val="366091"/>
          <w:sz w:val="32"/>
          <w:szCs w:val="32"/>
          <w:rtl/>
        </w:rPr>
        <w:t>الآثار على حياة ضحايا  العنف وعلى أطفالهن وعلى المجتمع</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في إطار الحملة الوطنية والدولية للتعبئة من أجل القضاء على العنف ضد النساء</w:t>
      </w:r>
      <w:r w:rsidRPr="001E6A33">
        <w:rPr>
          <w:rFonts w:asciiTheme="majorBidi" w:eastAsia="Times New Roman" w:hAnsiTheme="majorBidi" w:cstheme="majorBidi"/>
          <w:b/>
          <w:bCs/>
          <w:sz w:val="28"/>
          <w:szCs w:val="28"/>
          <w:rtl/>
        </w:rPr>
        <w:t>،</w:t>
      </w:r>
      <w:r w:rsidRPr="001E6A33">
        <w:rPr>
          <w:rFonts w:asciiTheme="majorBidi" w:eastAsia="Times New Roman" w:hAnsiTheme="majorBidi" w:cstheme="majorBidi"/>
          <w:sz w:val="28"/>
          <w:szCs w:val="28"/>
          <w:rtl/>
        </w:rPr>
        <w:t xml:space="preserve"> تقدم المندوبية السامية للتخطيط النتائج المتعلقة بالتكلفة الاجتماعية للعنف ضد النساء والفتيات اعتمادا على البحث الوطني حول العنف ضد النساء والرجال الذي تم إنجازه بدعم من منظمة الأمم المتحدة للمرأة في المغرب خلال الفترة الممتدة بين فبراير ويوليوز 2019.  </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من المرجح أن يكون للعنف ضد المرأة عواقب وخيمة مباشرة وغير مباشرة على صحة الضحايا وعلى رفاههم الجسدي والمعنوي والاجتماعي. كما يمكن أن تكون آثاره، الجسدية و/أو النفسية ، ضارة بنوعية حياتهم، وأن تؤثر على أنشطتهم الاجتماعية والمهنية. وعلاوة على تجربة العنف على المستوى الشخصي، يمكن أن يكون له تداعيات وآثار ضارة على أطفال الضحايا وعلى أسرهم وعلى المجتمع ككل.</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همت دراسة التكلفة الاجتماعية للعنف، الفتيات والنساء اللواتي تتراوح أعمارهن بين 15 و 74 سنة ، واللواتي صرحن بتعرضهن لتجارب من العنف الجسدي و/أو الجنسي خلال  الـ 12 شهرا الماضية. كما تم تقدير هذه التكلفة وفقًا للفضاء الذي يمارس فيه العنف، سواء كان مع الشريك أو مع العائلة أو في مكان العمل أو الدراسة أو في الأماكن العامة.</w:t>
      </w:r>
    </w:p>
    <w:p w:rsidR="004F65E1" w:rsidRDefault="004F65E1" w:rsidP="001E6A33">
      <w:pPr>
        <w:bidi/>
        <w:spacing w:line="360" w:lineRule="auto"/>
        <w:jc w:val="both"/>
        <w:rPr>
          <w:rFonts w:asciiTheme="majorBidi" w:eastAsia="Times New Roman" w:hAnsiTheme="majorBidi" w:cstheme="majorBidi"/>
          <w:bCs/>
          <w:i/>
          <w:color w:val="366091"/>
          <w:sz w:val="28"/>
          <w:szCs w:val="28"/>
          <w:rtl/>
        </w:rPr>
      </w:pPr>
    </w:p>
    <w:p w:rsidR="004F65E1" w:rsidRDefault="004F65E1" w:rsidP="004F65E1">
      <w:pPr>
        <w:bidi/>
        <w:spacing w:line="360" w:lineRule="auto"/>
        <w:jc w:val="both"/>
        <w:rPr>
          <w:rFonts w:asciiTheme="majorBidi" w:eastAsia="Times New Roman" w:hAnsiTheme="majorBidi" w:cstheme="majorBidi"/>
          <w:bCs/>
          <w:i/>
          <w:color w:val="366091"/>
          <w:sz w:val="28"/>
          <w:szCs w:val="28"/>
          <w:rtl/>
        </w:rPr>
      </w:pPr>
    </w:p>
    <w:p w:rsidR="004F65E1" w:rsidRDefault="004F65E1" w:rsidP="004F65E1">
      <w:pPr>
        <w:bidi/>
        <w:spacing w:line="360" w:lineRule="auto"/>
        <w:jc w:val="both"/>
        <w:rPr>
          <w:rFonts w:asciiTheme="majorBidi" w:eastAsia="Times New Roman" w:hAnsiTheme="majorBidi" w:cstheme="majorBidi"/>
          <w:bCs/>
          <w:i/>
          <w:color w:val="366091"/>
          <w:sz w:val="28"/>
          <w:szCs w:val="28"/>
          <w:rtl/>
        </w:rPr>
      </w:pPr>
    </w:p>
    <w:p w:rsidR="003D39B0" w:rsidRPr="001E6A33" w:rsidRDefault="008D2FD7" w:rsidP="004F65E1">
      <w:pPr>
        <w:bidi/>
        <w:spacing w:line="360" w:lineRule="auto"/>
        <w:jc w:val="both"/>
        <w:rPr>
          <w:rFonts w:asciiTheme="majorBidi" w:eastAsia="Times New Roman" w:hAnsiTheme="majorBidi" w:cstheme="majorBidi"/>
          <w:bCs/>
          <w:i/>
          <w:color w:val="366091"/>
          <w:sz w:val="28"/>
          <w:szCs w:val="28"/>
        </w:rPr>
      </w:pPr>
      <w:r w:rsidRPr="001E6A33">
        <w:rPr>
          <w:rFonts w:asciiTheme="majorBidi" w:eastAsia="Times New Roman" w:hAnsiTheme="majorBidi" w:cstheme="majorBidi"/>
          <w:bCs/>
          <w:i/>
          <w:color w:val="366091"/>
          <w:sz w:val="28"/>
          <w:szCs w:val="28"/>
          <w:rtl/>
        </w:rPr>
        <w:lastRenderedPageBreak/>
        <w:t xml:space="preserve">عانت واحدة من كل أربع ضحايا العنف الجسدي </w:t>
      </w:r>
      <w:r w:rsidR="004F65E1" w:rsidRPr="001E6A33">
        <w:rPr>
          <w:rFonts w:asciiTheme="majorBidi" w:eastAsia="Times New Roman" w:hAnsiTheme="majorBidi" w:cstheme="majorBidi" w:hint="cs"/>
          <w:bCs/>
          <w:i/>
          <w:color w:val="366091"/>
          <w:sz w:val="28"/>
          <w:szCs w:val="28"/>
          <w:rtl/>
        </w:rPr>
        <w:t>وواحدة</w:t>
      </w:r>
      <w:r w:rsidRPr="001E6A33">
        <w:rPr>
          <w:rFonts w:asciiTheme="majorBidi" w:eastAsia="Times New Roman" w:hAnsiTheme="majorBidi" w:cstheme="majorBidi"/>
          <w:bCs/>
          <w:i/>
          <w:color w:val="366091"/>
          <w:sz w:val="28"/>
          <w:szCs w:val="28"/>
          <w:rtl/>
        </w:rPr>
        <w:t xml:space="preserve"> من كل عشرة من ضحايا العنف الجنسي من إصابات و/ أو مشاكل نفسية</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في إطار العلاقة مع الشريك ، تعرضت 25% من ضحايا العنف الجسدي و 10% من ضحايا العنف الجنسي لإصابات و/ أو مشاكل نفسية نتيجة أشد حدث عنف جسدي أو جنسي تعرضت له خلال 12 شهرا الأخيرة.</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من بين هؤلاء الضحايا ، 60,2% صرحن بإصابتهن باضطرابات نفسية عند تعرضهن للعنف الجسدي و 79% عند تعرضهن للعنف الجنسي. العواقب النفسية الأكثر شيوعاً للعنف الجسدي والجنسي هي الشعور بالتوتر والإحباط والقلق (24% في حالات العنف الجسدي و 18% في حالات العنف الجنسي) ، اضطرابات النوم (16% و 17%). ) الشعور بإرهاق دائم (15% و 16%).</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في حالة العنف الجسدي ، تعرضت هؤلاء النساء لخدوش وكدمات (52,2%) ، التواءات وخلع (11,2%) ، شقوق عميقة وإصابات خطيرة (5,5%) ، إصابات في طبلة الأذن أو العيون (5%) ، كسر أو تشقق العظام (5,2%) ، كسر الأسنان (4,9%). وفي حالات العنف الجنسي ، عانت الضحايا في الغالب من إصابات وتمزقات في الأعضاء التناسلية (13,6%) ونزيف (11,7%) وأمراض متنقلة جنسيا (9%) وإصابات وكدمات ( 6,6%) وكذلك حالات الحمل غير المرغوب فيه (3,5%).</w:t>
      </w:r>
    </w:p>
    <w:p w:rsidR="003D39B0" w:rsidRPr="001E6A33" w:rsidRDefault="008D2FD7" w:rsidP="001E6A33">
      <w:pPr>
        <w:bidi/>
        <w:spacing w:after="0" w:line="360" w:lineRule="auto"/>
        <w:jc w:val="both"/>
        <w:rPr>
          <w:rFonts w:asciiTheme="majorBidi" w:eastAsia="Times New Roman" w:hAnsiTheme="majorBidi" w:cstheme="majorBidi"/>
          <w:bCs/>
          <w:color w:val="000000"/>
          <w:sz w:val="28"/>
          <w:szCs w:val="28"/>
        </w:rPr>
      </w:pPr>
      <w:r w:rsidRPr="001E6A33">
        <w:rPr>
          <w:rFonts w:asciiTheme="majorBidi" w:eastAsia="Times New Roman" w:hAnsiTheme="majorBidi" w:cstheme="majorBidi"/>
          <w:bCs/>
          <w:color w:val="000000"/>
          <w:sz w:val="28"/>
          <w:szCs w:val="28"/>
          <w:rtl/>
        </w:rPr>
        <w:t xml:space="preserve">مبيان 1: توزيع النساء ضحايا العنف الزوجي حسب نوع المشاكل الصحية الناتجة عن أشد حدث عنف جسدي تعرضت له خلال 12 شهرا الماضية </w:t>
      </w:r>
      <w:r w:rsidR="001E6A33" w:rsidRPr="001E6A33">
        <w:rPr>
          <w:rFonts w:asciiTheme="majorBidi" w:eastAsia="Times New Roman" w:hAnsiTheme="majorBidi" w:cstheme="majorBidi"/>
          <w:bCs/>
          <w:color w:val="000000"/>
          <w:sz w:val="28"/>
          <w:szCs w:val="28"/>
        </w:rPr>
        <w:t>)</w:t>
      </w:r>
      <w:r w:rsidRPr="001E6A33">
        <w:rPr>
          <w:rFonts w:asciiTheme="majorBidi" w:eastAsia="Times New Roman" w:hAnsiTheme="majorBidi" w:cstheme="majorBidi"/>
          <w:bCs/>
          <w:color w:val="000000"/>
          <w:sz w:val="28"/>
          <w:szCs w:val="28"/>
          <w:rtl/>
        </w:rPr>
        <w:t>ب</w:t>
      </w:r>
      <w:r w:rsidRPr="001E6A33">
        <w:rPr>
          <w:rFonts w:asciiTheme="majorBidi" w:eastAsia="Times New Roman" w:hAnsiTheme="majorBidi" w:cstheme="majorBidi"/>
          <w:bCs/>
          <w:color w:val="000000"/>
          <w:sz w:val="28"/>
          <w:szCs w:val="28"/>
        </w:rPr>
        <w:t>%</w:t>
      </w:r>
      <w:r w:rsidR="001E6A33" w:rsidRPr="001E6A33">
        <w:rPr>
          <w:rFonts w:asciiTheme="majorBidi" w:eastAsia="Times New Roman" w:hAnsiTheme="majorBidi" w:cstheme="majorBidi" w:hint="cs"/>
          <w:bCs/>
          <w:color w:val="000000"/>
          <w:sz w:val="28"/>
          <w:szCs w:val="28"/>
          <w:rtl/>
        </w:rPr>
        <w:t>)</w:t>
      </w:r>
    </w:p>
    <w:p w:rsidR="003D39B0" w:rsidRPr="001E6A33" w:rsidRDefault="008D2FD7" w:rsidP="001E6A33">
      <w:pPr>
        <w:bidi/>
        <w:spacing w:after="0" w:line="360" w:lineRule="auto"/>
        <w:jc w:val="both"/>
        <w:rPr>
          <w:rFonts w:asciiTheme="majorBidi" w:eastAsia="Times New Roman" w:hAnsiTheme="majorBidi" w:cstheme="majorBidi"/>
          <w:b/>
          <w:color w:val="000000"/>
          <w:sz w:val="28"/>
          <w:szCs w:val="28"/>
        </w:rPr>
      </w:pPr>
      <w:r w:rsidRPr="001E6A33">
        <w:rPr>
          <w:rFonts w:asciiTheme="majorBidi" w:eastAsia="Times New Roman" w:hAnsiTheme="majorBidi" w:cstheme="majorBidi"/>
          <w:b/>
          <w:noProof/>
          <w:color w:val="000000"/>
          <w:sz w:val="28"/>
          <w:szCs w:val="28"/>
          <w:lang w:eastAsia="fr-FR"/>
        </w:rPr>
        <w:drawing>
          <wp:inline distT="0" distB="0" distL="0" distR="0">
            <wp:extent cx="5819775" cy="2295525"/>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D39B0" w:rsidRPr="001E6A33" w:rsidRDefault="008D2FD7" w:rsidP="001E6A33">
      <w:pPr>
        <w:bidi/>
        <w:spacing w:after="0" w:line="360" w:lineRule="auto"/>
        <w:jc w:val="both"/>
        <w:rPr>
          <w:rFonts w:asciiTheme="majorBidi" w:eastAsia="Times New Roman" w:hAnsiTheme="majorBidi" w:cstheme="majorBidi"/>
          <w:bCs/>
          <w:color w:val="000000"/>
          <w:sz w:val="28"/>
          <w:szCs w:val="28"/>
        </w:rPr>
      </w:pPr>
      <w:r w:rsidRPr="001E6A33">
        <w:rPr>
          <w:rFonts w:asciiTheme="majorBidi" w:eastAsia="Times New Roman" w:hAnsiTheme="majorBidi" w:cstheme="majorBidi"/>
          <w:bCs/>
          <w:color w:val="000000"/>
          <w:sz w:val="28"/>
          <w:szCs w:val="28"/>
          <w:rtl/>
        </w:rPr>
        <w:t>المصدر: المندوبية السامية للتخطيط ، البحث الوطني للعنف ضد النساء والرجال 2019</w:t>
      </w:r>
    </w:p>
    <w:p w:rsidR="001E6A33" w:rsidRDefault="001E6A33" w:rsidP="001E6A33">
      <w:pPr>
        <w:bidi/>
        <w:spacing w:after="0" w:line="360" w:lineRule="auto"/>
        <w:jc w:val="both"/>
        <w:rPr>
          <w:rFonts w:asciiTheme="majorBidi" w:eastAsia="Times New Roman" w:hAnsiTheme="majorBidi" w:cstheme="majorBidi"/>
          <w:bCs/>
          <w:color w:val="000000"/>
          <w:sz w:val="28"/>
          <w:szCs w:val="28"/>
          <w:rtl/>
        </w:rPr>
      </w:pPr>
    </w:p>
    <w:p w:rsidR="003D39B0" w:rsidRPr="001E6A33" w:rsidRDefault="008D2FD7" w:rsidP="001E6A33">
      <w:pPr>
        <w:bidi/>
        <w:spacing w:after="0" w:line="360" w:lineRule="auto"/>
        <w:jc w:val="both"/>
        <w:rPr>
          <w:rFonts w:asciiTheme="majorBidi" w:eastAsia="Times New Roman" w:hAnsiTheme="majorBidi" w:cstheme="majorBidi"/>
          <w:b/>
          <w:color w:val="000000"/>
          <w:sz w:val="28"/>
          <w:szCs w:val="28"/>
        </w:rPr>
      </w:pPr>
      <w:r w:rsidRPr="001E6A33">
        <w:rPr>
          <w:rFonts w:asciiTheme="majorBidi" w:eastAsia="Times New Roman" w:hAnsiTheme="majorBidi" w:cstheme="majorBidi"/>
          <w:bCs/>
          <w:color w:val="000000"/>
          <w:sz w:val="28"/>
          <w:szCs w:val="28"/>
          <w:rtl/>
        </w:rPr>
        <w:lastRenderedPageBreak/>
        <w:t xml:space="preserve">مبيان 2: توزيع النساء ضحايا العنف الزوجي حسب نوع المشاكل الصحية الناتجة عن أشد حدث عنف جنسي تعرضت له خلال 12 شهرا الماضية </w:t>
      </w:r>
      <w:r w:rsidR="001E6A33" w:rsidRPr="001E6A33">
        <w:rPr>
          <w:rFonts w:asciiTheme="majorBidi" w:eastAsia="Times New Roman" w:hAnsiTheme="majorBidi" w:cstheme="majorBidi"/>
          <w:bCs/>
          <w:color w:val="000000"/>
          <w:sz w:val="28"/>
          <w:szCs w:val="28"/>
        </w:rPr>
        <w:t>)</w:t>
      </w:r>
      <w:r w:rsidR="001E6A33" w:rsidRPr="001E6A33">
        <w:rPr>
          <w:rFonts w:asciiTheme="majorBidi" w:eastAsia="Times New Roman" w:hAnsiTheme="majorBidi" w:cstheme="majorBidi"/>
          <w:bCs/>
          <w:color w:val="000000"/>
          <w:sz w:val="28"/>
          <w:szCs w:val="28"/>
          <w:rtl/>
        </w:rPr>
        <w:t>ب</w:t>
      </w:r>
      <w:r w:rsidR="001E6A33" w:rsidRPr="001E6A33">
        <w:rPr>
          <w:rFonts w:asciiTheme="majorBidi" w:eastAsia="Times New Roman" w:hAnsiTheme="majorBidi" w:cstheme="majorBidi"/>
          <w:bCs/>
          <w:color w:val="000000"/>
          <w:sz w:val="28"/>
          <w:szCs w:val="28"/>
        </w:rPr>
        <w:t>%</w:t>
      </w:r>
      <w:r w:rsidR="001E6A33" w:rsidRPr="001E6A33">
        <w:rPr>
          <w:rFonts w:asciiTheme="majorBidi" w:eastAsia="Times New Roman" w:hAnsiTheme="majorBidi" w:cstheme="majorBidi" w:hint="cs"/>
          <w:bCs/>
          <w:color w:val="000000"/>
          <w:sz w:val="28"/>
          <w:szCs w:val="28"/>
          <w:rtl/>
        </w:rPr>
        <w:t>)</w:t>
      </w:r>
    </w:p>
    <w:p w:rsidR="003D39B0" w:rsidRPr="001E6A33" w:rsidRDefault="008D2FD7" w:rsidP="001E6A33">
      <w:pPr>
        <w:bidi/>
        <w:spacing w:after="0" w:line="360" w:lineRule="auto"/>
        <w:jc w:val="both"/>
        <w:rPr>
          <w:rFonts w:asciiTheme="majorBidi" w:eastAsia="Times New Roman" w:hAnsiTheme="majorBidi" w:cstheme="majorBidi"/>
          <w:b/>
          <w:color w:val="000000"/>
          <w:sz w:val="28"/>
          <w:szCs w:val="28"/>
        </w:rPr>
      </w:pPr>
      <w:r w:rsidRPr="001E6A33">
        <w:rPr>
          <w:rFonts w:asciiTheme="majorBidi" w:eastAsia="Times New Roman" w:hAnsiTheme="majorBidi" w:cstheme="majorBidi"/>
          <w:b/>
          <w:noProof/>
          <w:color w:val="000000"/>
          <w:sz w:val="28"/>
          <w:szCs w:val="28"/>
          <w:lang w:eastAsia="fr-FR"/>
        </w:rPr>
        <w:drawing>
          <wp:inline distT="0" distB="0" distL="0" distR="0">
            <wp:extent cx="5819775" cy="2524125"/>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39B0" w:rsidRPr="001E6A33" w:rsidRDefault="008D2FD7" w:rsidP="001E6A33">
      <w:pPr>
        <w:bidi/>
        <w:spacing w:after="0" w:line="360" w:lineRule="auto"/>
        <w:jc w:val="both"/>
        <w:rPr>
          <w:rFonts w:asciiTheme="majorBidi" w:eastAsia="Times New Roman" w:hAnsiTheme="majorBidi" w:cstheme="majorBidi"/>
          <w:bCs/>
          <w:color w:val="000000"/>
          <w:sz w:val="28"/>
          <w:szCs w:val="28"/>
          <w:rtl/>
        </w:rPr>
      </w:pPr>
      <w:r w:rsidRPr="001E6A33">
        <w:rPr>
          <w:rFonts w:asciiTheme="majorBidi" w:eastAsia="Times New Roman" w:hAnsiTheme="majorBidi" w:cstheme="majorBidi"/>
          <w:bCs/>
          <w:color w:val="000000"/>
          <w:sz w:val="28"/>
          <w:szCs w:val="28"/>
          <w:rtl/>
        </w:rPr>
        <w:t>المصدر: المندوبية السامية للتخطيط ، البحث الوطني للعنف ضد النساء والرجال 2019</w:t>
      </w:r>
    </w:p>
    <w:p w:rsidR="004F65E1" w:rsidRDefault="004F65E1" w:rsidP="001E6A33">
      <w:pPr>
        <w:bidi/>
        <w:spacing w:after="0" w:line="360" w:lineRule="auto"/>
        <w:jc w:val="both"/>
        <w:rPr>
          <w:rFonts w:asciiTheme="majorBidi" w:eastAsia="Times New Roman" w:hAnsiTheme="majorBidi" w:cstheme="majorBidi"/>
          <w:sz w:val="28"/>
          <w:szCs w:val="28"/>
          <w:rtl/>
        </w:rPr>
      </w:pPr>
    </w:p>
    <w:p w:rsidR="003D39B0" w:rsidRPr="001E6A33" w:rsidRDefault="008D2FD7" w:rsidP="004F65E1">
      <w:pPr>
        <w:bidi/>
        <w:spacing w:after="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 xml:space="preserve">من جهة </w:t>
      </w:r>
      <w:r w:rsidR="004F65E1" w:rsidRPr="001E6A33">
        <w:rPr>
          <w:rFonts w:asciiTheme="majorBidi" w:eastAsia="Times New Roman" w:hAnsiTheme="majorBidi" w:cstheme="majorBidi" w:hint="cs"/>
          <w:sz w:val="28"/>
          <w:szCs w:val="28"/>
          <w:rtl/>
        </w:rPr>
        <w:t>أخرى،</w:t>
      </w:r>
      <w:r w:rsidRPr="001E6A33">
        <w:rPr>
          <w:rFonts w:asciiTheme="majorBidi" w:eastAsia="Times New Roman" w:hAnsiTheme="majorBidi" w:cstheme="majorBidi"/>
          <w:sz w:val="28"/>
          <w:szCs w:val="28"/>
          <w:rtl/>
        </w:rPr>
        <w:t xml:space="preserve"> فإن العنف الممارس في الأماكن العامة، له أيضًا آثار وخيمة على الصحة الجسدية والنفسية للضحايا، وفي هذا </w:t>
      </w:r>
      <w:r w:rsidR="004F65E1" w:rsidRPr="001E6A33">
        <w:rPr>
          <w:rFonts w:asciiTheme="majorBidi" w:eastAsia="Times New Roman" w:hAnsiTheme="majorBidi" w:cstheme="majorBidi" w:hint="cs"/>
          <w:sz w:val="28"/>
          <w:szCs w:val="28"/>
          <w:rtl/>
        </w:rPr>
        <w:t>السياق،</w:t>
      </w:r>
      <w:r w:rsidRPr="001E6A33">
        <w:rPr>
          <w:rFonts w:asciiTheme="majorBidi" w:eastAsia="Times New Roman" w:hAnsiTheme="majorBidi" w:cstheme="majorBidi"/>
          <w:sz w:val="28"/>
          <w:szCs w:val="28"/>
          <w:rtl/>
        </w:rPr>
        <w:t xml:space="preserve"> تعاني النساء من اضطرابات نفسية (34,3% عند التعرض للعنف الجسدي و 79,1% عند التعرض للاعتداء الجنسي) و مشاكل جسدية </w:t>
      </w:r>
      <w:r w:rsidR="004F65E1" w:rsidRPr="001E6A33">
        <w:rPr>
          <w:rFonts w:asciiTheme="majorBidi" w:eastAsia="Times New Roman" w:hAnsiTheme="majorBidi" w:cstheme="majorBidi" w:hint="cs"/>
          <w:sz w:val="28"/>
          <w:szCs w:val="28"/>
          <w:rtl/>
        </w:rPr>
        <w:t>متعددة،</w:t>
      </w:r>
      <w:r w:rsidRPr="001E6A33">
        <w:rPr>
          <w:rFonts w:asciiTheme="majorBidi" w:eastAsia="Times New Roman" w:hAnsiTheme="majorBidi" w:cstheme="majorBidi"/>
          <w:sz w:val="28"/>
          <w:szCs w:val="28"/>
          <w:rtl/>
        </w:rPr>
        <w:t xml:space="preserve"> بما في ذلك الكدمات والخدوش (63,7% في حالة العنف الجسدي و 20,5% في حالة الاعتداء الجنسي).</w:t>
      </w:r>
    </w:p>
    <w:p w:rsidR="003D39B0" w:rsidRPr="001E6A33" w:rsidRDefault="003D39B0" w:rsidP="001E6A33">
      <w:pPr>
        <w:bidi/>
        <w:spacing w:after="0" w:line="360" w:lineRule="auto"/>
        <w:jc w:val="both"/>
        <w:rPr>
          <w:rFonts w:asciiTheme="majorBidi" w:eastAsia="Times New Roman" w:hAnsiTheme="majorBidi" w:cstheme="majorBidi"/>
          <w:sz w:val="28"/>
          <w:szCs w:val="28"/>
        </w:rPr>
      </w:pPr>
    </w:p>
    <w:p w:rsidR="003D39B0" w:rsidRPr="001E6A33" w:rsidRDefault="008D2FD7" w:rsidP="001E6A33">
      <w:pPr>
        <w:bidi/>
        <w:spacing w:after="0" w:line="360" w:lineRule="auto"/>
        <w:jc w:val="both"/>
        <w:rPr>
          <w:rFonts w:asciiTheme="majorBidi" w:eastAsia="Times New Roman" w:hAnsiTheme="majorBidi" w:cstheme="majorBidi"/>
          <w:bCs/>
          <w:i/>
          <w:color w:val="548DD4"/>
          <w:sz w:val="28"/>
          <w:szCs w:val="28"/>
        </w:rPr>
      </w:pPr>
      <w:r w:rsidRPr="001E6A33">
        <w:rPr>
          <w:rFonts w:asciiTheme="majorBidi" w:eastAsia="Times New Roman" w:hAnsiTheme="majorBidi" w:cstheme="majorBidi"/>
          <w:bCs/>
          <w:i/>
          <w:color w:val="366091"/>
          <w:sz w:val="28"/>
          <w:szCs w:val="28"/>
          <w:rtl/>
        </w:rPr>
        <w:t>خسارة 14 يوم عمل في السنة في حالة العنف الزوجي و 8 أيام في حالة العنف في الأماكن العامة عقب العنف الجسدي</w:t>
      </w:r>
    </w:p>
    <w:p w:rsidR="003D39B0" w:rsidRPr="001E6A33" w:rsidRDefault="008D2FD7" w:rsidP="001E6A33">
      <w:pPr>
        <w:pBdr>
          <w:top w:val="nil"/>
          <w:left w:val="nil"/>
          <w:bottom w:val="nil"/>
          <w:right w:val="nil"/>
          <w:between w:val="nil"/>
        </w:pBd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للعنف الجسدي و/أو الجنسي في إطار العلاقة مع الشريك تداعيات سلبية ليس فقط على صحة الضحية ومحيطها، ولكن أيضًا على أنشطتها الاجتماعية والمهنية، ولا سيما من خلال التغيب عن العمل وعلى مختلف جوانب العلاقات الاجتماعية، إذ أن التغيب عن العمل ، سواء من طرف الضحية أو من طرف الزوج مرتكب العنف ، له آثار سلبية على الأسرة من حيث الخسارة المحتملة للدخل وعلى المجتمع من حيث نقص الإنتاجية. وقد أجبرت 14,3% من النساء النشيطات المشتغلات ضحايا العنف على التغيب عن العمل بعد أشد حدث عنف جسدي تعرضت له خلال 12  شهرا الماضية، إذ بلغ متوسط أيام الغياب عن العمل بالنسبة  للنشيطات المشغلات ضحايا هذا العنف 14 يوم عمل في السنة.</w:t>
      </w:r>
    </w:p>
    <w:p w:rsidR="003D39B0" w:rsidRPr="001E6A33" w:rsidRDefault="008D2FD7" w:rsidP="001E6A33">
      <w:pPr>
        <w:pBdr>
          <w:top w:val="nil"/>
          <w:left w:val="nil"/>
          <w:bottom w:val="nil"/>
          <w:right w:val="nil"/>
          <w:between w:val="nil"/>
        </w:pBd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lastRenderedPageBreak/>
        <w:t>بالإضافة إلى الفضاء الزوجي، يعتبر التغيب عن العمل بين النساء النشيطات المشتغلات ضحايا العنف الجسدي في الأماكن العامة ظاهرة متكررة إلى حد ما (29,8%). ويبلغ متوسط ​​عدد أيام العمل الضائعة لهؤلاء النساء ضحايا العنف الجسدي في الأماكن العامة 8 أيام في السنة.</w:t>
      </w:r>
    </w:p>
    <w:p w:rsidR="003D39B0" w:rsidRPr="001E6A33" w:rsidRDefault="008D2FD7" w:rsidP="001E6A33">
      <w:pPr>
        <w:pBdr>
          <w:top w:val="nil"/>
          <w:left w:val="nil"/>
          <w:bottom w:val="nil"/>
          <w:right w:val="nil"/>
          <w:between w:val="nil"/>
        </w:pBd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أما بالنسبة للآثار المباشرة للعنف الذي تتعرض له النساء أثناء ممارستهن لنشاط مهني، فقد أظهر البحث أن ردود أفعال الضحايا بعد تعرضهن للعنف الجسدي أو الجنسي تتجاوز التغيب عن العمل، حيث تؤثر تجربة العنف سلبا على مردودية  الضحايا والتزاماتهن الاجتماعية والمهنية (تغيير أو التخلي عن الشغل) وكذلك على رفاههن النفسي والاجتماعي ورفاهية من حولهن. وهكذا فإن أكثر من نصف ضحايا العنف الجسدي و/أو الجنسي، في سياق نشاطهن المهني، صرحن بانخفاض في مردودية عملهن (53%) ؛ وحوالي 40% منهن اضطررن إلى تغيير عملهن ؛ بينما غادرت 7% من الضحايا سوق الشغل كليًا.</w:t>
      </w:r>
    </w:p>
    <w:p w:rsidR="003D39B0" w:rsidRPr="001E6A33" w:rsidRDefault="008D2FD7" w:rsidP="001E6A33">
      <w:pPr>
        <w:bidi/>
        <w:spacing w:before="240" w:after="240" w:line="360" w:lineRule="auto"/>
        <w:jc w:val="both"/>
        <w:rPr>
          <w:rFonts w:asciiTheme="majorBidi" w:eastAsia="Times New Roman" w:hAnsiTheme="majorBidi" w:cstheme="majorBidi"/>
          <w:bCs/>
          <w:sz w:val="28"/>
          <w:szCs w:val="28"/>
        </w:rPr>
      </w:pPr>
      <w:r w:rsidRPr="001E6A33">
        <w:rPr>
          <w:rFonts w:asciiTheme="majorBidi" w:eastAsia="Times New Roman" w:hAnsiTheme="majorBidi" w:cstheme="majorBidi"/>
          <w:bCs/>
          <w:i/>
          <w:color w:val="366091"/>
          <w:sz w:val="28"/>
          <w:szCs w:val="28"/>
          <w:rtl/>
        </w:rPr>
        <w:t>اضطراب وتيرة حياة الضحايا وحياة أسرهن نتيجة العنف الزوجي</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لما سبق، ولكون المرأة ضحية اعتداء جسدي و/أو جنسي في إطار العلاقة الزوجية، فإنها تضطر أحيانا إلى التوقف عن القيام بالتزاماتها الأسرية، ولا سيما رعاية أفراد أسرتها أو رعاية نفسها وكذلك القيام ببعض الأشغال المنزلية. وقد لوحظ هذا الوضع بالفعل بين أكثر من 8 ضحايا من أصل 100 نتيجة أشد حدث عنف جسدي تعرضن له، وكذلك بين 3% من ضحايا العنف الجنسي. ويمكن لهذا الاضطراب في المسار الطبيعي للحياة الأسرية أن يصل إلى مستويات أكثر حدة عندما تلجأ الضحية إلى مغادرة المنزل هربا من العنف. وهكذا، غادرت 16 % من النساء الضحايا بيت الزوجية إثر أشد حدث عنف جسدي تعرضن له و3,5 % إثر أشد حدث عنف جنسي. وتلجأ هؤلاء الضحايا بالأساس إلى الإيواء عند الوالدين أو العائلة المقربة (94 % في حالات العنف الجسدي و80 % في حالات العنف الجنسي).</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إن مغادرة المنزل نتيجة العنف لا يؤثر فقط على استقرار الأسرة الذي يعتبر أمرا بالغ الأهمية للنمو النفسي والاجتماعي للأطفال، بل يؤثر كذلك على استقرار الأفراد والأسر التي لجأن إليهم ضحايا العنف والذين يشكلون لهن مصدر دعم غيرمنظم إذ تتأثر كذلك حياتهم اليومية ونوعيتها.</w:t>
      </w:r>
    </w:p>
    <w:p w:rsidR="003D39B0" w:rsidRPr="001E6A33" w:rsidRDefault="008D2FD7" w:rsidP="001E6A33">
      <w:pPr>
        <w:bidi/>
        <w:spacing w:before="240" w:after="240" w:line="360" w:lineRule="auto"/>
        <w:jc w:val="both"/>
        <w:rPr>
          <w:rFonts w:asciiTheme="majorBidi" w:eastAsia="Times New Roman" w:hAnsiTheme="majorBidi" w:cstheme="majorBidi"/>
          <w:bCs/>
          <w:sz w:val="28"/>
          <w:szCs w:val="28"/>
        </w:rPr>
      </w:pPr>
      <w:r w:rsidRPr="001E6A33">
        <w:rPr>
          <w:rFonts w:asciiTheme="majorBidi" w:eastAsia="Times New Roman" w:hAnsiTheme="majorBidi" w:cstheme="majorBidi"/>
          <w:bCs/>
          <w:i/>
          <w:color w:val="366091"/>
          <w:sz w:val="28"/>
          <w:szCs w:val="28"/>
          <w:rtl/>
        </w:rPr>
        <w:t>عبء إضافي على ميزانية الأسرة نتيجة لجوء الضحايا إلى الخدمات الصحية والخدمات القانونية</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يؤثر العنف ضد النساء بشكل عام والعنف الزوجي بشكل خاص كذلك على مستوى معيشة النساء أو أسرهن، بحيث أنه غالبا ما يترتب عنه نفقات إضافية تشكل عبئا زائدا على ميزانية الأسرة، خصوصا عند لجوء ضحية العنف و/أو شريكها إلى العلاجات الطبية، لجوءها إلى الخدمات القانونية في حالة متابعة مرتكب العنف أو تعويض و إصلاح الممتلكات التي تم إتلافها أو التنقل أو الإيواء.</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lastRenderedPageBreak/>
        <w:t>ومن بين الضحايا اللواتي عانين من مشاكل صحية إثر أشد حدث عنف جسدي تعرضن له خلال 12 شهرا الماضية، 48% منهن لجأن إلى أحد مقدمي الخدمات الصحية (طبيب، إطار شبه طبي...)، وتبلغ هذه النسبة 40 % في حالة أشد حدث عنف جنسي. وأما بالنسبة للنساء ضحايا العنف في الأماكن العامة واللواتي واجهن مشاكل صحية ولجأن إلى الخدمات الصحية، فتصل نسبهن إلى حوالي 60 % في حالة العنف الجسدي و 20 % في حالة العنف الجنسي.</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إلى النفقات المتعلقة بالمشاكل الصحية، فإن 7 % من النساء ضحايا العنف الجسدي و 2 % من ضحايا العنف الجنسي في الإطار الزوجي قد تقدمن بشكاية أو اتخذن إجراءات قانونية بعد أشد حدث عنف جسدي أو جنسي. وتسجل هذه النسب مستويات أعلى عندما يتعلق الأمر بالعنف في الوسط غير الزوجي (22% و 3,3% على التوالي).</w:t>
      </w:r>
    </w:p>
    <w:p w:rsidR="003D39B0" w:rsidRPr="001E6A33" w:rsidRDefault="008D2FD7" w:rsidP="001E6A33">
      <w:pPr>
        <w:bidi/>
        <w:spacing w:before="240" w:after="240" w:line="360" w:lineRule="auto"/>
        <w:jc w:val="both"/>
        <w:rPr>
          <w:rFonts w:asciiTheme="majorBidi" w:eastAsia="Times New Roman" w:hAnsiTheme="majorBidi" w:cstheme="majorBidi"/>
          <w:b/>
          <w:sz w:val="28"/>
          <w:szCs w:val="28"/>
        </w:rPr>
      </w:pPr>
      <w:r w:rsidRPr="001E6A33">
        <w:rPr>
          <w:rFonts w:asciiTheme="majorBidi" w:eastAsia="Times New Roman" w:hAnsiTheme="majorBidi" w:cstheme="majorBidi"/>
          <w:sz w:val="28"/>
          <w:szCs w:val="28"/>
          <w:rtl/>
        </w:rPr>
        <w:t>ولقد شهدت أكثر من 9% من النساء ضحايا العنف الزوجي إتلاف ممتلكات شخصية أو منزلية عقب أشد حدث عنف جسدي، حيث كان على 37,5% من الضحايا تعويضها أو إصلاحها.</w:t>
      </w:r>
    </w:p>
    <w:p w:rsidR="003D39B0" w:rsidRPr="001E6A33" w:rsidRDefault="008D2FD7" w:rsidP="001E6A33">
      <w:pPr>
        <w:bidi/>
        <w:spacing w:line="360" w:lineRule="auto"/>
        <w:jc w:val="both"/>
        <w:rPr>
          <w:rFonts w:asciiTheme="majorBidi" w:eastAsia="Times New Roman" w:hAnsiTheme="majorBidi" w:cstheme="majorBidi"/>
          <w:bCs/>
          <w:sz w:val="28"/>
          <w:szCs w:val="28"/>
        </w:rPr>
      </w:pPr>
      <w:r w:rsidRPr="001E6A33">
        <w:rPr>
          <w:rFonts w:asciiTheme="majorBidi" w:eastAsia="Times New Roman" w:hAnsiTheme="majorBidi" w:cstheme="majorBidi"/>
          <w:bCs/>
          <w:i/>
          <w:color w:val="366091"/>
          <w:sz w:val="28"/>
          <w:szCs w:val="28"/>
          <w:rtl/>
        </w:rPr>
        <w:t>تداعيات خطيرة على الصحة والنمو النفسي والاجتماعي لأطفال ضحايا العنف الزوجي: العزلة والحزن ونوبات القلق والتبول اللاإرادي والتراجع الدراسي</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إن التعرض للعنف الزوجي ليس بظاهرة معزولة حيث يؤثر على عدد كبير من أطفال الضحايا. ويمكن أن تتسبب تجربة العنف هذه، على المدى المتوسط والبعيد، في مشاكل صحية جسدية وعقلية وفي  اضطرابات معرفية (مشاكل في التركيز) أو مشاكل دراسية (تأخر أو فشل). حيث تظهر نتائج البحث أن العنف الزوجي له تداعيات خطيرة على صحة الأطفال ونموهم النفسي والاجتماعي. وهكذا، فقد صرحت حوالي 16% من النساء ضحايا العنف الزوجي أن أطفالهن ، الذين تتراوح أعمارهم بين 5 و 18 سنة ، يعانون من مشاكل صحية ، خاصة ذات طبيعة نفسية وسلوكية. وحسب نوع المشكلة التي يعاني منها أطفالهن، صرحت 40,4 % من النساء ضحايا العنف الزوجي بمشكلة العزلة والحزن، و32,4% منهن بنوبات القلق أو الصرع و21,5% بالكوابيس و22,4% بالتبول اللاإرادي.</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إلى المشاكل الصحية، يعاني الأطفال أيضًا من اضطرابات معرفية وسلوكية: التراجع الدراسي بالنسبة لـ 22,5% من الضحايا ، والعنف والعدوان بالنسبة  ل18,9% ،و التخلي عن الدراسة بالنسبة ل 7%، والانحراف بالنسبة ل 2,3% والهروب حسب 1% منهن. ومن جهة ثانية، وإثر أشد حدث عنف جسدي من طرف الشريك خلال الـ 12 شهرًا الماضية، ذكرت 8,1% من الضحايا  أن أطفالهن اضطروا للتغيب عن الدراسة.</w:t>
      </w:r>
    </w:p>
    <w:p w:rsidR="003D39B0" w:rsidRDefault="008D2FD7" w:rsidP="001E6A33">
      <w:pPr>
        <w:bidi/>
        <w:spacing w:line="360" w:lineRule="auto"/>
        <w:jc w:val="both"/>
        <w:rPr>
          <w:rFonts w:asciiTheme="majorBidi" w:eastAsia="Times New Roman" w:hAnsiTheme="majorBidi" w:cstheme="majorBidi"/>
          <w:bCs/>
          <w:sz w:val="28"/>
          <w:szCs w:val="28"/>
          <w:rtl/>
        </w:rPr>
      </w:pPr>
      <w:r w:rsidRPr="001E6A33">
        <w:rPr>
          <w:rFonts w:asciiTheme="majorBidi" w:eastAsia="Times New Roman" w:hAnsiTheme="majorBidi" w:cstheme="majorBidi"/>
          <w:bCs/>
          <w:sz w:val="28"/>
          <w:szCs w:val="28"/>
          <w:rtl/>
        </w:rPr>
        <w:lastRenderedPageBreak/>
        <w:t>مبيان 3: تأثير العنف الجسدي من طرف الشريك على الأطفال  ( ب %)</w:t>
      </w:r>
    </w:p>
    <w:p w:rsidR="001E6A33" w:rsidRDefault="001E6A33" w:rsidP="001E6A33">
      <w:pPr>
        <w:bidi/>
        <w:spacing w:line="360" w:lineRule="auto"/>
        <w:jc w:val="both"/>
        <w:rPr>
          <w:rFonts w:asciiTheme="majorBidi" w:eastAsia="Times New Roman" w:hAnsiTheme="majorBidi" w:cstheme="majorBidi"/>
          <w:sz w:val="28"/>
          <w:szCs w:val="28"/>
          <w:rtl/>
        </w:rPr>
      </w:pPr>
      <w:r>
        <w:rPr>
          <w:noProof/>
          <w:lang w:eastAsia="fr-FR"/>
        </w:rPr>
        <w:drawing>
          <wp:inline distT="0" distB="0" distL="0" distR="0">
            <wp:extent cx="5857875" cy="22669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6A33" w:rsidRPr="001E6A33" w:rsidRDefault="001E6A33" w:rsidP="001E6A33">
      <w:pPr>
        <w:bidi/>
        <w:spacing w:after="0" w:line="360" w:lineRule="auto"/>
        <w:jc w:val="both"/>
        <w:rPr>
          <w:rFonts w:asciiTheme="majorBidi" w:eastAsia="Times New Roman" w:hAnsiTheme="majorBidi" w:cstheme="majorBidi"/>
          <w:bCs/>
          <w:color w:val="000000"/>
          <w:sz w:val="28"/>
          <w:szCs w:val="28"/>
          <w:rtl/>
        </w:rPr>
      </w:pPr>
      <w:r w:rsidRPr="001E6A33">
        <w:rPr>
          <w:rFonts w:asciiTheme="majorBidi" w:eastAsia="Times New Roman" w:hAnsiTheme="majorBidi" w:cstheme="majorBidi"/>
          <w:bCs/>
          <w:color w:val="000000"/>
          <w:sz w:val="28"/>
          <w:szCs w:val="28"/>
          <w:rtl/>
        </w:rPr>
        <w:t>المصدر: المندوبية السامية للتخطيط ، البحث الوطني للعنف ضد النساء والرجال 2019</w:t>
      </w:r>
    </w:p>
    <w:p w:rsidR="004F65E1" w:rsidRDefault="00DE2214" w:rsidP="00DE2214">
      <w:pPr>
        <w:bidi/>
        <w:spacing w:line="360" w:lineRule="auto"/>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 xml:space="preserve">                        </w:t>
      </w:r>
    </w:p>
    <w:p w:rsidR="003D39B0" w:rsidRPr="001E6A33" w:rsidRDefault="008D2FD7" w:rsidP="004F65E1">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إلى آثاره المباشرة على الأطفال، يؤثر العنف الزوجي بالتأكيد على جودة العلاقة بين الأم والطفل، مما يزيد من حدة محنة هذا الأخير. خاصة وأن الأم الضحية تصبح أقل استعدادًا للاستجابة لاحتياجات ومتطلبات الطفل في الوقت الذي يواجه فيها هذا الأخير صعوبات كبيرة تتطلب مزيدًا من الدعم.</w:t>
      </w:r>
    </w:p>
    <w:p w:rsidR="003D39B0" w:rsidRPr="008D2FD7" w:rsidRDefault="008D2FD7" w:rsidP="001E6A33">
      <w:pPr>
        <w:bidi/>
        <w:spacing w:line="360" w:lineRule="auto"/>
        <w:jc w:val="both"/>
        <w:rPr>
          <w:rFonts w:asciiTheme="majorBidi" w:eastAsia="Times New Roman" w:hAnsiTheme="majorBidi" w:cstheme="majorBidi"/>
          <w:sz w:val="28"/>
          <w:szCs w:val="28"/>
          <w:lang w:val="fr-MA"/>
        </w:rPr>
      </w:pPr>
      <w:r w:rsidRPr="001E6A33">
        <w:rPr>
          <w:rFonts w:asciiTheme="majorBidi" w:eastAsia="Times New Roman" w:hAnsiTheme="majorBidi" w:cstheme="majorBidi"/>
          <w:sz w:val="28"/>
          <w:szCs w:val="28"/>
          <w:rtl/>
        </w:rPr>
        <w:t xml:space="preserve">هؤلاء الأطفال الذين عايشوا العنف الزوجي هم أكثر عرضة لإعادة إنتاج النمط الأبوي وعيش علاقات حميمة تتسم بالعنف بمجرد بلوغهم سن الرشد، إذ أظهرت نتائج البحث أن معدل انتشار العنف مرتفع بشكل خاص بين النساء اللواتي عاش شريكهن في بيئة تتسم بالعنف الزوجي (73%) مقارنة بالنساء اللواتي لم يتعرض شركاؤهن لهذا العنف (45,1%). </w:t>
      </w:r>
    </w:p>
    <w:sectPr w:rsidR="003D39B0" w:rsidRPr="008D2FD7" w:rsidSect="00F45417">
      <w:pgSz w:w="11906" w:h="16838"/>
      <w:pgMar w:top="1417" w:right="1417" w:bottom="1417" w:left="1417" w:header="708" w:footer="708"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characterSpacingControl w:val="doNotCompress"/>
  <w:compat/>
  <w:rsids>
    <w:rsidRoot w:val="003D39B0"/>
    <w:rsid w:val="001E6A33"/>
    <w:rsid w:val="00294A1F"/>
    <w:rsid w:val="003D39B0"/>
    <w:rsid w:val="004F65E1"/>
    <w:rsid w:val="00565334"/>
    <w:rsid w:val="008D2FD7"/>
    <w:rsid w:val="00B915AA"/>
    <w:rsid w:val="00D9084E"/>
    <w:rsid w:val="00DE2214"/>
    <w:rsid w:val="00E84F7C"/>
    <w:rsid w:val="00F4541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3"/>
  </w:style>
  <w:style w:type="paragraph" w:styleId="Titre1">
    <w:name w:val="heading 1"/>
    <w:basedOn w:val="Normal"/>
    <w:next w:val="Normal"/>
    <w:rsid w:val="00F45417"/>
    <w:pPr>
      <w:keepNext/>
      <w:keepLines/>
      <w:spacing w:before="480" w:after="120"/>
      <w:outlineLvl w:val="0"/>
    </w:pPr>
    <w:rPr>
      <w:b/>
      <w:sz w:val="48"/>
      <w:szCs w:val="48"/>
    </w:rPr>
  </w:style>
  <w:style w:type="paragraph" w:styleId="Titre2">
    <w:name w:val="heading 2"/>
    <w:basedOn w:val="Normal"/>
    <w:next w:val="Normal"/>
    <w:rsid w:val="00F45417"/>
    <w:pPr>
      <w:keepNext/>
      <w:keepLines/>
      <w:spacing w:before="360" w:after="80"/>
      <w:outlineLvl w:val="1"/>
    </w:pPr>
    <w:rPr>
      <w:b/>
      <w:sz w:val="36"/>
      <w:szCs w:val="36"/>
    </w:rPr>
  </w:style>
  <w:style w:type="paragraph" w:styleId="Titre3">
    <w:name w:val="heading 3"/>
    <w:basedOn w:val="Normal"/>
    <w:next w:val="Normal"/>
    <w:rsid w:val="00F45417"/>
    <w:pPr>
      <w:keepNext/>
      <w:keepLines/>
      <w:spacing w:before="280" w:after="80"/>
      <w:outlineLvl w:val="2"/>
    </w:pPr>
    <w:rPr>
      <w:b/>
      <w:sz w:val="28"/>
      <w:szCs w:val="28"/>
    </w:rPr>
  </w:style>
  <w:style w:type="paragraph" w:styleId="Titre4">
    <w:name w:val="heading 4"/>
    <w:basedOn w:val="Normal"/>
    <w:next w:val="Normal"/>
    <w:rsid w:val="00F45417"/>
    <w:pPr>
      <w:keepNext/>
      <w:keepLines/>
      <w:spacing w:before="240" w:after="40"/>
      <w:outlineLvl w:val="3"/>
    </w:pPr>
    <w:rPr>
      <w:b/>
      <w:sz w:val="24"/>
      <w:szCs w:val="24"/>
    </w:rPr>
  </w:style>
  <w:style w:type="paragraph" w:styleId="Titre5">
    <w:name w:val="heading 5"/>
    <w:basedOn w:val="Normal"/>
    <w:next w:val="Normal"/>
    <w:rsid w:val="00F45417"/>
    <w:pPr>
      <w:keepNext/>
      <w:keepLines/>
      <w:spacing w:before="220" w:after="40"/>
      <w:outlineLvl w:val="4"/>
    </w:pPr>
    <w:rPr>
      <w:b/>
    </w:rPr>
  </w:style>
  <w:style w:type="paragraph" w:styleId="Titre6">
    <w:name w:val="heading 6"/>
    <w:basedOn w:val="Normal"/>
    <w:next w:val="Normal"/>
    <w:rsid w:val="00F4541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rsid w:val="00F45417"/>
    <w:pPr>
      <w:keepNext/>
      <w:keepLines/>
      <w:spacing w:before="480" w:after="120"/>
    </w:pPr>
    <w:rPr>
      <w:b/>
      <w:sz w:val="72"/>
      <w:szCs w:val="72"/>
    </w:rPr>
  </w:style>
  <w:style w:type="character" w:styleId="Lienhypertexte">
    <w:name w:val="Hyperlink"/>
    <w:basedOn w:val="Policepardfaut"/>
    <w:uiPriority w:val="99"/>
    <w:semiHidden/>
    <w:unhideWhenUsed/>
    <w:rsid w:val="00E30030"/>
    <w:rPr>
      <w:color w:val="0000FF"/>
      <w:u w:val="single"/>
    </w:rPr>
  </w:style>
  <w:style w:type="paragraph" w:styleId="Paragraphedeliste">
    <w:name w:val="List Paragraph"/>
    <w:basedOn w:val="Normal"/>
    <w:uiPriority w:val="34"/>
    <w:qFormat/>
    <w:rsid w:val="002965B3"/>
    <w:pPr>
      <w:ind w:left="720"/>
      <w:contextualSpacing/>
    </w:pPr>
  </w:style>
  <w:style w:type="paragraph" w:styleId="Textedebulles">
    <w:name w:val="Balloon Text"/>
    <w:basedOn w:val="Normal"/>
    <w:link w:val="TextedebullesCar"/>
    <w:uiPriority w:val="99"/>
    <w:semiHidden/>
    <w:unhideWhenUsed/>
    <w:rsid w:val="00E02F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2F30"/>
    <w:rPr>
      <w:rFonts w:ascii="Tahoma" w:hAnsi="Tahoma" w:cs="Tahoma"/>
      <w:sz w:val="16"/>
      <w:szCs w:val="16"/>
    </w:rPr>
  </w:style>
  <w:style w:type="paragraph" w:styleId="PrformatHTML">
    <w:name w:val="HTML Preformatted"/>
    <w:basedOn w:val="Normal"/>
    <w:link w:val="PrformatHTMLCar"/>
    <w:uiPriority w:val="99"/>
    <w:semiHidden/>
    <w:unhideWhenUsed/>
    <w:rsid w:val="008D2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D2439"/>
    <w:rPr>
      <w:rFonts w:ascii="Courier New" w:eastAsia="Times New Roman" w:hAnsi="Courier New" w:cs="Courier New"/>
      <w:sz w:val="20"/>
      <w:szCs w:val="20"/>
      <w:lang w:eastAsia="fr-FR"/>
    </w:rPr>
  </w:style>
  <w:style w:type="paragraph" w:styleId="Sous-titre">
    <w:name w:val="Subtitle"/>
    <w:basedOn w:val="Normal"/>
    <w:next w:val="Normal"/>
    <w:rsid w:val="00F4541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ownloads\graphiques%20note%20fr-ar_fi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enovo\Downloads\graphiques%20note%20fr-ar_f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35686289727131243"/>
          <c:y val="4.4436414626253987E-2"/>
          <c:w val="0.57899615730785192"/>
          <c:h val="0.90148347894869307"/>
        </c:manualLayout>
      </c:layout>
      <c:barChart>
        <c:barDir val="bar"/>
        <c:grouping val="clustered"/>
        <c:varyColors val="1"/>
        <c:ser>
          <c:idx val="0"/>
          <c:order val="0"/>
          <c:tx>
            <c:v>Violence physique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 '!$A$4:$A$15</c:f>
              <c:strCache>
                <c:ptCount val="12"/>
                <c:pt idx="0">
                  <c:v>مشاكل نفسية</c:v>
                </c:pt>
                <c:pt idx="1">
                  <c:v>خدش أو كدمات</c:v>
                </c:pt>
                <c:pt idx="2">
                  <c:v> التواء أو خلع</c:v>
                </c:pt>
                <c:pt idx="3">
                  <c:v> إصابة خطيرة أو شق عميق</c:v>
                </c:pt>
                <c:pt idx="4">
                  <c:v>كسور أو تشقق في العظام</c:v>
                </c:pt>
                <c:pt idx="5">
                  <c:v> إصابة طبلة الأذن أو إصابة العين</c:v>
                </c:pt>
                <c:pt idx="6">
                  <c:v>كسر / نزيف في الأسنان</c:v>
                </c:pt>
                <c:pt idx="7">
                  <c:v>إجهاض</c:v>
                </c:pt>
                <c:pt idx="8">
                  <c:v> نزيف</c:v>
                </c:pt>
                <c:pt idx="9">
                  <c:v>مشاكل في الحمل</c:v>
                </c:pt>
                <c:pt idx="10">
                  <c:v>حروق</c:v>
                </c:pt>
                <c:pt idx="11">
                  <c:v>آخر</c:v>
                </c:pt>
              </c:strCache>
            </c:strRef>
          </c:cat>
          <c:val>
            <c:numRef>
              <c:f>'III_coût social de la violence '!$B$4:$B$15</c:f>
              <c:numCache>
                <c:formatCode>###0.0%</c:formatCode>
                <c:ptCount val="12"/>
                <c:pt idx="0">
                  <c:v>0.60151799364638703</c:v>
                </c:pt>
                <c:pt idx="1">
                  <c:v>0.52229331361565134</c:v>
                </c:pt>
                <c:pt idx="2">
                  <c:v>0.11168168220744588</c:v>
                </c:pt>
                <c:pt idx="3">
                  <c:v>5.5280262592167062E-2</c:v>
                </c:pt>
                <c:pt idx="4">
                  <c:v>5.1748093441869467E-2</c:v>
                </c:pt>
                <c:pt idx="5">
                  <c:v>4.9791710696290424E-2</c:v>
                </c:pt>
                <c:pt idx="6">
                  <c:v>4.8919247523760354E-2</c:v>
                </c:pt>
                <c:pt idx="7">
                  <c:v>1.5928419875485805E-2</c:v>
                </c:pt>
                <c:pt idx="8">
                  <c:v>1.5928419875485805E-2</c:v>
                </c:pt>
                <c:pt idx="9">
                  <c:v>1.5436398282752287E-2</c:v>
                </c:pt>
                <c:pt idx="10" formatCode="####.0%">
                  <c:v>8.2032995542506548E-3</c:v>
                </c:pt>
                <c:pt idx="11">
                  <c:v>3.4053104718494112E-2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07A4-4717-A179-3477BE3030C7}"/>
            </c:ext>
          </c:extLst>
        </c:ser>
        <c:axId val="68499328"/>
        <c:axId val="68513792"/>
      </c:barChart>
      <c:catAx>
        <c:axId val="68499328"/>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68513792"/>
        <c:crossesAt val="0"/>
        <c:auto val="1"/>
        <c:lblAlgn val="ctr"/>
        <c:lblOffset val="100"/>
        <c:noMultiLvlLbl val="1"/>
      </c:catAx>
      <c:valAx>
        <c:axId val="68513792"/>
        <c:scaling>
          <c:orientation val="minMax"/>
          <c:max val="0.70000000000000062"/>
          <c:min val="0"/>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68499328"/>
        <c:crosses val="max"/>
        <c:crossBetween val="between"/>
      </c:valAx>
    </c:plotArea>
    <c:plotVisOnly val="1"/>
    <c:dispBlanksAs val="zero"/>
    <c:showDLblsOverMax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40476137357830272"/>
          <c:y val="5.2131728816916856E-2"/>
          <c:w val="0.52312051618547883"/>
          <c:h val="0.92272728173129259"/>
        </c:manualLayout>
      </c:layout>
      <c:barChart>
        <c:barDir val="bar"/>
        <c:grouping val="clustered"/>
        <c:varyColors val="1"/>
        <c:ser>
          <c:idx val="0"/>
          <c:order val="0"/>
          <c:tx>
            <c:v>Violence sexuelle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 '!$F$5:$F$14</c:f>
              <c:strCache>
                <c:ptCount val="10"/>
                <c:pt idx="0">
                  <c:v>مشاكل نفسية</c:v>
                </c:pt>
                <c:pt idx="1">
                  <c:v>إصابات وتمزقات في الأعضاء التناسلية</c:v>
                </c:pt>
                <c:pt idx="2">
                  <c:v> نزيف</c:v>
                </c:pt>
                <c:pt idx="3">
                  <c:v>عدوى بأمراض جنسية</c:v>
                </c:pt>
                <c:pt idx="4">
                  <c:v>خدش أو كدمات</c:v>
                </c:pt>
                <c:pt idx="5">
                  <c:v>حمل غير مرغوب فيه</c:v>
                </c:pt>
                <c:pt idx="6">
                  <c:v> إصابة خطيرة أو شق عميق</c:v>
                </c:pt>
                <c:pt idx="7">
                  <c:v> إصابة طبلة الأذن أو إصابة العين</c:v>
                </c:pt>
                <c:pt idx="8">
                  <c:v> التواء أو خلع</c:v>
                </c:pt>
                <c:pt idx="9">
                  <c:v>آخر</c:v>
                </c:pt>
              </c:strCache>
            </c:strRef>
          </c:cat>
          <c:val>
            <c:numRef>
              <c:f>'III_coût social de la violence '!$G$5:$G$14</c:f>
              <c:numCache>
                <c:formatCode>###0.0%</c:formatCode>
                <c:ptCount val="10"/>
                <c:pt idx="0">
                  <c:v>0.78982733659745663</c:v>
                </c:pt>
                <c:pt idx="1">
                  <c:v>0.13557677655993422</c:v>
                </c:pt>
                <c:pt idx="2">
                  <c:v>0.11745265748113402</c:v>
                </c:pt>
                <c:pt idx="3">
                  <c:v>8.9837559333828462E-2</c:v>
                </c:pt>
                <c:pt idx="4">
                  <c:v>6.6031298504741029E-2</c:v>
                </c:pt>
                <c:pt idx="5">
                  <c:v>3.5072579566423297E-2</c:v>
                </c:pt>
                <c:pt idx="6">
                  <c:v>1.4285630787046259E-2</c:v>
                </c:pt>
                <c:pt idx="7">
                  <c:v>1.136094893220066E-2</c:v>
                </c:pt>
                <c:pt idx="8" formatCode="####.0%">
                  <c:v>3.0855508654922779E-3</c:v>
                </c:pt>
                <c:pt idx="9">
                  <c:v>3.9213275064083147E-2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7C6D-42E6-AAF1-2E2CB22D3A36}"/>
            </c:ext>
          </c:extLst>
        </c:ser>
        <c:axId val="68546560"/>
        <c:axId val="68548480"/>
      </c:barChart>
      <c:catAx>
        <c:axId val="68546560"/>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68548480"/>
        <c:crosses val="autoZero"/>
        <c:auto val="1"/>
        <c:lblAlgn val="ctr"/>
        <c:lblOffset val="100"/>
        <c:noMultiLvlLbl val="1"/>
      </c:catAx>
      <c:valAx>
        <c:axId val="68548480"/>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68546560"/>
        <c:crosses val="max"/>
        <c:crossBetween val="between"/>
      </c:valAx>
    </c:plotArea>
    <c:plotVisOnly val="1"/>
    <c:dispBlanksAs val="zero"/>
    <c:showDLblsOverMax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barChart>
        <c:barDir val="bar"/>
        <c:grouping val="clustered"/>
        <c:varyColors val="1"/>
        <c:ser>
          <c:idx val="0"/>
          <c:order val="0"/>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 '!$A$39:$A$48</c:f>
              <c:strCache>
                <c:ptCount val="10"/>
                <c:pt idx="0">
                  <c:v>إنطواء، حزن</c:v>
                </c:pt>
                <c:pt idx="1">
                  <c:v>رعشة أو نوبات خوف أو صرع</c:v>
                </c:pt>
                <c:pt idx="2">
                  <c:v>تدهور التحصيل المدرسي</c:v>
                </c:pt>
                <c:pt idx="3">
                  <c:v>تبول لا إرادي</c:v>
                </c:pt>
                <c:pt idx="4">
                  <c:v>كوابيس</c:v>
                </c:pt>
                <c:pt idx="5">
                  <c:v> عنف أو عدوانية</c:v>
                </c:pt>
                <c:pt idx="6">
                  <c:v>انقطاع عن الدراسة</c:v>
                </c:pt>
                <c:pt idx="7">
                  <c:v>الانحراف</c:v>
                </c:pt>
                <c:pt idx="8">
                  <c:v>الهروب من المنزل</c:v>
                </c:pt>
                <c:pt idx="9">
                  <c:v>آخر</c:v>
                </c:pt>
              </c:strCache>
            </c:strRef>
          </c:cat>
          <c:val>
            <c:numRef>
              <c:f>'III_coût social de la violence '!$B$39:$B$48</c:f>
              <c:numCache>
                <c:formatCode>###0.0%</c:formatCode>
                <c:ptCount val="10"/>
                <c:pt idx="0">
                  <c:v>0.40399914744132315</c:v>
                </c:pt>
                <c:pt idx="1">
                  <c:v>0.32404505863678229</c:v>
                </c:pt>
                <c:pt idx="2">
                  <c:v>0.22525315241892341</c:v>
                </c:pt>
                <c:pt idx="3">
                  <c:v>0.22448070690711869</c:v>
                </c:pt>
                <c:pt idx="4">
                  <c:v>0.21541015942910063</c:v>
                </c:pt>
                <c:pt idx="5">
                  <c:v>0.18858241791699046</c:v>
                </c:pt>
                <c:pt idx="6">
                  <c:v>7.043107471553918E-2</c:v>
                </c:pt>
                <c:pt idx="7">
                  <c:v>2.2773290837081312E-2</c:v>
                </c:pt>
                <c:pt idx="8" formatCode="####.0%">
                  <c:v>9.7644360357343075E-3</c:v>
                </c:pt>
                <c:pt idx="9">
                  <c:v>3.6449389176902602E-2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75FD-4DD1-91FF-08F637C20C4E}"/>
            </c:ext>
          </c:extLst>
        </c:ser>
        <c:axId val="95442816"/>
        <c:axId val="95469568"/>
      </c:barChart>
      <c:catAx>
        <c:axId val="95442816"/>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95469568"/>
        <c:crosses val="autoZero"/>
        <c:auto val="1"/>
        <c:lblAlgn val="ctr"/>
        <c:lblOffset val="100"/>
        <c:noMultiLvlLbl val="1"/>
      </c:catAx>
      <c:valAx>
        <c:axId val="95469568"/>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95442816"/>
        <c:crosses val="max"/>
        <c:crossBetween val="between"/>
      </c:valAx>
    </c:plotArea>
    <c:plotVisOnly val="1"/>
    <c:dispBlanksAs val="zero"/>
    <c:showDLblsOverMax val="1"/>
  </c:chart>
  <c:externalData r:id="rId1"/>
</c:chartSpace>
</file>

<file path=word/drawings/drawing1.xml><?xml version="1.0" encoding="utf-8"?>
<c:userShapes xmlns:c="http://schemas.openxmlformats.org/drawingml/2006/chart">
  <cdr:relSizeAnchor xmlns:cdr="http://schemas.openxmlformats.org/drawingml/2006/chartDrawing">
    <cdr:from>
      <cdr:x>0.28131</cdr:x>
      <cdr:y>0.0708</cdr:y>
    </cdr:from>
    <cdr:to>
      <cdr:x>0.75154</cdr:x>
      <cdr:y>0.10324</cdr:y>
    </cdr:to>
    <cdr:sp macro="" textlink="">
      <cdr:nvSpPr>
        <cdr:cNvPr id="2" name="TextBox 1"/>
        <cdr:cNvSpPr txBox="1"/>
      </cdr:nvSpPr>
      <cdr:spPr>
        <a:xfrm xmlns:a="http://schemas.openxmlformats.org/drawingml/2006/main">
          <a:off x="1304925" y="228600"/>
          <a:ext cx="2181225" cy="104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0.25833</cdr:x>
      <cdr:y>0</cdr:y>
    </cdr:from>
    <cdr:to>
      <cdr:x>0.6375</cdr:x>
      <cdr:y>0.13378</cdr:y>
    </cdr:to>
    <cdr:sp macro="" textlink="">
      <cdr:nvSpPr>
        <cdr:cNvPr id="3" name="TextBox 2"/>
        <cdr:cNvSpPr txBox="1"/>
      </cdr:nvSpPr>
      <cdr:spPr>
        <a:xfrm xmlns:a="http://schemas.openxmlformats.org/drawingml/2006/main">
          <a:off x="1181100" y="0"/>
          <a:ext cx="17335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1Un1+U3kOMZXNdUK+zZtCYkPaQ==">AMUW2mXGb2ojUTv2R/JRJzb99KGYMRYnoX/LVx338x67GtxD02gjdc4jhd4beujGHrwGpcVTdc4YrMjoDJG/Upn20KxRBM/ZnYrSSN8cj3ir+OT4ko8fwReB/le2BiTcKvAAA3uF6q09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1327</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hcp</cp:lastModifiedBy>
  <cp:revision>2</cp:revision>
  <dcterms:created xsi:type="dcterms:W3CDTF">2020-11-30T09:53:00Z</dcterms:created>
  <dcterms:modified xsi:type="dcterms:W3CDTF">2020-11-30T09:53:00Z</dcterms:modified>
</cp:coreProperties>
</file>