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218" w:rsidRDefault="00790218" w:rsidP="00DD680E">
      <w:pPr>
        <w:pBdr>
          <w:top w:val="nil"/>
          <w:left w:val="nil"/>
          <w:bottom w:val="nil"/>
          <w:right w:val="nil"/>
          <w:between w:val="nil"/>
        </w:pBdr>
        <w:bidi/>
        <w:spacing w:before="240" w:after="240" w:line="360" w:lineRule="auto"/>
        <w:jc w:val="center"/>
        <w:rPr>
          <w:rFonts w:asciiTheme="majorBidi" w:eastAsia="Times New Roman" w:hAnsiTheme="majorBidi" w:cstheme="majorBidi"/>
          <w:b/>
          <w:bCs/>
          <w:color w:val="4472C4" w:themeColor="accent1"/>
          <w:sz w:val="28"/>
          <w:szCs w:val="28"/>
        </w:rPr>
      </w:pPr>
      <w:bookmarkStart w:id="0" w:name="_heading=h.30j0zll" w:colFirst="0" w:colLast="0"/>
      <w:bookmarkEnd w:id="0"/>
      <w:r w:rsidRPr="00DD680E">
        <w:rPr>
          <w:rFonts w:asciiTheme="majorBidi" w:hAnsiTheme="majorBidi" w:cstheme="majorBidi"/>
          <w:noProof/>
          <w:sz w:val="28"/>
          <w:szCs w:val="28"/>
        </w:rPr>
        <w:drawing>
          <wp:inline distT="0" distB="0" distL="0" distR="0">
            <wp:extent cx="1596788" cy="155584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cstate="print"/>
                    <a:srcRect/>
                    <a:stretch>
                      <a:fillRect/>
                    </a:stretch>
                  </pic:blipFill>
                  <pic:spPr>
                    <a:xfrm>
                      <a:off x="0" y="0"/>
                      <a:ext cx="1607550" cy="1566331"/>
                    </a:xfrm>
                    <a:prstGeom prst="rect">
                      <a:avLst/>
                    </a:prstGeom>
                    <a:ln/>
                  </pic:spPr>
                </pic:pic>
              </a:graphicData>
            </a:graphic>
          </wp:inline>
        </w:drawing>
      </w:r>
    </w:p>
    <w:p w:rsidR="00131D7D" w:rsidRPr="0050038D" w:rsidRDefault="00131D7D" w:rsidP="00162B04">
      <w:pPr>
        <w:bidi/>
        <w:spacing w:before="120" w:after="120" w:line="276" w:lineRule="auto"/>
        <w:jc w:val="center"/>
        <w:rPr>
          <w:rFonts w:asciiTheme="majorBidi" w:eastAsia="Times New Roman" w:hAnsiTheme="majorBidi" w:cstheme="majorBidi"/>
          <w:sz w:val="34"/>
          <w:szCs w:val="34"/>
          <w:lang w:val="en-US" w:eastAsia="en-US"/>
        </w:rPr>
      </w:pPr>
      <w:r w:rsidRPr="0050038D">
        <w:rPr>
          <w:rFonts w:asciiTheme="majorBidi" w:eastAsia="Times New Roman" w:hAnsiTheme="majorBidi" w:cstheme="majorBidi"/>
          <w:b/>
          <w:bCs/>
          <w:color w:val="4472C4"/>
          <w:sz w:val="34"/>
          <w:szCs w:val="34"/>
          <w:rtl/>
          <w:lang w:val="en-US" w:eastAsia="en-US"/>
        </w:rPr>
        <w:t>التكلفة الاقتصادية للعنف ضد الفتيات والنساء:</w:t>
      </w:r>
    </w:p>
    <w:p w:rsidR="00131D7D" w:rsidRPr="0050038D" w:rsidRDefault="00131D7D" w:rsidP="00162B04">
      <w:pPr>
        <w:bidi/>
        <w:spacing w:before="120" w:after="120" w:line="276" w:lineRule="auto"/>
        <w:jc w:val="center"/>
        <w:rPr>
          <w:rFonts w:asciiTheme="majorBidi" w:eastAsia="Times New Roman" w:hAnsiTheme="majorBidi" w:cstheme="majorBidi"/>
          <w:b/>
          <w:bCs/>
          <w:color w:val="4472C4"/>
          <w:sz w:val="34"/>
          <w:szCs w:val="34"/>
          <w:lang w:val="en-US" w:eastAsia="en-US"/>
        </w:rPr>
      </w:pPr>
      <w:r w:rsidRPr="0050038D">
        <w:rPr>
          <w:rFonts w:asciiTheme="majorBidi" w:eastAsia="Times New Roman" w:hAnsiTheme="majorBidi" w:cstheme="majorBidi"/>
          <w:b/>
          <w:bCs/>
          <w:color w:val="4472C4"/>
          <w:sz w:val="34"/>
          <w:szCs w:val="34"/>
          <w:rtl/>
          <w:lang w:val="en-US" w:eastAsia="en-US"/>
        </w:rPr>
        <w:t>النفقات</w:t>
      </w:r>
      <w:r w:rsidR="002E18C4">
        <w:rPr>
          <w:rFonts w:asciiTheme="majorBidi" w:eastAsia="Times New Roman" w:hAnsiTheme="majorBidi" w:cstheme="majorBidi"/>
          <w:b/>
          <w:bCs/>
          <w:color w:val="4472C4"/>
          <w:sz w:val="34"/>
          <w:szCs w:val="34"/>
          <w:lang w:val="en-US" w:eastAsia="en-US"/>
        </w:rPr>
        <w:t xml:space="preserve"> </w:t>
      </w:r>
      <w:r w:rsidR="002E18C4" w:rsidRPr="0050038D">
        <w:rPr>
          <w:rFonts w:asciiTheme="majorBidi" w:eastAsia="Times New Roman" w:hAnsiTheme="majorBidi" w:cstheme="majorBidi"/>
          <w:b/>
          <w:bCs/>
          <w:color w:val="4472C4"/>
          <w:sz w:val="34"/>
          <w:szCs w:val="34"/>
          <w:rtl/>
          <w:lang w:val="en-US" w:eastAsia="en-US"/>
        </w:rPr>
        <w:t>وفقدان الدخل</w:t>
      </w:r>
      <w:r w:rsidRPr="0050038D">
        <w:rPr>
          <w:rFonts w:asciiTheme="majorBidi" w:eastAsia="Times New Roman" w:hAnsiTheme="majorBidi" w:cstheme="majorBidi"/>
          <w:b/>
          <w:bCs/>
          <w:color w:val="4472C4"/>
          <w:sz w:val="34"/>
          <w:szCs w:val="34"/>
          <w:rtl/>
          <w:lang w:val="en-US" w:eastAsia="en-US"/>
        </w:rPr>
        <w:t xml:space="preserve"> </w:t>
      </w:r>
      <w:r w:rsidR="002E18C4">
        <w:rPr>
          <w:rFonts w:asciiTheme="majorBidi" w:eastAsia="Times New Roman" w:hAnsiTheme="majorBidi" w:cstheme="majorBidi" w:hint="cs"/>
          <w:b/>
          <w:bCs/>
          <w:color w:val="4472C4"/>
          <w:sz w:val="34"/>
          <w:szCs w:val="34"/>
          <w:rtl/>
          <w:lang w:val="en-US" w:eastAsia="en-US" w:bidi="ar-DZ"/>
        </w:rPr>
        <w:t>لدى</w:t>
      </w:r>
      <w:r w:rsidRPr="0050038D">
        <w:rPr>
          <w:rFonts w:asciiTheme="majorBidi" w:eastAsia="Times New Roman" w:hAnsiTheme="majorBidi" w:cstheme="majorBidi"/>
          <w:b/>
          <w:bCs/>
          <w:color w:val="4472C4"/>
          <w:sz w:val="34"/>
          <w:szCs w:val="34"/>
          <w:rtl/>
          <w:lang w:val="en-US" w:eastAsia="en-US"/>
        </w:rPr>
        <w:t xml:space="preserve"> الأسر </w:t>
      </w:r>
    </w:p>
    <w:p w:rsidR="00131D7D" w:rsidRPr="007224A7" w:rsidRDefault="00131D7D" w:rsidP="00056852">
      <w:pPr>
        <w:bidi/>
        <w:spacing w:before="240" w:after="240" w:line="276" w:lineRule="auto"/>
        <w:jc w:val="both"/>
        <w:rPr>
          <w:rFonts w:asciiTheme="majorBidi" w:eastAsia="Times New Roman" w:hAnsiTheme="majorBidi" w:cstheme="majorBidi"/>
          <w:sz w:val="26"/>
          <w:szCs w:val="26"/>
          <w:rtl/>
          <w:lang w:val="en-US" w:eastAsia="en-US"/>
        </w:rPr>
      </w:pPr>
      <w:r w:rsidRPr="007224A7">
        <w:rPr>
          <w:rFonts w:asciiTheme="majorBidi" w:eastAsia="Times New Roman" w:hAnsiTheme="majorBidi" w:cstheme="majorBidi"/>
          <w:color w:val="000000"/>
          <w:sz w:val="26"/>
          <w:szCs w:val="26"/>
          <w:rtl/>
          <w:lang w:val="en-US" w:eastAsia="en-US"/>
        </w:rPr>
        <w:t>في إطار حملة التعبئة الوطنية والدولية من أجل القضاء على العنف ضد المرأة، تعرض المندوبية السامية للتخطيط النتائج المتعلقة با</w:t>
      </w:r>
      <w:r w:rsidRPr="007224A7">
        <w:rPr>
          <w:rFonts w:asciiTheme="majorBidi" w:eastAsia="Times New Roman" w:hAnsiTheme="majorBidi" w:cstheme="majorBidi"/>
          <w:b/>
          <w:bCs/>
          <w:color w:val="000000"/>
          <w:sz w:val="26"/>
          <w:szCs w:val="26"/>
          <w:rtl/>
          <w:lang w:val="en-US" w:eastAsia="en-US"/>
        </w:rPr>
        <w:t>لتكلفة الاقتصادية</w:t>
      </w:r>
      <w:r w:rsidRPr="007224A7">
        <w:rPr>
          <w:rFonts w:asciiTheme="majorBidi" w:eastAsia="Times New Roman" w:hAnsiTheme="majorBidi" w:cstheme="majorBidi"/>
          <w:color w:val="000000"/>
          <w:sz w:val="26"/>
          <w:szCs w:val="26"/>
          <w:rtl/>
          <w:lang w:val="en-US" w:eastAsia="en-US"/>
        </w:rPr>
        <w:t xml:space="preserve"> للعنف ضد النساء والفتيات الصادرة عن بحثها الوطني حول العنف ضد النساء والرجال الذي تم إنجازه بدعم من منظمة الأمم المتحدة للمرأة بالمغرب خلال الفترة الممتدة بين فبراير ويوليوز 2019.</w:t>
      </w:r>
    </w:p>
    <w:p w:rsidR="00131D7D" w:rsidRPr="007224A7" w:rsidRDefault="00131D7D" w:rsidP="00056852">
      <w:pPr>
        <w:bidi/>
        <w:spacing w:before="240" w:after="240" w:line="276" w:lineRule="auto"/>
        <w:jc w:val="both"/>
        <w:rPr>
          <w:rFonts w:asciiTheme="majorBidi" w:eastAsia="Times New Roman" w:hAnsiTheme="majorBidi" w:cstheme="majorBidi"/>
          <w:sz w:val="26"/>
          <w:szCs w:val="26"/>
          <w:rtl/>
          <w:lang w:val="en-US" w:eastAsia="en-US"/>
        </w:rPr>
      </w:pPr>
      <w:r w:rsidRPr="007224A7">
        <w:rPr>
          <w:rFonts w:asciiTheme="majorBidi" w:eastAsia="Times New Roman" w:hAnsiTheme="majorBidi" w:cstheme="majorBidi"/>
          <w:color w:val="000000"/>
          <w:sz w:val="26"/>
          <w:szCs w:val="26"/>
          <w:rtl/>
          <w:lang w:val="en-US" w:eastAsia="en-US"/>
        </w:rPr>
        <w:t>تشكل التكلفة الاقتصادية للعنف عبئًا ثقيلًا سواء على المجتمع من خلال منظومته الصحية وخدمات الدعم الاجتماعي المتاحة ومنظومته القانونية والميزانيات المخصصة لوضع السياسات أو خطط العمل من أجل مكافحة العنف ضد النساء وفقدان الإنتاج الاقتصادي أو على الأفراد والأسر نتيجة تحملهم النفقات المترتبة عن الولوج إلى مختلف الخدمات وفقدان الدخل بسبب التوقف عن العمل وعن القيام بالأعمال المنزلية غير مدفوعة الأجر.</w:t>
      </w:r>
    </w:p>
    <w:p w:rsidR="00131D7D" w:rsidRPr="007224A7" w:rsidRDefault="00131D7D" w:rsidP="00056852">
      <w:pPr>
        <w:bidi/>
        <w:spacing w:before="240" w:after="240" w:line="276" w:lineRule="auto"/>
        <w:jc w:val="both"/>
        <w:rPr>
          <w:rFonts w:asciiTheme="majorBidi" w:eastAsia="Times New Roman" w:hAnsiTheme="majorBidi" w:cstheme="majorBidi"/>
          <w:sz w:val="26"/>
          <w:szCs w:val="26"/>
          <w:rtl/>
          <w:lang w:val="en-US" w:eastAsia="en-US"/>
        </w:rPr>
      </w:pPr>
      <w:r w:rsidRPr="007224A7">
        <w:rPr>
          <w:rFonts w:asciiTheme="majorBidi" w:eastAsia="Times New Roman" w:hAnsiTheme="majorBidi" w:cstheme="majorBidi"/>
          <w:color w:val="000000"/>
          <w:sz w:val="26"/>
          <w:szCs w:val="26"/>
          <w:rtl/>
          <w:lang w:val="en-US" w:eastAsia="en-US"/>
        </w:rPr>
        <w:t xml:space="preserve">مكنت المعطيات التي أتاحها بحث 2019 من تقدير التكلفة النقدية للعنف لأول مرة في المغرب، والمتعلقة تحديدًا بالتكاليف المباشرة وغير المباشرة للعنف ضد النساء التي يتحملها الأفراد وأسرهم في كافة فضاءات العيش </w:t>
      </w:r>
      <w:r w:rsidRPr="002F7842">
        <w:rPr>
          <w:rFonts w:asciiTheme="majorBidi" w:eastAsia="Times New Roman" w:hAnsiTheme="majorBidi" w:cstheme="majorBidi"/>
          <w:sz w:val="26"/>
          <w:szCs w:val="26"/>
          <w:rtl/>
          <w:lang w:val="en-US" w:eastAsia="en-US"/>
        </w:rPr>
        <w:t>وبالنسبة</w:t>
      </w:r>
      <w:r w:rsidR="00CC1398" w:rsidRPr="002F7842">
        <w:rPr>
          <w:rFonts w:asciiTheme="majorBidi" w:eastAsia="Times New Roman" w:hAnsiTheme="majorBidi" w:cstheme="majorBidi"/>
          <w:sz w:val="26"/>
          <w:szCs w:val="26"/>
          <w:lang w:val="en-US" w:eastAsia="en-US"/>
        </w:rPr>
        <w:t xml:space="preserve"> </w:t>
      </w:r>
      <w:r w:rsidRPr="002F7842">
        <w:rPr>
          <w:rFonts w:asciiTheme="majorBidi" w:eastAsia="Times New Roman" w:hAnsiTheme="majorBidi" w:cstheme="majorBidi"/>
          <w:sz w:val="26"/>
          <w:szCs w:val="26"/>
          <w:rtl/>
          <w:lang w:val="en-US" w:eastAsia="en-US"/>
        </w:rPr>
        <w:t>لشكلي العنف الجسدي والجنسي خلال ال12 شهرًا التي سبقت البحث.</w:t>
      </w:r>
    </w:p>
    <w:p w:rsidR="00131D7D" w:rsidRPr="007224A7" w:rsidRDefault="00131D7D" w:rsidP="00056852">
      <w:pPr>
        <w:bidi/>
        <w:spacing w:before="240" w:after="240" w:line="276" w:lineRule="auto"/>
        <w:jc w:val="both"/>
        <w:rPr>
          <w:rFonts w:asciiTheme="majorBidi" w:eastAsia="Times New Roman" w:hAnsiTheme="majorBidi" w:cstheme="majorBidi"/>
          <w:sz w:val="26"/>
          <w:szCs w:val="26"/>
          <w:rtl/>
          <w:lang w:val="en-US" w:eastAsia="en-US"/>
        </w:rPr>
      </w:pPr>
      <w:r w:rsidRPr="002F7842">
        <w:rPr>
          <w:rFonts w:asciiTheme="majorBidi" w:eastAsia="Times New Roman" w:hAnsiTheme="majorBidi" w:cstheme="majorBidi"/>
          <w:sz w:val="26"/>
          <w:szCs w:val="26"/>
          <w:rtl/>
          <w:lang w:val="en-US" w:eastAsia="en-US"/>
        </w:rPr>
        <w:t>تشمل التكاليف</w:t>
      </w:r>
      <w:r w:rsidR="002E18C4" w:rsidRPr="002E18C4">
        <w:rPr>
          <w:rtl/>
        </w:rPr>
        <w:t xml:space="preserve"> </w:t>
      </w:r>
      <w:r w:rsidR="002E18C4" w:rsidRPr="002E18C4">
        <w:rPr>
          <w:rFonts w:asciiTheme="majorBidi" w:eastAsia="Times New Roman" w:hAnsiTheme="majorBidi" w:cs="Times New Roman"/>
          <w:sz w:val="26"/>
          <w:szCs w:val="26"/>
          <w:rtl/>
          <w:lang w:val="en-US" w:eastAsia="en-US"/>
        </w:rPr>
        <w:t>الملموسة</w:t>
      </w:r>
      <w:r w:rsidRPr="002F7842">
        <w:rPr>
          <w:rFonts w:asciiTheme="majorBidi" w:eastAsia="Times New Roman" w:hAnsiTheme="majorBidi" w:cstheme="majorBidi"/>
          <w:sz w:val="26"/>
          <w:szCs w:val="26"/>
          <w:rtl/>
          <w:lang w:val="en-US" w:eastAsia="en-US"/>
        </w:rPr>
        <w:t xml:space="preserve"> المباشرة</w:t>
      </w:r>
      <w:r w:rsidR="002E18C4">
        <w:rPr>
          <w:rFonts w:asciiTheme="majorBidi" w:eastAsia="Times New Roman" w:hAnsiTheme="majorBidi" w:cstheme="majorBidi" w:hint="cs"/>
          <w:sz w:val="26"/>
          <w:szCs w:val="26"/>
          <w:rtl/>
          <w:lang w:val="en-US" w:eastAsia="en-US"/>
        </w:rPr>
        <w:t xml:space="preserve"> </w:t>
      </w:r>
      <w:r w:rsidRPr="002F7842">
        <w:rPr>
          <w:rFonts w:asciiTheme="majorBidi" w:eastAsia="Times New Roman" w:hAnsiTheme="majorBidi" w:cstheme="majorBidi"/>
          <w:sz w:val="26"/>
          <w:szCs w:val="26"/>
          <w:rtl/>
          <w:lang w:val="en-US" w:eastAsia="en-US"/>
        </w:rPr>
        <w:t>للعنف ضد النساء المصاريف المؤداة مقابل الولوج لمختلف الخدمات (الصحة والعدالة والشرطة) والإيواء وتعويض أو إصلاح الممتلكات التي تم إتلافها. وتتعلق التكاليف</w:t>
      </w:r>
      <w:r w:rsidR="002E18C4">
        <w:rPr>
          <w:rFonts w:asciiTheme="majorBidi" w:eastAsia="Times New Roman" w:hAnsiTheme="majorBidi" w:cstheme="majorBidi" w:hint="cs"/>
          <w:sz w:val="26"/>
          <w:szCs w:val="26"/>
          <w:rtl/>
          <w:lang w:val="en-US" w:eastAsia="en-US"/>
        </w:rPr>
        <w:t xml:space="preserve"> </w:t>
      </w:r>
      <w:r w:rsidR="002E18C4" w:rsidRPr="002E18C4">
        <w:rPr>
          <w:rFonts w:asciiTheme="majorBidi" w:eastAsia="Times New Roman" w:hAnsiTheme="majorBidi" w:cs="Times New Roman"/>
          <w:sz w:val="26"/>
          <w:szCs w:val="26"/>
          <w:rtl/>
          <w:lang w:val="en-US" w:eastAsia="en-US"/>
        </w:rPr>
        <w:t>الملموسة</w:t>
      </w:r>
      <w:r w:rsidRPr="002F7842">
        <w:rPr>
          <w:rFonts w:asciiTheme="majorBidi" w:eastAsia="Times New Roman" w:hAnsiTheme="majorBidi" w:cstheme="majorBidi"/>
          <w:sz w:val="26"/>
          <w:szCs w:val="26"/>
          <w:rtl/>
          <w:lang w:val="en-US" w:eastAsia="en-US"/>
        </w:rPr>
        <w:t xml:space="preserve"> غير المباشرة "بتكلفة الفرصة البديلة" التي تشمل فقدان الدخل بسبب التغيب عن العمل </w:t>
      </w:r>
      <w:r w:rsidR="007224A7" w:rsidRPr="002F7842">
        <w:rPr>
          <w:rFonts w:asciiTheme="majorBidi" w:eastAsia="Times New Roman" w:hAnsiTheme="majorBidi" w:cstheme="majorBidi" w:hint="cs"/>
          <w:sz w:val="26"/>
          <w:szCs w:val="26"/>
          <w:rtl/>
          <w:lang w:val="en-US" w:eastAsia="en-US"/>
        </w:rPr>
        <w:t>المؤدى عنه</w:t>
      </w:r>
      <w:r w:rsidRPr="002F7842">
        <w:rPr>
          <w:rFonts w:asciiTheme="majorBidi" w:eastAsia="Times New Roman" w:hAnsiTheme="majorBidi" w:cstheme="majorBidi"/>
          <w:sz w:val="26"/>
          <w:szCs w:val="26"/>
          <w:rtl/>
          <w:lang w:val="en-US" w:eastAsia="en-US"/>
        </w:rPr>
        <w:t xml:space="preserve"> والتوقف عن أداء الأعمال المنزلية والتغيب عن الدراسة.</w:t>
      </w:r>
    </w:p>
    <w:p w:rsidR="00131D7D" w:rsidRPr="007224A7" w:rsidRDefault="00131D7D" w:rsidP="00056852">
      <w:pPr>
        <w:bidi/>
        <w:spacing w:after="120" w:line="276" w:lineRule="auto"/>
        <w:jc w:val="both"/>
        <w:rPr>
          <w:rFonts w:asciiTheme="majorBidi" w:eastAsia="Times New Roman" w:hAnsiTheme="majorBidi" w:cstheme="majorBidi"/>
          <w:color w:val="000000"/>
          <w:sz w:val="26"/>
          <w:szCs w:val="26"/>
          <w:lang w:val="en-US" w:eastAsia="en-US"/>
        </w:rPr>
      </w:pPr>
      <w:r w:rsidRPr="007224A7">
        <w:rPr>
          <w:rFonts w:asciiTheme="majorBidi" w:eastAsia="Times New Roman" w:hAnsiTheme="majorBidi" w:cstheme="majorBidi"/>
          <w:color w:val="000000"/>
          <w:sz w:val="26"/>
          <w:szCs w:val="26"/>
          <w:rtl/>
          <w:lang w:val="en-US" w:eastAsia="en-US"/>
        </w:rPr>
        <w:t>يتم تقدير التكلفة الاقتصادية للعنف باستخدام مقاربة تقدير تكلفة "</w:t>
      </w:r>
      <w:r w:rsidRPr="002F7842">
        <w:rPr>
          <w:rFonts w:asciiTheme="majorBidi" w:eastAsia="Times New Roman" w:hAnsiTheme="majorBidi" w:cstheme="majorBidi"/>
          <w:color w:val="000000"/>
          <w:sz w:val="26"/>
          <w:szCs w:val="26"/>
          <w:rtl/>
          <w:lang w:val="en-US" w:eastAsia="en-US"/>
        </w:rPr>
        <w:t xml:space="preserve"> غياب الفعل</w:t>
      </w:r>
      <w:r w:rsidRPr="007224A7">
        <w:rPr>
          <w:rFonts w:asciiTheme="majorBidi" w:eastAsia="Times New Roman" w:hAnsiTheme="majorBidi" w:cstheme="majorBidi"/>
          <w:color w:val="000000"/>
          <w:sz w:val="26"/>
          <w:szCs w:val="26"/>
          <w:rtl/>
          <w:lang w:val="en-US" w:eastAsia="en-US"/>
        </w:rPr>
        <w:t xml:space="preserve"> أو المشكلة" التي تقيم آثار العنف من خلال التقدير النقدي </w:t>
      </w:r>
      <w:r w:rsidRPr="002F7842">
        <w:rPr>
          <w:rFonts w:asciiTheme="majorBidi" w:eastAsia="Times New Roman" w:hAnsiTheme="majorBidi" w:cstheme="majorBidi"/>
          <w:color w:val="000000"/>
          <w:sz w:val="26"/>
          <w:szCs w:val="26"/>
          <w:rtl/>
          <w:lang w:val="en-US" w:eastAsia="en-US"/>
        </w:rPr>
        <w:t>للتكاليف المباشرة</w:t>
      </w:r>
      <w:r w:rsidRPr="007224A7">
        <w:rPr>
          <w:rFonts w:asciiTheme="majorBidi" w:eastAsia="Times New Roman" w:hAnsiTheme="majorBidi" w:cstheme="majorBidi"/>
          <w:color w:val="000000"/>
          <w:sz w:val="26"/>
          <w:szCs w:val="26"/>
          <w:rtl/>
          <w:lang w:val="en-US" w:eastAsia="en-US"/>
        </w:rPr>
        <w:t xml:space="preserve"> المختلفة والتكاليف غير المباشرة التي يتحملها الضحايا والأسر. </w:t>
      </w:r>
      <w:r w:rsidRPr="002F7842">
        <w:rPr>
          <w:rFonts w:asciiTheme="majorBidi" w:eastAsia="Times New Roman" w:hAnsiTheme="majorBidi" w:cstheme="majorBidi"/>
          <w:color w:val="000000"/>
          <w:sz w:val="26"/>
          <w:szCs w:val="26"/>
          <w:rtl/>
          <w:lang w:val="en-US" w:eastAsia="en-US"/>
        </w:rPr>
        <w:t>يعتمد هذا التقدير</w:t>
      </w:r>
      <w:r w:rsidRPr="007224A7">
        <w:rPr>
          <w:rFonts w:asciiTheme="majorBidi" w:eastAsia="Times New Roman" w:hAnsiTheme="majorBidi" w:cstheme="majorBidi"/>
          <w:color w:val="000000"/>
          <w:sz w:val="26"/>
          <w:szCs w:val="26"/>
          <w:rtl/>
          <w:lang w:val="en-US" w:eastAsia="en-US"/>
        </w:rPr>
        <w:t xml:space="preserve"> الطريقة المحاسباتية </w:t>
      </w:r>
      <w:r w:rsidRPr="002F7842">
        <w:rPr>
          <w:rFonts w:asciiTheme="majorBidi" w:eastAsia="Times New Roman" w:hAnsiTheme="majorBidi" w:cstheme="majorBidi"/>
          <w:color w:val="000000"/>
          <w:sz w:val="26"/>
          <w:szCs w:val="26"/>
          <w:rtl/>
          <w:lang w:val="en-US" w:eastAsia="en-US"/>
        </w:rPr>
        <w:t>التي ترتكز على</w:t>
      </w:r>
      <w:r w:rsidRPr="007224A7">
        <w:rPr>
          <w:rFonts w:asciiTheme="majorBidi" w:eastAsia="Times New Roman" w:hAnsiTheme="majorBidi" w:cstheme="majorBidi"/>
          <w:color w:val="000000"/>
          <w:sz w:val="26"/>
          <w:szCs w:val="26"/>
          <w:rtl/>
          <w:lang w:val="en-US" w:eastAsia="en-US"/>
        </w:rPr>
        <w:t xml:space="preserve"> جمع التكاليف المترتبة عن الولوج إلى مختلف الخدمات والتكاليف المتعلقة بإصلاح أو استبدال الممتلكات التي تم إتلافها والإيواء في حالة </w:t>
      </w:r>
      <w:r w:rsidRPr="002F7842">
        <w:rPr>
          <w:rFonts w:asciiTheme="majorBidi" w:eastAsia="Times New Roman" w:hAnsiTheme="majorBidi" w:cstheme="majorBidi"/>
          <w:color w:val="000000"/>
          <w:sz w:val="26"/>
          <w:szCs w:val="26"/>
          <w:rtl/>
          <w:lang w:val="en-US" w:eastAsia="en-US"/>
        </w:rPr>
        <w:t>مغادرة</w:t>
      </w:r>
      <w:r w:rsidRPr="007224A7">
        <w:rPr>
          <w:rFonts w:asciiTheme="majorBidi" w:eastAsia="Times New Roman" w:hAnsiTheme="majorBidi" w:cstheme="majorBidi"/>
          <w:color w:val="000000"/>
          <w:sz w:val="26"/>
          <w:szCs w:val="26"/>
          <w:rtl/>
          <w:lang w:val="en-US" w:eastAsia="en-US"/>
        </w:rPr>
        <w:t xml:space="preserve"> المنزل والدخل المفقود بسبب الغياب عن العمل أو المدرسة </w:t>
      </w:r>
      <w:r w:rsidR="00A91E46" w:rsidRPr="002F7842">
        <w:rPr>
          <w:rFonts w:asciiTheme="majorBidi" w:eastAsia="Times New Roman" w:hAnsiTheme="majorBidi" w:cstheme="majorBidi" w:hint="cs"/>
          <w:color w:val="000000"/>
          <w:sz w:val="26"/>
          <w:szCs w:val="26"/>
          <w:rtl/>
          <w:lang w:val="en-US" w:eastAsia="en-US"/>
        </w:rPr>
        <w:t>والتوقف</w:t>
      </w:r>
      <w:r w:rsidRPr="002F7842">
        <w:rPr>
          <w:rFonts w:asciiTheme="majorBidi" w:eastAsia="Times New Roman" w:hAnsiTheme="majorBidi" w:cstheme="majorBidi"/>
          <w:color w:val="000000"/>
          <w:sz w:val="26"/>
          <w:szCs w:val="26"/>
          <w:rtl/>
          <w:lang w:val="en-US" w:eastAsia="en-US"/>
        </w:rPr>
        <w:t xml:space="preserve"> عن القيام</w:t>
      </w:r>
      <w:r w:rsidRPr="007224A7">
        <w:rPr>
          <w:rFonts w:asciiTheme="majorBidi" w:eastAsia="Times New Roman" w:hAnsiTheme="majorBidi" w:cstheme="majorBidi"/>
          <w:color w:val="000000"/>
          <w:sz w:val="26"/>
          <w:szCs w:val="26"/>
          <w:rtl/>
          <w:lang w:val="en-US" w:eastAsia="en-US"/>
        </w:rPr>
        <w:t xml:space="preserve"> بالأعمال المنزلية نتيجة التعرض لحادث </w:t>
      </w:r>
      <w:r w:rsidRPr="002F7842">
        <w:rPr>
          <w:rFonts w:asciiTheme="majorBidi" w:eastAsia="Times New Roman" w:hAnsiTheme="majorBidi" w:cstheme="majorBidi"/>
          <w:color w:val="000000"/>
          <w:sz w:val="26"/>
          <w:szCs w:val="26"/>
          <w:rtl/>
          <w:lang w:val="en-US" w:eastAsia="en-US"/>
        </w:rPr>
        <w:t xml:space="preserve">العنف الأشد </w:t>
      </w:r>
      <w:r w:rsidRPr="007224A7">
        <w:rPr>
          <w:rFonts w:asciiTheme="majorBidi" w:eastAsia="Times New Roman" w:hAnsiTheme="majorBidi" w:cstheme="majorBidi"/>
          <w:color w:val="000000"/>
          <w:sz w:val="26"/>
          <w:szCs w:val="26"/>
          <w:rtl/>
          <w:lang w:val="en-US" w:eastAsia="en-US"/>
        </w:rPr>
        <w:t>حدة.</w:t>
      </w:r>
    </w:p>
    <w:p w:rsidR="00131D7D" w:rsidRPr="002F7842" w:rsidRDefault="00131D7D" w:rsidP="00056852">
      <w:pPr>
        <w:bidi/>
        <w:spacing w:after="120" w:line="276" w:lineRule="auto"/>
        <w:jc w:val="both"/>
        <w:rPr>
          <w:rFonts w:asciiTheme="majorBidi" w:eastAsia="Times New Roman" w:hAnsiTheme="majorBidi" w:cstheme="majorBidi"/>
          <w:b/>
          <w:bCs/>
          <w:color w:val="1F3864" w:themeColor="accent1" w:themeShade="80"/>
          <w:sz w:val="30"/>
          <w:szCs w:val="30"/>
          <w:rtl/>
          <w:lang w:val="en-US" w:eastAsia="en-US"/>
        </w:rPr>
      </w:pPr>
      <w:r w:rsidRPr="002F7842">
        <w:rPr>
          <w:rFonts w:asciiTheme="majorBidi" w:eastAsia="Times New Roman" w:hAnsiTheme="majorBidi" w:cstheme="majorBidi"/>
          <w:b/>
          <w:bCs/>
          <w:i/>
          <w:iCs/>
          <w:color w:val="1F3864" w:themeColor="accent1" w:themeShade="80"/>
          <w:sz w:val="30"/>
          <w:szCs w:val="30"/>
          <w:rtl/>
          <w:lang w:val="en-US" w:eastAsia="en-US"/>
        </w:rPr>
        <w:lastRenderedPageBreak/>
        <w:t>يكلف العنف الجسدي والجنسي للأسر 2.85 مليار درهم</w:t>
      </w:r>
      <w:r w:rsidR="00A91E46">
        <w:rPr>
          <w:rFonts w:asciiTheme="majorBidi" w:eastAsia="Times New Roman" w:hAnsiTheme="majorBidi" w:cstheme="majorBidi" w:hint="cs"/>
          <w:b/>
          <w:bCs/>
          <w:i/>
          <w:iCs/>
          <w:color w:val="1F3864" w:themeColor="accent1" w:themeShade="80"/>
          <w:sz w:val="30"/>
          <w:szCs w:val="30"/>
          <w:rtl/>
          <w:lang w:val="en-US" w:eastAsia="en-US"/>
        </w:rPr>
        <w:t xml:space="preserve"> </w:t>
      </w:r>
      <w:r w:rsidR="00A91E46" w:rsidRPr="00A91E46">
        <w:rPr>
          <w:rFonts w:asciiTheme="majorBidi" w:eastAsia="Times New Roman" w:hAnsiTheme="majorBidi" w:cstheme="majorBidi"/>
          <w:b/>
          <w:bCs/>
          <w:i/>
          <w:iCs/>
          <w:color w:val="1F3864" w:themeColor="accent1" w:themeShade="80"/>
          <w:sz w:val="30"/>
          <w:szCs w:val="30"/>
          <w:rtl/>
          <w:lang w:val="en-US" w:eastAsia="en-US"/>
        </w:rPr>
        <w:t>أو</w:t>
      </w:r>
      <w:r w:rsidR="00A91E46">
        <w:rPr>
          <w:rFonts w:asciiTheme="majorBidi" w:eastAsia="Times New Roman" w:hAnsiTheme="majorBidi" w:cstheme="majorBidi" w:hint="cs"/>
          <w:b/>
          <w:bCs/>
          <w:i/>
          <w:iCs/>
          <w:color w:val="1F3864" w:themeColor="accent1" w:themeShade="80"/>
          <w:sz w:val="30"/>
          <w:szCs w:val="30"/>
          <w:rtl/>
          <w:lang w:val="en-US" w:eastAsia="en-US"/>
        </w:rPr>
        <w:t xml:space="preserve"> </w:t>
      </w:r>
      <w:r w:rsidR="00A91E46" w:rsidRPr="00A91E46">
        <w:rPr>
          <w:rFonts w:asciiTheme="majorBidi" w:eastAsia="Times New Roman" w:hAnsiTheme="majorBidi" w:cstheme="majorBidi"/>
          <w:b/>
          <w:bCs/>
          <w:i/>
          <w:iCs/>
          <w:color w:val="1F3864" w:themeColor="accent1" w:themeShade="80"/>
          <w:sz w:val="30"/>
          <w:szCs w:val="30"/>
          <w:rtl/>
          <w:lang w:val="en-US" w:eastAsia="en-US"/>
        </w:rPr>
        <w:t>957 درهم لكل ضحية</w:t>
      </w:r>
    </w:p>
    <w:p w:rsidR="00131D7D" w:rsidRPr="007224A7" w:rsidRDefault="00131D7D" w:rsidP="00056852">
      <w:pPr>
        <w:bidi/>
        <w:spacing w:after="120" w:line="276" w:lineRule="auto"/>
        <w:jc w:val="both"/>
        <w:rPr>
          <w:rFonts w:asciiTheme="majorBidi" w:eastAsia="Times New Roman" w:hAnsiTheme="majorBidi" w:cstheme="majorBidi"/>
          <w:sz w:val="26"/>
          <w:szCs w:val="26"/>
          <w:lang w:val="en-US" w:eastAsia="en-US"/>
        </w:rPr>
      </w:pPr>
      <w:r w:rsidRPr="002F7842">
        <w:rPr>
          <w:rFonts w:asciiTheme="majorBidi" w:eastAsia="Times New Roman" w:hAnsiTheme="majorBidi" w:cstheme="majorBidi"/>
          <w:color w:val="000000"/>
          <w:sz w:val="26"/>
          <w:szCs w:val="26"/>
          <w:rtl/>
          <w:lang w:val="en-US" w:eastAsia="en-US"/>
        </w:rPr>
        <w:t>تحمل 22.8% من</w:t>
      </w:r>
      <w:r w:rsidRPr="007224A7">
        <w:rPr>
          <w:rFonts w:asciiTheme="majorBidi" w:eastAsia="Times New Roman" w:hAnsiTheme="majorBidi" w:cstheme="majorBidi"/>
          <w:color w:val="000000"/>
          <w:sz w:val="26"/>
          <w:szCs w:val="26"/>
          <w:rtl/>
          <w:lang w:val="en-US" w:eastAsia="en-US"/>
        </w:rPr>
        <w:t xml:space="preserve"> بين مجموع النساء ضحايا العنف الجسدي و/ أو الجنسي اللاتي تعرضن للعنف خلال 12 شهرًا التي سبقت البحث أو أسرهن، أيا كان مجال العيش، التكاليف المباشرة أو غير المباشرة </w:t>
      </w:r>
      <w:r w:rsidR="00A91E46" w:rsidRPr="007224A7">
        <w:rPr>
          <w:rFonts w:asciiTheme="majorBidi" w:eastAsia="Times New Roman" w:hAnsiTheme="majorBidi" w:cstheme="majorBidi" w:hint="cs"/>
          <w:color w:val="000000"/>
          <w:sz w:val="26"/>
          <w:szCs w:val="26"/>
          <w:rtl/>
          <w:lang w:val="en-US" w:eastAsia="en-US"/>
        </w:rPr>
        <w:t>للعنف. وتقد</w:t>
      </w:r>
      <w:r w:rsidR="00A91E46" w:rsidRPr="007224A7">
        <w:rPr>
          <w:rFonts w:asciiTheme="majorBidi" w:eastAsia="Times New Roman" w:hAnsiTheme="majorBidi" w:cstheme="majorBidi" w:hint="eastAsia"/>
          <w:color w:val="000000"/>
          <w:sz w:val="26"/>
          <w:szCs w:val="26"/>
          <w:rtl/>
          <w:lang w:val="en-US" w:eastAsia="en-US"/>
        </w:rPr>
        <w:t>ر</w:t>
      </w:r>
      <w:r w:rsidRPr="007224A7">
        <w:rPr>
          <w:rFonts w:asciiTheme="majorBidi" w:eastAsia="Times New Roman" w:hAnsiTheme="majorBidi" w:cstheme="majorBidi"/>
          <w:color w:val="000000"/>
          <w:sz w:val="26"/>
          <w:szCs w:val="26"/>
          <w:rtl/>
          <w:lang w:val="en-US" w:eastAsia="en-US"/>
        </w:rPr>
        <w:t xml:space="preserve"> التكلفة الإجمالية للعنف بـ 2.85 مليار درهم. وبقسمة هذه التكلفة على العدد الإجمالي للضحايا، يبلغ متوسط التكلفة حوالي 957 درهم لكل ضحية.</w:t>
      </w:r>
    </w:p>
    <w:p w:rsidR="00131D7D" w:rsidRPr="007224A7" w:rsidRDefault="00131D7D" w:rsidP="00056852">
      <w:pPr>
        <w:bidi/>
        <w:spacing w:after="120" w:line="276" w:lineRule="auto"/>
        <w:jc w:val="both"/>
        <w:rPr>
          <w:rFonts w:asciiTheme="majorBidi" w:eastAsia="Times New Roman" w:hAnsiTheme="majorBidi" w:cstheme="majorBidi"/>
          <w:sz w:val="26"/>
          <w:szCs w:val="26"/>
          <w:rtl/>
          <w:lang w:val="en-US" w:eastAsia="en-US"/>
        </w:rPr>
      </w:pPr>
      <w:r w:rsidRPr="007224A7">
        <w:rPr>
          <w:rFonts w:asciiTheme="majorBidi" w:eastAsia="Times New Roman" w:hAnsiTheme="majorBidi" w:cstheme="majorBidi"/>
          <w:color w:val="000000"/>
          <w:sz w:val="26"/>
          <w:szCs w:val="26"/>
          <w:rtl/>
          <w:lang w:val="en-US" w:eastAsia="en-US"/>
        </w:rPr>
        <w:t> تقدر حصة الوسط الحضري من مجموع التكلفة الاقتصادية الإجمالية للعنف 72% (2.05 مليار درهم) و28% بالوسط القروي (792 مليون درهم</w:t>
      </w:r>
      <w:r w:rsidR="00700842" w:rsidRPr="007224A7">
        <w:rPr>
          <w:rFonts w:asciiTheme="majorBidi" w:eastAsia="Times New Roman" w:hAnsiTheme="majorBidi" w:cstheme="majorBidi" w:hint="cs"/>
          <w:color w:val="000000"/>
          <w:sz w:val="26"/>
          <w:szCs w:val="26"/>
          <w:rtl/>
          <w:lang w:val="en-US" w:eastAsia="en-US"/>
        </w:rPr>
        <w:t>).</w:t>
      </w:r>
      <w:r w:rsidR="00700842" w:rsidRPr="002F7842">
        <w:rPr>
          <w:rFonts w:asciiTheme="majorBidi" w:eastAsia="Times New Roman" w:hAnsiTheme="majorBidi" w:cstheme="majorBidi" w:hint="cs"/>
          <w:color w:val="000000"/>
          <w:sz w:val="26"/>
          <w:szCs w:val="26"/>
          <w:rtl/>
          <w:lang w:val="en-US" w:eastAsia="en-US"/>
        </w:rPr>
        <w:t xml:space="preserve"> كم</w:t>
      </w:r>
      <w:r w:rsidR="00700842" w:rsidRPr="002F7842">
        <w:rPr>
          <w:rFonts w:asciiTheme="majorBidi" w:eastAsia="Times New Roman" w:hAnsiTheme="majorBidi" w:cstheme="majorBidi" w:hint="eastAsia"/>
          <w:color w:val="000000"/>
          <w:sz w:val="26"/>
          <w:szCs w:val="26"/>
          <w:rtl/>
          <w:lang w:val="en-US" w:eastAsia="en-US"/>
        </w:rPr>
        <w:t>ا</w:t>
      </w:r>
      <w:r w:rsidRPr="002F7842">
        <w:rPr>
          <w:rFonts w:asciiTheme="majorBidi" w:eastAsia="Times New Roman" w:hAnsiTheme="majorBidi" w:cstheme="majorBidi"/>
          <w:color w:val="000000"/>
          <w:sz w:val="26"/>
          <w:szCs w:val="26"/>
          <w:rtl/>
          <w:lang w:val="en-US" w:eastAsia="en-US"/>
        </w:rPr>
        <w:t xml:space="preserve"> ان</w:t>
      </w:r>
      <w:r w:rsidRPr="007224A7">
        <w:rPr>
          <w:rFonts w:asciiTheme="majorBidi" w:eastAsia="Times New Roman" w:hAnsiTheme="majorBidi" w:cstheme="majorBidi"/>
          <w:color w:val="000000"/>
          <w:sz w:val="26"/>
          <w:szCs w:val="26"/>
          <w:rtl/>
          <w:lang w:val="en-US" w:eastAsia="en-US"/>
        </w:rPr>
        <w:t xml:space="preserve"> متوسط التكلفة التي تتحملها الضحايا في الوسط الحضري (1000 درهم لكل ضحية) أعلى من تلك التي تحملناها في الوسط القروي (862 درهم لكل ضحية</w:t>
      </w:r>
      <w:r w:rsidR="00700842" w:rsidRPr="007224A7">
        <w:rPr>
          <w:rFonts w:asciiTheme="majorBidi" w:eastAsia="Times New Roman" w:hAnsiTheme="majorBidi" w:cstheme="majorBidi" w:hint="cs"/>
          <w:color w:val="000000"/>
          <w:sz w:val="26"/>
          <w:szCs w:val="26"/>
          <w:rtl/>
          <w:lang w:val="en-US" w:eastAsia="en-US"/>
        </w:rPr>
        <w:t>). وتشكل</w:t>
      </w:r>
      <w:r w:rsidRPr="007224A7">
        <w:rPr>
          <w:rFonts w:asciiTheme="majorBidi" w:eastAsia="Times New Roman" w:hAnsiTheme="majorBidi" w:cstheme="majorBidi"/>
          <w:color w:val="000000"/>
          <w:sz w:val="26"/>
          <w:szCs w:val="26"/>
          <w:rtl/>
          <w:lang w:val="en-US" w:eastAsia="en-US"/>
        </w:rPr>
        <w:t xml:space="preserve"> التكاليف المباشرة الجزء الأكبر من التكلفة الاقتصادية الإجمالية بحصة 82٪ (2.33 مليار درهم) مقابل 18٪ فقط كحصة للتكاليف غير المباشرة (517 مليون درهم).</w:t>
      </w:r>
    </w:p>
    <w:p w:rsidR="00131D7D" w:rsidRPr="007224A7" w:rsidRDefault="00131D7D" w:rsidP="00056852">
      <w:pPr>
        <w:bidi/>
        <w:spacing w:after="120" w:line="276" w:lineRule="auto"/>
        <w:jc w:val="both"/>
        <w:rPr>
          <w:rFonts w:asciiTheme="majorBidi" w:eastAsia="Times New Roman" w:hAnsiTheme="majorBidi" w:cstheme="majorBidi"/>
          <w:sz w:val="26"/>
          <w:szCs w:val="26"/>
          <w:rtl/>
          <w:lang w:val="en-US" w:eastAsia="en-US"/>
        </w:rPr>
      </w:pPr>
      <w:r w:rsidRPr="007224A7">
        <w:rPr>
          <w:rFonts w:asciiTheme="majorBidi" w:eastAsia="Times New Roman" w:hAnsiTheme="majorBidi" w:cstheme="majorBidi"/>
          <w:color w:val="000000"/>
          <w:sz w:val="26"/>
          <w:szCs w:val="26"/>
          <w:rtl/>
          <w:lang w:val="en-US" w:eastAsia="en-US"/>
        </w:rPr>
        <w:t xml:space="preserve">ويحتكر </w:t>
      </w:r>
      <w:r w:rsidRPr="002F7842">
        <w:rPr>
          <w:rFonts w:asciiTheme="majorBidi" w:eastAsia="Times New Roman" w:hAnsiTheme="majorBidi" w:cstheme="majorBidi"/>
          <w:color w:val="000000"/>
          <w:sz w:val="26"/>
          <w:szCs w:val="26"/>
          <w:rtl/>
          <w:lang w:val="en-US" w:eastAsia="en-US"/>
        </w:rPr>
        <w:t>الفضاء الزوجي</w:t>
      </w:r>
      <w:r w:rsidR="007224A7" w:rsidRPr="002F7842">
        <w:rPr>
          <w:rFonts w:asciiTheme="majorBidi" w:eastAsia="Times New Roman" w:hAnsiTheme="majorBidi" w:cstheme="majorBidi" w:hint="cs"/>
          <w:color w:val="000000"/>
          <w:sz w:val="26"/>
          <w:szCs w:val="26"/>
          <w:rtl/>
          <w:lang w:val="en-US" w:eastAsia="en-US"/>
        </w:rPr>
        <w:t xml:space="preserve"> </w:t>
      </w:r>
      <w:r w:rsidRPr="007224A7">
        <w:rPr>
          <w:rFonts w:asciiTheme="majorBidi" w:eastAsia="Times New Roman" w:hAnsiTheme="majorBidi" w:cstheme="majorBidi"/>
          <w:color w:val="000000"/>
          <w:sz w:val="26"/>
          <w:szCs w:val="26"/>
          <w:rtl/>
          <w:lang w:val="en-US" w:eastAsia="en-US"/>
        </w:rPr>
        <w:t>لوحده أكثر من ثلثي التكلفة الاقتصادية الإجمالية للعنف بحصة 70% (تكلفة إجمالية تقدر بـ 1.98 مليار درهم) يليه فضاء الأماكن العمومية بحصة 16% (448 مليون درهم) ثم الوسط العائلي بحصة 13% (366 مليون درهم).</w:t>
      </w:r>
    </w:p>
    <w:p w:rsidR="00131D7D" w:rsidRDefault="00131D7D" w:rsidP="00056852">
      <w:pPr>
        <w:bidi/>
        <w:spacing w:after="120" w:line="276" w:lineRule="auto"/>
        <w:jc w:val="both"/>
        <w:rPr>
          <w:rFonts w:asciiTheme="majorBidi" w:eastAsia="Times New Roman" w:hAnsiTheme="majorBidi" w:cstheme="majorBidi"/>
          <w:color w:val="000000"/>
          <w:sz w:val="26"/>
          <w:szCs w:val="26"/>
          <w:rtl/>
          <w:lang w:val="en-US" w:eastAsia="en-US"/>
        </w:rPr>
      </w:pPr>
      <w:r w:rsidRPr="007224A7">
        <w:rPr>
          <w:rFonts w:asciiTheme="majorBidi" w:eastAsia="Times New Roman" w:hAnsiTheme="majorBidi" w:cstheme="majorBidi"/>
          <w:color w:val="000000"/>
          <w:sz w:val="26"/>
          <w:szCs w:val="26"/>
          <w:rtl/>
          <w:lang w:val="en-US" w:eastAsia="en-US"/>
        </w:rPr>
        <w:t>فيما يتعلق بشكل العنف، فإن 85 % من التكلفة الاقتصادية الإجمالية للعنف تعود للعنف الجسدي (2.4 مليار درهم) و15.3٪ (436 مليون درهم) للعنف الجنسي.</w:t>
      </w:r>
    </w:p>
    <w:p w:rsidR="000512E6" w:rsidRDefault="00166542" w:rsidP="00166542">
      <w:pPr>
        <w:bidi/>
        <w:spacing w:after="120" w:line="276" w:lineRule="auto"/>
        <w:jc w:val="center"/>
        <w:rPr>
          <w:rFonts w:asciiTheme="majorBidi" w:eastAsia="Times New Roman" w:hAnsiTheme="majorBidi" w:cstheme="majorBidi"/>
          <w:b/>
          <w:bCs/>
          <w:sz w:val="26"/>
          <w:szCs w:val="26"/>
        </w:rPr>
      </w:pPr>
      <w:r>
        <w:rPr>
          <w:rFonts w:asciiTheme="majorBidi" w:eastAsia="Times New Roman" w:hAnsiTheme="majorBidi" w:cstheme="majorBidi"/>
          <w:b/>
          <w:bCs/>
          <w:sz w:val="26"/>
          <w:szCs w:val="26"/>
        </w:rPr>
        <w:t xml:space="preserve">                               </w:t>
      </w:r>
    </w:p>
    <w:p w:rsidR="00E30AB6" w:rsidRPr="007224A7" w:rsidRDefault="00E30AB6" w:rsidP="000512E6">
      <w:pPr>
        <w:bidi/>
        <w:spacing w:after="120" w:line="276" w:lineRule="auto"/>
        <w:jc w:val="both"/>
        <w:rPr>
          <w:rFonts w:asciiTheme="majorBidi" w:eastAsia="Times New Roman" w:hAnsiTheme="majorBidi" w:cstheme="majorBidi"/>
          <w:b/>
          <w:bCs/>
          <w:sz w:val="26"/>
          <w:szCs w:val="26"/>
        </w:rPr>
      </w:pPr>
      <w:r w:rsidRPr="007224A7">
        <w:rPr>
          <w:rFonts w:asciiTheme="majorBidi" w:eastAsia="Times New Roman" w:hAnsiTheme="majorBidi" w:cstheme="majorBidi"/>
          <w:b/>
          <w:bCs/>
          <w:sz w:val="26"/>
          <w:szCs w:val="26"/>
          <w:rtl/>
        </w:rPr>
        <w:t xml:space="preserve">المبيان </w:t>
      </w:r>
      <w:r w:rsidR="00301621" w:rsidRPr="007224A7">
        <w:rPr>
          <w:rFonts w:asciiTheme="majorBidi" w:eastAsia="Times New Roman" w:hAnsiTheme="majorBidi" w:cstheme="majorBidi"/>
          <w:b/>
          <w:bCs/>
          <w:sz w:val="26"/>
          <w:szCs w:val="26"/>
          <w:rtl/>
        </w:rPr>
        <w:t>1</w:t>
      </w:r>
      <w:r w:rsidRPr="007224A7">
        <w:rPr>
          <w:rFonts w:asciiTheme="majorBidi" w:eastAsia="Times New Roman" w:hAnsiTheme="majorBidi" w:cstheme="majorBidi"/>
          <w:b/>
          <w:bCs/>
          <w:sz w:val="26"/>
          <w:szCs w:val="26"/>
          <w:rtl/>
        </w:rPr>
        <w:t>: بنية التكلفة الإجمالية للعنف ضد المرأة حسب نوع التكلفة ووسط الإقامة وأشكال العنف ومجالات العنف (ب</w:t>
      </w:r>
      <w:r w:rsidR="00627C31" w:rsidRPr="007224A7">
        <w:rPr>
          <w:rFonts w:asciiTheme="majorBidi" w:eastAsia="Times New Roman" w:hAnsiTheme="majorBidi" w:cstheme="majorBidi"/>
          <w:b/>
          <w:bCs/>
          <w:sz w:val="26"/>
          <w:szCs w:val="26"/>
          <w:rtl/>
        </w:rPr>
        <w:t>%</w:t>
      </w:r>
      <w:r w:rsidRPr="007224A7">
        <w:rPr>
          <w:rFonts w:asciiTheme="majorBidi" w:eastAsia="Times New Roman" w:hAnsiTheme="majorBidi" w:cstheme="majorBidi"/>
          <w:b/>
          <w:bCs/>
          <w:sz w:val="26"/>
          <w:szCs w:val="26"/>
          <w:rtl/>
        </w:rPr>
        <w:t>)</w:t>
      </w:r>
    </w:p>
    <w:p w:rsidR="00F56F37" w:rsidRPr="00DD680E" w:rsidRDefault="00F56F37" w:rsidP="00056852">
      <w:pPr>
        <w:bidi/>
        <w:spacing w:after="120" w:line="276" w:lineRule="auto"/>
        <w:jc w:val="both"/>
        <w:rPr>
          <w:rFonts w:asciiTheme="majorBidi" w:eastAsia="Times New Roman" w:hAnsiTheme="majorBidi" w:cstheme="majorBidi"/>
          <w:b/>
          <w:bCs/>
          <w:sz w:val="28"/>
          <w:szCs w:val="28"/>
        </w:rPr>
      </w:pPr>
      <w:r w:rsidRPr="00DD680E">
        <w:rPr>
          <w:rFonts w:asciiTheme="majorBidi" w:hAnsiTheme="majorBidi" w:cstheme="majorBidi"/>
          <w:noProof/>
          <w:sz w:val="28"/>
          <w:szCs w:val="28"/>
        </w:rPr>
        <w:drawing>
          <wp:inline distT="0" distB="0" distL="0" distR="0">
            <wp:extent cx="2543175" cy="2380111"/>
            <wp:effectExtent l="19050" t="0" r="9525" b="1139"/>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DD680E">
        <w:rPr>
          <w:rFonts w:asciiTheme="majorBidi" w:hAnsiTheme="majorBidi" w:cstheme="majorBidi"/>
          <w:noProof/>
          <w:sz w:val="28"/>
          <w:szCs w:val="28"/>
        </w:rPr>
        <w:drawing>
          <wp:inline distT="0" distB="0" distL="0" distR="0">
            <wp:extent cx="2659380" cy="2396359"/>
            <wp:effectExtent l="19050" t="0" r="26670" b="3941"/>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56F37" w:rsidRPr="00DD680E" w:rsidRDefault="00F56F37" w:rsidP="00056852">
      <w:pPr>
        <w:bidi/>
        <w:spacing w:after="120" w:line="276" w:lineRule="auto"/>
        <w:jc w:val="both"/>
        <w:rPr>
          <w:rFonts w:asciiTheme="majorBidi" w:eastAsia="Times New Roman" w:hAnsiTheme="majorBidi" w:cstheme="majorBidi"/>
          <w:b/>
          <w:bCs/>
          <w:sz w:val="28"/>
          <w:szCs w:val="28"/>
        </w:rPr>
      </w:pPr>
      <w:r w:rsidRPr="00DD680E">
        <w:rPr>
          <w:rFonts w:asciiTheme="majorBidi" w:hAnsiTheme="majorBidi" w:cstheme="majorBidi"/>
          <w:noProof/>
          <w:sz w:val="28"/>
          <w:szCs w:val="28"/>
        </w:rPr>
        <w:lastRenderedPageBreak/>
        <w:drawing>
          <wp:inline distT="0" distB="0" distL="0" distR="0">
            <wp:extent cx="2553970" cy="2427889"/>
            <wp:effectExtent l="19050" t="0" r="1778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DD680E">
        <w:rPr>
          <w:rFonts w:asciiTheme="majorBidi" w:hAnsiTheme="majorBidi" w:cstheme="majorBidi"/>
          <w:noProof/>
          <w:sz w:val="28"/>
          <w:szCs w:val="28"/>
        </w:rPr>
        <w:drawing>
          <wp:inline distT="0" distB="0" distL="0" distR="0">
            <wp:extent cx="2733675" cy="2459421"/>
            <wp:effectExtent l="1905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70E83" w:rsidRPr="007224A7" w:rsidRDefault="0091658B" w:rsidP="00056852">
      <w:pPr>
        <w:bidi/>
        <w:spacing w:line="276" w:lineRule="auto"/>
        <w:jc w:val="both"/>
        <w:rPr>
          <w:rFonts w:asciiTheme="majorBidi" w:eastAsia="Times New Roman" w:hAnsiTheme="majorBidi" w:cstheme="majorBidi"/>
          <w:bCs/>
          <w:sz w:val="22"/>
          <w:szCs w:val="22"/>
        </w:rPr>
      </w:pPr>
      <w:r w:rsidRPr="007224A7">
        <w:rPr>
          <w:rFonts w:asciiTheme="majorBidi" w:eastAsia="Times New Roman" w:hAnsiTheme="majorBidi" w:cstheme="majorBidi"/>
          <w:bCs/>
          <w:sz w:val="22"/>
          <w:szCs w:val="22"/>
          <w:rtl/>
        </w:rPr>
        <w:t>المصدر:</w:t>
      </w:r>
      <w:r w:rsidR="00DA5A48" w:rsidRPr="007224A7">
        <w:rPr>
          <w:rFonts w:asciiTheme="majorBidi" w:eastAsia="Times New Roman" w:hAnsiTheme="majorBidi" w:cstheme="majorBidi"/>
          <w:bCs/>
          <w:sz w:val="22"/>
          <w:szCs w:val="22"/>
          <w:rtl/>
        </w:rPr>
        <w:t xml:space="preserve"> المندوبية السامية </w:t>
      </w:r>
      <w:r w:rsidRPr="007224A7">
        <w:rPr>
          <w:rFonts w:asciiTheme="majorBidi" w:eastAsia="Times New Roman" w:hAnsiTheme="majorBidi" w:cstheme="majorBidi"/>
          <w:bCs/>
          <w:sz w:val="22"/>
          <w:szCs w:val="22"/>
          <w:rtl/>
        </w:rPr>
        <w:t>للتخطيط، البحث</w:t>
      </w:r>
      <w:r w:rsidR="00DA5A48" w:rsidRPr="007224A7">
        <w:rPr>
          <w:rFonts w:asciiTheme="majorBidi" w:eastAsia="Times New Roman" w:hAnsiTheme="majorBidi" w:cstheme="majorBidi"/>
          <w:bCs/>
          <w:sz w:val="22"/>
          <w:szCs w:val="22"/>
          <w:rtl/>
        </w:rPr>
        <w:t xml:space="preserve"> الوطني حول العنف ضد النساء </w:t>
      </w:r>
      <w:r w:rsidRPr="007224A7">
        <w:rPr>
          <w:rFonts w:asciiTheme="majorBidi" w:eastAsia="Times New Roman" w:hAnsiTheme="majorBidi" w:cstheme="majorBidi"/>
          <w:bCs/>
          <w:sz w:val="22"/>
          <w:szCs w:val="22"/>
          <w:rtl/>
        </w:rPr>
        <w:t>والرجال</w:t>
      </w:r>
      <w:r w:rsidR="007224A7">
        <w:rPr>
          <w:rFonts w:asciiTheme="majorBidi" w:eastAsia="Times New Roman" w:hAnsiTheme="majorBidi" w:cstheme="majorBidi" w:hint="cs"/>
          <w:bCs/>
          <w:sz w:val="22"/>
          <w:szCs w:val="22"/>
          <w:rtl/>
        </w:rPr>
        <w:t xml:space="preserve"> </w:t>
      </w:r>
      <w:r w:rsidRPr="007224A7">
        <w:rPr>
          <w:rFonts w:asciiTheme="majorBidi" w:eastAsia="Times New Roman" w:hAnsiTheme="majorBidi" w:cstheme="majorBidi"/>
          <w:bCs/>
          <w:sz w:val="22"/>
          <w:szCs w:val="22"/>
          <w:rtl/>
        </w:rPr>
        <w:t>2019</w:t>
      </w:r>
      <w:r w:rsidR="007224A7">
        <w:rPr>
          <w:rFonts w:asciiTheme="majorBidi" w:eastAsia="Times New Roman" w:hAnsiTheme="majorBidi" w:cstheme="majorBidi"/>
          <w:bCs/>
          <w:sz w:val="22"/>
          <w:szCs w:val="22"/>
        </w:rPr>
        <w:t xml:space="preserve">  </w:t>
      </w:r>
      <w:r w:rsidRPr="007224A7">
        <w:rPr>
          <w:rFonts w:asciiTheme="majorBidi" w:eastAsia="Times New Roman" w:hAnsiTheme="majorBidi" w:cstheme="majorBidi"/>
          <w:bCs/>
          <w:sz w:val="22"/>
          <w:szCs w:val="22"/>
          <w:rtl/>
        </w:rPr>
        <w:t xml:space="preserve"> </w:t>
      </w:r>
    </w:p>
    <w:p w:rsidR="000512E6" w:rsidRDefault="000512E6" w:rsidP="000512E6">
      <w:pPr>
        <w:bidi/>
        <w:spacing w:line="276" w:lineRule="auto"/>
        <w:jc w:val="both"/>
        <w:rPr>
          <w:rFonts w:asciiTheme="majorBidi" w:hAnsiTheme="majorBidi" w:cstheme="majorBidi"/>
          <w:bCs/>
          <w:sz w:val="26"/>
          <w:szCs w:val="26"/>
        </w:rPr>
      </w:pPr>
    </w:p>
    <w:p w:rsidR="00F8244A" w:rsidRPr="007224A7" w:rsidRDefault="00600BDA" w:rsidP="000512E6">
      <w:pPr>
        <w:bidi/>
        <w:spacing w:line="276" w:lineRule="auto"/>
        <w:jc w:val="both"/>
        <w:rPr>
          <w:rFonts w:asciiTheme="majorBidi" w:hAnsiTheme="majorBidi" w:cstheme="majorBidi"/>
          <w:bCs/>
          <w:sz w:val="26"/>
          <w:szCs w:val="26"/>
          <w:rtl/>
        </w:rPr>
      </w:pPr>
      <w:r w:rsidRPr="007224A7">
        <w:rPr>
          <w:rFonts w:asciiTheme="majorBidi" w:hAnsiTheme="majorBidi" w:cstheme="majorBidi"/>
          <w:bCs/>
          <w:sz w:val="26"/>
          <w:szCs w:val="26"/>
          <w:rtl/>
        </w:rPr>
        <w:t xml:space="preserve">الجدول 1: نسبة النساء المعنفات اللواتي تحملن </w:t>
      </w:r>
      <w:r w:rsidR="0091658B" w:rsidRPr="007224A7">
        <w:rPr>
          <w:rFonts w:asciiTheme="majorBidi" w:hAnsiTheme="majorBidi" w:cstheme="majorBidi"/>
          <w:bCs/>
          <w:sz w:val="26"/>
          <w:szCs w:val="26"/>
          <w:rtl/>
        </w:rPr>
        <w:t>تكاليف العنف</w:t>
      </w:r>
      <w:r w:rsidR="007224A7" w:rsidRPr="007224A7">
        <w:rPr>
          <w:rFonts w:asciiTheme="majorBidi" w:hAnsiTheme="majorBidi" w:cstheme="majorBidi" w:hint="cs"/>
          <w:bCs/>
          <w:sz w:val="26"/>
          <w:szCs w:val="26"/>
          <w:rtl/>
        </w:rPr>
        <w:t xml:space="preserve"> </w:t>
      </w:r>
      <w:r w:rsidR="0091658B" w:rsidRPr="007224A7">
        <w:rPr>
          <w:rFonts w:asciiTheme="majorBidi" w:hAnsiTheme="majorBidi" w:cstheme="majorBidi"/>
          <w:bCs/>
          <w:sz w:val="26"/>
          <w:szCs w:val="26"/>
          <w:rtl/>
        </w:rPr>
        <w:t>و</w:t>
      </w:r>
      <w:r w:rsidR="007224A7" w:rsidRPr="007224A7">
        <w:rPr>
          <w:rFonts w:asciiTheme="majorBidi" w:hAnsiTheme="majorBidi" w:cstheme="majorBidi" w:hint="cs"/>
          <w:bCs/>
          <w:sz w:val="26"/>
          <w:szCs w:val="26"/>
          <w:rtl/>
        </w:rPr>
        <w:t xml:space="preserve">توزيع </w:t>
      </w:r>
      <w:r w:rsidR="0091658B" w:rsidRPr="007224A7">
        <w:rPr>
          <w:rFonts w:asciiTheme="majorBidi" w:hAnsiTheme="majorBidi" w:cstheme="majorBidi"/>
          <w:bCs/>
          <w:sz w:val="26"/>
          <w:szCs w:val="26"/>
          <w:rtl/>
        </w:rPr>
        <w:t>التكلفة</w:t>
      </w:r>
      <w:r w:rsidRPr="007224A7">
        <w:rPr>
          <w:rFonts w:asciiTheme="majorBidi" w:hAnsiTheme="majorBidi" w:cstheme="majorBidi"/>
          <w:bCs/>
          <w:sz w:val="26"/>
          <w:szCs w:val="26"/>
          <w:rtl/>
        </w:rPr>
        <w:t xml:space="preserve"> الإجمالية للعنف حسب مجال </w:t>
      </w:r>
      <w:r w:rsidR="00A91E46" w:rsidRPr="007224A7">
        <w:rPr>
          <w:rFonts w:asciiTheme="majorBidi" w:hAnsiTheme="majorBidi" w:cstheme="majorBidi" w:hint="cs"/>
          <w:bCs/>
          <w:sz w:val="26"/>
          <w:szCs w:val="26"/>
          <w:rtl/>
        </w:rPr>
        <w:t>حدوثه وشكله</w:t>
      </w:r>
      <w:r w:rsidR="0091658B" w:rsidRPr="007224A7">
        <w:rPr>
          <w:rFonts w:asciiTheme="majorBidi" w:hAnsiTheme="majorBidi" w:cstheme="majorBidi"/>
          <w:bCs/>
          <w:sz w:val="26"/>
          <w:szCs w:val="26"/>
          <w:rtl/>
        </w:rPr>
        <w:t>،</w:t>
      </w:r>
      <w:r w:rsidRPr="007224A7">
        <w:rPr>
          <w:rFonts w:asciiTheme="majorBidi" w:hAnsiTheme="majorBidi" w:cstheme="majorBidi"/>
          <w:bCs/>
          <w:sz w:val="26"/>
          <w:szCs w:val="26"/>
          <w:rtl/>
        </w:rPr>
        <w:t xml:space="preserve"> ونوع </w:t>
      </w:r>
      <w:r w:rsidR="0091658B" w:rsidRPr="007224A7">
        <w:rPr>
          <w:rFonts w:asciiTheme="majorBidi" w:hAnsiTheme="majorBidi" w:cstheme="majorBidi"/>
          <w:bCs/>
          <w:sz w:val="26"/>
          <w:szCs w:val="26"/>
          <w:rtl/>
        </w:rPr>
        <w:t>التكلفة،</w:t>
      </w:r>
      <w:r w:rsidRPr="007224A7">
        <w:rPr>
          <w:rFonts w:asciiTheme="majorBidi" w:hAnsiTheme="majorBidi" w:cstheme="majorBidi"/>
          <w:bCs/>
          <w:sz w:val="26"/>
          <w:szCs w:val="26"/>
          <w:rtl/>
        </w:rPr>
        <w:t xml:space="preserve"> ومكان الإقامة</w:t>
      </w:r>
    </w:p>
    <w:tbl>
      <w:tblPr>
        <w:tblpPr w:leftFromText="141" w:rightFromText="141" w:vertAnchor="text" w:horzAnchor="margin" w:tblpXSpec="center" w:tblpY="119"/>
        <w:bidiVisual/>
        <w:tblW w:w="8079" w:type="dxa"/>
        <w:tblCellMar>
          <w:left w:w="70" w:type="dxa"/>
          <w:right w:w="70" w:type="dxa"/>
        </w:tblCellMar>
        <w:tblLook w:val="04A0"/>
      </w:tblPr>
      <w:tblGrid>
        <w:gridCol w:w="1558"/>
        <w:gridCol w:w="1843"/>
        <w:gridCol w:w="1559"/>
        <w:gridCol w:w="1276"/>
        <w:gridCol w:w="1843"/>
      </w:tblGrid>
      <w:tr w:rsidR="00F8244A" w:rsidRPr="007224A7" w:rsidTr="001510EE">
        <w:trPr>
          <w:trHeight w:val="1393"/>
        </w:trPr>
        <w:tc>
          <w:tcPr>
            <w:tcW w:w="34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p>
        </w:tc>
        <w:tc>
          <w:tcPr>
            <w:tcW w:w="1559" w:type="dxa"/>
            <w:tcBorders>
              <w:top w:val="single" w:sz="8" w:space="0" w:color="000000"/>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نسبة النساء اللواتي تحملن تكاليف من بين النساء المعنفات (ب</w:t>
            </w:r>
            <w:r w:rsidR="00627C31" w:rsidRPr="007224A7">
              <w:rPr>
                <w:rFonts w:asciiTheme="majorBidi" w:eastAsia="Times New Roman" w:hAnsiTheme="majorBidi" w:cstheme="majorBidi"/>
                <w:b/>
                <w:bCs/>
                <w:color w:val="000000"/>
                <w:sz w:val="26"/>
                <w:szCs w:val="26"/>
                <w:rtl/>
              </w:rPr>
              <w:t>%</w:t>
            </w:r>
            <w:r w:rsidRPr="007224A7">
              <w:rPr>
                <w:rFonts w:asciiTheme="majorBidi" w:eastAsia="Times New Roman" w:hAnsiTheme="majorBidi" w:cstheme="majorBidi"/>
                <w:b/>
                <w:bCs/>
                <w:color w:val="000000"/>
                <w:sz w:val="26"/>
                <w:szCs w:val="26"/>
                <w:rtl/>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التكلفة الإجمالية (بمليون درهم)</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 xml:space="preserve">النسبة ضمن </w:t>
            </w:r>
            <w:r w:rsidR="00A91E46" w:rsidRPr="007224A7">
              <w:rPr>
                <w:rFonts w:asciiTheme="majorBidi" w:eastAsia="Times New Roman" w:hAnsiTheme="majorBidi" w:cstheme="majorBidi" w:hint="cs"/>
                <w:b/>
                <w:bCs/>
                <w:color w:val="000000"/>
                <w:sz w:val="26"/>
                <w:szCs w:val="26"/>
                <w:rtl/>
              </w:rPr>
              <w:t>التكلفة</w:t>
            </w:r>
            <w:r w:rsidRPr="007224A7">
              <w:rPr>
                <w:rFonts w:asciiTheme="majorBidi" w:eastAsia="Times New Roman" w:hAnsiTheme="majorBidi" w:cstheme="majorBidi"/>
                <w:b/>
                <w:bCs/>
                <w:color w:val="000000"/>
                <w:sz w:val="26"/>
                <w:szCs w:val="26"/>
                <w:rtl/>
              </w:rPr>
              <w:t xml:space="preserve"> </w:t>
            </w:r>
            <w:r w:rsidR="0091658B" w:rsidRPr="007224A7">
              <w:rPr>
                <w:rFonts w:asciiTheme="majorBidi" w:eastAsia="Times New Roman" w:hAnsiTheme="majorBidi" w:cstheme="majorBidi"/>
                <w:b/>
                <w:bCs/>
                <w:color w:val="000000"/>
                <w:sz w:val="26"/>
                <w:szCs w:val="26"/>
                <w:rtl/>
              </w:rPr>
              <w:t>الإجمالية (</w:t>
            </w:r>
            <w:r w:rsidRPr="007224A7">
              <w:rPr>
                <w:rFonts w:asciiTheme="majorBidi" w:eastAsia="Times New Roman" w:hAnsiTheme="majorBidi" w:cstheme="majorBidi"/>
                <w:b/>
                <w:bCs/>
                <w:color w:val="000000"/>
                <w:sz w:val="26"/>
                <w:szCs w:val="26"/>
                <w:rtl/>
              </w:rPr>
              <w:t>ب</w:t>
            </w:r>
            <w:r w:rsidR="00627C31" w:rsidRPr="007224A7">
              <w:rPr>
                <w:rFonts w:asciiTheme="majorBidi" w:eastAsia="Times New Roman" w:hAnsiTheme="majorBidi" w:cstheme="majorBidi"/>
                <w:b/>
                <w:bCs/>
                <w:color w:val="000000"/>
                <w:sz w:val="26"/>
                <w:szCs w:val="26"/>
                <w:rtl/>
              </w:rPr>
              <w:t>%</w:t>
            </w:r>
            <w:r w:rsidRPr="007224A7">
              <w:rPr>
                <w:rFonts w:asciiTheme="majorBidi" w:eastAsia="Times New Roman" w:hAnsiTheme="majorBidi" w:cstheme="majorBidi"/>
                <w:b/>
                <w:bCs/>
                <w:color w:val="000000"/>
                <w:sz w:val="26"/>
                <w:szCs w:val="26"/>
                <w:rtl/>
              </w:rPr>
              <w:t>)</w:t>
            </w:r>
          </w:p>
        </w:tc>
      </w:tr>
      <w:tr w:rsidR="00F8244A" w:rsidRPr="007224A7" w:rsidTr="001510EE">
        <w:trPr>
          <w:trHeight w:val="615"/>
        </w:trPr>
        <w:tc>
          <w:tcPr>
            <w:tcW w:w="15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مجالات العنف</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370E83"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الفضاء</w:t>
            </w:r>
            <w:r w:rsidR="00F8244A" w:rsidRPr="007224A7">
              <w:rPr>
                <w:rFonts w:asciiTheme="majorBidi" w:eastAsia="Times New Roman" w:hAnsiTheme="majorBidi" w:cstheme="majorBidi"/>
                <w:b/>
                <w:bCs/>
                <w:color w:val="000000"/>
                <w:sz w:val="26"/>
                <w:szCs w:val="26"/>
                <w:rtl/>
              </w:rPr>
              <w:t xml:space="preserve"> الزوجي</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24,2</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1 980</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69,6</w:t>
            </w:r>
          </w:p>
        </w:tc>
      </w:tr>
      <w:tr w:rsidR="00F8244A" w:rsidRPr="007224A7" w:rsidTr="001510EE">
        <w:trPr>
          <w:trHeight w:val="330"/>
        </w:trPr>
        <w:tc>
          <w:tcPr>
            <w:tcW w:w="1558" w:type="dxa"/>
            <w:vMerge/>
            <w:tcBorders>
              <w:top w:val="nil"/>
              <w:left w:val="single" w:sz="8" w:space="0" w:color="000000"/>
              <w:bottom w:val="single" w:sz="8" w:space="0" w:color="000000"/>
              <w:right w:val="single" w:sz="8" w:space="0" w:color="000000"/>
            </w:tcBorders>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A91E46"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hint="cs"/>
                <w:b/>
                <w:bCs/>
                <w:color w:val="000000"/>
                <w:sz w:val="26"/>
                <w:szCs w:val="26"/>
                <w:rtl/>
              </w:rPr>
              <w:t>الفضاء العائل</w:t>
            </w:r>
            <w:r w:rsidRPr="007224A7">
              <w:rPr>
                <w:rFonts w:asciiTheme="majorBidi" w:eastAsia="Times New Roman" w:hAnsiTheme="majorBidi" w:cstheme="majorBidi" w:hint="eastAsia"/>
                <w:b/>
                <w:bCs/>
                <w:color w:val="000000"/>
                <w:sz w:val="26"/>
                <w:szCs w:val="26"/>
                <w:rtl/>
              </w:rPr>
              <w:t>ي</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24,4</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366</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12,9</w:t>
            </w:r>
          </w:p>
        </w:tc>
      </w:tr>
      <w:tr w:rsidR="00F8244A" w:rsidRPr="007224A7" w:rsidTr="001510EE">
        <w:trPr>
          <w:trHeight w:val="330"/>
        </w:trPr>
        <w:tc>
          <w:tcPr>
            <w:tcW w:w="1558" w:type="dxa"/>
            <w:vMerge/>
            <w:tcBorders>
              <w:top w:val="nil"/>
              <w:left w:val="single" w:sz="8" w:space="0" w:color="000000"/>
              <w:bottom w:val="single" w:sz="8" w:space="0" w:color="000000"/>
              <w:right w:val="single" w:sz="8" w:space="0" w:color="000000"/>
            </w:tcBorders>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مكان العمل</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21,9</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48</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1,7</w:t>
            </w:r>
          </w:p>
        </w:tc>
      </w:tr>
      <w:tr w:rsidR="00F8244A" w:rsidRPr="007224A7" w:rsidTr="001510EE">
        <w:trPr>
          <w:trHeight w:val="330"/>
        </w:trPr>
        <w:tc>
          <w:tcPr>
            <w:tcW w:w="1558" w:type="dxa"/>
            <w:vMerge/>
            <w:tcBorders>
              <w:top w:val="nil"/>
              <w:left w:val="single" w:sz="8" w:space="0" w:color="000000"/>
              <w:bottom w:val="single" w:sz="8" w:space="0" w:color="000000"/>
              <w:right w:val="single" w:sz="8" w:space="0" w:color="000000"/>
            </w:tcBorders>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مكان الدراسة</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6,5</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4</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0,1</w:t>
            </w:r>
          </w:p>
        </w:tc>
      </w:tr>
      <w:tr w:rsidR="00F8244A" w:rsidRPr="007224A7" w:rsidTr="001510EE">
        <w:trPr>
          <w:trHeight w:val="330"/>
        </w:trPr>
        <w:tc>
          <w:tcPr>
            <w:tcW w:w="1558" w:type="dxa"/>
            <w:vMerge/>
            <w:tcBorders>
              <w:top w:val="nil"/>
              <w:left w:val="single" w:sz="8" w:space="0" w:color="000000"/>
              <w:bottom w:val="single" w:sz="8" w:space="0" w:color="000000"/>
              <w:right w:val="single" w:sz="8" w:space="0" w:color="000000"/>
            </w:tcBorders>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مكان عمومي</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16,2</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448</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15,7</w:t>
            </w:r>
          </w:p>
        </w:tc>
      </w:tr>
      <w:tr w:rsidR="00F8244A" w:rsidRPr="007224A7" w:rsidTr="001510EE">
        <w:trPr>
          <w:trHeight w:val="330"/>
        </w:trPr>
        <w:tc>
          <w:tcPr>
            <w:tcW w:w="15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أشكال العنف</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الجسدي</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34,8</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2 409</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84,7</w:t>
            </w:r>
          </w:p>
        </w:tc>
      </w:tr>
      <w:tr w:rsidR="00F8244A" w:rsidRPr="007224A7" w:rsidTr="001510EE">
        <w:trPr>
          <w:trHeight w:val="330"/>
        </w:trPr>
        <w:tc>
          <w:tcPr>
            <w:tcW w:w="1558" w:type="dxa"/>
            <w:vMerge/>
            <w:tcBorders>
              <w:top w:val="nil"/>
              <w:left w:val="single" w:sz="8" w:space="0" w:color="000000"/>
              <w:bottom w:val="single" w:sz="8" w:space="0" w:color="000000"/>
              <w:right w:val="single" w:sz="8" w:space="0" w:color="000000"/>
            </w:tcBorders>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الجنسي</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6,1</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436</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15,3</w:t>
            </w:r>
          </w:p>
        </w:tc>
      </w:tr>
      <w:tr w:rsidR="00F8244A" w:rsidRPr="007224A7" w:rsidTr="001510EE">
        <w:trPr>
          <w:trHeight w:val="330"/>
        </w:trPr>
        <w:tc>
          <w:tcPr>
            <w:tcW w:w="15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نوع التكلفة</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تكلفة مباشرة</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20,3</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2 328</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81,8</w:t>
            </w:r>
          </w:p>
        </w:tc>
      </w:tr>
      <w:tr w:rsidR="00F8244A" w:rsidRPr="007224A7" w:rsidTr="001510EE">
        <w:trPr>
          <w:trHeight w:val="615"/>
        </w:trPr>
        <w:tc>
          <w:tcPr>
            <w:tcW w:w="1558" w:type="dxa"/>
            <w:vMerge/>
            <w:tcBorders>
              <w:top w:val="nil"/>
              <w:left w:val="single" w:sz="8" w:space="0" w:color="000000"/>
              <w:bottom w:val="single" w:sz="8" w:space="0" w:color="000000"/>
              <w:right w:val="single" w:sz="8" w:space="0" w:color="000000"/>
            </w:tcBorders>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تكلفة غير مباشرة</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8,2</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517</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18,2</w:t>
            </w:r>
          </w:p>
        </w:tc>
      </w:tr>
      <w:tr w:rsidR="00F8244A" w:rsidRPr="007224A7" w:rsidTr="001510EE">
        <w:trPr>
          <w:trHeight w:val="570"/>
        </w:trPr>
        <w:tc>
          <w:tcPr>
            <w:tcW w:w="15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وسط الإقامة</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حضري</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24</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2 053</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72,2</w:t>
            </w:r>
          </w:p>
        </w:tc>
      </w:tr>
      <w:tr w:rsidR="00F8244A" w:rsidRPr="007224A7" w:rsidTr="001510EE">
        <w:trPr>
          <w:trHeight w:val="330"/>
        </w:trPr>
        <w:tc>
          <w:tcPr>
            <w:tcW w:w="1558" w:type="dxa"/>
            <w:vMerge/>
            <w:tcBorders>
              <w:top w:val="nil"/>
              <w:left w:val="single" w:sz="8" w:space="0" w:color="000000"/>
              <w:bottom w:val="single" w:sz="8" w:space="0" w:color="000000"/>
              <w:right w:val="single" w:sz="8" w:space="0" w:color="000000"/>
            </w:tcBorders>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قروي</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20,1</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792</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27,8</w:t>
            </w:r>
          </w:p>
        </w:tc>
      </w:tr>
      <w:tr w:rsidR="00F8244A" w:rsidRPr="007224A7" w:rsidTr="001510EE">
        <w:trPr>
          <w:trHeight w:val="330"/>
        </w:trPr>
        <w:tc>
          <w:tcPr>
            <w:tcW w:w="34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lang w:val="fr-MA"/>
              </w:rPr>
              <w:t>المجموع</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22,8</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2 845</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100</w:t>
            </w:r>
          </w:p>
        </w:tc>
      </w:tr>
    </w:tbl>
    <w:p w:rsidR="002A235F" w:rsidRPr="00CB7511" w:rsidRDefault="00370E83" w:rsidP="00056852">
      <w:pPr>
        <w:bidi/>
        <w:spacing w:line="276" w:lineRule="auto"/>
        <w:jc w:val="both"/>
        <w:rPr>
          <w:rFonts w:asciiTheme="majorBidi" w:eastAsia="Times New Roman" w:hAnsiTheme="majorBidi" w:cstheme="majorBidi"/>
          <w:bCs/>
          <w:sz w:val="22"/>
          <w:szCs w:val="22"/>
        </w:rPr>
      </w:pPr>
      <w:r w:rsidRPr="007224A7">
        <w:rPr>
          <w:rFonts w:asciiTheme="majorBidi" w:eastAsia="Times New Roman" w:hAnsiTheme="majorBidi" w:cstheme="majorBidi"/>
          <w:bCs/>
          <w:sz w:val="26"/>
          <w:szCs w:val="26"/>
          <w:rtl/>
        </w:rPr>
        <w:t xml:space="preserve"> </w:t>
      </w:r>
      <w:r w:rsidRPr="00CB7511">
        <w:rPr>
          <w:rFonts w:asciiTheme="majorBidi" w:eastAsia="Times New Roman" w:hAnsiTheme="majorBidi" w:cstheme="majorBidi"/>
          <w:bCs/>
          <w:sz w:val="22"/>
          <w:szCs w:val="22"/>
          <w:rtl/>
        </w:rPr>
        <w:t xml:space="preserve">المصدر: المندوبية السامية </w:t>
      </w:r>
      <w:r w:rsidR="0091658B" w:rsidRPr="00CB7511">
        <w:rPr>
          <w:rFonts w:asciiTheme="majorBidi" w:eastAsia="Times New Roman" w:hAnsiTheme="majorBidi" w:cstheme="majorBidi"/>
          <w:bCs/>
          <w:sz w:val="22"/>
          <w:szCs w:val="22"/>
          <w:rtl/>
        </w:rPr>
        <w:t>للتخطيط، البحث</w:t>
      </w:r>
      <w:r w:rsidRPr="00CB7511">
        <w:rPr>
          <w:rFonts w:asciiTheme="majorBidi" w:eastAsia="Times New Roman" w:hAnsiTheme="majorBidi" w:cstheme="majorBidi"/>
          <w:bCs/>
          <w:sz w:val="22"/>
          <w:szCs w:val="22"/>
          <w:rtl/>
        </w:rPr>
        <w:t xml:space="preserve"> الوطني حول العنف ضد النساء </w:t>
      </w:r>
      <w:r w:rsidR="0091658B" w:rsidRPr="00CB7511">
        <w:rPr>
          <w:rFonts w:asciiTheme="majorBidi" w:eastAsia="Times New Roman" w:hAnsiTheme="majorBidi" w:cstheme="majorBidi"/>
          <w:bCs/>
          <w:sz w:val="22"/>
          <w:szCs w:val="22"/>
          <w:rtl/>
        </w:rPr>
        <w:t>والرجال</w:t>
      </w:r>
      <w:r w:rsidR="00CB7511">
        <w:rPr>
          <w:rFonts w:asciiTheme="majorBidi" w:eastAsia="Times New Roman" w:hAnsiTheme="majorBidi" w:cstheme="majorBidi"/>
          <w:bCs/>
          <w:sz w:val="22"/>
          <w:szCs w:val="22"/>
        </w:rPr>
        <w:t xml:space="preserve"> </w:t>
      </w:r>
      <w:r w:rsidR="0091658B" w:rsidRPr="00CB7511">
        <w:rPr>
          <w:rFonts w:asciiTheme="majorBidi" w:eastAsia="Times New Roman" w:hAnsiTheme="majorBidi" w:cstheme="majorBidi"/>
          <w:bCs/>
          <w:sz w:val="22"/>
          <w:szCs w:val="22"/>
          <w:rtl/>
        </w:rPr>
        <w:t>2019</w:t>
      </w:r>
      <w:r w:rsidR="00CB7511">
        <w:rPr>
          <w:rFonts w:asciiTheme="majorBidi" w:eastAsia="Times New Roman" w:hAnsiTheme="majorBidi" w:cstheme="majorBidi" w:hint="cs"/>
          <w:bCs/>
          <w:sz w:val="22"/>
          <w:szCs w:val="22"/>
          <w:rtl/>
        </w:rPr>
        <w:t xml:space="preserve">  </w:t>
      </w:r>
      <w:r w:rsidR="0091658B" w:rsidRPr="00CB7511">
        <w:rPr>
          <w:rFonts w:asciiTheme="majorBidi" w:eastAsia="Times New Roman" w:hAnsiTheme="majorBidi" w:cstheme="majorBidi"/>
          <w:bCs/>
          <w:sz w:val="22"/>
          <w:szCs w:val="22"/>
          <w:rtl/>
        </w:rPr>
        <w:t xml:space="preserve"> </w:t>
      </w:r>
    </w:p>
    <w:p w:rsidR="00F56F37" w:rsidRPr="00CB7511" w:rsidRDefault="00F56F37" w:rsidP="00056852">
      <w:pPr>
        <w:bidi/>
        <w:spacing w:line="276" w:lineRule="auto"/>
        <w:jc w:val="both"/>
        <w:rPr>
          <w:rFonts w:asciiTheme="majorBidi" w:eastAsia="Times New Roman" w:hAnsiTheme="majorBidi" w:cstheme="majorBidi"/>
          <w:bCs/>
          <w:i/>
          <w:color w:val="2F5496"/>
          <w:sz w:val="22"/>
          <w:szCs w:val="22"/>
          <w:rtl/>
        </w:rPr>
      </w:pPr>
    </w:p>
    <w:p w:rsidR="009727D3" w:rsidRPr="002F7842" w:rsidRDefault="009727D3" w:rsidP="000512E6">
      <w:pPr>
        <w:bidi/>
        <w:spacing w:after="120" w:line="276" w:lineRule="auto"/>
        <w:jc w:val="both"/>
        <w:rPr>
          <w:rFonts w:asciiTheme="majorBidi" w:eastAsia="Times New Roman" w:hAnsiTheme="majorBidi" w:cstheme="majorBidi"/>
          <w:b/>
          <w:bCs/>
          <w:i/>
          <w:iCs/>
          <w:color w:val="1F3864" w:themeColor="accent1" w:themeShade="80"/>
          <w:sz w:val="30"/>
          <w:szCs w:val="30"/>
          <w:lang w:val="en-US" w:eastAsia="en-US"/>
        </w:rPr>
      </w:pPr>
      <w:r w:rsidRPr="002F7842">
        <w:rPr>
          <w:rFonts w:asciiTheme="majorBidi" w:eastAsia="Times New Roman" w:hAnsiTheme="majorBidi" w:cstheme="majorBidi"/>
          <w:b/>
          <w:bCs/>
          <w:i/>
          <w:iCs/>
          <w:color w:val="1F3864" w:themeColor="accent1" w:themeShade="80"/>
          <w:sz w:val="30"/>
          <w:szCs w:val="30"/>
          <w:rtl/>
          <w:lang w:val="en-US" w:eastAsia="en-US"/>
        </w:rPr>
        <w:lastRenderedPageBreak/>
        <w:t>ما يقرب من 70% من التكلفة المباشرة للعنف يعود إلى العنف الزوجي و43% للنفقات المتعلقة بالصحة</w:t>
      </w:r>
    </w:p>
    <w:p w:rsidR="009727D3" w:rsidRPr="00CB7511" w:rsidRDefault="009727D3" w:rsidP="00056852">
      <w:pPr>
        <w:pStyle w:val="NormalWeb"/>
        <w:bidi/>
        <w:spacing w:before="0" w:beforeAutospacing="0" w:after="120" w:afterAutospacing="0" w:line="276" w:lineRule="auto"/>
        <w:jc w:val="both"/>
        <w:rPr>
          <w:rFonts w:asciiTheme="majorBidi" w:hAnsiTheme="majorBidi" w:cstheme="majorBidi"/>
          <w:sz w:val="26"/>
          <w:szCs w:val="26"/>
          <w:rtl/>
        </w:rPr>
      </w:pPr>
      <w:r w:rsidRPr="00CB7511">
        <w:rPr>
          <w:rFonts w:asciiTheme="majorBidi" w:hAnsiTheme="majorBidi" w:cstheme="majorBidi"/>
          <w:color w:val="000000"/>
          <w:sz w:val="26"/>
          <w:szCs w:val="26"/>
          <w:rtl/>
        </w:rPr>
        <w:t>تقدر التكلفة المباشرة بـ 2.3 مليار درهم بالنسبة لضحايا العنف الجسدي و / أو الجنسي، الذين تحملوا النفقات (20 %)، نتيجة لمجموع أحداث العنف الأكثر حدة التي تعرضوا لها خلال الإثنى عشر شهرًا التي سبقت البحث.</w:t>
      </w:r>
    </w:p>
    <w:p w:rsidR="009727D3" w:rsidRPr="00CB7511" w:rsidRDefault="009727D3" w:rsidP="00056852">
      <w:pPr>
        <w:pStyle w:val="NormalWeb"/>
        <w:bidi/>
        <w:spacing w:before="0" w:beforeAutospacing="0" w:after="120" w:afterAutospacing="0" w:line="276" w:lineRule="auto"/>
        <w:jc w:val="both"/>
        <w:rPr>
          <w:rFonts w:asciiTheme="majorBidi" w:hAnsiTheme="majorBidi" w:cstheme="majorBidi"/>
          <w:sz w:val="26"/>
          <w:szCs w:val="26"/>
          <w:rtl/>
        </w:rPr>
      </w:pPr>
      <w:r w:rsidRPr="00CB7511">
        <w:rPr>
          <w:rFonts w:asciiTheme="majorBidi" w:hAnsiTheme="majorBidi" w:cstheme="majorBidi"/>
          <w:color w:val="000000"/>
          <w:sz w:val="26"/>
          <w:szCs w:val="26"/>
          <w:rtl/>
        </w:rPr>
        <w:t>ما يقرب من 85% من التكلفة المباشرة للعنف (1.98 مليار درهم) ترتبط بالعنف الجسدي و15% (353 مليون درهم) بالعنف الجنسي.</w:t>
      </w:r>
    </w:p>
    <w:p w:rsidR="009727D3" w:rsidRPr="00CB7511" w:rsidRDefault="009727D3" w:rsidP="00056852">
      <w:pPr>
        <w:pStyle w:val="NormalWeb"/>
        <w:bidi/>
        <w:spacing w:before="0" w:beforeAutospacing="0" w:after="120" w:afterAutospacing="0" w:line="276" w:lineRule="auto"/>
        <w:jc w:val="both"/>
        <w:rPr>
          <w:rFonts w:asciiTheme="majorBidi" w:hAnsiTheme="majorBidi" w:cstheme="majorBidi"/>
          <w:sz w:val="26"/>
          <w:szCs w:val="26"/>
          <w:rtl/>
        </w:rPr>
      </w:pPr>
      <w:r w:rsidRPr="00CB7511">
        <w:rPr>
          <w:rFonts w:asciiTheme="majorBidi" w:hAnsiTheme="majorBidi" w:cstheme="majorBidi"/>
          <w:color w:val="000000"/>
          <w:sz w:val="26"/>
          <w:szCs w:val="26"/>
          <w:rtl/>
        </w:rPr>
        <w:t>ويكلف العنف ضد النساء في الوسط الحضري بالنسبة للمعنفات ولأسرهن 1.73 مليار درهم، مقابل 601 مليون درهم في الوسط القروي. وتمثل التكلفة التي يتحملها سكان المدن ما يقرب من ثلاثة أرباع التكلفة المباشرة الإجمالية للعنف (74.2%).</w:t>
      </w:r>
    </w:p>
    <w:p w:rsidR="009727D3" w:rsidRPr="00CB7511" w:rsidRDefault="009727D3" w:rsidP="00056852">
      <w:pPr>
        <w:pStyle w:val="NormalWeb"/>
        <w:bidi/>
        <w:spacing w:before="0" w:beforeAutospacing="0" w:after="120" w:afterAutospacing="0" w:line="276" w:lineRule="auto"/>
        <w:jc w:val="both"/>
        <w:rPr>
          <w:rFonts w:asciiTheme="majorBidi" w:hAnsiTheme="majorBidi" w:cstheme="majorBidi"/>
          <w:sz w:val="26"/>
          <w:szCs w:val="26"/>
          <w:rtl/>
        </w:rPr>
      </w:pPr>
      <w:r w:rsidRPr="00CB7511">
        <w:rPr>
          <w:rFonts w:asciiTheme="majorBidi" w:hAnsiTheme="majorBidi" w:cstheme="majorBidi"/>
          <w:color w:val="000000"/>
          <w:sz w:val="26"/>
          <w:szCs w:val="26"/>
          <w:rtl/>
        </w:rPr>
        <w:t xml:space="preserve"> ويعود ما يقرب من 70% من التكلفة المباشرة للعنف </w:t>
      </w:r>
      <w:r w:rsidR="00CB7511" w:rsidRPr="00CB7511">
        <w:rPr>
          <w:rFonts w:asciiTheme="majorBidi" w:hAnsiTheme="majorBidi" w:cstheme="majorBidi" w:hint="cs"/>
          <w:color w:val="000000"/>
          <w:sz w:val="26"/>
          <w:szCs w:val="26"/>
          <w:rtl/>
        </w:rPr>
        <w:t>في</w:t>
      </w:r>
      <w:r w:rsidRPr="00CB7511">
        <w:rPr>
          <w:rFonts w:asciiTheme="majorBidi" w:hAnsiTheme="majorBidi" w:cstheme="majorBidi"/>
          <w:color w:val="000000"/>
          <w:sz w:val="26"/>
          <w:szCs w:val="26"/>
          <w:rtl/>
        </w:rPr>
        <w:t xml:space="preserve"> الفضاء الزوجي (1.63 مليار درهم) و15% للعنف في الأماكن العمومية (356 مليون درهم) و13% في الوسط العائلي (307 مليون درهم).</w:t>
      </w:r>
    </w:p>
    <w:p w:rsidR="009727D3" w:rsidRPr="00CB7511" w:rsidRDefault="009727D3" w:rsidP="00056852">
      <w:pPr>
        <w:pStyle w:val="NormalWeb"/>
        <w:bidi/>
        <w:spacing w:before="0" w:beforeAutospacing="0" w:after="120" w:afterAutospacing="0" w:line="276" w:lineRule="auto"/>
        <w:jc w:val="both"/>
        <w:rPr>
          <w:rFonts w:asciiTheme="majorBidi" w:hAnsiTheme="majorBidi" w:cstheme="majorBidi"/>
          <w:color w:val="000000"/>
          <w:sz w:val="26"/>
          <w:szCs w:val="26"/>
        </w:rPr>
      </w:pPr>
      <w:r w:rsidRPr="00CB7511">
        <w:rPr>
          <w:rFonts w:asciiTheme="majorBidi" w:hAnsiTheme="majorBidi" w:cstheme="majorBidi"/>
          <w:color w:val="000000"/>
          <w:sz w:val="26"/>
          <w:szCs w:val="26"/>
          <w:rtl/>
        </w:rPr>
        <w:t xml:space="preserve">تمثل التكاليف المترتبة عن الولوج للخدمات الصحية 42.3% من التكلفة المباشرة (986 مليون درهم)، تليها في المرتبة الثانية المصاريف المتعلقة باللجوء للخدمات القانونية والقضائية (25.8% أي 600 مليون درهم). ومصاريف استبدال أو </w:t>
      </w:r>
      <w:r w:rsidR="000512E6" w:rsidRPr="00CB7511">
        <w:rPr>
          <w:rFonts w:asciiTheme="majorBidi" w:hAnsiTheme="majorBidi" w:cstheme="majorBidi" w:hint="cs"/>
          <w:color w:val="000000"/>
          <w:sz w:val="26"/>
          <w:szCs w:val="26"/>
          <w:rtl/>
        </w:rPr>
        <w:t>إصلاح الأغراض</w:t>
      </w:r>
      <w:r w:rsidRPr="00CB7511">
        <w:rPr>
          <w:rFonts w:asciiTheme="majorBidi" w:hAnsiTheme="majorBidi" w:cstheme="majorBidi"/>
          <w:color w:val="000000"/>
          <w:sz w:val="26"/>
          <w:szCs w:val="26"/>
          <w:rtl/>
        </w:rPr>
        <w:t xml:space="preserve"> التي تم إتلافها (17.9 % أي 417 مليون درهم) والإيواء بفعل مغادرة البيت (13.5 % أي 314 مليون درهم) ثم اللجوء لخدمات المجتمع المدني (0.5% أي 11 مليون </w:t>
      </w:r>
      <w:r w:rsidR="000512E6" w:rsidRPr="00CB7511">
        <w:rPr>
          <w:rFonts w:asciiTheme="majorBidi" w:hAnsiTheme="majorBidi" w:cstheme="majorBidi" w:hint="cs"/>
          <w:color w:val="000000"/>
          <w:sz w:val="26"/>
          <w:szCs w:val="26"/>
          <w:rtl/>
        </w:rPr>
        <w:t>درهم)</w:t>
      </w:r>
      <w:r w:rsidRPr="00CB7511">
        <w:rPr>
          <w:rFonts w:asciiTheme="majorBidi" w:hAnsiTheme="majorBidi" w:cstheme="majorBidi"/>
          <w:color w:val="000000"/>
          <w:sz w:val="26"/>
          <w:szCs w:val="26"/>
          <w:rtl/>
        </w:rPr>
        <w:t>.</w:t>
      </w:r>
    </w:p>
    <w:p w:rsidR="008B1127" w:rsidRPr="00DD680E" w:rsidRDefault="008B1127" w:rsidP="00056852">
      <w:pPr>
        <w:bidi/>
        <w:spacing w:line="276" w:lineRule="auto"/>
        <w:jc w:val="both"/>
        <w:rPr>
          <w:rFonts w:asciiTheme="majorBidi" w:eastAsia="Times New Roman" w:hAnsiTheme="majorBidi" w:cstheme="majorBidi"/>
          <w:sz w:val="28"/>
          <w:szCs w:val="28"/>
        </w:rPr>
      </w:pPr>
    </w:p>
    <w:p w:rsidR="004E28E5" w:rsidRPr="00CB7511" w:rsidRDefault="004E28E5" w:rsidP="00056852">
      <w:pPr>
        <w:bidi/>
        <w:spacing w:line="276" w:lineRule="auto"/>
        <w:jc w:val="both"/>
        <w:rPr>
          <w:rFonts w:asciiTheme="majorBidi" w:eastAsia="Times New Roman" w:hAnsiTheme="majorBidi" w:cstheme="majorBidi"/>
          <w:b/>
          <w:bCs/>
          <w:sz w:val="26"/>
          <w:szCs w:val="26"/>
        </w:rPr>
      </w:pPr>
      <w:r w:rsidRPr="00CB7511">
        <w:rPr>
          <w:rFonts w:asciiTheme="majorBidi" w:eastAsia="Times New Roman" w:hAnsiTheme="majorBidi" w:cstheme="majorBidi"/>
          <w:b/>
          <w:bCs/>
          <w:sz w:val="26"/>
          <w:szCs w:val="26"/>
          <w:rtl/>
        </w:rPr>
        <w:t xml:space="preserve">المبيان </w:t>
      </w:r>
      <w:r w:rsidR="00301621" w:rsidRPr="00CB7511">
        <w:rPr>
          <w:rFonts w:asciiTheme="majorBidi" w:eastAsia="Times New Roman" w:hAnsiTheme="majorBidi" w:cstheme="majorBidi"/>
          <w:b/>
          <w:bCs/>
          <w:sz w:val="26"/>
          <w:szCs w:val="26"/>
          <w:rtl/>
        </w:rPr>
        <w:t>2</w:t>
      </w:r>
      <w:r w:rsidRPr="00CB7511">
        <w:rPr>
          <w:rFonts w:asciiTheme="majorBidi" w:eastAsia="Times New Roman" w:hAnsiTheme="majorBidi" w:cstheme="majorBidi"/>
          <w:b/>
          <w:bCs/>
          <w:sz w:val="26"/>
          <w:szCs w:val="26"/>
          <w:rtl/>
        </w:rPr>
        <w:t xml:space="preserve">: بنية التكلفة المباشرة للعنف حسب </w:t>
      </w:r>
      <w:r w:rsidR="00AD6DCD">
        <w:rPr>
          <w:rFonts w:asciiTheme="majorBidi" w:eastAsia="Times New Roman" w:hAnsiTheme="majorBidi" w:cstheme="majorBidi" w:hint="cs"/>
          <w:b/>
          <w:bCs/>
          <w:sz w:val="26"/>
          <w:szCs w:val="26"/>
          <w:rtl/>
        </w:rPr>
        <w:t>نوع</w:t>
      </w:r>
      <w:r w:rsidR="00CB7511">
        <w:rPr>
          <w:rFonts w:asciiTheme="majorBidi" w:eastAsia="Times New Roman" w:hAnsiTheme="majorBidi" w:cstheme="majorBidi" w:hint="cs"/>
          <w:b/>
          <w:bCs/>
          <w:sz w:val="26"/>
          <w:szCs w:val="26"/>
          <w:rtl/>
        </w:rPr>
        <w:t xml:space="preserve"> النفقات</w:t>
      </w:r>
      <w:r w:rsidR="000B1483" w:rsidRPr="00CB7511">
        <w:rPr>
          <w:rFonts w:asciiTheme="majorBidi" w:eastAsia="Times New Roman" w:hAnsiTheme="majorBidi" w:cstheme="majorBidi"/>
          <w:b/>
          <w:bCs/>
          <w:sz w:val="26"/>
          <w:szCs w:val="26"/>
          <w:rtl/>
        </w:rPr>
        <w:t xml:space="preserve"> (ب</w:t>
      </w:r>
      <w:r w:rsidR="00627C31" w:rsidRPr="00CB7511">
        <w:rPr>
          <w:rFonts w:asciiTheme="majorBidi" w:eastAsia="Times New Roman" w:hAnsiTheme="majorBidi" w:cstheme="majorBidi"/>
          <w:b/>
          <w:bCs/>
          <w:sz w:val="26"/>
          <w:szCs w:val="26"/>
          <w:rtl/>
        </w:rPr>
        <w:t>%</w:t>
      </w:r>
      <w:r w:rsidR="00CB7511">
        <w:rPr>
          <w:rFonts w:asciiTheme="majorBidi" w:eastAsia="Times New Roman" w:hAnsiTheme="majorBidi" w:cstheme="majorBidi" w:hint="cs"/>
          <w:b/>
          <w:bCs/>
          <w:sz w:val="26"/>
          <w:szCs w:val="26"/>
          <w:rtl/>
        </w:rPr>
        <w:t>)</w:t>
      </w:r>
    </w:p>
    <w:p w:rsidR="00131D7D" w:rsidRPr="00DD680E" w:rsidRDefault="00CB7511" w:rsidP="00056852">
      <w:pPr>
        <w:bidi/>
        <w:spacing w:line="276" w:lineRule="auto"/>
        <w:jc w:val="both"/>
        <w:rPr>
          <w:rFonts w:asciiTheme="majorBidi" w:eastAsia="Times New Roman" w:hAnsiTheme="majorBidi" w:cstheme="majorBidi"/>
          <w:b/>
          <w:bCs/>
          <w:sz w:val="28"/>
          <w:szCs w:val="28"/>
        </w:rPr>
      </w:pPr>
      <w:r w:rsidRPr="00CB7511">
        <w:rPr>
          <w:rFonts w:asciiTheme="majorBidi" w:eastAsia="Times New Roman" w:hAnsiTheme="majorBidi" w:cs="Times New Roman"/>
          <w:b/>
          <w:bCs/>
          <w:noProof/>
          <w:sz w:val="28"/>
          <w:szCs w:val="28"/>
          <w:rtl/>
        </w:rPr>
        <w:drawing>
          <wp:inline distT="0" distB="0" distL="0" distR="0">
            <wp:extent cx="5489489" cy="3122141"/>
            <wp:effectExtent l="19050" t="0" r="15961" b="2059"/>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31D7D" w:rsidRPr="008503A2" w:rsidRDefault="002A235F" w:rsidP="00056852">
      <w:pPr>
        <w:bidi/>
        <w:spacing w:line="276" w:lineRule="auto"/>
        <w:jc w:val="both"/>
        <w:rPr>
          <w:rFonts w:asciiTheme="majorBidi" w:eastAsia="Times New Roman" w:hAnsiTheme="majorBidi" w:cstheme="majorBidi"/>
          <w:bCs/>
          <w:sz w:val="28"/>
          <w:szCs w:val="28"/>
        </w:rPr>
      </w:pPr>
      <w:r w:rsidRPr="00CB7511">
        <w:rPr>
          <w:rFonts w:asciiTheme="majorBidi" w:eastAsia="Times New Roman" w:hAnsiTheme="majorBidi" w:cstheme="majorBidi"/>
          <w:bCs/>
          <w:sz w:val="22"/>
          <w:szCs w:val="22"/>
          <w:rtl/>
        </w:rPr>
        <w:t>المصدر:</w:t>
      </w:r>
      <w:r w:rsidR="008763B1" w:rsidRPr="00CB7511">
        <w:rPr>
          <w:rFonts w:asciiTheme="majorBidi" w:eastAsia="Times New Roman" w:hAnsiTheme="majorBidi" w:cstheme="majorBidi"/>
          <w:bCs/>
          <w:sz w:val="22"/>
          <w:szCs w:val="22"/>
          <w:rtl/>
        </w:rPr>
        <w:t xml:space="preserve"> المندوبية السامية </w:t>
      </w:r>
      <w:r w:rsidRPr="00CB7511">
        <w:rPr>
          <w:rFonts w:asciiTheme="majorBidi" w:eastAsia="Times New Roman" w:hAnsiTheme="majorBidi" w:cstheme="majorBidi"/>
          <w:bCs/>
          <w:sz w:val="22"/>
          <w:szCs w:val="22"/>
          <w:rtl/>
        </w:rPr>
        <w:t>للتخطيط، البحث</w:t>
      </w:r>
      <w:r w:rsidR="008763B1" w:rsidRPr="00CB7511">
        <w:rPr>
          <w:rFonts w:asciiTheme="majorBidi" w:eastAsia="Times New Roman" w:hAnsiTheme="majorBidi" w:cstheme="majorBidi"/>
          <w:bCs/>
          <w:sz w:val="22"/>
          <w:szCs w:val="22"/>
          <w:rtl/>
        </w:rPr>
        <w:t xml:space="preserve"> الوطني حول العنف ضد النساء </w:t>
      </w:r>
      <w:r w:rsidRPr="00CB7511">
        <w:rPr>
          <w:rFonts w:asciiTheme="majorBidi" w:eastAsia="Times New Roman" w:hAnsiTheme="majorBidi" w:cstheme="majorBidi"/>
          <w:bCs/>
          <w:sz w:val="22"/>
          <w:szCs w:val="22"/>
          <w:rtl/>
        </w:rPr>
        <w:t>والرجال 2019</w:t>
      </w:r>
    </w:p>
    <w:p w:rsidR="001F76B5" w:rsidRPr="002F7842" w:rsidRDefault="006C5F6F" w:rsidP="00056852">
      <w:pPr>
        <w:bidi/>
        <w:spacing w:line="276" w:lineRule="auto"/>
        <w:jc w:val="both"/>
        <w:rPr>
          <w:rFonts w:asciiTheme="majorBidi" w:eastAsia="Times New Roman" w:hAnsiTheme="majorBidi" w:cstheme="majorBidi"/>
          <w:b/>
          <w:bCs/>
          <w:i/>
          <w:iCs/>
          <w:color w:val="1F3864" w:themeColor="accent1" w:themeShade="80"/>
          <w:sz w:val="30"/>
          <w:szCs w:val="30"/>
          <w:lang w:val="en-US" w:eastAsia="en-US"/>
        </w:rPr>
      </w:pPr>
      <w:r w:rsidRPr="002F7842">
        <w:rPr>
          <w:rFonts w:asciiTheme="majorBidi" w:eastAsia="Times New Roman" w:hAnsiTheme="majorBidi" w:cstheme="majorBidi"/>
          <w:b/>
          <w:bCs/>
          <w:i/>
          <w:iCs/>
          <w:color w:val="1F3864" w:themeColor="accent1" w:themeShade="80"/>
          <w:sz w:val="30"/>
          <w:szCs w:val="30"/>
          <w:rtl/>
          <w:lang w:val="en-US" w:eastAsia="en-US"/>
        </w:rPr>
        <w:lastRenderedPageBreak/>
        <w:t>أكثر من 44</w:t>
      </w:r>
      <w:r w:rsidR="00627C31" w:rsidRPr="002F7842">
        <w:rPr>
          <w:rFonts w:asciiTheme="majorBidi" w:eastAsia="Times New Roman" w:hAnsiTheme="majorBidi" w:cstheme="majorBidi"/>
          <w:b/>
          <w:bCs/>
          <w:i/>
          <w:iCs/>
          <w:color w:val="1F3864" w:themeColor="accent1" w:themeShade="80"/>
          <w:sz w:val="30"/>
          <w:szCs w:val="30"/>
          <w:rtl/>
          <w:lang w:val="en-US" w:eastAsia="en-US"/>
        </w:rPr>
        <w:t>%</w:t>
      </w:r>
      <w:r w:rsidRPr="002F7842">
        <w:rPr>
          <w:rFonts w:asciiTheme="majorBidi" w:eastAsia="Times New Roman" w:hAnsiTheme="majorBidi" w:cstheme="majorBidi"/>
          <w:b/>
          <w:bCs/>
          <w:i/>
          <w:iCs/>
          <w:color w:val="1F3864" w:themeColor="accent1" w:themeShade="80"/>
          <w:sz w:val="30"/>
          <w:szCs w:val="30"/>
          <w:rtl/>
          <w:lang w:val="en-US" w:eastAsia="en-US"/>
        </w:rPr>
        <w:t xml:space="preserve"> من التكلفة غير المباشرة تعود إلى خسارة أيام العمل </w:t>
      </w:r>
      <w:r w:rsidR="00D21082" w:rsidRPr="002F7842">
        <w:rPr>
          <w:rFonts w:asciiTheme="majorBidi" w:eastAsia="Times New Roman" w:hAnsiTheme="majorBidi" w:cstheme="majorBidi"/>
          <w:b/>
          <w:bCs/>
          <w:i/>
          <w:iCs/>
          <w:color w:val="1F3864" w:themeColor="accent1" w:themeShade="80"/>
          <w:sz w:val="30"/>
          <w:szCs w:val="30"/>
          <w:rtl/>
          <w:lang w:val="en-US" w:eastAsia="en-US"/>
        </w:rPr>
        <w:t>المؤدى عنه</w:t>
      </w:r>
    </w:p>
    <w:p w:rsidR="00700842" w:rsidRDefault="00700842" w:rsidP="00056852">
      <w:pPr>
        <w:bidi/>
        <w:spacing w:after="120" w:line="276" w:lineRule="auto"/>
        <w:jc w:val="both"/>
        <w:rPr>
          <w:rFonts w:asciiTheme="majorBidi" w:eastAsia="Times New Roman" w:hAnsiTheme="majorBidi" w:cstheme="majorBidi"/>
          <w:color w:val="000000"/>
          <w:sz w:val="26"/>
          <w:szCs w:val="26"/>
          <w:rtl/>
          <w:lang w:val="en-US" w:eastAsia="en-US"/>
        </w:rPr>
      </w:pPr>
    </w:p>
    <w:p w:rsidR="001F76B5" w:rsidRPr="00AD6DCD" w:rsidRDefault="001F76B5" w:rsidP="00700842">
      <w:pPr>
        <w:bidi/>
        <w:spacing w:after="120" w:line="276" w:lineRule="auto"/>
        <w:jc w:val="both"/>
        <w:rPr>
          <w:rFonts w:asciiTheme="majorBidi" w:eastAsia="Times New Roman" w:hAnsiTheme="majorBidi" w:cstheme="majorBidi"/>
          <w:sz w:val="26"/>
          <w:szCs w:val="26"/>
          <w:lang w:val="en-US" w:eastAsia="en-US"/>
        </w:rPr>
      </w:pPr>
      <w:r w:rsidRPr="00AD6DCD">
        <w:rPr>
          <w:rFonts w:asciiTheme="majorBidi" w:eastAsia="Times New Roman" w:hAnsiTheme="majorBidi" w:cstheme="majorBidi"/>
          <w:color w:val="000000"/>
          <w:sz w:val="26"/>
          <w:szCs w:val="26"/>
          <w:rtl/>
          <w:lang w:val="en-US" w:eastAsia="en-US"/>
        </w:rPr>
        <w:t>تقدر التكلفة غير المباشرة التي يتحملها 8% من ضحايا العنف الجسدي و / أو الجنسي، خلال الإثنى عشر شهرًا التي سبقت البحث، بحوالي 517 مليون درهم (326 مليون درهم في المناطق الحضرية و190.8 مليون درهم في المناطق القروية). ما يقرب من 84% من التكاليف غير المباشرة تعود للعنف الجسدي (434 مليون درهم). </w:t>
      </w:r>
    </w:p>
    <w:p w:rsidR="001F76B5" w:rsidRPr="00AD6DCD" w:rsidRDefault="001F76B5" w:rsidP="00056852">
      <w:pPr>
        <w:bidi/>
        <w:spacing w:after="120" w:line="276" w:lineRule="auto"/>
        <w:jc w:val="both"/>
        <w:rPr>
          <w:rFonts w:asciiTheme="majorBidi" w:eastAsia="Times New Roman" w:hAnsiTheme="majorBidi" w:cstheme="majorBidi"/>
          <w:sz w:val="26"/>
          <w:szCs w:val="26"/>
          <w:rtl/>
          <w:lang w:val="en-US" w:eastAsia="en-US"/>
        </w:rPr>
      </w:pPr>
      <w:r w:rsidRPr="00AD6DCD">
        <w:rPr>
          <w:rFonts w:asciiTheme="majorBidi" w:eastAsia="Times New Roman" w:hAnsiTheme="majorBidi" w:cstheme="majorBidi"/>
          <w:color w:val="000000"/>
          <w:sz w:val="26"/>
          <w:szCs w:val="26"/>
          <w:rtl/>
          <w:lang w:val="en-US" w:eastAsia="en-US"/>
        </w:rPr>
        <w:t>ويمثل الفضاء الزوجي 68% من التكلفة الإجمالية غير المباشرة، تليه الأماكن العمومية (18%) والفضاء العائلي (11%</w:t>
      </w:r>
      <w:r w:rsidR="000512E6" w:rsidRPr="00AD6DCD">
        <w:rPr>
          <w:rFonts w:asciiTheme="majorBidi" w:eastAsia="Times New Roman" w:hAnsiTheme="majorBidi" w:cstheme="majorBidi" w:hint="cs"/>
          <w:color w:val="000000"/>
          <w:sz w:val="26"/>
          <w:szCs w:val="26"/>
          <w:rtl/>
          <w:lang w:val="en-US" w:eastAsia="en-US"/>
        </w:rPr>
        <w:t>).</w:t>
      </w:r>
    </w:p>
    <w:p w:rsidR="001F76B5" w:rsidRPr="00AD6DCD" w:rsidRDefault="001F76B5" w:rsidP="00056852">
      <w:pPr>
        <w:bidi/>
        <w:spacing w:after="120" w:line="276" w:lineRule="auto"/>
        <w:jc w:val="both"/>
        <w:rPr>
          <w:rFonts w:asciiTheme="majorBidi" w:eastAsia="Times New Roman" w:hAnsiTheme="majorBidi" w:cstheme="majorBidi"/>
          <w:sz w:val="26"/>
          <w:szCs w:val="26"/>
          <w:rtl/>
          <w:lang w:val="en-US" w:eastAsia="en-US"/>
        </w:rPr>
      </w:pPr>
      <w:r w:rsidRPr="00AD6DCD">
        <w:rPr>
          <w:rFonts w:asciiTheme="majorBidi" w:eastAsia="Times New Roman" w:hAnsiTheme="majorBidi" w:cstheme="majorBidi"/>
          <w:color w:val="000000"/>
          <w:sz w:val="26"/>
          <w:szCs w:val="26"/>
          <w:rtl/>
          <w:lang w:val="en-US" w:eastAsia="en-US"/>
        </w:rPr>
        <w:t xml:space="preserve">أكثر من 55% (284 مليون درهم) من إجمالي التكلفة غير المباشرة تتعلق بالتكلفة التقديرية لأيام العمل المنزلي المفقودة، أي 281.2 مليون درهم بالنسبة للنساء ضحايا العنف و3.1 مليون درهم بالنسبة لأزواجهن. ما يقرب من 44% من هذه التكلفة (227 مليون درهم) يعود إلى فقدان </w:t>
      </w:r>
      <w:r w:rsidRPr="0050038D">
        <w:rPr>
          <w:rFonts w:asciiTheme="majorBidi" w:eastAsia="Times New Roman" w:hAnsiTheme="majorBidi" w:cstheme="majorBidi"/>
          <w:color w:val="000000"/>
          <w:sz w:val="26"/>
          <w:szCs w:val="26"/>
          <w:rtl/>
          <w:lang w:val="en-US" w:eastAsia="en-US"/>
        </w:rPr>
        <w:t xml:space="preserve">الدخل </w:t>
      </w:r>
      <w:r w:rsidRPr="00AD6DCD">
        <w:rPr>
          <w:rFonts w:asciiTheme="majorBidi" w:eastAsia="Times New Roman" w:hAnsiTheme="majorBidi" w:cstheme="majorBidi"/>
          <w:color w:val="000000"/>
          <w:sz w:val="26"/>
          <w:szCs w:val="26"/>
          <w:rtl/>
          <w:lang w:val="en-US" w:eastAsia="en-US"/>
        </w:rPr>
        <w:t xml:space="preserve">نتيجة التغيب عن العمل </w:t>
      </w:r>
      <w:r w:rsidRPr="0050038D">
        <w:rPr>
          <w:rFonts w:asciiTheme="majorBidi" w:eastAsia="Times New Roman" w:hAnsiTheme="majorBidi" w:cstheme="majorBidi"/>
          <w:color w:val="000000"/>
          <w:sz w:val="26"/>
          <w:szCs w:val="26"/>
          <w:rtl/>
          <w:lang w:val="en-US" w:eastAsia="en-US"/>
        </w:rPr>
        <w:t>المؤدى عن</w:t>
      </w:r>
      <w:r w:rsidR="0050038D" w:rsidRPr="0050038D">
        <w:rPr>
          <w:rFonts w:asciiTheme="majorBidi" w:eastAsia="Times New Roman" w:hAnsiTheme="majorBidi" w:cstheme="majorBidi" w:hint="cs"/>
          <w:color w:val="000000"/>
          <w:sz w:val="26"/>
          <w:szCs w:val="26"/>
          <w:rtl/>
          <w:lang w:val="en-US" w:eastAsia="en-US"/>
        </w:rPr>
        <w:t>ه</w:t>
      </w:r>
      <w:r w:rsidRPr="00AD6DCD">
        <w:rPr>
          <w:rFonts w:asciiTheme="majorBidi" w:eastAsia="Times New Roman" w:hAnsiTheme="majorBidi" w:cstheme="majorBidi"/>
          <w:color w:val="000000"/>
          <w:sz w:val="26"/>
          <w:szCs w:val="26"/>
          <w:rtl/>
          <w:lang w:val="en-US" w:eastAsia="en-US"/>
        </w:rPr>
        <w:t xml:space="preserve"> بالنسبة للنساء ضحايا العنف (172 مليون درهم) ولأزواجهن (55 مليون درهم). وتمثل تكلفة أيام التغيب عن </w:t>
      </w:r>
      <w:r w:rsidRPr="0050038D">
        <w:rPr>
          <w:rFonts w:asciiTheme="majorBidi" w:eastAsia="Times New Roman" w:hAnsiTheme="majorBidi" w:cstheme="majorBidi"/>
          <w:color w:val="000000"/>
          <w:sz w:val="26"/>
          <w:szCs w:val="26"/>
          <w:rtl/>
          <w:lang w:val="en-US" w:eastAsia="en-US"/>
        </w:rPr>
        <w:t xml:space="preserve">الدراسة للضحايا </w:t>
      </w:r>
      <w:r w:rsidR="000512E6" w:rsidRPr="0050038D">
        <w:rPr>
          <w:rFonts w:asciiTheme="majorBidi" w:eastAsia="Times New Roman" w:hAnsiTheme="majorBidi" w:cstheme="majorBidi" w:hint="cs"/>
          <w:color w:val="000000"/>
          <w:sz w:val="26"/>
          <w:szCs w:val="26"/>
          <w:rtl/>
          <w:lang w:val="en-US" w:eastAsia="en-US"/>
        </w:rPr>
        <w:t>واطفالهن</w:t>
      </w:r>
      <w:r w:rsidRPr="0050038D">
        <w:rPr>
          <w:rFonts w:asciiTheme="majorBidi" w:eastAsia="Times New Roman" w:hAnsiTheme="majorBidi" w:cstheme="majorBidi"/>
          <w:color w:val="000000"/>
          <w:sz w:val="26"/>
          <w:szCs w:val="26"/>
          <w:rtl/>
          <w:lang w:val="en-US" w:eastAsia="en-US"/>
        </w:rPr>
        <w:t xml:space="preserve"> </w:t>
      </w:r>
      <w:r w:rsidRPr="00AD6DCD">
        <w:rPr>
          <w:rFonts w:asciiTheme="majorBidi" w:eastAsia="Times New Roman" w:hAnsiTheme="majorBidi" w:cstheme="majorBidi"/>
          <w:color w:val="000000"/>
          <w:sz w:val="26"/>
          <w:szCs w:val="26"/>
          <w:rtl/>
          <w:lang w:val="en-US" w:eastAsia="en-US"/>
        </w:rPr>
        <w:t>بسبب حوادث العنف ضد النساء 1% من مجموع التكلفة الإجمالية غير المباشرة (5.7 مليون درهم).</w:t>
      </w:r>
    </w:p>
    <w:p w:rsidR="00377046" w:rsidRPr="00AD6DCD" w:rsidRDefault="00377046" w:rsidP="00056852">
      <w:pPr>
        <w:bidi/>
        <w:spacing w:line="276" w:lineRule="auto"/>
        <w:jc w:val="both"/>
        <w:rPr>
          <w:rFonts w:asciiTheme="majorBidi" w:eastAsia="Times New Roman" w:hAnsiTheme="majorBidi" w:cstheme="majorBidi"/>
          <w:b/>
          <w:bCs/>
          <w:sz w:val="26"/>
          <w:szCs w:val="26"/>
        </w:rPr>
      </w:pPr>
      <w:r w:rsidRPr="00AD6DCD">
        <w:rPr>
          <w:rFonts w:asciiTheme="majorBidi" w:eastAsia="Times New Roman" w:hAnsiTheme="majorBidi" w:cstheme="majorBidi"/>
          <w:b/>
          <w:bCs/>
          <w:sz w:val="26"/>
          <w:szCs w:val="26"/>
          <w:rtl/>
        </w:rPr>
        <w:t xml:space="preserve">المبيان </w:t>
      </w:r>
      <w:r w:rsidR="00301621" w:rsidRPr="00AD6DCD">
        <w:rPr>
          <w:rFonts w:asciiTheme="majorBidi" w:eastAsia="Times New Roman" w:hAnsiTheme="majorBidi" w:cstheme="majorBidi"/>
          <w:b/>
          <w:bCs/>
          <w:sz w:val="26"/>
          <w:szCs w:val="26"/>
          <w:rtl/>
        </w:rPr>
        <w:t>3</w:t>
      </w:r>
      <w:r w:rsidRPr="00AD6DCD">
        <w:rPr>
          <w:rFonts w:asciiTheme="majorBidi" w:eastAsia="Times New Roman" w:hAnsiTheme="majorBidi" w:cstheme="majorBidi"/>
          <w:b/>
          <w:bCs/>
          <w:sz w:val="26"/>
          <w:szCs w:val="26"/>
          <w:rtl/>
        </w:rPr>
        <w:t xml:space="preserve">: بنية التكلفة </w:t>
      </w:r>
      <w:r w:rsidR="0050038D">
        <w:rPr>
          <w:rFonts w:asciiTheme="majorBidi" w:eastAsia="Times New Roman" w:hAnsiTheme="majorBidi" w:cstheme="majorBidi" w:hint="cs"/>
          <w:b/>
          <w:bCs/>
          <w:sz w:val="26"/>
          <w:szCs w:val="26"/>
          <w:rtl/>
        </w:rPr>
        <w:t>غير</w:t>
      </w:r>
      <w:r w:rsidRPr="00AD6DCD">
        <w:rPr>
          <w:rFonts w:asciiTheme="majorBidi" w:eastAsia="Times New Roman" w:hAnsiTheme="majorBidi" w:cstheme="majorBidi"/>
          <w:b/>
          <w:bCs/>
          <w:sz w:val="26"/>
          <w:szCs w:val="26"/>
          <w:rtl/>
        </w:rPr>
        <w:t xml:space="preserve">المباشرة للعنف </w:t>
      </w:r>
      <w:r w:rsidR="000B1483" w:rsidRPr="00AD6DCD">
        <w:rPr>
          <w:rFonts w:asciiTheme="majorBidi" w:eastAsia="Times New Roman" w:hAnsiTheme="majorBidi" w:cstheme="majorBidi"/>
          <w:b/>
          <w:bCs/>
          <w:sz w:val="26"/>
          <w:szCs w:val="26"/>
          <w:rtl/>
        </w:rPr>
        <w:t>(ب</w:t>
      </w:r>
      <w:r w:rsidR="00627C31" w:rsidRPr="00AD6DCD">
        <w:rPr>
          <w:rFonts w:asciiTheme="majorBidi" w:eastAsia="Times New Roman" w:hAnsiTheme="majorBidi" w:cstheme="majorBidi"/>
          <w:b/>
          <w:bCs/>
          <w:sz w:val="26"/>
          <w:szCs w:val="26"/>
          <w:rtl/>
        </w:rPr>
        <w:t>%</w:t>
      </w:r>
      <w:r w:rsidR="000B1483" w:rsidRPr="00AD6DCD">
        <w:rPr>
          <w:rFonts w:asciiTheme="majorBidi" w:eastAsia="Times New Roman" w:hAnsiTheme="majorBidi" w:cstheme="majorBidi"/>
          <w:b/>
          <w:bCs/>
          <w:sz w:val="26"/>
          <w:szCs w:val="26"/>
          <w:rtl/>
        </w:rPr>
        <w:t>)</w:t>
      </w:r>
    </w:p>
    <w:p w:rsidR="00231662" w:rsidRPr="00DD680E" w:rsidRDefault="00231662" w:rsidP="00056852">
      <w:pPr>
        <w:bidi/>
        <w:spacing w:line="276" w:lineRule="auto"/>
        <w:jc w:val="both"/>
        <w:rPr>
          <w:rFonts w:asciiTheme="majorBidi" w:eastAsia="Times New Roman" w:hAnsiTheme="majorBidi" w:cstheme="majorBidi"/>
          <w:b/>
          <w:sz w:val="28"/>
          <w:szCs w:val="28"/>
        </w:rPr>
      </w:pPr>
      <w:r w:rsidRPr="00DD680E">
        <w:rPr>
          <w:rFonts w:asciiTheme="majorBidi" w:hAnsiTheme="majorBidi" w:cstheme="majorBidi"/>
          <w:noProof/>
          <w:sz w:val="28"/>
          <w:szCs w:val="28"/>
        </w:rPr>
        <w:drawing>
          <wp:inline distT="0" distB="0" distL="0" distR="0">
            <wp:extent cx="5486400" cy="3170712"/>
            <wp:effectExtent l="19050" t="0" r="190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A5A48" w:rsidRPr="00AD6DCD" w:rsidRDefault="00DA5A48" w:rsidP="00056852">
      <w:pPr>
        <w:bidi/>
        <w:spacing w:line="276" w:lineRule="auto"/>
        <w:jc w:val="both"/>
        <w:rPr>
          <w:rFonts w:asciiTheme="majorBidi" w:eastAsia="Times New Roman" w:hAnsiTheme="majorBidi" w:cstheme="majorBidi"/>
          <w:bCs/>
          <w:sz w:val="22"/>
          <w:szCs w:val="22"/>
        </w:rPr>
      </w:pPr>
      <w:r w:rsidRPr="00AD6DCD">
        <w:rPr>
          <w:rFonts w:asciiTheme="majorBidi" w:eastAsia="Times New Roman" w:hAnsiTheme="majorBidi" w:cstheme="majorBidi"/>
          <w:bCs/>
          <w:sz w:val="22"/>
          <w:szCs w:val="22"/>
          <w:rtl/>
        </w:rPr>
        <w:t xml:space="preserve">المصدر: المندوبية السامية </w:t>
      </w:r>
      <w:r w:rsidR="000B1483" w:rsidRPr="00AD6DCD">
        <w:rPr>
          <w:rFonts w:asciiTheme="majorBidi" w:eastAsia="Times New Roman" w:hAnsiTheme="majorBidi" w:cstheme="majorBidi"/>
          <w:bCs/>
          <w:sz w:val="22"/>
          <w:szCs w:val="22"/>
          <w:rtl/>
        </w:rPr>
        <w:t>للتخطيط</w:t>
      </w:r>
      <w:r w:rsidR="00FE4A8A" w:rsidRPr="00AD6DCD">
        <w:rPr>
          <w:rFonts w:asciiTheme="majorBidi" w:eastAsia="Times New Roman" w:hAnsiTheme="majorBidi" w:cstheme="majorBidi"/>
          <w:bCs/>
          <w:sz w:val="22"/>
          <w:szCs w:val="22"/>
          <w:rtl/>
        </w:rPr>
        <w:t>،</w:t>
      </w:r>
      <w:r w:rsidRPr="00AD6DCD">
        <w:rPr>
          <w:rFonts w:asciiTheme="majorBidi" w:eastAsia="Times New Roman" w:hAnsiTheme="majorBidi" w:cstheme="majorBidi"/>
          <w:bCs/>
          <w:sz w:val="22"/>
          <w:szCs w:val="22"/>
          <w:rtl/>
        </w:rPr>
        <w:t xml:space="preserve"> البحث الوطني حول العنف ضد النساء </w:t>
      </w:r>
      <w:r w:rsidR="002A235F" w:rsidRPr="00AD6DCD">
        <w:rPr>
          <w:rFonts w:asciiTheme="majorBidi" w:eastAsia="Times New Roman" w:hAnsiTheme="majorBidi" w:cstheme="majorBidi"/>
          <w:bCs/>
          <w:sz w:val="22"/>
          <w:szCs w:val="22"/>
          <w:rtl/>
        </w:rPr>
        <w:t>والرجال</w:t>
      </w:r>
      <w:r w:rsidRPr="00AD6DCD">
        <w:rPr>
          <w:rFonts w:asciiTheme="majorBidi" w:eastAsia="Times New Roman" w:hAnsiTheme="majorBidi" w:cstheme="majorBidi"/>
          <w:bCs/>
          <w:sz w:val="22"/>
          <w:szCs w:val="22"/>
          <w:rtl/>
        </w:rPr>
        <w:t xml:space="preserve"> 2019</w:t>
      </w:r>
    </w:p>
    <w:p w:rsidR="001F76B5" w:rsidRPr="00AD6DCD" w:rsidRDefault="001F76B5" w:rsidP="00056852">
      <w:pPr>
        <w:bidi/>
        <w:spacing w:line="276" w:lineRule="auto"/>
        <w:jc w:val="both"/>
        <w:rPr>
          <w:rFonts w:asciiTheme="majorBidi" w:eastAsia="Times New Roman" w:hAnsiTheme="majorBidi" w:cstheme="majorBidi"/>
          <w:sz w:val="22"/>
          <w:szCs w:val="22"/>
          <w:lang w:val="en-US" w:eastAsia="en-US"/>
        </w:rPr>
      </w:pPr>
    </w:p>
    <w:p w:rsidR="00700842" w:rsidRDefault="00700842" w:rsidP="00056852">
      <w:pPr>
        <w:bidi/>
        <w:spacing w:before="120" w:line="276" w:lineRule="auto"/>
        <w:jc w:val="both"/>
        <w:rPr>
          <w:rFonts w:asciiTheme="majorBidi" w:eastAsia="Times New Roman" w:hAnsiTheme="majorBidi" w:cstheme="majorBidi"/>
          <w:b/>
          <w:bCs/>
          <w:i/>
          <w:iCs/>
          <w:color w:val="1F3864" w:themeColor="accent1" w:themeShade="80"/>
          <w:sz w:val="30"/>
          <w:szCs w:val="30"/>
          <w:rtl/>
          <w:lang w:val="en-US" w:eastAsia="en-US"/>
        </w:rPr>
      </w:pPr>
    </w:p>
    <w:p w:rsidR="00700842" w:rsidRDefault="00700842" w:rsidP="00700842">
      <w:pPr>
        <w:bidi/>
        <w:spacing w:before="120" w:line="276" w:lineRule="auto"/>
        <w:jc w:val="both"/>
        <w:rPr>
          <w:rFonts w:asciiTheme="majorBidi" w:eastAsia="Times New Roman" w:hAnsiTheme="majorBidi" w:cstheme="majorBidi"/>
          <w:b/>
          <w:bCs/>
          <w:i/>
          <w:iCs/>
          <w:color w:val="1F3864" w:themeColor="accent1" w:themeShade="80"/>
          <w:sz w:val="30"/>
          <w:szCs w:val="30"/>
          <w:rtl/>
          <w:lang w:val="en-US" w:eastAsia="en-US"/>
        </w:rPr>
      </w:pPr>
    </w:p>
    <w:p w:rsidR="00700842" w:rsidRDefault="00700842" w:rsidP="00700842">
      <w:pPr>
        <w:bidi/>
        <w:spacing w:before="120" w:line="276" w:lineRule="auto"/>
        <w:jc w:val="both"/>
        <w:rPr>
          <w:rFonts w:asciiTheme="majorBidi" w:eastAsia="Times New Roman" w:hAnsiTheme="majorBidi" w:cstheme="majorBidi"/>
          <w:b/>
          <w:bCs/>
          <w:i/>
          <w:iCs/>
          <w:color w:val="1F3864" w:themeColor="accent1" w:themeShade="80"/>
          <w:sz w:val="30"/>
          <w:szCs w:val="30"/>
          <w:rtl/>
          <w:lang w:val="en-US" w:eastAsia="en-US"/>
        </w:rPr>
      </w:pPr>
    </w:p>
    <w:p w:rsidR="001F76B5" w:rsidRPr="0050038D" w:rsidRDefault="001F76B5" w:rsidP="00700842">
      <w:pPr>
        <w:bidi/>
        <w:spacing w:before="120" w:line="276" w:lineRule="auto"/>
        <w:jc w:val="both"/>
        <w:rPr>
          <w:rFonts w:asciiTheme="majorBidi" w:eastAsia="Times New Roman" w:hAnsiTheme="majorBidi" w:cstheme="majorBidi"/>
          <w:b/>
          <w:bCs/>
          <w:i/>
          <w:iCs/>
          <w:color w:val="1F3864" w:themeColor="accent1" w:themeShade="80"/>
          <w:sz w:val="30"/>
          <w:szCs w:val="30"/>
          <w:lang w:val="en-US" w:eastAsia="en-US"/>
        </w:rPr>
      </w:pPr>
      <w:r w:rsidRPr="0050038D">
        <w:rPr>
          <w:rFonts w:asciiTheme="majorBidi" w:eastAsia="Times New Roman" w:hAnsiTheme="majorBidi" w:cstheme="majorBidi"/>
          <w:b/>
          <w:bCs/>
          <w:i/>
          <w:iCs/>
          <w:color w:val="1F3864" w:themeColor="accent1" w:themeShade="80"/>
          <w:sz w:val="30"/>
          <w:szCs w:val="30"/>
          <w:rtl/>
          <w:lang w:val="en-US" w:eastAsia="en-US"/>
        </w:rPr>
        <w:lastRenderedPageBreak/>
        <w:t>كلف العنف الزوجي للأسر 1.98 مليار درهم</w:t>
      </w:r>
    </w:p>
    <w:p w:rsidR="001F76B5" w:rsidRPr="00AD6DCD" w:rsidRDefault="001F76B5" w:rsidP="00056852">
      <w:pPr>
        <w:bidi/>
        <w:spacing w:before="240" w:line="276" w:lineRule="auto"/>
        <w:jc w:val="both"/>
        <w:rPr>
          <w:rFonts w:asciiTheme="majorBidi" w:eastAsia="Times New Roman" w:hAnsiTheme="majorBidi" w:cstheme="majorBidi"/>
          <w:sz w:val="26"/>
          <w:szCs w:val="26"/>
          <w:rtl/>
          <w:lang w:val="en-US" w:eastAsia="en-US"/>
        </w:rPr>
      </w:pPr>
      <w:r w:rsidRPr="00AD6DCD">
        <w:rPr>
          <w:rFonts w:asciiTheme="majorBidi" w:eastAsia="Times New Roman" w:hAnsiTheme="majorBidi" w:cstheme="majorBidi"/>
          <w:color w:val="000000"/>
          <w:sz w:val="26"/>
          <w:szCs w:val="26"/>
          <w:rtl/>
          <w:lang w:val="en-US" w:eastAsia="en-US"/>
        </w:rPr>
        <w:t xml:space="preserve">قدرت كلفة العنف ضد النساء في </w:t>
      </w:r>
      <w:r w:rsidRPr="0050038D">
        <w:rPr>
          <w:rFonts w:asciiTheme="majorBidi" w:eastAsia="Times New Roman" w:hAnsiTheme="majorBidi" w:cstheme="majorBidi"/>
          <w:color w:val="000000"/>
          <w:sz w:val="26"/>
          <w:szCs w:val="26"/>
          <w:rtl/>
          <w:lang w:val="en-US" w:eastAsia="en-US"/>
        </w:rPr>
        <w:t>الفضاء الزوجي</w:t>
      </w:r>
      <w:r w:rsidRPr="00AD6DCD">
        <w:rPr>
          <w:rFonts w:asciiTheme="majorBidi" w:eastAsia="Times New Roman" w:hAnsiTheme="majorBidi" w:cstheme="majorBidi"/>
          <w:color w:val="000000"/>
          <w:sz w:val="26"/>
          <w:szCs w:val="26"/>
          <w:rtl/>
          <w:lang w:val="en-US" w:eastAsia="en-US"/>
        </w:rPr>
        <w:t xml:space="preserve"> بالنسبة ل 24% من الضحايا اللواتي إضطررن لتحمل تكاليف مباشرة و / أو غير مباشرة، 1.98 مليار درهم خلال الإثنى عشر شهرًا التي سبقت البحث (1.3 مليار درهم في الوسط الحضري و681 مليون درهم في الوسط القروي). تبلغ هذه التكلفة 1.67 مليار درهم بالنسبة للعنف الجسدي و308 مليون درهم بخصوص العنف الجنسي.</w:t>
      </w:r>
    </w:p>
    <w:p w:rsidR="001F76B5" w:rsidRPr="00AD6DCD" w:rsidRDefault="001F76B5" w:rsidP="00056852">
      <w:pPr>
        <w:bidi/>
        <w:spacing w:before="240" w:line="276" w:lineRule="auto"/>
        <w:jc w:val="both"/>
        <w:rPr>
          <w:rFonts w:asciiTheme="majorBidi" w:eastAsia="Times New Roman" w:hAnsiTheme="majorBidi" w:cstheme="majorBidi"/>
          <w:sz w:val="26"/>
          <w:szCs w:val="26"/>
          <w:rtl/>
          <w:lang w:val="en-US" w:eastAsia="en-US"/>
        </w:rPr>
      </w:pPr>
      <w:r w:rsidRPr="00AD6DCD">
        <w:rPr>
          <w:rFonts w:asciiTheme="majorBidi" w:eastAsia="Times New Roman" w:hAnsiTheme="majorBidi" w:cstheme="majorBidi"/>
          <w:color w:val="000000"/>
          <w:sz w:val="26"/>
          <w:szCs w:val="26"/>
          <w:rtl/>
          <w:lang w:val="en-US" w:eastAsia="en-US"/>
        </w:rPr>
        <w:t>بمجموع بلغ 1.63 مليار درهم، تمثل التكلفة المباشرة 82% من التكلفة الإجمالية للعنف الزوجي. وتصل هذه التكلفة إلى 1.36 مليار درهم بالنسبة للعنف الجسدي أي ما يقرب من 84% من التكلفة المباشرة و267 مليون درهم بالنسبة للعنف الجنسي.</w:t>
      </w:r>
    </w:p>
    <w:p w:rsidR="001F76B5" w:rsidRPr="00AD6DCD" w:rsidRDefault="001F76B5" w:rsidP="00056852">
      <w:pPr>
        <w:bidi/>
        <w:spacing w:before="240" w:line="276" w:lineRule="auto"/>
        <w:jc w:val="both"/>
        <w:rPr>
          <w:rFonts w:asciiTheme="majorBidi" w:eastAsia="Times New Roman" w:hAnsiTheme="majorBidi" w:cstheme="majorBidi"/>
          <w:sz w:val="26"/>
          <w:szCs w:val="26"/>
          <w:rtl/>
          <w:lang w:val="en-US" w:eastAsia="en-US"/>
        </w:rPr>
      </w:pPr>
      <w:r w:rsidRPr="00AD6DCD">
        <w:rPr>
          <w:rFonts w:asciiTheme="majorBidi" w:eastAsia="Times New Roman" w:hAnsiTheme="majorBidi" w:cstheme="majorBidi"/>
          <w:color w:val="000000"/>
          <w:sz w:val="26"/>
          <w:szCs w:val="26"/>
          <w:rtl/>
          <w:lang w:val="en-US" w:eastAsia="en-US"/>
        </w:rPr>
        <w:t xml:space="preserve">من بين ضحايا العنف الزوجي، اضطرت 21% من النساء المعنفات إلى تحمل مصاريف مباشرة عقب تعرضهن لأحداث العنف الأكثر حدة خلال 12 عشر شهرًا التي سبقت البحث. تمثل المصاريف التي تم دفعها مقابل </w:t>
      </w:r>
      <w:r w:rsidRPr="0050038D">
        <w:rPr>
          <w:rFonts w:asciiTheme="majorBidi" w:eastAsia="Times New Roman" w:hAnsiTheme="majorBidi" w:cstheme="majorBidi"/>
          <w:color w:val="000000"/>
          <w:sz w:val="26"/>
          <w:szCs w:val="26"/>
          <w:rtl/>
          <w:lang w:val="en-US" w:eastAsia="en-US"/>
        </w:rPr>
        <w:t>الخدمات</w:t>
      </w:r>
      <w:r w:rsidRPr="00AD6DCD">
        <w:rPr>
          <w:rFonts w:asciiTheme="majorBidi" w:eastAsia="Times New Roman" w:hAnsiTheme="majorBidi" w:cstheme="majorBidi"/>
          <w:color w:val="000000"/>
          <w:sz w:val="26"/>
          <w:szCs w:val="26"/>
          <w:rtl/>
          <w:lang w:val="en-US" w:eastAsia="en-US"/>
        </w:rPr>
        <w:t xml:space="preserve"> الصحية 45.3% من التكلفة المباشرة للعنف الزوجي (737 مليون درهم). تليها المصاريف المتعلقة باللجوء للخدمات القانونية والقضائية بنسبة 25</w:t>
      </w:r>
      <w:r w:rsidR="000512E6" w:rsidRPr="00AD6DCD">
        <w:rPr>
          <w:rFonts w:asciiTheme="majorBidi" w:eastAsia="Times New Roman" w:hAnsiTheme="majorBidi" w:cstheme="majorBidi" w:hint="cs"/>
          <w:color w:val="000000"/>
          <w:sz w:val="26"/>
          <w:szCs w:val="26"/>
          <w:rtl/>
          <w:lang w:val="en-US" w:eastAsia="en-US"/>
        </w:rPr>
        <w:t>% (406.8 مليون</w:t>
      </w:r>
      <w:r w:rsidRPr="00AD6DCD">
        <w:rPr>
          <w:rFonts w:asciiTheme="majorBidi" w:eastAsia="Times New Roman" w:hAnsiTheme="majorBidi" w:cstheme="majorBidi"/>
          <w:color w:val="000000"/>
          <w:sz w:val="26"/>
          <w:szCs w:val="26"/>
          <w:rtl/>
          <w:lang w:val="en-US" w:eastAsia="en-US"/>
        </w:rPr>
        <w:t xml:space="preserve"> </w:t>
      </w:r>
      <w:r w:rsidR="000512E6" w:rsidRPr="00AD6DCD">
        <w:rPr>
          <w:rFonts w:asciiTheme="majorBidi" w:eastAsia="Times New Roman" w:hAnsiTheme="majorBidi" w:cstheme="majorBidi" w:hint="cs"/>
          <w:color w:val="000000"/>
          <w:sz w:val="26"/>
          <w:szCs w:val="26"/>
          <w:rtl/>
          <w:lang w:val="en-US" w:eastAsia="en-US"/>
        </w:rPr>
        <w:t>درهم) ونفقات</w:t>
      </w:r>
      <w:r w:rsidRPr="00AD6DCD">
        <w:rPr>
          <w:rFonts w:asciiTheme="majorBidi" w:eastAsia="Times New Roman" w:hAnsiTheme="majorBidi" w:cstheme="majorBidi"/>
          <w:color w:val="000000"/>
          <w:sz w:val="26"/>
          <w:szCs w:val="26"/>
          <w:rtl/>
          <w:lang w:val="en-US" w:eastAsia="en-US"/>
        </w:rPr>
        <w:t xml:space="preserve"> الإيواء بعد مغادرة البيت </w:t>
      </w:r>
      <w:r w:rsidR="000512E6" w:rsidRPr="00AD6DCD">
        <w:rPr>
          <w:rFonts w:asciiTheme="majorBidi" w:eastAsia="Times New Roman" w:hAnsiTheme="majorBidi" w:cstheme="majorBidi" w:hint="cs"/>
          <w:color w:val="000000"/>
          <w:sz w:val="26"/>
          <w:szCs w:val="26"/>
          <w:rtl/>
          <w:lang w:val="en-US" w:eastAsia="en-US"/>
        </w:rPr>
        <w:t>ب 1</w:t>
      </w:r>
      <w:r w:rsidR="000512E6" w:rsidRPr="00AD6DCD">
        <w:rPr>
          <w:rFonts w:asciiTheme="majorBidi" w:eastAsia="Times New Roman" w:hAnsiTheme="majorBidi" w:cstheme="majorBidi"/>
          <w:color w:val="000000"/>
          <w:sz w:val="26"/>
          <w:szCs w:val="26"/>
          <w:rtl/>
          <w:lang w:val="en-US" w:eastAsia="en-US"/>
        </w:rPr>
        <w:t>8</w:t>
      </w:r>
      <w:r w:rsidRPr="00AD6DCD">
        <w:rPr>
          <w:rFonts w:asciiTheme="majorBidi" w:eastAsia="Times New Roman" w:hAnsiTheme="majorBidi" w:cstheme="majorBidi"/>
          <w:color w:val="000000"/>
          <w:sz w:val="26"/>
          <w:szCs w:val="26"/>
          <w:rtl/>
          <w:lang w:val="en-US" w:eastAsia="en-US"/>
        </w:rPr>
        <w:t xml:space="preserve">% </w:t>
      </w:r>
      <w:r w:rsidR="000512E6" w:rsidRPr="00AD6DCD">
        <w:rPr>
          <w:rFonts w:asciiTheme="majorBidi" w:eastAsia="Times New Roman" w:hAnsiTheme="majorBidi" w:cstheme="majorBidi" w:hint="cs"/>
          <w:color w:val="000000"/>
          <w:sz w:val="26"/>
          <w:szCs w:val="26"/>
          <w:rtl/>
          <w:lang w:val="en-US" w:eastAsia="en-US"/>
        </w:rPr>
        <w:t>(293.1</w:t>
      </w:r>
      <w:r w:rsidRPr="00AD6DCD">
        <w:rPr>
          <w:rFonts w:asciiTheme="majorBidi" w:eastAsia="Times New Roman" w:hAnsiTheme="majorBidi" w:cstheme="majorBidi"/>
          <w:color w:val="000000"/>
          <w:sz w:val="26"/>
          <w:szCs w:val="26"/>
          <w:rtl/>
          <w:lang w:val="en-US" w:eastAsia="en-US"/>
        </w:rPr>
        <w:t xml:space="preserve"> مليون </w:t>
      </w:r>
      <w:r w:rsidR="000512E6" w:rsidRPr="00AD6DCD">
        <w:rPr>
          <w:rFonts w:asciiTheme="majorBidi" w:eastAsia="Times New Roman" w:hAnsiTheme="majorBidi" w:cstheme="majorBidi" w:hint="cs"/>
          <w:color w:val="000000"/>
          <w:sz w:val="26"/>
          <w:szCs w:val="26"/>
          <w:rtl/>
          <w:lang w:val="en-US" w:eastAsia="en-US"/>
        </w:rPr>
        <w:t>درهم) وتكاليف</w:t>
      </w:r>
      <w:r w:rsidRPr="00AD6DCD">
        <w:rPr>
          <w:rFonts w:asciiTheme="majorBidi" w:eastAsia="Times New Roman" w:hAnsiTheme="majorBidi" w:cstheme="majorBidi"/>
          <w:color w:val="000000"/>
          <w:sz w:val="26"/>
          <w:szCs w:val="26"/>
          <w:rtl/>
          <w:lang w:val="en-US" w:eastAsia="en-US"/>
        </w:rPr>
        <w:t xml:space="preserve"> استبدال وإصلاح </w:t>
      </w:r>
      <w:r w:rsidRPr="0050038D">
        <w:rPr>
          <w:rFonts w:asciiTheme="majorBidi" w:eastAsia="Times New Roman" w:hAnsiTheme="majorBidi" w:cstheme="majorBidi"/>
          <w:color w:val="000000"/>
          <w:sz w:val="26"/>
          <w:szCs w:val="26"/>
          <w:rtl/>
          <w:lang w:val="en-US" w:eastAsia="en-US"/>
        </w:rPr>
        <w:t>الممتلكات</w:t>
      </w:r>
      <w:r w:rsidRPr="00AD6DCD">
        <w:rPr>
          <w:rFonts w:asciiTheme="majorBidi" w:eastAsia="Times New Roman" w:hAnsiTheme="majorBidi" w:cstheme="majorBidi"/>
          <w:color w:val="000000"/>
          <w:sz w:val="26"/>
          <w:szCs w:val="26"/>
          <w:rtl/>
          <w:lang w:val="en-US" w:eastAsia="en-US"/>
        </w:rPr>
        <w:t xml:space="preserve"> التي تم إتلافها ب 11.3% </w:t>
      </w:r>
      <w:r w:rsidR="000512E6" w:rsidRPr="00AD6DCD">
        <w:rPr>
          <w:rFonts w:asciiTheme="majorBidi" w:eastAsia="Times New Roman" w:hAnsiTheme="majorBidi" w:cstheme="majorBidi" w:hint="cs"/>
          <w:color w:val="000000"/>
          <w:sz w:val="26"/>
          <w:szCs w:val="26"/>
          <w:rtl/>
          <w:lang w:val="en-US" w:eastAsia="en-US"/>
        </w:rPr>
        <w:t>(185</w:t>
      </w:r>
      <w:r w:rsidRPr="00AD6DCD">
        <w:rPr>
          <w:rFonts w:asciiTheme="majorBidi" w:eastAsia="Times New Roman" w:hAnsiTheme="majorBidi" w:cstheme="majorBidi"/>
          <w:color w:val="000000"/>
          <w:sz w:val="26"/>
          <w:szCs w:val="26"/>
          <w:rtl/>
          <w:lang w:val="en-US" w:eastAsia="en-US"/>
        </w:rPr>
        <w:t xml:space="preserve"> مليون </w:t>
      </w:r>
      <w:r w:rsidR="000512E6" w:rsidRPr="00AD6DCD">
        <w:rPr>
          <w:rFonts w:asciiTheme="majorBidi" w:eastAsia="Times New Roman" w:hAnsiTheme="majorBidi" w:cstheme="majorBidi" w:hint="cs"/>
          <w:color w:val="000000"/>
          <w:sz w:val="26"/>
          <w:szCs w:val="26"/>
          <w:rtl/>
          <w:lang w:val="en-US" w:eastAsia="en-US"/>
        </w:rPr>
        <w:t>درهم) واللجوء</w:t>
      </w:r>
      <w:r w:rsidRPr="00AD6DCD">
        <w:rPr>
          <w:rFonts w:asciiTheme="majorBidi" w:eastAsia="Times New Roman" w:hAnsiTheme="majorBidi" w:cstheme="majorBidi"/>
          <w:color w:val="000000"/>
          <w:sz w:val="26"/>
          <w:szCs w:val="26"/>
          <w:rtl/>
          <w:lang w:val="en-US" w:eastAsia="en-US"/>
        </w:rPr>
        <w:t xml:space="preserve"> لخدمات المجتمع المدني بنسبة 0.5% </w:t>
      </w:r>
      <w:r w:rsidR="000512E6" w:rsidRPr="00AD6DCD">
        <w:rPr>
          <w:rFonts w:asciiTheme="majorBidi" w:eastAsia="Times New Roman" w:hAnsiTheme="majorBidi" w:cstheme="majorBidi" w:hint="cs"/>
          <w:color w:val="000000"/>
          <w:sz w:val="26"/>
          <w:szCs w:val="26"/>
          <w:rtl/>
          <w:lang w:val="en-US" w:eastAsia="en-US"/>
        </w:rPr>
        <w:t>(7.7</w:t>
      </w:r>
      <w:r w:rsidRPr="00AD6DCD">
        <w:rPr>
          <w:rFonts w:asciiTheme="majorBidi" w:eastAsia="Times New Roman" w:hAnsiTheme="majorBidi" w:cstheme="majorBidi"/>
          <w:color w:val="000000"/>
          <w:sz w:val="26"/>
          <w:szCs w:val="26"/>
          <w:rtl/>
          <w:lang w:val="en-US" w:eastAsia="en-US"/>
        </w:rPr>
        <w:t xml:space="preserve"> مليون درهم).</w:t>
      </w:r>
    </w:p>
    <w:p w:rsidR="001F76B5" w:rsidRPr="00AD6DCD" w:rsidRDefault="001F76B5" w:rsidP="00056852">
      <w:pPr>
        <w:bidi/>
        <w:spacing w:before="120" w:after="120" w:line="276" w:lineRule="auto"/>
        <w:jc w:val="both"/>
        <w:rPr>
          <w:rFonts w:asciiTheme="majorBidi" w:eastAsia="Times New Roman" w:hAnsiTheme="majorBidi" w:cstheme="majorBidi"/>
          <w:sz w:val="26"/>
          <w:szCs w:val="26"/>
          <w:rtl/>
          <w:lang w:val="en-US" w:eastAsia="en-US"/>
        </w:rPr>
      </w:pPr>
      <w:r w:rsidRPr="00AD6DCD">
        <w:rPr>
          <w:rFonts w:asciiTheme="majorBidi" w:eastAsia="Times New Roman" w:hAnsiTheme="majorBidi" w:cstheme="majorBidi"/>
          <w:color w:val="000000"/>
          <w:sz w:val="26"/>
          <w:szCs w:val="26"/>
          <w:rtl/>
          <w:lang w:val="en-US" w:eastAsia="en-US"/>
        </w:rPr>
        <w:t xml:space="preserve">تقدر التكلفة غير المباشرة للعنف الزوجي بـ 351 مليون درهم بالنسبة ل 10% من الضحايا اللواتي اضطررن إلى التوقف عن مزاولة الأشغال المنزلية و / أو </w:t>
      </w:r>
      <w:r w:rsidRPr="0050038D">
        <w:rPr>
          <w:rFonts w:asciiTheme="majorBidi" w:eastAsia="Times New Roman" w:hAnsiTheme="majorBidi" w:cstheme="majorBidi"/>
          <w:color w:val="000000"/>
          <w:sz w:val="26"/>
          <w:szCs w:val="26"/>
          <w:rtl/>
          <w:lang w:val="en-US" w:eastAsia="en-US"/>
        </w:rPr>
        <w:t>العمل المؤدى عنه / أو الدراسة</w:t>
      </w:r>
      <w:r w:rsidRPr="00AD6DCD">
        <w:rPr>
          <w:rFonts w:asciiTheme="majorBidi" w:eastAsia="Times New Roman" w:hAnsiTheme="majorBidi" w:cstheme="majorBidi"/>
          <w:color w:val="000000"/>
          <w:sz w:val="26"/>
          <w:szCs w:val="26"/>
          <w:rtl/>
          <w:lang w:val="en-US" w:eastAsia="en-US"/>
        </w:rPr>
        <w:t xml:space="preserve">. ويمثل العنف الجسدي من هذه التكلفة 310 مليون درهم (88.5%) والعنف الجنسي 40.5 مليون درهم (11.5%). وتعود 63% من هذه التكلفة غير المباشرة إلى تكلفة الأيام المفقودة من العمل المنزلي بالنسبة للضحايا ولأزواجهن (222 مليون درهم) و36% منها لفقدان أيام العمل </w:t>
      </w:r>
      <w:r w:rsidRPr="0050038D">
        <w:rPr>
          <w:rFonts w:asciiTheme="majorBidi" w:eastAsia="Times New Roman" w:hAnsiTheme="majorBidi" w:cstheme="majorBidi"/>
          <w:color w:val="000000"/>
          <w:sz w:val="26"/>
          <w:szCs w:val="26"/>
          <w:rtl/>
          <w:lang w:val="en-US" w:eastAsia="en-US"/>
        </w:rPr>
        <w:t>المؤدى عنه</w:t>
      </w:r>
      <w:r w:rsidRPr="00AD6DCD">
        <w:rPr>
          <w:rFonts w:asciiTheme="majorBidi" w:eastAsia="Times New Roman" w:hAnsiTheme="majorBidi" w:cstheme="majorBidi"/>
          <w:color w:val="000000"/>
          <w:sz w:val="26"/>
          <w:szCs w:val="26"/>
          <w:rtl/>
          <w:lang w:val="en-US" w:eastAsia="en-US"/>
        </w:rPr>
        <w:t xml:space="preserve"> (126 مليون درهم) وأقل من 1% لضياع أيام الدراسة للأطفال (2.7 مليون درهم)</w:t>
      </w:r>
      <w:r w:rsidRPr="00AD6DCD">
        <w:rPr>
          <w:rFonts w:asciiTheme="majorBidi" w:eastAsia="Times New Roman" w:hAnsiTheme="majorBidi" w:cstheme="majorBidi"/>
          <w:b/>
          <w:bCs/>
          <w:color w:val="000000"/>
          <w:sz w:val="26"/>
          <w:szCs w:val="26"/>
          <w:rtl/>
          <w:lang w:val="en-US" w:eastAsia="en-US"/>
        </w:rPr>
        <w:t>.</w:t>
      </w:r>
    </w:p>
    <w:p w:rsidR="00231662" w:rsidRPr="00AD6DCD" w:rsidRDefault="000B1483" w:rsidP="00056852">
      <w:pPr>
        <w:bidi/>
        <w:spacing w:line="276" w:lineRule="auto"/>
        <w:jc w:val="both"/>
        <w:rPr>
          <w:rFonts w:asciiTheme="majorBidi" w:eastAsia="Times New Roman" w:hAnsiTheme="majorBidi" w:cstheme="majorBidi"/>
          <w:b/>
          <w:bCs/>
          <w:sz w:val="26"/>
          <w:szCs w:val="26"/>
        </w:rPr>
      </w:pPr>
      <w:r w:rsidRPr="00AD6DCD">
        <w:rPr>
          <w:rFonts w:asciiTheme="majorBidi" w:eastAsia="Times New Roman" w:hAnsiTheme="majorBidi" w:cstheme="majorBidi"/>
          <w:b/>
          <w:bCs/>
          <w:sz w:val="26"/>
          <w:szCs w:val="26"/>
          <w:rtl/>
        </w:rPr>
        <w:t xml:space="preserve">المبيان </w:t>
      </w:r>
      <w:r w:rsidR="00301621" w:rsidRPr="00AD6DCD">
        <w:rPr>
          <w:rFonts w:asciiTheme="majorBidi" w:eastAsia="Times New Roman" w:hAnsiTheme="majorBidi" w:cstheme="majorBidi"/>
          <w:b/>
          <w:bCs/>
          <w:sz w:val="26"/>
          <w:szCs w:val="26"/>
          <w:rtl/>
        </w:rPr>
        <w:t>4</w:t>
      </w:r>
      <w:r w:rsidRPr="00AD6DCD">
        <w:rPr>
          <w:rFonts w:asciiTheme="majorBidi" w:eastAsia="Times New Roman" w:hAnsiTheme="majorBidi" w:cstheme="majorBidi"/>
          <w:b/>
          <w:bCs/>
          <w:sz w:val="26"/>
          <w:szCs w:val="26"/>
          <w:rtl/>
        </w:rPr>
        <w:t xml:space="preserve">: </w:t>
      </w:r>
      <w:r w:rsidR="00AD6DCD">
        <w:rPr>
          <w:rFonts w:asciiTheme="majorBidi" w:eastAsia="Times New Roman" w:hAnsiTheme="majorBidi" w:cstheme="majorBidi" w:hint="cs"/>
          <w:b/>
          <w:bCs/>
          <w:sz w:val="26"/>
          <w:szCs w:val="26"/>
          <w:rtl/>
        </w:rPr>
        <w:t xml:space="preserve">بنية </w:t>
      </w:r>
      <w:r w:rsidRPr="00AD6DCD">
        <w:rPr>
          <w:rFonts w:asciiTheme="majorBidi" w:eastAsia="Times New Roman" w:hAnsiTheme="majorBidi" w:cstheme="majorBidi"/>
          <w:b/>
          <w:bCs/>
          <w:sz w:val="26"/>
          <w:szCs w:val="26"/>
          <w:rtl/>
        </w:rPr>
        <w:t xml:space="preserve">التكلفة المباشرة </w:t>
      </w:r>
      <w:r w:rsidR="002A235F" w:rsidRPr="00AD6DCD">
        <w:rPr>
          <w:rFonts w:asciiTheme="majorBidi" w:eastAsia="Times New Roman" w:hAnsiTheme="majorBidi" w:cstheme="majorBidi"/>
          <w:b/>
          <w:bCs/>
          <w:sz w:val="26"/>
          <w:szCs w:val="26"/>
          <w:rtl/>
        </w:rPr>
        <w:t>وغير</w:t>
      </w:r>
      <w:r w:rsidRPr="00AD6DCD">
        <w:rPr>
          <w:rFonts w:asciiTheme="majorBidi" w:eastAsia="Times New Roman" w:hAnsiTheme="majorBidi" w:cstheme="majorBidi"/>
          <w:b/>
          <w:bCs/>
          <w:sz w:val="26"/>
          <w:szCs w:val="26"/>
          <w:rtl/>
        </w:rPr>
        <w:t xml:space="preserve"> المباشرة للعنف الزوجي </w:t>
      </w:r>
      <w:r w:rsidR="00AD6DCD">
        <w:rPr>
          <w:rFonts w:asciiTheme="majorBidi" w:eastAsia="Times New Roman" w:hAnsiTheme="majorBidi" w:cstheme="majorBidi" w:hint="cs"/>
          <w:b/>
          <w:bCs/>
          <w:sz w:val="26"/>
          <w:szCs w:val="26"/>
          <w:rtl/>
        </w:rPr>
        <w:t>حسب نوع</w:t>
      </w:r>
      <w:r w:rsidR="00AD6DCD" w:rsidRPr="00AD6DCD">
        <w:rPr>
          <w:rFonts w:asciiTheme="majorBidi" w:eastAsia="Times New Roman" w:hAnsiTheme="majorBidi" w:cstheme="majorBidi"/>
          <w:b/>
          <w:bCs/>
          <w:sz w:val="26"/>
          <w:szCs w:val="26"/>
          <w:rtl/>
        </w:rPr>
        <w:t xml:space="preserve"> ال</w:t>
      </w:r>
      <w:r w:rsidR="00AD6DCD">
        <w:rPr>
          <w:rFonts w:asciiTheme="majorBidi" w:eastAsia="Times New Roman" w:hAnsiTheme="majorBidi" w:cstheme="majorBidi" w:hint="cs"/>
          <w:b/>
          <w:bCs/>
          <w:sz w:val="26"/>
          <w:szCs w:val="26"/>
          <w:rtl/>
        </w:rPr>
        <w:t>نفقات</w:t>
      </w:r>
      <w:r w:rsidR="00AD6DCD" w:rsidRPr="00AD6DCD">
        <w:rPr>
          <w:rFonts w:asciiTheme="majorBidi" w:eastAsia="Times New Roman" w:hAnsiTheme="majorBidi" w:cstheme="majorBidi"/>
          <w:b/>
          <w:bCs/>
          <w:sz w:val="26"/>
          <w:szCs w:val="26"/>
          <w:rtl/>
        </w:rPr>
        <w:t xml:space="preserve"> </w:t>
      </w:r>
      <w:r w:rsidRPr="00AD6DCD">
        <w:rPr>
          <w:rFonts w:asciiTheme="majorBidi" w:eastAsia="Times New Roman" w:hAnsiTheme="majorBidi" w:cstheme="majorBidi"/>
          <w:b/>
          <w:bCs/>
          <w:sz w:val="26"/>
          <w:szCs w:val="26"/>
          <w:rtl/>
        </w:rPr>
        <w:t>(ب</w:t>
      </w:r>
      <w:r w:rsidR="00627C31" w:rsidRPr="00AD6DCD">
        <w:rPr>
          <w:rFonts w:asciiTheme="majorBidi" w:eastAsia="Times New Roman" w:hAnsiTheme="majorBidi" w:cstheme="majorBidi"/>
          <w:b/>
          <w:bCs/>
          <w:sz w:val="26"/>
          <w:szCs w:val="26"/>
          <w:rtl/>
        </w:rPr>
        <w:t>%</w:t>
      </w:r>
      <w:r w:rsidRPr="00AD6DCD">
        <w:rPr>
          <w:rFonts w:asciiTheme="majorBidi" w:eastAsia="Times New Roman" w:hAnsiTheme="majorBidi" w:cstheme="majorBidi"/>
          <w:b/>
          <w:bCs/>
          <w:sz w:val="26"/>
          <w:szCs w:val="26"/>
          <w:rtl/>
        </w:rPr>
        <w:t>)</w:t>
      </w:r>
    </w:p>
    <w:p w:rsidR="00231662" w:rsidRPr="00DD680E" w:rsidRDefault="00231662" w:rsidP="00056852">
      <w:pPr>
        <w:bidi/>
        <w:spacing w:line="276" w:lineRule="auto"/>
        <w:jc w:val="both"/>
        <w:rPr>
          <w:rFonts w:asciiTheme="majorBidi" w:eastAsia="Times New Roman" w:hAnsiTheme="majorBidi" w:cstheme="majorBidi"/>
          <w:b/>
          <w:sz w:val="28"/>
          <w:szCs w:val="28"/>
        </w:rPr>
      </w:pPr>
      <w:r w:rsidRPr="00DD680E">
        <w:rPr>
          <w:rFonts w:asciiTheme="majorBidi" w:hAnsiTheme="majorBidi" w:cstheme="majorBidi"/>
          <w:noProof/>
          <w:sz w:val="28"/>
          <w:szCs w:val="28"/>
        </w:rPr>
        <w:drawing>
          <wp:inline distT="0" distB="0" distL="0" distR="0">
            <wp:extent cx="2594610" cy="2475848"/>
            <wp:effectExtent l="0" t="0" r="1524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DD680E">
        <w:rPr>
          <w:rFonts w:asciiTheme="majorBidi" w:hAnsiTheme="majorBidi" w:cstheme="majorBidi"/>
          <w:noProof/>
          <w:sz w:val="28"/>
          <w:szCs w:val="28"/>
        </w:rPr>
        <w:drawing>
          <wp:inline distT="0" distB="0" distL="0" distR="0">
            <wp:extent cx="2752725" cy="2500439"/>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F112C" w:rsidRPr="00DD680E" w:rsidRDefault="002A235F" w:rsidP="00056852">
      <w:pPr>
        <w:bidi/>
        <w:spacing w:line="276" w:lineRule="auto"/>
        <w:jc w:val="both"/>
        <w:rPr>
          <w:rFonts w:asciiTheme="majorBidi" w:eastAsia="Times New Roman" w:hAnsiTheme="majorBidi" w:cstheme="majorBidi"/>
          <w:bCs/>
          <w:sz w:val="28"/>
          <w:szCs w:val="28"/>
          <w:rtl/>
        </w:rPr>
      </w:pPr>
      <w:r w:rsidRPr="0050038D">
        <w:rPr>
          <w:rFonts w:asciiTheme="majorBidi" w:eastAsia="Times New Roman" w:hAnsiTheme="majorBidi" w:cstheme="majorBidi"/>
          <w:b/>
          <w:sz w:val="22"/>
          <w:szCs w:val="22"/>
          <w:rtl/>
        </w:rPr>
        <w:t>ا</w:t>
      </w:r>
      <w:r w:rsidRPr="0050038D">
        <w:rPr>
          <w:rFonts w:asciiTheme="majorBidi" w:eastAsia="Times New Roman" w:hAnsiTheme="majorBidi" w:cstheme="majorBidi"/>
          <w:bCs/>
          <w:sz w:val="22"/>
          <w:szCs w:val="22"/>
          <w:rtl/>
        </w:rPr>
        <w:t>لمصدر:</w:t>
      </w:r>
      <w:r w:rsidR="00FE4A8A" w:rsidRPr="0050038D">
        <w:rPr>
          <w:rFonts w:asciiTheme="majorBidi" w:eastAsia="Times New Roman" w:hAnsiTheme="majorBidi" w:cstheme="majorBidi"/>
          <w:bCs/>
          <w:sz w:val="22"/>
          <w:szCs w:val="22"/>
          <w:rtl/>
        </w:rPr>
        <w:t xml:space="preserve"> المندوبية السامية </w:t>
      </w:r>
      <w:r w:rsidRPr="0050038D">
        <w:rPr>
          <w:rFonts w:asciiTheme="majorBidi" w:eastAsia="Times New Roman" w:hAnsiTheme="majorBidi" w:cstheme="majorBidi"/>
          <w:bCs/>
          <w:sz w:val="22"/>
          <w:szCs w:val="22"/>
          <w:rtl/>
        </w:rPr>
        <w:t>للتخطيط، البحث</w:t>
      </w:r>
      <w:r w:rsidR="00FE4A8A" w:rsidRPr="0050038D">
        <w:rPr>
          <w:rFonts w:asciiTheme="majorBidi" w:eastAsia="Times New Roman" w:hAnsiTheme="majorBidi" w:cstheme="majorBidi"/>
          <w:bCs/>
          <w:sz w:val="22"/>
          <w:szCs w:val="22"/>
          <w:rtl/>
        </w:rPr>
        <w:t xml:space="preserve"> الوطني حول العنف ضد النساء </w:t>
      </w:r>
      <w:r w:rsidRPr="0050038D">
        <w:rPr>
          <w:rFonts w:asciiTheme="majorBidi" w:eastAsia="Times New Roman" w:hAnsiTheme="majorBidi" w:cstheme="majorBidi"/>
          <w:bCs/>
          <w:sz w:val="22"/>
          <w:szCs w:val="22"/>
          <w:rtl/>
        </w:rPr>
        <w:t>والرجال 2019</w:t>
      </w:r>
    </w:p>
    <w:p w:rsidR="00DE05F7" w:rsidRPr="0050038D" w:rsidRDefault="00DE05F7" w:rsidP="00056852">
      <w:pPr>
        <w:bidi/>
        <w:spacing w:before="120" w:line="276" w:lineRule="auto"/>
        <w:jc w:val="both"/>
        <w:rPr>
          <w:rFonts w:asciiTheme="majorBidi" w:eastAsia="Times New Roman" w:hAnsiTheme="majorBidi" w:cstheme="majorBidi"/>
          <w:b/>
          <w:bCs/>
          <w:i/>
          <w:iCs/>
          <w:color w:val="1F3864" w:themeColor="accent1" w:themeShade="80"/>
          <w:sz w:val="30"/>
          <w:szCs w:val="30"/>
          <w:lang w:val="en-US" w:eastAsia="en-US"/>
        </w:rPr>
      </w:pPr>
      <w:r w:rsidRPr="0050038D">
        <w:rPr>
          <w:rFonts w:asciiTheme="majorBidi" w:eastAsia="Times New Roman" w:hAnsiTheme="majorBidi" w:cstheme="majorBidi"/>
          <w:b/>
          <w:bCs/>
          <w:i/>
          <w:iCs/>
          <w:color w:val="1F3864" w:themeColor="accent1" w:themeShade="80"/>
          <w:sz w:val="30"/>
          <w:szCs w:val="30"/>
          <w:rtl/>
          <w:lang w:val="en-US" w:eastAsia="en-US"/>
        </w:rPr>
        <w:lastRenderedPageBreak/>
        <w:t>تقدر تكلفة العنف داخل الفضاء العائلي بحوالي 366.3 مليون درهم</w:t>
      </w:r>
    </w:p>
    <w:p w:rsidR="00DE05F7" w:rsidRPr="00AD6DCD" w:rsidRDefault="00DE05F7" w:rsidP="00056852">
      <w:pPr>
        <w:pStyle w:val="NormalWeb"/>
        <w:bidi/>
        <w:spacing w:before="240" w:beforeAutospacing="0" w:after="0" w:afterAutospacing="0" w:line="276" w:lineRule="auto"/>
        <w:jc w:val="both"/>
        <w:rPr>
          <w:rFonts w:asciiTheme="majorBidi" w:hAnsiTheme="majorBidi" w:cstheme="majorBidi"/>
          <w:sz w:val="26"/>
          <w:szCs w:val="26"/>
        </w:rPr>
      </w:pPr>
      <w:r w:rsidRPr="00AD6DCD">
        <w:rPr>
          <w:rFonts w:asciiTheme="majorBidi" w:hAnsiTheme="majorBidi" w:cstheme="majorBidi"/>
          <w:color w:val="000000"/>
          <w:sz w:val="26"/>
          <w:szCs w:val="26"/>
          <w:rtl/>
        </w:rPr>
        <w:t>تقدر التكلفة الإجمالية للعنف العائلي بالنسبة ل 24.4% من النساء اللواتي تحملن التكاليف بسبب العنف الجسدي و / أو الجنسي الذي تعرضن له خلال الـ 12 شهرًا التي سبقت البحث بـ 366 مليون درهم.وتعود تقريبا كل هذه التكلفة (94% أو 343 مليون درهم)  للعنف الجسدي و6% الباقية (22.9 مليون درهم) للعنف الجنسي.</w:t>
      </w:r>
    </w:p>
    <w:p w:rsidR="00DE05F7" w:rsidRPr="0050038D" w:rsidRDefault="00DE05F7" w:rsidP="00056852">
      <w:pPr>
        <w:pStyle w:val="NormalWeb"/>
        <w:bidi/>
        <w:spacing w:before="240" w:beforeAutospacing="0" w:after="0" w:afterAutospacing="0" w:line="276" w:lineRule="auto"/>
        <w:jc w:val="both"/>
        <w:rPr>
          <w:rFonts w:asciiTheme="majorBidi" w:hAnsiTheme="majorBidi" w:cstheme="majorBidi"/>
          <w:color w:val="000000"/>
          <w:sz w:val="26"/>
          <w:szCs w:val="26"/>
          <w:rtl/>
        </w:rPr>
      </w:pPr>
      <w:r w:rsidRPr="0050038D">
        <w:rPr>
          <w:rFonts w:asciiTheme="majorBidi" w:hAnsiTheme="majorBidi" w:cstheme="majorBidi"/>
          <w:color w:val="000000"/>
          <w:sz w:val="26"/>
          <w:szCs w:val="26"/>
          <w:rtl/>
        </w:rPr>
        <w:t>فيما يتعلق</w:t>
      </w:r>
      <w:r w:rsidRPr="00AD6DCD">
        <w:rPr>
          <w:rFonts w:asciiTheme="majorBidi" w:hAnsiTheme="majorBidi" w:cstheme="majorBidi"/>
          <w:color w:val="000000"/>
          <w:sz w:val="26"/>
          <w:szCs w:val="26"/>
          <w:rtl/>
        </w:rPr>
        <w:t xml:space="preserve"> بالتكلفة المباشرة، أدت حوادث العنف الممارس على الفتيات والنساء من قبل أفراد الأسرة (أو الأصهار) إلى إنفاق سنوي قدره 307 مليون درهم أي ما يعادل 84% من التكلفة الإجمالية لهذا المجال يتحمله 20.5% من النساء الضحايا وأسرهن.</w:t>
      </w:r>
    </w:p>
    <w:p w:rsidR="00DE05F7" w:rsidRPr="00AD6DCD" w:rsidRDefault="00DE05F7" w:rsidP="00056852">
      <w:pPr>
        <w:pStyle w:val="NormalWeb"/>
        <w:bidi/>
        <w:spacing w:before="240" w:beforeAutospacing="0" w:after="0" w:afterAutospacing="0" w:line="276" w:lineRule="auto"/>
        <w:jc w:val="both"/>
        <w:rPr>
          <w:rFonts w:asciiTheme="majorBidi" w:hAnsiTheme="majorBidi" w:cstheme="majorBidi"/>
          <w:sz w:val="26"/>
          <w:szCs w:val="26"/>
          <w:rtl/>
        </w:rPr>
      </w:pPr>
      <w:r w:rsidRPr="00AD6DCD">
        <w:rPr>
          <w:rFonts w:asciiTheme="majorBidi" w:hAnsiTheme="majorBidi" w:cstheme="majorBidi"/>
          <w:color w:val="000000"/>
          <w:sz w:val="26"/>
          <w:szCs w:val="26"/>
          <w:rtl/>
        </w:rPr>
        <w:t xml:space="preserve">وفي هذا المجال، تلجأ النساء ضحايا العنف للخدمات القانونية والقضائية أكثر من خدمات الرعاية الصحية. وتقدر التكاليف المترتبة عن ذلك على التوالي بـ 124.5 مليون درهم و119 مليون درهم. كما </w:t>
      </w:r>
      <w:r w:rsidRPr="0050038D">
        <w:rPr>
          <w:rFonts w:asciiTheme="majorBidi" w:hAnsiTheme="majorBidi" w:cstheme="majorBidi"/>
          <w:color w:val="000000"/>
          <w:sz w:val="26"/>
          <w:szCs w:val="26"/>
          <w:rtl/>
        </w:rPr>
        <w:t>يترتب</w:t>
      </w:r>
      <w:r w:rsidRPr="00AD6DCD">
        <w:rPr>
          <w:rFonts w:asciiTheme="majorBidi" w:hAnsiTheme="majorBidi" w:cstheme="majorBidi"/>
          <w:color w:val="000000"/>
          <w:sz w:val="26"/>
          <w:szCs w:val="26"/>
          <w:rtl/>
        </w:rPr>
        <w:t xml:space="preserve"> عن إصلاح أو استبدال </w:t>
      </w:r>
      <w:r w:rsidRPr="0050038D">
        <w:rPr>
          <w:rFonts w:asciiTheme="majorBidi" w:hAnsiTheme="majorBidi" w:cstheme="majorBidi"/>
          <w:color w:val="000000"/>
          <w:sz w:val="26"/>
          <w:szCs w:val="26"/>
          <w:rtl/>
        </w:rPr>
        <w:t>الممتلكات</w:t>
      </w:r>
      <w:r w:rsidRPr="00AD6DCD">
        <w:rPr>
          <w:rFonts w:asciiTheme="majorBidi" w:hAnsiTheme="majorBidi" w:cstheme="majorBidi"/>
          <w:color w:val="000000"/>
          <w:sz w:val="26"/>
          <w:szCs w:val="26"/>
          <w:rtl/>
        </w:rPr>
        <w:t xml:space="preserve"> التي تم إتلافها إثر حوادث العنف تكلفة إجمالية قدرها 41.8 مليون درهم. وأنفقت النساء اللواتي غادرن بيت الأسرة ما مجموعه 21.3 مليون درهم مقابل مصاريف السكن المترتبة عن مغادرتهن للبيت.</w:t>
      </w:r>
    </w:p>
    <w:p w:rsidR="00DE05F7" w:rsidRDefault="00DE05F7" w:rsidP="00056852">
      <w:pPr>
        <w:pStyle w:val="NormalWeb"/>
        <w:bidi/>
        <w:spacing w:before="240" w:beforeAutospacing="0" w:after="0" w:afterAutospacing="0" w:line="276" w:lineRule="auto"/>
        <w:jc w:val="both"/>
        <w:rPr>
          <w:rFonts w:asciiTheme="majorBidi" w:hAnsiTheme="majorBidi" w:cstheme="majorBidi"/>
          <w:color w:val="000000"/>
          <w:sz w:val="26"/>
          <w:szCs w:val="26"/>
          <w:rtl/>
        </w:rPr>
      </w:pPr>
      <w:r w:rsidRPr="00AD6DCD">
        <w:rPr>
          <w:rFonts w:asciiTheme="majorBidi" w:hAnsiTheme="majorBidi" w:cstheme="majorBidi"/>
          <w:color w:val="000000"/>
          <w:sz w:val="26"/>
          <w:szCs w:val="26"/>
          <w:rtl/>
        </w:rPr>
        <w:t xml:space="preserve">بالنسبة لـ 15.9% من الضحايا اللواتي اضطررن لتحمل نفقات غير مباشرة، فإن حوادث العنف التي حدثت في الفضاء العائلي خلال الـ 12 شهرًا التي سبقت البحث أدت إلى تكلفة إجمالية غير مباشرة قدرها 59.1 مليون درهم. أكثر من 85% من هذه التكلفة أي 50.5 مليون درهم يعود إلى العنف الجسدي و15% (8.6 مليون درهم) إلى العنف الجنسي. وعلى غرار المجال الزوجي، يعود الجزء الأكبر من هذه التكلفة إلى تكلفة العمل المنزلي الذي تخلت عنه النساء الضحايا وأزواجهن بقيمة 36.2 مليون درهم (61.3% من التكلفة غير المباشرة لهذا المجال)، تليها التكلفة المترتبة عن فقدان العمل المؤدى عنه ب 19.9 مليون درهم (33.7%) وتكلفة تغيب أطفال الضحايا عن الدراسة ب 3 مليون درهم (5%). </w:t>
      </w:r>
    </w:p>
    <w:p w:rsidR="00056852" w:rsidRDefault="00056852" w:rsidP="00056852">
      <w:pPr>
        <w:bidi/>
        <w:spacing w:line="276" w:lineRule="auto"/>
        <w:jc w:val="both"/>
        <w:rPr>
          <w:rFonts w:asciiTheme="majorBidi" w:eastAsia="Times New Roman" w:hAnsiTheme="majorBidi" w:cstheme="majorBidi"/>
          <w:b/>
          <w:bCs/>
          <w:sz w:val="26"/>
          <w:szCs w:val="26"/>
          <w:rtl/>
        </w:rPr>
      </w:pPr>
    </w:p>
    <w:p w:rsidR="000F218E" w:rsidRPr="00DD680E" w:rsidRDefault="00FE4A8A" w:rsidP="00056852">
      <w:pPr>
        <w:bidi/>
        <w:spacing w:line="276" w:lineRule="auto"/>
        <w:jc w:val="both"/>
        <w:rPr>
          <w:rFonts w:asciiTheme="majorBidi" w:eastAsia="Times New Roman" w:hAnsiTheme="majorBidi" w:cstheme="majorBidi"/>
          <w:b/>
          <w:bCs/>
          <w:sz w:val="28"/>
          <w:szCs w:val="28"/>
        </w:rPr>
      </w:pPr>
      <w:r w:rsidRPr="00AD6DCD">
        <w:rPr>
          <w:rFonts w:asciiTheme="majorBidi" w:eastAsia="Times New Roman" w:hAnsiTheme="majorBidi" w:cstheme="majorBidi"/>
          <w:b/>
          <w:bCs/>
          <w:sz w:val="26"/>
          <w:szCs w:val="26"/>
          <w:rtl/>
        </w:rPr>
        <w:lastRenderedPageBreak/>
        <w:t xml:space="preserve">المبيان </w:t>
      </w:r>
      <w:r w:rsidR="00301621" w:rsidRPr="00AD6DCD">
        <w:rPr>
          <w:rFonts w:asciiTheme="majorBidi" w:eastAsia="Times New Roman" w:hAnsiTheme="majorBidi" w:cstheme="majorBidi"/>
          <w:b/>
          <w:bCs/>
          <w:sz w:val="26"/>
          <w:szCs w:val="26"/>
          <w:rtl/>
        </w:rPr>
        <w:t>5</w:t>
      </w:r>
      <w:r w:rsidRPr="00056852">
        <w:rPr>
          <w:rFonts w:asciiTheme="majorBidi" w:eastAsia="Times New Roman" w:hAnsiTheme="majorBidi" w:cstheme="majorBidi"/>
          <w:b/>
          <w:bCs/>
          <w:color w:val="000000"/>
          <w:sz w:val="26"/>
          <w:szCs w:val="26"/>
          <w:rtl/>
          <w:lang w:val="en-US" w:eastAsia="en-US"/>
        </w:rPr>
        <w:t xml:space="preserve">: </w:t>
      </w:r>
      <w:r w:rsidR="00E93049" w:rsidRPr="00056852">
        <w:rPr>
          <w:rFonts w:asciiTheme="majorBidi" w:eastAsia="Times New Roman" w:hAnsiTheme="majorBidi" w:cstheme="majorBidi" w:hint="cs"/>
          <w:b/>
          <w:bCs/>
          <w:color w:val="000000"/>
          <w:sz w:val="26"/>
          <w:szCs w:val="26"/>
          <w:rtl/>
          <w:lang w:val="en-US" w:eastAsia="en-US"/>
        </w:rPr>
        <w:t>بنية</w:t>
      </w:r>
      <w:r w:rsidRPr="00056852">
        <w:rPr>
          <w:rFonts w:asciiTheme="majorBidi" w:eastAsia="Times New Roman" w:hAnsiTheme="majorBidi" w:cstheme="majorBidi"/>
          <w:b/>
          <w:bCs/>
          <w:color w:val="000000"/>
          <w:sz w:val="26"/>
          <w:szCs w:val="26"/>
          <w:rtl/>
          <w:lang w:val="en-US" w:eastAsia="en-US"/>
        </w:rPr>
        <w:t xml:space="preserve"> التكلفة المباشرة </w:t>
      </w:r>
      <w:r w:rsidR="002A235F" w:rsidRPr="00056852">
        <w:rPr>
          <w:rFonts w:asciiTheme="majorBidi" w:eastAsia="Times New Roman" w:hAnsiTheme="majorBidi" w:cstheme="majorBidi"/>
          <w:b/>
          <w:bCs/>
          <w:color w:val="000000"/>
          <w:sz w:val="26"/>
          <w:szCs w:val="26"/>
          <w:rtl/>
          <w:lang w:val="en-US" w:eastAsia="en-US"/>
        </w:rPr>
        <w:t>وغير</w:t>
      </w:r>
      <w:r w:rsidRPr="00056852">
        <w:rPr>
          <w:rFonts w:asciiTheme="majorBidi" w:eastAsia="Times New Roman" w:hAnsiTheme="majorBidi" w:cstheme="majorBidi"/>
          <w:b/>
          <w:bCs/>
          <w:color w:val="000000"/>
          <w:sz w:val="26"/>
          <w:szCs w:val="26"/>
          <w:rtl/>
          <w:lang w:val="en-US" w:eastAsia="en-US"/>
        </w:rPr>
        <w:t xml:space="preserve"> المباشرة للعنف العائلي </w:t>
      </w:r>
      <w:r w:rsidR="00E93049" w:rsidRPr="00056852">
        <w:rPr>
          <w:rFonts w:asciiTheme="majorBidi" w:eastAsia="Times New Roman" w:hAnsiTheme="majorBidi" w:cstheme="majorBidi" w:hint="cs"/>
          <w:b/>
          <w:bCs/>
          <w:color w:val="000000"/>
          <w:sz w:val="26"/>
          <w:szCs w:val="26"/>
          <w:rtl/>
          <w:lang w:val="en-US" w:eastAsia="en-US"/>
        </w:rPr>
        <w:t>حسب نوع</w:t>
      </w:r>
      <w:r w:rsidR="00E93049" w:rsidRPr="00056852">
        <w:rPr>
          <w:rFonts w:asciiTheme="majorBidi" w:eastAsia="Times New Roman" w:hAnsiTheme="majorBidi" w:cstheme="majorBidi"/>
          <w:b/>
          <w:bCs/>
          <w:color w:val="000000"/>
          <w:sz w:val="26"/>
          <w:szCs w:val="26"/>
          <w:rtl/>
          <w:lang w:val="en-US" w:eastAsia="en-US"/>
        </w:rPr>
        <w:t xml:space="preserve"> ال</w:t>
      </w:r>
      <w:r w:rsidR="00E93049" w:rsidRPr="00056852">
        <w:rPr>
          <w:rFonts w:asciiTheme="majorBidi" w:eastAsia="Times New Roman" w:hAnsiTheme="majorBidi" w:cstheme="majorBidi" w:hint="cs"/>
          <w:b/>
          <w:bCs/>
          <w:color w:val="000000"/>
          <w:sz w:val="26"/>
          <w:szCs w:val="26"/>
          <w:rtl/>
          <w:lang w:val="en-US" w:eastAsia="en-US"/>
        </w:rPr>
        <w:t>نفقات</w:t>
      </w:r>
      <w:r w:rsidR="00E93049" w:rsidRPr="00056852">
        <w:rPr>
          <w:rFonts w:asciiTheme="majorBidi" w:eastAsia="Times New Roman" w:hAnsiTheme="majorBidi" w:cstheme="majorBidi"/>
          <w:b/>
          <w:bCs/>
          <w:color w:val="000000"/>
          <w:sz w:val="26"/>
          <w:szCs w:val="26"/>
          <w:rtl/>
          <w:lang w:val="en-US" w:eastAsia="en-US"/>
        </w:rPr>
        <w:t xml:space="preserve"> </w:t>
      </w:r>
      <w:r w:rsidRPr="00056852">
        <w:rPr>
          <w:rFonts w:asciiTheme="majorBidi" w:eastAsia="Times New Roman" w:hAnsiTheme="majorBidi" w:cstheme="majorBidi"/>
          <w:b/>
          <w:bCs/>
          <w:color w:val="000000"/>
          <w:sz w:val="26"/>
          <w:szCs w:val="26"/>
          <w:rtl/>
          <w:lang w:val="en-US" w:eastAsia="en-US"/>
        </w:rPr>
        <w:t>(ب</w:t>
      </w:r>
      <w:r w:rsidR="00627C31" w:rsidRPr="00056852">
        <w:rPr>
          <w:rFonts w:asciiTheme="majorBidi" w:eastAsia="Times New Roman" w:hAnsiTheme="majorBidi" w:cstheme="majorBidi"/>
          <w:b/>
          <w:bCs/>
          <w:color w:val="000000"/>
          <w:sz w:val="26"/>
          <w:szCs w:val="26"/>
          <w:rtl/>
          <w:lang w:val="en-US" w:eastAsia="en-US"/>
        </w:rPr>
        <w:t>%</w:t>
      </w:r>
      <w:r w:rsidRPr="00056852">
        <w:rPr>
          <w:rFonts w:asciiTheme="majorBidi" w:eastAsia="Times New Roman" w:hAnsiTheme="majorBidi" w:cstheme="majorBidi"/>
          <w:b/>
          <w:bCs/>
          <w:color w:val="000000"/>
          <w:sz w:val="26"/>
          <w:szCs w:val="26"/>
          <w:rtl/>
          <w:lang w:val="en-US" w:eastAsia="en-US"/>
        </w:rPr>
        <w:t>)</w:t>
      </w:r>
      <w:r w:rsidR="000F218E" w:rsidRPr="00DD680E">
        <w:rPr>
          <w:rFonts w:asciiTheme="majorBidi" w:hAnsiTheme="majorBidi" w:cstheme="majorBidi"/>
          <w:noProof/>
          <w:sz w:val="28"/>
          <w:szCs w:val="28"/>
        </w:rPr>
        <w:drawing>
          <wp:inline distT="0" distB="0" distL="0" distR="0">
            <wp:extent cx="5170788" cy="2322435"/>
            <wp:effectExtent l="19050" t="0" r="10812" b="166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F218E" w:rsidRPr="00DD680E">
        <w:rPr>
          <w:rFonts w:asciiTheme="majorBidi" w:hAnsiTheme="majorBidi" w:cstheme="majorBidi"/>
          <w:noProof/>
          <w:sz w:val="28"/>
          <w:szCs w:val="28"/>
        </w:rPr>
        <w:drawing>
          <wp:inline distT="0" distB="0" distL="0" distR="0">
            <wp:extent cx="5123146" cy="2323671"/>
            <wp:effectExtent l="19050" t="0" r="20354" b="429"/>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E4A8A" w:rsidRPr="00E93049" w:rsidRDefault="002A235F" w:rsidP="00056852">
      <w:pPr>
        <w:bidi/>
        <w:spacing w:line="276" w:lineRule="auto"/>
        <w:jc w:val="both"/>
        <w:rPr>
          <w:rFonts w:asciiTheme="majorBidi" w:eastAsia="Times New Roman" w:hAnsiTheme="majorBidi" w:cstheme="majorBidi"/>
          <w:b/>
          <w:sz w:val="22"/>
          <w:szCs w:val="22"/>
        </w:rPr>
      </w:pPr>
      <w:r w:rsidRPr="00E93049">
        <w:rPr>
          <w:rFonts w:asciiTheme="majorBidi" w:eastAsia="Times New Roman" w:hAnsiTheme="majorBidi" w:cstheme="majorBidi"/>
          <w:b/>
          <w:sz w:val="22"/>
          <w:szCs w:val="22"/>
          <w:rtl/>
        </w:rPr>
        <w:t>ا</w:t>
      </w:r>
      <w:r w:rsidRPr="00E93049">
        <w:rPr>
          <w:rFonts w:asciiTheme="majorBidi" w:eastAsia="Times New Roman" w:hAnsiTheme="majorBidi" w:cstheme="majorBidi"/>
          <w:bCs/>
          <w:sz w:val="22"/>
          <w:szCs w:val="22"/>
          <w:rtl/>
        </w:rPr>
        <w:t>لمصدر:</w:t>
      </w:r>
      <w:r w:rsidR="00FE4A8A" w:rsidRPr="00E93049">
        <w:rPr>
          <w:rFonts w:asciiTheme="majorBidi" w:eastAsia="Times New Roman" w:hAnsiTheme="majorBidi" w:cstheme="majorBidi"/>
          <w:bCs/>
          <w:sz w:val="22"/>
          <w:szCs w:val="22"/>
          <w:rtl/>
        </w:rPr>
        <w:t xml:space="preserve"> المندوبية السامية </w:t>
      </w:r>
      <w:r w:rsidRPr="00E93049">
        <w:rPr>
          <w:rFonts w:asciiTheme="majorBidi" w:eastAsia="Times New Roman" w:hAnsiTheme="majorBidi" w:cstheme="majorBidi"/>
          <w:bCs/>
          <w:sz w:val="22"/>
          <w:szCs w:val="22"/>
          <w:rtl/>
        </w:rPr>
        <w:t>للتخطيط، البحث</w:t>
      </w:r>
      <w:r w:rsidR="00FE4A8A" w:rsidRPr="00E93049">
        <w:rPr>
          <w:rFonts w:asciiTheme="majorBidi" w:eastAsia="Times New Roman" w:hAnsiTheme="majorBidi" w:cstheme="majorBidi"/>
          <w:bCs/>
          <w:sz w:val="22"/>
          <w:szCs w:val="22"/>
          <w:rtl/>
        </w:rPr>
        <w:t xml:space="preserve"> الوطني حول العنف ضد النساء </w:t>
      </w:r>
      <w:r w:rsidRPr="00E93049">
        <w:rPr>
          <w:rFonts w:asciiTheme="majorBidi" w:eastAsia="Times New Roman" w:hAnsiTheme="majorBidi" w:cstheme="majorBidi"/>
          <w:bCs/>
          <w:sz w:val="22"/>
          <w:szCs w:val="22"/>
          <w:rtl/>
        </w:rPr>
        <w:t>والرجال</w:t>
      </w:r>
      <w:r w:rsidR="00FE4A8A" w:rsidRPr="00E93049">
        <w:rPr>
          <w:rFonts w:asciiTheme="majorBidi" w:eastAsia="Times New Roman" w:hAnsiTheme="majorBidi" w:cstheme="majorBidi"/>
          <w:bCs/>
          <w:sz w:val="22"/>
          <w:szCs w:val="22"/>
          <w:rtl/>
        </w:rPr>
        <w:t xml:space="preserve"> 2019</w:t>
      </w:r>
    </w:p>
    <w:p w:rsidR="00700842" w:rsidRDefault="00700842" w:rsidP="00056852">
      <w:pPr>
        <w:bidi/>
        <w:spacing w:before="120" w:line="276" w:lineRule="auto"/>
        <w:jc w:val="both"/>
        <w:rPr>
          <w:rFonts w:asciiTheme="majorBidi" w:eastAsia="Times New Roman" w:hAnsiTheme="majorBidi" w:cstheme="majorBidi"/>
          <w:b/>
          <w:bCs/>
          <w:i/>
          <w:iCs/>
          <w:color w:val="1F3864" w:themeColor="accent1" w:themeShade="80"/>
          <w:sz w:val="30"/>
          <w:szCs w:val="30"/>
          <w:rtl/>
          <w:lang w:val="en-US" w:eastAsia="en-US"/>
        </w:rPr>
      </w:pPr>
    </w:p>
    <w:p w:rsidR="00A21761" w:rsidRPr="0050038D" w:rsidRDefault="00A21761" w:rsidP="00700842">
      <w:pPr>
        <w:bidi/>
        <w:spacing w:before="120" w:line="276" w:lineRule="auto"/>
        <w:jc w:val="both"/>
        <w:rPr>
          <w:rFonts w:asciiTheme="majorBidi" w:eastAsia="Times New Roman" w:hAnsiTheme="majorBidi" w:cstheme="majorBidi"/>
          <w:b/>
          <w:bCs/>
          <w:i/>
          <w:iCs/>
          <w:color w:val="1F3864" w:themeColor="accent1" w:themeShade="80"/>
          <w:sz w:val="30"/>
          <w:szCs w:val="30"/>
          <w:lang w:val="en-US" w:eastAsia="en-US"/>
        </w:rPr>
      </w:pPr>
      <w:r w:rsidRPr="0050038D">
        <w:rPr>
          <w:rFonts w:asciiTheme="majorBidi" w:eastAsia="Times New Roman" w:hAnsiTheme="majorBidi" w:cstheme="majorBidi"/>
          <w:b/>
          <w:bCs/>
          <w:i/>
          <w:iCs/>
          <w:color w:val="1F3864" w:themeColor="accent1" w:themeShade="80"/>
          <w:sz w:val="30"/>
          <w:szCs w:val="30"/>
          <w:rtl/>
          <w:lang w:val="en-US" w:eastAsia="en-US"/>
        </w:rPr>
        <w:t>تكلفة العنف للأسر في الأماكن العمومية تقدر ب 447.6 مليون درهم</w:t>
      </w:r>
    </w:p>
    <w:p w:rsidR="00A21761" w:rsidRPr="00E93049" w:rsidRDefault="00A21761" w:rsidP="00056852">
      <w:pPr>
        <w:pStyle w:val="NormalWeb"/>
        <w:bidi/>
        <w:spacing w:before="240" w:beforeAutospacing="0" w:after="0" w:afterAutospacing="0" w:line="276" w:lineRule="auto"/>
        <w:jc w:val="both"/>
        <w:rPr>
          <w:rFonts w:asciiTheme="majorBidi" w:hAnsiTheme="majorBidi" w:cstheme="majorBidi"/>
          <w:sz w:val="26"/>
          <w:szCs w:val="26"/>
        </w:rPr>
      </w:pPr>
      <w:r w:rsidRPr="00E93049">
        <w:rPr>
          <w:rFonts w:asciiTheme="majorBidi" w:hAnsiTheme="majorBidi" w:cstheme="majorBidi"/>
          <w:color w:val="000000"/>
          <w:sz w:val="26"/>
          <w:szCs w:val="26"/>
          <w:rtl/>
        </w:rPr>
        <w:t>من بين النساء اللواتي تعرضن للعنف في الأماكن العمومية، تحمل 16.2% منهن نفقات مباشرة وغير مباشرة تقدر بـ 448 مليون درهم خلال الـ 12 شهرًا التي سبقت البحث منها 358.5 مليون درهم نتيجة أفعال العنف الجسدي (80% من التكلفة الإجمالية) و98.2 مليون درهم بسبب أفعال العنف الجنسي (20%).</w:t>
      </w:r>
    </w:p>
    <w:p w:rsidR="00A21761" w:rsidRPr="00E93049" w:rsidRDefault="00A21761" w:rsidP="00056852">
      <w:pPr>
        <w:pStyle w:val="NormalWeb"/>
        <w:bidi/>
        <w:spacing w:before="240" w:beforeAutospacing="0" w:after="0" w:afterAutospacing="0" w:line="276" w:lineRule="auto"/>
        <w:jc w:val="both"/>
        <w:rPr>
          <w:rFonts w:asciiTheme="majorBidi" w:hAnsiTheme="majorBidi" w:cstheme="majorBidi"/>
          <w:sz w:val="26"/>
          <w:szCs w:val="26"/>
          <w:rtl/>
        </w:rPr>
      </w:pPr>
      <w:r w:rsidRPr="00E93049">
        <w:rPr>
          <w:rFonts w:asciiTheme="majorBidi" w:hAnsiTheme="majorBidi" w:cstheme="majorBidi"/>
          <w:color w:val="000000"/>
          <w:sz w:val="26"/>
          <w:szCs w:val="26"/>
          <w:rtl/>
        </w:rPr>
        <w:t xml:space="preserve">تبلغ التكلفة الإجمالية المباشرة لأحداث العنف الجسدي و / أو الجنسي في الأماكن العمومية التي حدثت خلال 12 عشر شهرًا التي سبقت البحث، بالنسبة لـ 15% من النساء اللواتي تحملن نفقات مترتبة عن هذا </w:t>
      </w:r>
      <w:r w:rsidR="00700842" w:rsidRPr="00E93049">
        <w:rPr>
          <w:rFonts w:asciiTheme="majorBidi" w:hAnsiTheme="majorBidi" w:cstheme="majorBidi" w:hint="cs"/>
          <w:color w:val="000000"/>
          <w:sz w:val="26"/>
          <w:szCs w:val="26"/>
          <w:rtl/>
        </w:rPr>
        <w:t>العنف،</w:t>
      </w:r>
      <w:r w:rsidRPr="00E93049">
        <w:rPr>
          <w:rFonts w:asciiTheme="majorBidi" w:hAnsiTheme="majorBidi" w:cstheme="majorBidi"/>
          <w:color w:val="000000"/>
          <w:sz w:val="26"/>
          <w:szCs w:val="26"/>
          <w:rtl/>
        </w:rPr>
        <w:t xml:space="preserve"> 356 مليون درهم أي ما يعادل 80 % من التكلفة الإجمالية في هذا المجال. أكثر من نصف هذه التكلفة (52%) تتعلق باستبدال أو إصلاح الممتلكات التي تم إتلافها (183 مليون درهم). تمثل النفقات المتعلقة بالخدمات الصحية 29% (103 مليون درهم) وتلك المرتبطة باللجوء للخدمات القانونية والقضائية 19% (66.2 مليون درهم).</w:t>
      </w:r>
    </w:p>
    <w:p w:rsidR="00A21761" w:rsidRPr="00E93049" w:rsidRDefault="00A21761" w:rsidP="00056852">
      <w:pPr>
        <w:pStyle w:val="NormalWeb"/>
        <w:bidi/>
        <w:spacing w:before="240" w:beforeAutospacing="0" w:after="240" w:afterAutospacing="0" w:line="276" w:lineRule="auto"/>
        <w:jc w:val="both"/>
        <w:rPr>
          <w:rFonts w:asciiTheme="majorBidi" w:hAnsiTheme="majorBidi" w:cstheme="majorBidi"/>
          <w:sz w:val="26"/>
          <w:szCs w:val="26"/>
          <w:rtl/>
        </w:rPr>
      </w:pPr>
      <w:r w:rsidRPr="00E93049">
        <w:rPr>
          <w:rFonts w:asciiTheme="majorBidi" w:hAnsiTheme="majorBidi" w:cstheme="majorBidi"/>
          <w:color w:val="000000"/>
          <w:sz w:val="26"/>
          <w:szCs w:val="26"/>
          <w:rtl/>
        </w:rPr>
        <w:lastRenderedPageBreak/>
        <w:t>نتج عن حوادث العنف الجسدي و/أو الجنسي في الأماكن العمومية خلال 12 عشر شهرًا التي سبقت البحث، بالنسبة لـ 6.3% من الضحايا، تكلفة غير مباشرة إجمالية قدرها 91.6 مليون درهم منها 68.6 مليون (75%) بسبب فقدان أيام العمل المؤدى عنه للضحايا ولأزواجهن.</w:t>
      </w:r>
    </w:p>
    <w:p w:rsidR="004553A0" w:rsidRPr="00DF2C41" w:rsidRDefault="00700842" w:rsidP="00056852">
      <w:pPr>
        <w:bidi/>
        <w:spacing w:line="276" w:lineRule="auto"/>
        <w:jc w:val="both"/>
        <w:rPr>
          <w:rFonts w:asciiTheme="majorBidi" w:eastAsia="Times New Roman" w:hAnsiTheme="majorBidi" w:cstheme="majorBidi"/>
          <w:b/>
          <w:bCs/>
          <w:sz w:val="26"/>
          <w:szCs w:val="26"/>
        </w:rPr>
      </w:pPr>
      <w:r w:rsidRPr="00DF2C41">
        <w:rPr>
          <w:rFonts w:asciiTheme="majorBidi" w:eastAsia="Times New Roman" w:hAnsiTheme="majorBidi" w:cstheme="majorBidi" w:hint="cs"/>
          <w:b/>
          <w:bCs/>
          <w:sz w:val="26"/>
          <w:szCs w:val="26"/>
          <w:rtl/>
        </w:rPr>
        <w:t xml:space="preserve">المبيان </w:t>
      </w:r>
      <w:r>
        <w:rPr>
          <w:rFonts w:asciiTheme="majorBidi" w:eastAsia="Times New Roman" w:hAnsiTheme="majorBidi" w:cstheme="majorBidi" w:hint="cs"/>
          <w:b/>
          <w:bCs/>
          <w:sz w:val="26"/>
          <w:szCs w:val="26"/>
          <w:rtl/>
        </w:rPr>
        <w:t>6</w:t>
      </w:r>
      <w:r w:rsidR="00E06FB4" w:rsidRPr="00DF2C41">
        <w:rPr>
          <w:rFonts w:asciiTheme="majorBidi" w:eastAsia="Times New Roman" w:hAnsiTheme="majorBidi" w:cstheme="majorBidi"/>
          <w:b/>
          <w:bCs/>
          <w:sz w:val="26"/>
          <w:szCs w:val="26"/>
          <w:rtl/>
        </w:rPr>
        <w:t xml:space="preserve">: </w:t>
      </w:r>
      <w:r w:rsidR="00954A4C" w:rsidRPr="00DF2C41">
        <w:rPr>
          <w:rFonts w:asciiTheme="majorBidi" w:eastAsia="Times New Roman" w:hAnsiTheme="majorBidi" w:cstheme="majorBidi" w:hint="cs"/>
          <w:b/>
          <w:bCs/>
          <w:sz w:val="26"/>
          <w:szCs w:val="26"/>
          <w:rtl/>
          <w:lang w:bidi="ar-MA"/>
        </w:rPr>
        <w:t xml:space="preserve">بنية </w:t>
      </w:r>
      <w:r w:rsidR="00E06FB4" w:rsidRPr="00DF2C41">
        <w:rPr>
          <w:rFonts w:asciiTheme="majorBidi" w:eastAsia="Times New Roman" w:hAnsiTheme="majorBidi" w:cstheme="majorBidi"/>
          <w:b/>
          <w:bCs/>
          <w:sz w:val="26"/>
          <w:szCs w:val="26"/>
          <w:rtl/>
        </w:rPr>
        <w:t xml:space="preserve">التكلفة المباشرة </w:t>
      </w:r>
      <w:r w:rsidR="002A235F" w:rsidRPr="00DF2C41">
        <w:rPr>
          <w:rFonts w:asciiTheme="majorBidi" w:eastAsia="Times New Roman" w:hAnsiTheme="majorBidi" w:cstheme="majorBidi"/>
          <w:b/>
          <w:bCs/>
          <w:sz w:val="26"/>
          <w:szCs w:val="26"/>
          <w:rtl/>
        </w:rPr>
        <w:t>وغير</w:t>
      </w:r>
      <w:r w:rsidR="00E06FB4" w:rsidRPr="00DF2C41">
        <w:rPr>
          <w:rFonts w:asciiTheme="majorBidi" w:eastAsia="Times New Roman" w:hAnsiTheme="majorBidi" w:cstheme="majorBidi"/>
          <w:b/>
          <w:bCs/>
          <w:sz w:val="26"/>
          <w:szCs w:val="26"/>
          <w:rtl/>
        </w:rPr>
        <w:t xml:space="preserve"> المباشرة للعنف في الأماكن العمومية</w:t>
      </w:r>
      <w:r w:rsidR="00954A4C" w:rsidRPr="00DF2C41">
        <w:rPr>
          <w:rFonts w:asciiTheme="majorBidi" w:eastAsia="Times New Roman" w:hAnsiTheme="majorBidi" w:cstheme="majorBidi" w:hint="cs"/>
          <w:b/>
          <w:bCs/>
          <w:sz w:val="26"/>
          <w:szCs w:val="26"/>
          <w:rtl/>
        </w:rPr>
        <w:t xml:space="preserve"> حسب نوع النفقات</w:t>
      </w:r>
      <w:r w:rsidR="00E06FB4" w:rsidRPr="00DF2C41">
        <w:rPr>
          <w:rFonts w:asciiTheme="majorBidi" w:eastAsia="Times New Roman" w:hAnsiTheme="majorBidi" w:cstheme="majorBidi"/>
          <w:b/>
          <w:bCs/>
          <w:sz w:val="26"/>
          <w:szCs w:val="26"/>
          <w:rtl/>
        </w:rPr>
        <w:t xml:space="preserve"> (ب</w:t>
      </w:r>
      <w:r w:rsidR="00627C31" w:rsidRPr="00DF2C41">
        <w:rPr>
          <w:rFonts w:asciiTheme="majorBidi" w:eastAsia="Times New Roman" w:hAnsiTheme="majorBidi" w:cstheme="majorBidi"/>
          <w:b/>
          <w:bCs/>
          <w:sz w:val="26"/>
          <w:szCs w:val="26"/>
          <w:rtl/>
        </w:rPr>
        <w:t>%</w:t>
      </w:r>
      <w:r w:rsidR="00E06FB4" w:rsidRPr="00DF2C41">
        <w:rPr>
          <w:rFonts w:asciiTheme="majorBidi" w:eastAsia="Times New Roman" w:hAnsiTheme="majorBidi" w:cstheme="majorBidi"/>
          <w:b/>
          <w:bCs/>
          <w:sz w:val="26"/>
          <w:szCs w:val="26"/>
          <w:rtl/>
        </w:rPr>
        <w:t>)</w:t>
      </w:r>
    </w:p>
    <w:p w:rsidR="009727D3" w:rsidRPr="00DD680E" w:rsidRDefault="009727D3" w:rsidP="00056852">
      <w:pPr>
        <w:bidi/>
        <w:spacing w:line="276" w:lineRule="auto"/>
        <w:jc w:val="both"/>
        <w:rPr>
          <w:rFonts w:asciiTheme="majorBidi" w:eastAsia="Times New Roman" w:hAnsiTheme="majorBidi" w:cstheme="majorBidi"/>
          <w:b/>
          <w:bCs/>
          <w:sz w:val="28"/>
          <w:szCs w:val="28"/>
        </w:rPr>
      </w:pPr>
      <w:r w:rsidRPr="00DD680E">
        <w:rPr>
          <w:rFonts w:asciiTheme="majorBidi" w:hAnsiTheme="majorBidi" w:cstheme="majorBidi"/>
          <w:noProof/>
          <w:sz w:val="28"/>
          <w:szCs w:val="28"/>
        </w:rPr>
        <w:drawing>
          <wp:inline distT="0" distB="0" distL="0" distR="0">
            <wp:extent cx="5722723" cy="2433955"/>
            <wp:effectExtent l="19050" t="0" r="11327" b="444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DD680E">
        <w:rPr>
          <w:rFonts w:asciiTheme="majorBidi" w:hAnsiTheme="majorBidi" w:cstheme="majorBidi"/>
          <w:noProof/>
          <w:sz w:val="28"/>
          <w:szCs w:val="28"/>
        </w:rPr>
        <w:drawing>
          <wp:inline distT="0" distB="0" distL="0" distR="0">
            <wp:extent cx="5719779" cy="242189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06FB4" w:rsidRPr="0050038D" w:rsidRDefault="002A235F" w:rsidP="00056852">
      <w:pPr>
        <w:bidi/>
        <w:spacing w:line="276" w:lineRule="auto"/>
        <w:jc w:val="both"/>
        <w:rPr>
          <w:rFonts w:asciiTheme="majorBidi" w:eastAsia="Times New Roman" w:hAnsiTheme="majorBidi" w:cstheme="majorBidi"/>
          <w:bCs/>
          <w:sz w:val="22"/>
          <w:szCs w:val="22"/>
        </w:rPr>
      </w:pPr>
      <w:r w:rsidRPr="0050038D">
        <w:rPr>
          <w:rFonts w:asciiTheme="majorBidi" w:eastAsia="Times New Roman" w:hAnsiTheme="majorBidi" w:cstheme="majorBidi"/>
          <w:bCs/>
          <w:sz w:val="22"/>
          <w:szCs w:val="22"/>
          <w:rtl/>
        </w:rPr>
        <w:t>المصدر:</w:t>
      </w:r>
      <w:r w:rsidR="00E06FB4" w:rsidRPr="0050038D">
        <w:rPr>
          <w:rFonts w:asciiTheme="majorBidi" w:eastAsia="Times New Roman" w:hAnsiTheme="majorBidi" w:cstheme="majorBidi"/>
          <w:bCs/>
          <w:sz w:val="22"/>
          <w:szCs w:val="22"/>
          <w:rtl/>
        </w:rPr>
        <w:t xml:space="preserve"> المندوبية السامية </w:t>
      </w:r>
      <w:r w:rsidRPr="0050038D">
        <w:rPr>
          <w:rFonts w:asciiTheme="majorBidi" w:eastAsia="Times New Roman" w:hAnsiTheme="majorBidi" w:cstheme="majorBidi"/>
          <w:bCs/>
          <w:sz w:val="22"/>
          <w:szCs w:val="22"/>
          <w:rtl/>
        </w:rPr>
        <w:t>للتخطيط، البحث</w:t>
      </w:r>
      <w:r w:rsidR="00E06FB4" w:rsidRPr="0050038D">
        <w:rPr>
          <w:rFonts w:asciiTheme="majorBidi" w:eastAsia="Times New Roman" w:hAnsiTheme="majorBidi" w:cstheme="majorBidi"/>
          <w:bCs/>
          <w:sz w:val="22"/>
          <w:szCs w:val="22"/>
          <w:rtl/>
        </w:rPr>
        <w:t xml:space="preserve"> الوطني حول العنف ضد النساء </w:t>
      </w:r>
      <w:r w:rsidRPr="0050038D">
        <w:rPr>
          <w:rFonts w:asciiTheme="majorBidi" w:eastAsia="Times New Roman" w:hAnsiTheme="majorBidi" w:cstheme="majorBidi"/>
          <w:bCs/>
          <w:sz w:val="22"/>
          <w:szCs w:val="22"/>
          <w:rtl/>
        </w:rPr>
        <w:t>والرجال</w:t>
      </w:r>
      <w:r w:rsidR="00E06FB4" w:rsidRPr="0050038D">
        <w:rPr>
          <w:rFonts w:asciiTheme="majorBidi" w:eastAsia="Times New Roman" w:hAnsiTheme="majorBidi" w:cstheme="majorBidi"/>
          <w:bCs/>
          <w:sz w:val="22"/>
          <w:szCs w:val="22"/>
          <w:rtl/>
        </w:rPr>
        <w:t xml:space="preserve"> 2019</w:t>
      </w:r>
    </w:p>
    <w:p w:rsidR="00621325" w:rsidRPr="0050038D" w:rsidRDefault="00621325" w:rsidP="00056852">
      <w:pPr>
        <w:bidi/>
        <w:spacing w:line="276" w:lineRule="auto"/>
        <w:jc w:val="both"/>
        <w:rPr>
          <w:rFonts w:asciiTheme="majorBidi" w:eastAsia="Times New Roman" w:hAnsiTheme="majorBidi" w:cstheme="majorBidi"/>
          <w:sz w:val="22"/>
          <w:szCs w:val="22"/>
        </w:rPr>
      </w:pPr>
    </w:p>
    <w:sectPr w:rsidR="00621325" w:rsidRPr="0050038D" w:rsidSect="0049390A">
      <w:footerReference w:type="default" r:id="rId22"/>
      <w:pgSz w:w="12240" w:h="15840"/>
      <w:pgMar w:top="1440" w:right="1800" w:bottom="1440" w:left="1800" w:header="708" w:footer="708"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023" w:rsidRDefault="00193023" w:rsidP="00621325">
      <w:r>
        <w:separator/>
      </w:r>
    </w:p>
  </w:endnote>
  <w:endnote w:type="continuationSeparator" w:id="1">
    <w:p w:rsidR="00193023" w:rsidRDefault="00193023" w:rsidP="006213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Avenir Book">
    <w:altName w:val="Avenir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55922"/>
      <w:docPartObj>
        <w:docPartGallery w:val="Page Numbers (Bottom of Page)"/>
        <w:docPartUnique/>
      </w:docPartObj>
    </w:sdtPr>
    <w:sdtContent>
      <w:p w:rsidR="0049390A" w:rsidRDefault="001543A9">
        <w:pPr>
          <w:pStyle w:val="Pieddepage"/>
          <w:jc w:val="center"/>
        </w:pPr>
        <w:fldSimple w:instr=" PAGE   \* MERGEFORMAT ">
          <w:r w:rsidR="0061205B">
            <w:rPr>
              <w:noProof/>
            </w:rPr>
            <w:t>2</w:t>
          </w:r>
        </w:fldSimple>
      </w:p>
    </w:sdtContent>
  </w:sdt>
  <w:p w:rsidR="0049390A" w:rsidRDefault="0049390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023" w:rsidRDefault="00193023" w:rsidP="00621325">
      <w:r>
        <w:separator/>
      </w:r>
    </w:p>
  </w:footnote>
  <w:footnote w:type="continuationSeparator" w:id="1">
    <w:p w:rsidR="00193023" w:rsidRDefault="00193023" w:rsidP="00621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5FFD"/>
    <w:multiLevelType w:val="multilevel"/>
    <w:tmpl w:val="5EBCE16A"/>
    <w:lvl w:ilvl="0">
      <w:start w:val="1"/>
      <w:numFmt w:val="decimal"/>
      <w:lvlText w:val="%1-"/>
      <w:lvlJc w:val="left"/>
      <w:pPr>
        <w:ind w:left="465" w:hanging="465"/>
      </w:pPr>
    </w:lvl>
    <w:lvl w:ilvl="1">
      <w:start w:val="1"/>
      <w:numFmt w:val="decimal"/>
      <w:lvlText w:val="%1-%2-"/>
      <w:lvlJc w:val="left"/>
      <w:pPr>
        <w:ind w:left="1380" w:hanging="720"/>
      </w:pPr>
    </w:lvl>
    <w:lvl w:ilvl="2">
      <w:start w:val="1"/>
      <w:numFmt w:val="decimal"/>
      <w:lvlText w:val="%1-%2-%3."/>
      <w:lvlJc w:val="left"/>
      <w:pPr>
        <w:ind w:left="2040" w:hanging="720"/>
      </w:pPr>
    </w:lvl>
    <w:lvl w:ilvl="3">
      <w:start w:val="1"/>
      <w:numFmt w:val="decimal"/>
      <w:lvlText w:val="%1-%2-%3.%4."/>
      <w:lvlJc w:val="left"/>
      <w:pPr>
        <w:ind w:left="3060" w:hanging="1080"/>
      </w:pPr>
    </w:lvl>
    <w:lvl w:ilvl="4">
      <w:start w:val="1"/>
      <w:numFmt w:val="decimal"/>
      <w:lvlText w:val="%1-%2-%3.%4.%5."/>
      <w:lvlJc w:val="left"/>
      <w:pPr>
        <w:ind w:left="3720" w:hanging="1080"/>
      </w:pPr>
    </w:lvl>
    <w:lvl w:ilvl="5">
      <w:start w:val="1"/>
      <w:numFmt w:val="decimal"/>
      <w:lvlText w:val="%1-%2-%3.%4.%5.%6."/>
      <w:lvlJc w:val="left"/>
      <w:pPr>
        <w:ind w:left="4740" w:hanging="1440"/>
      </w:pPr>
    </w:lvl>
    <w:lvl w:ilvl="6">
      <w:start w:val="1"/>
      <w:numFmt w:val="decimal"/>
      <w:lvlText w:val="%1-%2-%3.%4.%5.%6.%7."/>
      <w:lvlJc w:val="left"/>
      <w:pPr>
        <w:ind w:left="5400" w:hanging="1440"/>
      </w:pPr>
    </w:lvl>
    <w:lvl w:ilvl="7">
      <w:start w:val="1"/>
      <w:numFmt w:val="decimal"/>
      <w:lvlText w:val="%1-%2-%3.%4.%5.%6.%7.%8."/>
      <w:lvlJc w:val="left"/>
      <w:pPr>
        <w:ind w:left="6420" w:hanging="1800"/>
      </w:pPr>
    </w:lvl>
    <w:lvl w:ilvl="8">
      <w:start w:val="1"/>
      <w:numFmt w:val="decimal"/>
      <w:lvlText w:val="%1-%2-%3.%4.%5.%6.%7.%8.%9."/>
      <w:lvlJc w:val="left"/>
      <w:pPr>
        <w:ind w:left="7080" w:hanging="1800"/>
      </w:pPr>
    </w:lvl>
  </w:abstractNum>
  <w:abstractNum w:abstractNumId="1">
    <w:nsid w:val="25183324"/>
    <w:multiLevelType w:val="multilevel"/>
    <w:tmpl w:val="67964EBA"/>
    <w:lvl w:ilvl="0">
      <w:start w:val="4"/>
      <w:numFmt w:val="bullet"/>
      <w:lvlText w:val="-"/>
      <w:lvlJc w:val="left"/>
      <w:pPr>
        <w:ind w:left="7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77C69D5"/>
    <w:multiLevelType w:val="hybridMultilevel"/>
    <w:tmpl w:val="FE6C276E"/>
    <w:lvl w:ilvl="0" w:tplc="BA6C51F0">
      <w:start w:val="2"/>
      <w:numFmt w:val="upperRoman"/>
      <w:lvlText w:val="%1."/>
      <w:lvlJc w:val="left"/>
      <w:pPr>
        <w:ind w:left="1080" w:hanging="720"/>
      </w:pPr>
      <w:rPr>
        <w:rFonts w:hint="default"/>
        <w:b/>
        <w:color w:val="1F3864"/>
        <w:sz w:val="28"/>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3">
    <w:nsid w:val="30C820B8"/>
    <w:multiLevelType w:val="multilevel"/>
    <w:tmpl w:val="C19E5A3A"/>
    <w:lvl w:ilvl="0">
      <w:start w:val="5"/>
      <w:numFmt w:val="bullet"/>
      <w:lvlText w:val="-"/>
      <w:lvlJc w:val="left"/>
      <w:pPr>
        <w:ind w:left="720" w:hanging="360"/>
      </w:pPr>
      <w:rPr>
        <w:rFonts w:ascii="Times New Roman" w:eastAsia="Times New Roman" w:hAnsi="Times New Roman" w:cs="Times New Roman"/>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5D27BBF"/>
    <w:multiLevelType w:val="multilevel"/>
    <w:tmpl w:val="F9AE21C8"/>
    <w:lvl w:ilvl="0">
      <w:start w:val="1"/>
      <w:numFmt w:val="upperRoman"/>
      <w:lvlText w:val="%1-"/>
      <w:lvlJc w:val="left"/>
      <w:pPr>
        <w:ind w:left="1080" w:hanging="72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D00704C"/>
    <w:multiLevelType w:val="hybridMultilevel"/>
    <w:tmpl w:val="59EC1EDC"/>
    <w:lvl w:ilvl="0" w:tplc="2E305474">
      <w:start w:val="1"/>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6">
    <w:nsid w:val="3F3808FD"/>
    <w:multiLevelType w:val="multilevel"/>
    <w:tmpl w:val="E6CE1EC6"/>
    <w:lvl w:ilvl="0">
      <w:start w:val="1"/>
      <w:numFmt w:val="upperRoman"/>
      <w:lvlText w:val="%1-"/>
      <w:lvlJc w:val="left"/>
      <w:pPr>
        <w:ind w:left="1080" w:hanging="72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697120"/>
    <w:multiLevelType w:val="hybridMultilevel"/>
    <w:tmpl w:val="09BA9F06"/>
    <w:lvl w:ilvl="0" w:tplc="160C1884">
      <w:start w:val="2"/>
      <w:numFmt w:val="upperRoman"/>
      <w:lvlText w:val="%1."/>
      <w:lvlJc w:val="left"/>
      <w:pPr>
        <w:ind w:left="1800" w:hanging="720"/>
      </w:pPr>
      <w:rPr>
        <w:rFonts w:hint="default"/>
        <w:b/>
        <w:color w:val="1F3864"/>
        <w:sz w:val="28"/>
      </w:rPr>
    </w:lvl>
    <w:lvl w:ilvl="1" w:tplc="380C0019" w:tentative="1">
      <w:start w:val="1"/>
      <w:numFmt w:val="lowerLetter"/>
      <w:lvlText w:val="%2."/>
      <w:lvlJc w:val="left"/>
      <w:pPr>
        <w:ind w:left="2160" w:hanging="360"/>
      </w:pPr>
    </w:lvl>
    <w:lvl w:ilvl="2" w:tplc="380C001B" w:tentative="1">
      <w:start w:val="1"/>
      <w:numFmt w:val="lowerRoman"/>
      <w:lvlText w:val="%3."/>
      <w:lvlJc w:val="right"/>
      <w:pPr>
        <w:ind w:left="2880" w:hanging="180"/>
      </w:pPr>
    </w:lvl>
    <w:lvl w:ilvl="3" w:tplc="380C000F" w:tentative="1">
      <w:start w:val="1"/>
      <w:numFmt w:val="decimal"/>
      <w:lvlText w:val="%4."/>
      <w:lvlJc w:val="left"/>
      <w:pPr>
        <w:ind w:left="3600" w:hanging="360"/>
      </w:pPr>
    </w:lvl>
    <w:lvl w:ilvl="4" w:tplc="380C0019" w:tentative="1">
      <w:start w:val="1"/>
      <w:numFmt w:val="lowerLetter"/>
      <w:lvlText w:val="%5."/>
      <w:lvlJc w:val="left"/>
      <w:pPr>
        <w:ind w:left="4320" w:hanging="360"/>
      </w:pPr>
    </w:lvl>
    <w:lvl w:ilvl="5" w:tplc="380C001B" w:tentative="1">
      <w:start w:val="1"/>
      <w:numFmt w:val="lowerRoman"/>
      <w:lvlText w:val="%6."/>
      <w:lvlJc w:val="right"/>
      <w:pPr>
        <w:ind w:left="5040" w:hanging="180"/>
      </w:pPr>
    </w:lvl>
    <w:lvl w:ilvl="6" w:tplc="380C000F" w:tentative="1">
      <w:start w:val="1"/>
      <w:numFmt w:val="decimal"/>
      <w:lvlText w:val="%7."/>
      <w:lvlJc w:val="left"/>
      <w:pPr>
        <w:ind w:left="5760" w:hanging="360"/>
      </w:pPr>
    </w:lvl>
    <w:lvl w:ilvl="7" w:tplc="380C0019" w:tentative="1">
      <w:start w:val="1"/>
      <w:numFmt w:val="lowerLetter"/>
      <w:lvlText w:val="%8."/>
      <w:lvlJc w:val="left"/>
      <w:pPr>
        <w:ind w:left="6480" w:hanging="360"/>
      </w:pPr>
    </w:lvl>
    <w:lvl w:ilvl="8" w:tplc="380C001B" w:tentative="1">
      <w:start w:val="1"/>
      <w:numFmt w:val="lowerRoman"/>
      <w:lvlText w:val="%9."/>
      <w:lvlJc w:val="right"/>
      <w:pPr>
        <w:ind w:left="7200" w:hanging="180"/>
      </w:pPr>
    </w:lvl>
  </w:abstractNum>
  <w:abstractNum w:abstractNumId="8">
    <w:nsid w:val="5F8544E6"/>
    <w:multiLevelType w:val="hybridMultilevel"/>
    <w:tmpl w:val="F7A4F8DC"/>
    <w:lvl w:ilvl="0" w:tplc="DF5C5B90">
      <w:start w:val="5"/>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9">
    <w:nsid w:val="6C3B5EBB"/>
    <w:multiLevelType w:val="multilevel"/>
    <w:tmpl w:val="F9AE21C8"/>
    <w:lvl w:ilvl="0">
      <w:start w:val="1"/>
      <w:numFmt w:val="upperRoman"/>
      <w:lvlText w:val="%1-"/>
      <w:lvlJc w:val="left"/>
      <w:pPr>
        <w:ind w:left="1080" w:hanging="72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9"/>
  </w:num>
  <w:num w:numId="3">
    <w:abstractNumId w:val="6"/>
  </w:num>
  <w:num w:numId="4">
    <w:abstractNumId w:val="0"/>
  </w:num>
  <w:num w:numId="5">
    <w:abstractNumId w:val="1"/>
  </w:num>
  <w:num w:numId="6">
    <w:abstractNumId w:val="4"/>
  </w:num>
  <w:num w:numId="7">
    <w:abstractNumId w:val="8"/>
  </w:num>
  <w:num w:numId="8">
    <w:abstractNumId w:val="5"/>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621325"/>
    <w:rsid w:val="00011FC3"/>
    <w:rsid w:val="00031DE5"/>
    <w:rsid w:val="00051034"/>
    <w:rsid w:val="000512E6"/>
    <w:rsid w:val="00052AA3"/>
    <w:rsid w:val="00056852"/>
    <w:rsid w:val="00071961"/>
    <w:rsid w:val="00076B71"/>
    <w:rsid w:val="00081834"/>
    <w:rsid w:val="00084516"/>
    <w:rsid w:val="000927D1"/>
    <w:rsid w:val="000A711B"/>
    <w:rsid w:val="000B1483"/>
    <w:rsid w:val="000C5705"/>
    <w:rsid w:val="000E1615"/>
    <w:rsid w:val="000E35D2"/>
    <w:rsid w:val="000F0395"/>
    <w:rsid w:val="000F072B"/>
    <w:rsid w:val="000F218E"/>
    <w:rsid w:val="000F629A"/>
    <w:rsid w:val="00103146"/>
    <w:rsid w:val="00131D7D"/>
    <w:rsid w:val="0014005E"/>
    <w:rsid w:val="00147BE1"/>
    <w:rsid w:val="001510EE"/>
    <w:rsid w:val="001543A9"/>
    <w:rsid w:val="00155D80"/>
    <w:rsid w:val="00160B75"/>
    <w:rsid w:val="00160D8D"/>
    <w:rsid w:val="00162B04"/>
    <w:rsid w:val="00166542"/>
    <w:rsid w:val="00170D40"/>
    <w:rsid w:val="001737C7"/>
    <w:rsid w:val="00186A0B"/>
    <w:rsid w:val="00193023"/>
    <w:rsid w:val="001B4144"/>
    <w:rsid w:val="001C0461"/>
    <w:rsid w:val="001C2733"/>
    <w:rsid w:val="001D0F93"/>
    <w:rsid w:val="001E5B9E"/>
    <w:rsid w:val="001E7DC5"/>
    <w:rsid w:val="001F3C06"/>
    <w:rsid w:val="001F3F4D"/>
    <w:rsid w:val="001F5456"/>
    <w:rsid w:val="001F69E0"/>
    <w:rsid w:val="001F76B5"/>
    <w:rsid w:val="00231662"/>
    <w:rsid w:val="00232DFA"/>
    <w:rsid w:val="00242A70"/>
    <w:rsid w:val="00261168"/>
    <w:rsid w:val="0028069D"/>
    <w:rsid w:val="00295DF1"/>
    <w:rsid w:val="002A235F"/>
    <w:rsid w:val="002A4860"/>
    <w:rsid w:val="002D2A37"/>
    <w:rsid w:val="002E18C4"/>
    <w:rsid w:val="002E2A48"/>
    <w:rsid w:val="002E5266"/>
    <w:rsid w:val="002E5531"/>
    <w:rsid w:val="002F0D7C"/>
    <w:rsid w:val="002F7374"/>
    <w:rsid w:val="002F7842"/>
    <w:rsid w:val="002F7B50"/>
    <w:rsid w:val="00301621"/>
    <w:rsid w:val="00306E93"/>
    <w:rsid w:val="003226FA"/>
    <w:rsid w:val="00334559"/>
    <w:rsid w:val="00370E83"/>
    <w:rsid w:val="00377046"/>
    <w:rsid w:val="00381325"/>
    <w:rsid w:val="00382C45"/>
    <w:rsid w:val="00383CF6"/>
    <w:rsid w:val="003905C5"/>
    <w:rsid w:val="00394658"/>
    <w:rsid w:val="003B161B"/>
    <w:rsid w:val="003B24B0"/>
    <w:rsid w:val="003E3226"/>
    <w:rsid w:val="003E634D"/>
    <w:rsid w:val="003F7DD3"/>
    <w:rsid w:val="00414540"/>
    <w:rsid w:val="00420930"/>
    <w:rsid w:val="00432D78"/>
    <w:rsid w:val="004553A0"/>
    <w:rsid w:val="00457ECC"/>
    <w:rsid w:val="0046688F"/>
    <w:rsid w:val="00480FAB"/>
    <w:rsid w:val="00482DBA"/>
    <w:rsid w:val="004912A8"/>
    <w:rsid w:val="0049390A"/>
    <w:rsid w:val="004A0D56"/>
    <w:rsid w:val="004A4AEF"/>
    <w:rsid w:val="004A4E7D"/>
    <w:rsid w:val="004B02ED"/>
    <w:rsid w:val="004C37E1"/>
    <w:rsid w:val="004C4CA3"/>
    <w:rsid w:val="004D4473"/>
    <w:rsid w:val="004D7B6E"/>
    <w:rsid w:val="004E28E5"/>
    <w:rsid w:val="004E44FB"/>
    <w:rsid w:val="0050038D"/>
    <w:rsid w:val="00502B7B"/>
    <w:rsid w:val="005034E3"/>
    <w:rsid w:val="00511955"/>
    <w:rsid w:val="005142E4"/>
    <w:rsid w:val="00536CE1"/>
    <w:rsid w:val="005402F9"/>
    <w:rsid w:val="00542A58"/>
    <w:rsid w:val="00566D7E"/>
    <w:rsid w:val="00572D64"/>
    <w:rsid w:val="005855B4"/>
    <w:rsid w:val="005B23D8"/>
    <w:rsid w:val="005B25E5"/>
    <w:rsid w:val="005B7837"/>
    <w:rsid w:val="005C04FA"/>
    <w:rsid w:val="005C628F"/>
    <w:rsid w:val="005D0954"/>
    <w:rsid w:val="005D2311"/>
    <w:rsid w:val="005E5B5E"/>
    <w:rsid w:val="005F1202"/>
    <w:rsid w:val="005F3442"/>
    <w:rsid w:val="005F397C"/>
    <w:rsid w:val="00600BDA"/>
    <w:rsid w:val="00602657"/>
    <w:rsid w:val="0061205B"/>
    <w:rsid w:val="006202EE"/>
    <w:rsid w:val="00621325"/>
    <w:rsid w:val="00627C31"/>
    <w:rsid w:val="00630B82"/>
    <w:rsid w:val="00634904"/>
    <w:rsid w:val="0066127E"/>
    <w:rsid w:val="00675C33"/>
    <w:rsid w:val="00693208"/>
    <w:rsid w:val="006A3B38"/>
    <w:rsid w:val="006B2BE0"/>
    <w:rsid w:val="006C23C1"/>
    <w:rsid w:val="006C2A28"/>
    <w:rsid w:val="006C5F6F"/>
    <w:rsid w:val="006C765B"/>
    <w:rsid w:val="006D7B3A"/>
    <w:rsid w:val="006E20FC"/>
    <w:rsid w:val="006F1F8E"/>
    <w:rsid w:val="006F41EA"/>
    <w:rsid w:val="00700842"/>
    <w:rsid w:val="007224A7"/>
    <w:rsid w:val="007270FA"/>
    <w:rsid w:val="00730EAE"/>
    <w:rsid w:val="007658F6"/>
    <w:rsid w:val="007659E9"/>
    <w:rsid w:val="00767273"/>
    <w:rsid w:val="00772FFE"/>
    <w:rsid w:val="00773C53"/>
    <w:rsid w:val="007743B2"/>
    <w:rsid w:val="00790218"/>
    <w:rsid w:val="007A21C3"/>
    <w:rsid w:val="007D0CE3"/>
    <w:rsid w:val="007D5C04"/>
    <w:rsid w:val="007F33BD"/>
    <w:rsid w:val="007F7AC6"/>
    <w:rsid w:val="008064C5"/>
    <w:rsid w:val="008076E9"/>
    <w:rsid w:val="008124DE"/>
    <w:rsid w:val="008503A2"/>
    <w:rsid w:val="00853C6D"/>
    <w:rsid w:val="008763B1"/>
    <w:rsid w:val="00881735"/>
    <w:rsid w:val="00895CA1"/>
    <w:rsid w:val="008A160F"/>
    <w:rsid w:val="008A38FB"/>
    <w:rsid w:val="008B1127"/>
    <w:rsid w:val="008E0AA6"/>
    <w:rsid w:val="008F112C"/>
    <w:rsid w:val="00904AF0"/>
    <w:rsid w:val="00906A52"/>
    <w:rsid w:val="00915049"/>
    <w:rsid w:val="0091658B"/>
    <w:rsid w:val="009237F2"/>
    <w:rsid w:val="00923BE9"/>
    <w:rsid w:val="00926AEE"/>
    <w:rsid w:val="00944167"/>
    <w:rsid w:val="00953967"/>
    <w:rsid w:val="00954A4C"/>
    <w:rsid w:val="00967B7A"/>
    <w:rsid w:val="00967FD7"/>
    <w:rsid w:val="00970177"/>
    <w:rsid w:val="00971F02"/>
    <w:rsid w:val="009727D3"/>
    <w:rsid w:val="009862E1"/>
    <w:rsid w:val="009A3A1B"/>
    <w:rsid w:val="009A456C"/>
    <w:rsid w:val="009B0B9D"/>
    <w:rsid w:val="009B2ADE"/>
    <w:rsid w:val="009C41CB"/>
    <w:rsid w:val="009D24FC"/>
    <w:rsid w:val="009E4E55"/>
    <w:rsid w:val="009F4AC1"/>
    <w:rsid w:val="00A14D81"/>
    <w:rsid w:val="00A21761"/>
    <w:rsid w:val="00A34FE0"/>
    <w:rsid w:val="00A35EEE"/>
    <w:rsid w:val="00A47F2D"/>
    <w:rsid w:val="00A60B40"/>
    <w:rsid w:val="00A70503"/>
    <w:rsid w:val="00A7280B"/>
    <w:rsid w:val="00A736A0"/>
    <w:rsid w:val="00A77385"/>
    <w:rsid w:val="00A777D7"/>
    <w:rsid w:val="00A84BD0"/>
    <w:rsid w:val="00A91E46"/>
    <w:rsid w:val="00A95991"/>
    <w:rsid w:val="00A96B34"/>
    <w:rsid w:val="00AA09BD"/>
    <w:rsid w:val="00AC2D59"/>
    <w:rsid w:val="00AD6DCD"/>
    <w:rsid w:val="00AE5505"/>
    <w:rsid w:val="00AF251A"/>
    <w:rsid w:val="00AF7CFB"/>
    <w:rsid w:val="00B15972"/>
    <w:rsid w:val="00B31326"/>
    <w:rsid w:val="00B72CBC"/>
    <w:rsid w:val="00B83C1A"/>
    <w:rsid w:val="00B84308"/>
    <w:rsid w:val="00B94A2E"/>
    <w:rsid w:val="00BA39ED"/>
    <w:rsid w:val="00BA7D14"/>
    <w:rsid w:val="00BB4B11"/>
    <w:rsid w:val="00BB5E6B"/>
    <w:rsid w:val="00BC51D5"/>
    <w:rsid w:val="00BD3C21"/>
    <w:rsid w:val="00BD4B4D"/>
    <w:rsid w:val="00BD7480"/>
    <w:rsid w:val="00BE25C0"/>
    <w:rsid w:val="00BF0CCF"/>
    <w:rsid w:val="00BF6975"/>
    <w:rsid w:val="00C03E60"/>
    <w:rsid w:val="00C0458A"/>
    <w:rsid w:val="00C14558"/>
    <w:rsid w:val="00C4282B"/>
    <w:rsid w:val="00C64C26"/>
    <w:rsid w:val="00C743A1"/>
    <w:rsid w:val="00C770E2"/>
    <w:rsid w:val="00C77B0C"/>
    <w:rsid w:val="00C95CC7"/>
    <w:rsid w:val="00C96CB6"/>
    <w:rsid w:val="00CA0E15"/>
    <w:rsid w:val="00CB7511"/>
    <w:rsid w:val="00CC1398"/>
    <w:rsid w:val="00CC29AF"/>
    <w:rsid w:val="00CC7AE7"/>
    <w:rsid w:val="00CD7C14"/>
    <w:rsid w:val="00D21082"/>
    <w:rsid w:val="00D2113F"/>
    <w:rsid w:val="00D212DA"/>
    <w:rsid w:val="00D3085B"/>
    <w:rsid w:val="00D41E9B"/>
    <w:rsid w:val="00D43741"/>
    <w:rsid w:val="00D446FE"/>
    <w:rsid w:val="00D46F07"/>
    <w:rsid w:val="00D67101"/>
    <w:rsid w:val="00D823FB"/>
    <w:rsid w:val="00D8340D"/>
    <w:rsid w:val="00D83C7D"/>
    <w:rsid w:val="00D85449"/>
    <w:rsid w:val="00D92FDB"/>
    <w:rsid w:val="00DA5A48"/>
    <w:rsid w:val="00DB03B3"/>
    <w:rsid w:val="00DD680E"/>
    <w:rsid w:val="00DE05F7"/>
    <w:rsid w:val="00DF10E0"/>
    <w:rsid w:val="00DF2BD7"/>
    <w:rsid w:val="00DF2C41"/>
    <w:rsid w:val="00DF3C40"/>
    <w:rsid w:val="00E06FB4"/>
    <w:rsid w:val="00E267F1"/>
    <w:rsid w:val="00E30AB6"/>
    <w:rsid w:val="00E4218B"/>
    <w:rsid w:val="00E57B79"/>
    <w:rsid w:val="00E9301D"/>
    <w:rsid w:val="00E93049"/>
    <w:rsid w:val="00EA05F2"/>
    <w:rsid w:val="00EB0543"/>
    <w:rsid w:val="00EE3B2E"/>
    <w:rsid w:val="00EF326D"/>
    <w:rsid w:val="00F038B1"/>
    <w:rsid w:val="00F10CAD"/>
    <w:rsid w:val="00F30D7D"/>
    <w:rsid w:val="00F56F37"/>
    <w:rsid w:val="00F645BA"/>
    <w:rsid w:val="00F65A45"/>
    <w:rsid w:val="00F70B49"/>
    <w:rsid w:val="00F71C7F"/>
    <w:rsid w:val="00F8180B"/>
    <w:rsid w:val="00F818C6"/>
    <w:rsid w:val="00F8244A"/>
    <w:rsid w:val="00F9066C"/>
    <w:rsid w:val="00F91800"/>
    <w:rsid w:val="00FA6A89"/>
    <w:rsid w:val="00FC0E2C"/>
    <w:rsid w:val="00FD6535"/>
    <w:rsid w:val="00FE25D9"/>
    <w:rsid w:val="00FE4A8A"/>
    <w:rsid w:val="00FF1BA8"/>
    <w:rsid w:val="00FF2AFA"/>
    <w:rsid w:val="00FF40A1"/>
    <w:rsid w:val="00FF6F1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8F3"/>
    <w:rPr>
      <w:rFonts w:eastAsiaTheme="minorEastAsia"/>
    </w:rPr>
  </w:style>
  <w:style w:type="paragraph" w:styleId="Titre1">
    <w:name w:val="heading 1"/>
    <w:basedOn w:val="Normal"/>
    <w:next w:val="Normal"/>
    <w:link w:val="Titre1Car"/>
    <w:uiPriority w:val="9"/>
    <w:qFormat/>
    <w:rsid w:val="001304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qFormat/>
    <w:rsid w:val="00D938F3"/>
    <w:pPr>
      <w:keepNext/>
      <w:spacing w:before="240" w:after="60"/>
      <w:outlineLvl w:val="1"/>
    </w:pPr>
    <w:rPr>
      <w:rFonts w:eastAsia="MS Gothic" w:cs="Times New Roman"/>
      <w:b/>
      <w:bCs/>
      <w:i/>
      <w:iCs/>
      <w:sz w:val="28"/>
      <w:szCs w:val="28"/>
    </w:rPr>
  </w:style>
  <w:style w:type="paragraph" w:styleId="Titre3">
    <w:name w:val="heading 3"/>
    <w:basedOn w:val="Normal1"/>
    <w:next w:val="Normal1"/>
    <w:rsid w:val="00FE3817"/>
    <w:pPr>
      <w:keepNext/>
      <w:keepLines/>
      <w:spacing w:before="280" w:after="80"/>
      <w:outlineLvl w:val="2"/>
    </w:pPr>
    <w:rPr>
      <w:b/>
      <w:sz w:val="28"/>
      <w:szCs w:val="28"/>
    </w:rPr>
  </w:style>
  <w:style w:type="paragraph" w:styleId="Titre4">
    <w:name w:val="heading 4"/>
    <w:basedOn w:val="Normal1"/>
    <w:next w:val="Normal1"/>
    <w:rsid w:val="00FE3817"/>
    <w:pPr>
      <w:keepNext/>
      <w:keepLines/>
      <w:spacing w:before="240" w:after="40"/>
      <w:outlineLvl w:val="3"/>
    </w:pPr>
    <w:rPr>
      <w:b/>
    </w:rPr>
  </w:style>
  <w:style w:type="paragraph" w:styleId="Titre5">
    <w:name w:val="heading 5"/>
    <w:basedOn w:val="Normal1"/>
    <w:next w:val="Normal1"/>
    <w:rsid w:val="00FE3817"/>
    <w:pPr>
      <w:keepNext/>
      <w:keepLines/>
      <w:spacing w:before="220" w:after="40"/>
      <w:outlineLvl w:val="4"/>
    </w:pPr>
    <w:rPr>
      <w:b/>
      <w:sz w:val="22"/>
      <w:szCs w:val="22"/>
    </w:rPr>
  </w:style>
  <w:style w:type="paragraph" w:styleId="Titre6">
    <w:name w:val="heading 6"/>
    <w:basedOn w:val="Normal1"/>
    <w:next w:val="Normal1"/>
    <w:rsid w:val="00FE3817"/>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0">
    <w:name w:val="Normal1"/>
    <w:rsid w:val="00621325"/>
  </w:style>
  <w:style w:type="table" w:customStyle="1" w:styleId="TableNormal1">
    <w:name w:val="Table Normal1"/>
    <w:rsid w:val="00621325"/>
    <w:tblPr>
      <w:tblCellMar>
        <w:top w:w="0" w:type="dxa"/>
        <w:left w:w="0" w:type="dxa"/>
        <w:bottom w:w="0" w:type="dxa"/>
        <w:right w:w="0" w:type="dxa"/>
      </w:tblCellMar>
    </w:tblPr>
  </w:style>
  <w:style w:type="paragraph" w:styleId="Titre">
    <w:name w:val="Title"/>
    <w:basedOn w:val="Normal1"/>
    <w:next w:val="Normal1"/>
    <w:rsid w:val="00FE3817"/>
    <w:pPr>
      <w:keepNext/>
      <w:keepLines/>
      <w:spacing w:before="480" w:after="120"/>
    </w:pPr>
    <w:rPr>
      <w:b/>
      <w:sz w:val="72"/>
      <w:szCs w:val="72"/>
    </w:rPr>
  </w:style>
  <w:style w:type="paragraph" w:customStyle="1" w:styleId="Normal1">
    <w:name w:val="Normal1"/>
    <w:rsid w:val="00FE3817"/>
  </w:style>
  <w:style w:type="table" w:customStyle="1" w:styleId="TableNormal10">
    <w:name w:val="Table Normal1"/>
    <w:rsid w:val="00FE3817"/>
    <w:tblPr>
      <w:tblCellMar>
        <w:top w:w="0" w:type="dxa"/>
        <w:left w:w="0" w:type="dxa"/>
        <w:bottom w:w="0" w:type="dxa"/>
        <w:right w:w="0" w:type="dxa"/>
      </w:tblCellMar>
    </w:tblPr>
  </w:style>
  <w:style w:type="character" w:customStyle="1" w:styleId="Titre2Car">
    <w:name w:val="Titre 2 Car"/>
    <w:basedOn w:val="Policepardfaut"/>
    <w:link w:val="Titre2"/>
    <w:uiPriority w:val="9"/>
    <w:rsid w:val="00D938F3"/>
    <w:rPr>
      <w:rFonts w:ascii="Calibri" w:eastAsia="MS Gothic" w:hAnsi="Calibri" w:cs="Times New Roman"/>
      <w:b/>
      <w:bCs/>
      <w:i/>
      <w:iCs/>
      <w:sz w:val="28"/>
      <w:szCs w:val="28"/>
      <w:lang w:val="fr-FR"/>
    </w:rPr>
  </w:style>
  <w:style w:type="character" w:styleId="Appelnotedebasdep">
    <w:name w:val="footnote reference"/>
    <w:aliases w:val=" BVI fnr Car Car1 Car Car Char Car1 Char Car,BVI fnr Car Car Car Car1 Char Car1 Char Car, BVI fnr Car Car Car Car Car Car Char Car1 Char Car,BVI fnr Car Car Car Car Car Char Car1 Char Car Car, BVI fnr Car Car1 Car Car Char Car1"/>
    <w:basedOn w:val="Policepardfaut"/>
    <w:link w:val="BVIfnrCarCar1CarCarCharCar1Char"/>
    <w:uiPriority w:val="99"/>
    <w:unhideWhenUsed/>
    <w:rsid w:val="00D938F3"/>
    <w:rPr>
      <w:vertAlign w:val="superscript"/>
    </w:rPr>
  </w:style>
  <w:style w:type="paragraph" w:styleId="Notedebasdepage">
    <w:name w:val="footnote text"/>
    <w:aliases w:val="single space,Texto nota pie Car Car Car,FOOTNOTES,fn,Footnote Text Char Char Char,Footnote Text1 Char,Footnote Text2,Footnote Text Char Char Char1 Char,Footnote Text Char Char Char1,ft,ADB, Car,Car,Car Car Car,Car Car Car Car Car Car"/>
    <w:basedOn w:val="Normal"/>
    <w:link w:val="NotedebasdepageCar"/>
    <w:uiPriority w:val="99"/>
    <w:unhideWhenUsed/>
    <w:rsid w:val="00D938F3"/>
  </w:style>
  <w:style w:type="character" w:customStyle="1" w:styleId="NotedebasdepageCar">
    <w:name w:val="Note de bas de page Car"/>
    <w:aliases w:val="single space Car,Texto nota pie Car Car Car Car,FOOTNOTES Car,fn Car,Footnote Text Char Char Char Car,Footnote Text1 Char Car,Footnote Text2 Car,Footnote Text Char Char Char1 Char Car,Footnote Text Char Char Char1 Car,ft Car"/>
    <w:basedOn w:val="Policepardfaut"/>
    <w:link w:val="Notedebasdepage"/>
    <w:uiPriority w:val="99"/>
    <w:rsid w:val="00D938F3"/>
    <w:rPr>
      <w:rFonts w:eastAsiaTheme="minorEastAsia"/>
      <w:lang w:val="fr-FR"/>
    </w:rPr>
  </w:style>
  <w:style w:type="paragraph" w:styleId="Paragraphedeliste">
    <w:name w:val="List Paragraph"/>
    <w:basedOn w:val="Normal"/>
    <w:uiPriority w:val="34"/>
    <w:qFormat/>
    <w:rsid w:val="00D938F3"/>
    <w:pPr>
      <w:ind w:left="720"/>
      <w:contextualSpacing/>
    </w:pPr>
  </w:style>
  <w:style w:type="character" w:styleId="Marquedecommentaire">
    <w:name w:val="annotation reference"/>
    <w:basedOn w:val="Policepardfaut"/>
    <w:uiPriority w:val="99"/>
    <w:semiHidden/>
    <w:unhideWhenUsed/>
    <w:rsid w:val="00D938F3"/>
    <w:rPr>
      <w:sz w:val="18"/>
      <w:szCs w:val="18"/>
    </w:rPr>
  </w:style>
  <w:style w:type="paragraph" w:styleId="Commentaire">
    <w:name w:val="annotation text"/>
    <w:basedOn w:val="Normal"/>
    <w:link w:val="CommentaireCar"/>
    <w:uiPriority w:val="99"/>
    <w:unhideWhenUsed/>
    <w:rsid w:val="00D938F3"/>
    <w:pPr>
      <w:spacing w:after="200"/>
    </w:pPr>
    <w:rPr>
      <w:rFonts w:eastAsiaTheme="minorHAnsi"/>
    </w:rPr>
  </w:style>
  <w:style w:type="character" w:customStyle="1" w:styleId="CommentaireCar">
    <w:name w:val="Commentaire Car"/>
    <w:basedOn w:val="Policepardfaut"/>
    <w:link w:val="Commentaire"/>
    <w:uiPriority w:val="99"/>
    <w:rsid w:val="00D938F3"/>
    <w:rPr>
      <w:lang w:val="fr-FR"/>
    </w:rPr>
  </w:style>
  <w:style w:type="character" w:styleId="Lienhypertexte">
    <w:name w:val="Hyperlink"/>
    <w:uiPriority w:val="99"/>
    <w:unhideWhenUsed/>
    <w:rsid w:val="00D938F3"/>
    <w:rPr>
      <w:color w:val="0563C1"/>
      <w:u w:val="single"/>
    </w:rPr>
  </w:style>
  <w:style w:type="character" w:customStyle="1" w:styleId="apple-converted-space">
    <w:name w:val="apple-converted-space"/>
    <w:rsid w:val="00D938F3"/>
  </w:style>
  <w:style w:type="paragraph" w:customStyle="1" w:styleId="BVIfnrCarCar1CarCarCharCar1Char">
    <w:name w:val="BVI fnr Car Car1 Car Car Char Car1 Char"/>
    <w:aliases w:val="BVI fnr Car Car Car Car1 Char Car1 Char, BVI fnr Car Car Car Car Car Car Char Car1 Char,BVI fnr Car Car Car Car Car Char Car1 Char,BVI fnr Car Car Car Car Car Car Char Car1 Char"/>
    <w:basedOn w:val="Normal"/>
    <w:link w:val="Appelnotedebasdep"/>
    <w:uiPriority w:val="99"/>
    <w:rsid w:val="00D938F3"/>
    <w:pPr>
      <w:spacing w:after="160" w:line="240" w:lineRule="exact"/>
    </w:pPr>
    <w:rPr>
      <w:rFonts w:eastAsiaTheme="minorHAnsi"/>
      <w:vertAlign w:val="superscript"/>
      <w:lang w:val="fr-MA"/>
    </w:rPr>
  </w:style>
  <w:style w:type="paragraph" w:styleId="Textedebulles">
    <w:name w:val="Balloon Text"/>
    <w:basedOn w:val="Normal"/>
    <w:link w:val="TextedebullesCar"/>
    <w:uiPriority w:val="99"/>
    <w:semiHidden/>
    <w:unhideWhenUsed/>
    <w:rsid w:val="00D938F3"/>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938F3"/>
    <w:rPr>
      <w:rFonts w:ascii="Times New Roman" w:eastAsiaTheme="minorEastAsia" w:hAnsi="Times New Roman" w:cs="Times New Roman"/>
      <w:sz w:val="18"/>
      <w:szCs w:val="18"/>
      <w:lang w:val="fr-FR"/>
    </w:rPr>
  </w:style>
  <w:style w:type="paragraph" w:styleId="Pieddepage">
    <w:name w:val="footer"/>
    <w:basedOn w:val="Normal"/>
    <w:link w:val="PieddepageCar"/>
    <w:uiPriority w:val="99"/>
    <w:unhideWhenUsed/>
    <w:rsid w:val="00D938F3"/>
    <w:pPr>
      <w:tabs>
        <w:tab w:val="center" w:pos="4536"/>
        <w:tab w:val="right" w:pos="9072"/>
      </w:tabs>
    </w:pPr>
    <w:rPr>
      <w:rFonts w:eastAsia="Yu Mincho" w:cs="Times New Roman"/>
    </w:rPr>
  </w:style>
  <w:style w:type="character" w:customStyle="1" w:styleId="PieddepageCar">
    <w:name w:val="Pied de page Car"/>
    <w:basedOn w:val="Policepardfaut"/>
    <w:link w:val="Pieddepage"/>
    <w:uiPriority w:val="99"/>
    <w:rsid w:val="00D938F3"/>
    <w:rPr>
      <w:rFonts w:ascii="Calibri" w:eastAsia="Yu Mincho" w:hAnsi="Calibri" w:cs="Times New Roman"/>
      <w:lang w:val="fr-FR"/>
    </w:rPr>
  </w:style>
  <w:style w:type="character" w:styleId="Numrodepage">
    <w:name w:val="page number"/>
    <w:basedOn w:val="Policepardfaut"/>
    <w:uiPriority w:val="99"/>
    <w:semiHidden/>
    <w:unhideWhenUsed/>
    <w:rsid w:val="00D938F3"/>
  </w:style>
  <w:style w:type="paragraph" w:styleId="Objetducommentaire">
    <w:name w:val="annotation subject"/>
    <w:basedOn w:val="Commentaire"/>
    <w:next w:val="Commentaire"/>
    <w:link w:val="ObjetducommentaireCar"/>
    <w:uiPriority w:val="99"/>
    <w:semiHidden/>
    <w:unhideWhenUsed/>
    <w:rsid w:val="00D938F3"/>
    <w:pPr>
      <w:spacing w:after="0"/>
    </w:pPr>
    <w:rPr>
      <w:rFonts w:eastAsia="Yu Mincho" w:cs="Times New Roman"/>
      <w:b/>
      <w:bCs/>
      <w:sz w:val="20"/>
      <w:szCs w:val="20"/>
    </w:rPr>
  </w:style>
  <w:style w:type="character" w:customStyle="1" w:styleId="ObjetducommentaireCar">
    <w:name w:val="Objet du commentaire Car"/>
    <w:basedOn w:val="CommentaireCar"/>
    <w:link w:val="Objetducommentaire"/>
    <w:uiPriority w:val="99"/>
    <w:semiHidden/>
    <w:rsid w:val="00D938F3"/>
    <w:rPr>
      <w:rFonts w:ascii="Calibri" w:eastAsia="Yu Mincho" w:hAnsi="Calibri" w:cs="Times New Roman"/>
      <w:b/>
      <w:bCs/>
      <w:sz w:val="20"/>
      <w:szCs w:val="20"/>
      <w:lang w:val="fr-FR"/>
    </w:rPr>
  </w:style>
  <w:style w:type="paragraph" w:styleId="Rvision">
    <w:name w:val="Revision"/>
    <w:hidden/>
    <w:uiPriority w:val="71"/>
    <w:rsid w:val="00D938F3"/>
    <w:rPr>
      <w:rFonts w:eastAsia="Yu Mincho" w:cs="Times New Roman"/>
    </w:rPr>
  </w:style>
  <w:style w:type="character" w:styleId="Lienhypertextesuivivisit">
    <w:name w:val="FollowedHyperlink"/>
    <w:basedOn w:val="Policepardfaut"/>
    <w:uiPriority w:val="99"/>
    <w:semiHidden/>
    <w:unhideWhenUsed/>
    <w:rsid w:val="004F17C0"/>
    <w:rPr>
      <w:color w:val="954F72" w:themeColor="followedHyperlink"/>
      <w:u w:val="single"/>
    </w:rPr>
  </w:style>
  <w:style w:type="character" w:customStyle="1" w:styleId="Titre1Car">
    <w:name w:val="Titre 1 Car"/>
    <w:basedOn w:val="Policepardfaut"/>
    <w:link w:val="Titre1"/>
    <w:uiPriority w:val="9"/>
    <w:rsid w:val="00130479"/>
    <w:rPr>
      <w:rFonts w:asciiTheme="majorHAnsi" w:eastAsiaTheme="majorEastAsia" w:hAnsiTheme="majorHAnsi" w:cstheme="majorBidi"/>
      <w:color w:val="2F5496" w:themeColor="accent1" w:themeShade="BF"/>
      <w:sz w:val="32"/>
      <w:szCs w:val="32"/>
      <w:lang w:val="fr-FR"/>
    </w:rPr>
  </w:style>
  <w:style w:type="paragraph" w:styleId="Sous-titre">
    <w:name w:val="Subtitle"/>
    <w:basedOn w:val="Normal"/>
    <w:next w:val="Normal"/>
    <w:rsid w:val="00621325"/>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CE4E98"/>
    <w:pPr>
      <w:tabs>
        <w:tab w:val="center" w:pos="4703"/>
        <w:tab w:val="right" w:pos="9406"/>
      </w:tabs>
    </w:pPr>
  </w:style>
  <w:style w:type="character" w:customStyle="1" w:styleId="En-tteCar">
    <w:name w:val="En-tête Car"/>
    <w:basedOn w:val="Policepardfaut"/>
    <w:link w:val="En-tte"/>
    <w:uiPriority w:val="99"/>
    <w:rsid w:val="00CE4E98"/>
    <w:rPr>
      <w:rFonts w:eastAsiaTheme="minorEastAsia"/>
    </w:rPr>
  </w:style>
  <w:style w:type="paragraph" w:styleId="NormalWeb">
    <w:name w:val="Normal (Web)"/>
    <w:basedOn w:val="Normal"/>
    <w:uiPriority w:val="99"/>
    <w:semiHidden/>
    <w:unhideWhenUsed/>
    <w:rsid w:val="00BB6076"/>
    <w:pPr>
      <w:spacing w:before="100" w:beforeAutospacing="1" w:after="100" w:afterAutospacing="1"/>
    </w:pPr>
    <w:rPr>
      <w:rFonts w:ascii="Times New Roman" w:eastAsia="Times New Roman" w:hAnsi="Times New Roman" w:cs="Times New Roman"/>
      <w:lang w:val="en-US" w:eastAsia="en-US"/>
    </w:rPr>
  </w:style>
  <w:style w:type="table" w:customStyle="1" w:styleId="a">
    <w:basedOn w:val="TableauNormal"/>
    <w:rsid w:val="00621325"/>
    <w:tblPr>
      <w:tblStyleRowBandSize w:val="1"/>
      <w:tblStyleColBandSize w:val="1"/>
      <w:tblInd w:w="0" w:type="dxa"/>
      <w:tblCellMar>
        <w:top w:w="0" w:type="dxa"/>
        <w:left w:w="115" w:type="dxa"/>
        <w:bottom w:w="0" w:type="dxa"/>
        <w:right w:w="115" w:type="dxa"/>
      </w:tblCellMar>
    </w:tblPr>
  </w:style>
  <w:style w:type="table" w:customStyle="1" w:styleId="a0">
    <w:basedOn w:val="TableauNormal"/>
    <w:rsid w:val="00621325"/>
    <w:tblPr>
      <w:tblStyleRowBandSize w:val="1"/>
      <w:tblStyleColBandSize w:val="1"/>
      <w:tblInd w:w="0" w:type="dxa"/>
      <w:tblCellMar>
        <w:top w:w="0" w:type="dxa"/>
        <w:left w:w="115" w:type="dxa"/>
        <w:bottom w:w="0" w:type="dxa"/>
        <w:right w:w="115" w:type="dxa"/>
      </w:tblCellMar>
    </w:tblPr>
  </w:style>
  <w:style w:type="table" w:customStyle="1" w:styleId="a1">
    <w:basedOn w:val="TableauNormal"/>
    <w:rsid w:val="00621325"/>
    <w:tblPr>
      <w:tblStyleRowBandSize w:val="1"/>
      <w:tblStyleColBandSize w:val="1"/>
      <w:tblInd w:w="0" w:type="dxa"/>
      <w:tblCellMar>
        <w:top w:w="0" w:type="dxa"/>
        <w:left w:w="115" w:type="dxa"/>
        <w:bottom w:w="0" w:type="dxa"/>
        <w:right w:w="115" w:type="dxa"/>
      </w:tblCellMar>
    </w:tblPr>
  </w:style>
  <w:style w:type="table" w:styleId="Grilledutableau">
    <w:name w:val="Table Grid"/>
    <w:basedOn w:val="TableauNormal"/>
    <w:uiPriority w:val="59"/>
    <w:rsid w:val="001D0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84308"/>
    <w:pPr>
      <w:autoSpaceDE w:val="0"/>
      <w:autoSpaceDN w:val="0"/>
      <w:adjustRightInd w:val="0"/>
    </w:pPr>
    <w:rPr>
      <w:rFonts w:ascii="Times New Roman" w:eastAsiaTheme="minorHAnsi" w:hAnsi="Times New Roman" w:cs="Times New Roman"/>
      <w:color w:val="000000"/>
      <w:lang w:eastAsia="en-US"/>
    </w:rPr>
  </w:style>
  <w:style w:type="character" w:customStyle="1" w:styleId="A9">
    <w:name w:val="A9"/>
    <w:uiPriority w:val="99"/>
    <w:rsid w:val="005034E3"/>
    <w:rPr>
      <w:rFonts w:cs="Avenir Book"/>
      <w:color w:val="000000"/>
      <w:sz w:val="18"/>
      <w:szCs w:val="18"/>
    </w:rPr>
  </w:style>
</w:styles>
</file>

<file path=word/webSettings.xml><?xml version="1.0" encoding="utf-8"?>
<w:webSettings xmlns:r="http://schemas.openxmlformats.org/officeDocument/2006/relationships" xmlns:w="http://schemas.openxmlformats.org/wordprocessingml/2006/main">
  <w:divs>
    <w:div w:id="261227326">
      <w:bodyDiv w:val="1"/>
      <w:marLeft w:val="0"/>
      <w:marRight w:val="0"/>
      <w:marTop w:val="0"/>
      <w:marBottom w:val="0"/>
      <w:divBdr>
        <w:top w:val="none" w:sz="0" w:space="0" w:color="auto"/>
        <w:left w:val="none" w:sz="0" w:space="0" w:color="auto"/>
        <w:bottom w:val="none" w:sz="0" w:space="0" w:color="auto"/>
        <w:right w:val="none" w:sz="0" w:space="0" w:color="auto"/>
      </w:divBdr>
    </w:div>
    <w:div w:id="307444269">
      <w:bodyDiv w:val="1"/>
      <w:marLeft w:val="0"/>
      <w:marRight w:val="0"/>
      <w:marTop w:val="0"/>
      <w:marBottom w:val="0"/>
      <w:divBdr>
        <w:top w:val="none" w:sz="0" w:space="0" w:color="auto"/>
        <w:left w:val="none" w:sz="0" w:space="0" w:color="auto"/>
        <w:bottom w:val="none" w:sz="0" w:space="0" w:color="auto"/>
        <w:right w:val="none" w:sz="0" w:space="0" w:color="auto"/>
      </w:divBdr>
    </w:div>
    <w:div w:id="1101995709">
      <w:bodyDiv w:val="1"/>
      <w:marLeft w:val="0"/>
      <w:marRight w:val="0"/>
      <w:marTop w:val="0"/>
      <w:marBottom w:val="0"/>
      <w:divBdr>
        <w:top w:val="none" w:sz="0" w:space="0" w:color="auto"/>
        <w:left w:val="none" w:sz="0" w:space="0" w:color="auto"/>
        <w:bottom w:val="none" w:sz="0" w:space="0" w:color="auto"/>
        <w:right w:val="none" w:sz="0" w:space="0" w:color="auto"/>
      </w:divBdr>
    </w:div>
    <w:div w:id="1105033862">
      <w:bodyDiv w:val="1"/>
      <w:marLeft w:val="0"/>
      <w:marRight w:val="0"/>
      <w:marTop w:val="0"/>
      <w:marBottom w:val="0"/>
      <w:divBdr>
        <w:top w:val="none" w:sz="0" w:space="0" w:color="auto"/>
        <w:left w:val="none" w:sz="0" w:space="0" w:color="auto"/>
        <w:bottom w:val="none" w:sz="0" w:space="0" w:color="auto"/>
        <w:right w:val="none" w:sz="0" w:space="0" w:color="auto"/>
      </w:divBdr>
    </w:div>
    <w:div w:id="1213737956">
      <w:bodyDiv w:val="1"/>
      <w:marLeft w:val="0"/>
      <w:marRight w:val="0"/>
      <w:marTop w:val="0"/>
      <w:marBottom w:val="0"/>
      <w:divBdr>
        <w:top w:val="none" w:sz="0" w:space="0" w:color="auto"/>
        <w:left w:val="none" w:sz="0" w:space="0" w:color="auto"/>
        <w:bottom w:val="none" w:sz="0" w:space="0" w:color="auto"/>
        <w:right w:val="none" w:sz="0" w:space="0" w:color="auto"/>
      </w:divBdr>
    </w:div>
    <w:div w:id="1301837733">
      <w:bodyDiv w:val="1"/>
      <w:marLeft w:val="0"/>
      <w:marRight w:val="0"/>
      <w:marTop w:val="0"/>
      <w:marBottom w:val="0"/>
      <w:divBdr>
        <w:top w:val="none" w:sz="0" w:space="0" w:color="auto"/>
        <w:left w:val="none" w:sz="0" w:space="0" w:color="auto"/>
        <w:bottom w:val="none" w:sz="0" w:space="0" w:color="auto"/>
        <w:right w:val="none" w:sz="0" w:space="0" w:color="auto"/>
      </w:divBdr>
    </w:div>
    <w:div w:id="1352105779">
      <w:bodyDiv w:val="1"/>
      <w:marLeft w:val="0"/>
      <w:marRight w:val="0"/>
      <w:marTop w:val="0"/>
      <w:marBottom w:val="0"/>
      <w:divBdr>
        <w:top w:val="none" w:sz="0" w:space="0" w:color="auto"/>
        <w:left w:val="none" w:sz="0" w:space="0" w:color="auto"/>
        <w:bottom w:val="none" w:sz="0" w:space="0" w:color="auto"/>
        <w:right w:val="none" w:sz="0" w:space="0" w:color="auto"/>
      </w:divBdr>
    </w:div>
    <w:div w:id="1458375783">
      <w:bodyDiv w:val="1"/>
      <w:marLeft w:val="0"/>
      <w:marRight w:val="0"/>
      <w:marTop w:val="0"/>
      <w:marBottom w:val="0"/>
      <w:divBdr>
        <w:top w:val="none" w:sz="0" w:space="0" w:color="auto"/>
        <w:left w:val="none" w:sz="0" w:space="0" w:color="auto"/>
        <w:bottom w:val="none" w:sz="0" w:space="0" w:color="auto"/>
        <w:right w:val="none" w:sz="0" w:space="0" w:color="auto"/>
      </w:divBdr>
    </w:div>
    <w:div w:id="1564830489">
      <w:bodyDiv w:val="1"/>
      <w:marLeft w:val="0"/>
      <w:marRight w:val="0"/>
      <w:marTop w:val="0"/>
      <w:marBottom w:val="0"/>
      <w:divBdr>
        <w:top w:val="none" w:sz="0" w:space="0" w:color="auto"/>
        <w:left w:val="none" w:sz="0" w:space="0" w:color="auto"/>
        <w:bottom w:val="none" w:sz="0" w:space="0" w:color="auto"/>
        <w:right w:val="none" w:sz="0" w:space="0" w:color="auto"/>
      </w:divBdr>
    </w:div>
    <w:div w:id="1590189362">
      <w:bodyDiv w:val="1"/>
      <w:marLeft w:val="0"/>
      <w:marRight w:val="0"/>
      <w:marTop w:val="0"/>
      <w:marBottom w:val="0"/>
      <w:divBdr>
        <w:top w:val="none" w:sz="0" w:space="0" w:color="auto"/>
        <w:left w:val="none" w:sz="0" w:space="0" w:color="auto"/>
        <w:bottom w:val="none" w:sz="0" w:space="0" w:color="auto"/>
        <w:right w:val="none" w:sz="0" w:space="0" w:color="auto"/>
      </w:divBdr>
    </w:div>
    <w:div w:id="1994983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numbering" Target="numbering.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confinement\cout\fin\fin\Nouveau%20dossier\fin_eco\graphiques%20note%20fr-ar%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400" b="1" i="0" u="none" strike="noStrike" kern="1200" cap="all" baseline="0">
                <a:solidFill>
                  <a:schemeClr val="tx1">
                    <a:lumMod val="65000"/>
                    <a:lumOff val="35000"/>
                  </a:schemeClr>
                </a:solidFill>
                <a:latin typeface="+mn-lt"/>
                <a:ea typeface="+mn-ea"/>
                <a:cs typeface="+mn-cs"/>
              </a:defRPr>
            </a:pPr>
            <a:r>
              <a:rPr lang="ar-DZ" sz="1400"/>
              <a:t>نوع التكلفة</a:t>
            </a:r>
            <a:endParaRPr lang="en-US" sz="1400"/>
          </a:p>
        </c:rich>
      </c:tx>
      <c:layout>
        <c:manualLayout>
          <c:xMode val="edge"/>
          <c:yMode val="edge"/>
          <c:x val="0.4003294655087794"/>
          <c:y val="1.9819502077926539E-2"/>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3.3416642032374007E-3"/>
          <c:y val="0.19752123292280774"/>
          <c:w val="0.99665849461125067"/>
          <c:h val="0.75900881620566785"/>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1EE8-4D38-86B6-88E12EBAB133}"/>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1EE8-4D38-86B6-88E12EBAB133}"/>
              </c:ext>
            </c:extLst>
          </c:dPt>
          <c:dLbls>
            <c:dLbl>
              <c:idx val="0"/>
              <c:layout>
                <c:manualLayout>
                  <c:x val="-0.29979117994866078"/>
                  <c:y val="-0.21196581196581196"/>
                </c:manualLayout>
              </c:layout>
              <c:tx>
                <c:rich>
                  <a:bodyPr/>
                  <a:lstStyle/>
                  <a:p>
                    <a:r>
                      <a:rPr lang="ar-DZ"/>
                      <a:t>تكلفة مباشرة 81,8</a:t>
                    </a:r>
                  </a:p>
                </c:rich>
              </c:tx>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1EE8-4D38-86B6-88E12EBAB133}"/>
                </c:ext>
              </c:extLst>
            </c:dLbl>
            <c:dLbl>
              <c:idx val="1"/>
              <c:layout>
                <c:manualLayout>
                  <c:x val="0.15917202657360133"/>
                  <c:y val="0.12007957909370914"/>
                </c:manualLayout>
              </c:layout>
              <c:tx>
                <c:rich>
                  <a:bodyPr/>
                  <a:lstStyle/>
                  <a:p>
                    <a:r>
                      <a:rPr lang="ar-DZ"/>
                      <a:t>تكلفة غير مباشرة 18,2</a:t>
                    </a:r>
                  </a:p>
                </c:rich>
              </c:tx>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1EE8-4D38-86B6-88E12EBAB133}"/>
                </c:ext>
              </c:extLst>
            </c:dLbl>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spc="0" baseline="0">
                    <a:solidFill>
                      <a:schemeClr val="tx1"/>
                    </a:solidFill>
                    <a:latin typeface="+mn-lt"/>
                    <a:ea typeface="+mn-ea"/>
                    <a:cs typeface="+mn-cs"/>
                  </a:defRPr>
                </a:pPr>
                <a:endParaRPr lang="fr-FR"/>
              </a:p>
            </c:txPr>
            <c:dLblPos val="outEnd"/>
            <c:showVal val="1"/>
            <c:showCatName val="1"/>
            <c:extLst xmlns:c16r2="http://schemas.microsoft.com/office/drawing/2015/06/chart">
              <c:ext xmlns:c15="http://schemas.microsoft.com/office/drawing/2012/chart" uri="{CE6537A1-D6FC-4f65-9D91-7224C49458BB}"/>
            </c:extLst>
          </c:dLbls>
          <c:cat>
            <c:strRef>
              <c:f>'COUT ECO CORR'!$E$21:$E$22</c:f>
              <c:strCache>
                <c:ptCount val="2"/>
                <c:pt idx="0">
                  <c:v>تكلفة مباشرة</c:v>
                </c:pt>
                <c:pt idx="1">
                  <c:v>تكلفة غير مباشرة</c:v>
                </c:pt>
              </c:strCache>
            </c:strRef>
          </c:cat>
          <c:val>
            <c:numRef>
              <c:f>'COUT ECO CORR'!$F$21:$F$22</c:f>
              <c:numCache>
                <c:formatCode>0.0</c:formatCode>
                <c:ptCount val="2"/>
                <c:pt idx="0">
                  <c:v>81.825859014880137</c:v>
                </c:pt>
                <c:pt idx="1">
                  <c:v>18.174140985119664</c:v>
                </c:pt>
              </c:numCache>
            </c:numRef>
          </c:val>
          <c:extLst xmlns:c16r2="http://schemas.microsoft.com/office/drawing/2015/06/chart">
            <c:ext xmlns:c16="http://schemas.microsoft.com/office/drawing/2014/chart" uri="{C3380CC4-5D6E-409C-BE32-E72D297353CC}">
              <c16:uniqueId val="{00000002-1EE8-4D38-86B6-88E12EBAB133}"/>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400" b="1" i="0" u="none" strike="noStrike" kern="1200" cap="all" baseline="0">
                <a:solidFill>
                  <a:schemeClr val="tx1">
                    <a:lumMod val="65000"/>
                    <a:lumOff val="35000"/>
                  </a:schemeClr>
                </a:solidFill>
                <a:latin typeface="+mn-lt"/>
                <a:ea typeface="+mn-ea"/>
                <a:cs typeface="+mn-cs"/>
              </a:defRPr>
            </a:pPr>
            <a:r>
              <a:rPr lang="ar-DZ" sz="1400"/>
              <a:t>التكلفة المباشرة</a:t>
            </a:r>
            <a:endParaRPr lang="en-US" sz="1400"/>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
          <c:y val="0.20300136425648024"/>
          <c:w val="1"/>
          <c:h val="0.79699863574352092"/>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7382-4E3F-8060-A812B55E7304}"/>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7382-4E3F-8060-A812B55E7304}"/>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7382-4E3F-8060-A812B55E7304}"/>
              </c:ext>
            </c:extLst>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7382-4E3F-8060-A812B55E7304}"/>
              </c:ext>
            </c:extLst>
          </c:dPt>
          <c:dPt>
            <c:idx val="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7382-4E3F-8060-A812B55E7304}"/>
              </c:ext>
            </c:extLst>
          </c:dPt>
          <c:dLbls>
            <c:dLbl>
              <c:idx val="0"/>
              <c:layout>
                <c:manualLayout>
                  <c:x val="-0.17222222222222244"/>
                  <c:y val="9.25925925925929E-3"/>
                </c:manualLayout>
              </c:layout>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382-4E3F-8060-A812B55E7304}"/>
                </c:ext>
              </c:extLst>
            </c:dLbl>
            <c:dLbl>
              <c:idx val="1"/>
              <c:layout>
                <c:manualLayout>
                  <c:x val="-0.1424557278102884"/>
                  <c:y val="-0.18221052518503436"/>
                </c:manualLayout>
              </c:layout>
              <c:tx>
                <c:rich>
                  <a:bodyPr/>
                  <a:lstStyle/>
                  <a:p>
                    <a:r>
                      <a:rPr lang="ar-DZ"/>
                      <a:t>استبدال أو إصلاح الأغراض </a:t>
                    </a:r>
                  </a:p>
                  <a:p>
                    <a:r>
                      <a:rPr lang="ar-DZ"/>
                      <a:t>المتلفة </a:t>
                    </a:r>
                  </a:p>
                  <a:p>
                    <a:r>
                      <a:rPr lang="ar-DZ"/>
                      <a:t>13,7</a:t>
                    </a:r>
                  </a:p>
                </c:rich>
              </c:tx>
              <c:dLblPos val="bestFit"/>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7382-4E3F-8060-A812B55E7304}"/>
                </c:ext>
              </c:extLst>
            </c:dLbl>
            <c:dLbl>
              <c:idx val="2"/>
              <c:layout>
                <c:manualLayout>
                  <c:x val="0.21253791476454548"/>
                  <c:y val="-7.0764305894232521E-2"/>
                </c:manualLayout>
              </c:layout>
              <c:tx>
                <c:rich>
                  <a:bodyPr/>
                  <a:lstStyle/>
                  <a:p>
                    <a:r>
                      <a:rPr lang="ar-DZ"/>
                      <a:t>الإجراءات القانونية والقضائية </a:t>
                    </a:r>
                  </a:p>
                  <a:p>
                    <a:r>
                      <a:rPr lang="ar-DZ"/>
                      <a:t>40,5</a:t>
                    </a:r>
                  </a:p>
                </c:rich>
              </c:tx>
              <c:dLblPos val="bestFit"/>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7382-4E3F-8060-A812B55E7304}"/>
                </c:ext>
              </c:extLst>
            </c:dLbl>
            <c:dLbl>
              <c:idx val="3"/>
              <c:layout>
                <c:manualLayout>
                  <c:x val="1.0835529574991617E-2"/>
                  <c:y val="4.6814286531957412E-2"/>
                </c:manualLayout>
              </c:layout>
              <c:tx>
                <c:rich>
                  <a:bodyPr/>
                  <a:lstStyle/>
                  <a:p>
                    <a:r>
                      <a:rPr lang="ar-DZ"/>
                      <a:t>مغادرة منزل الأسرة </a:t>
                    </a:r>
                  </a:p>
                  <a:p>
                    <a:r>
                      <a:rPr lang="ar-DZ"/>
                      <a:t>6,9</a:t>
                    </a:r>
                  </a:p>
                </c:rich>
              </c:tx>
              <c:dLblPos val="bestFit"/>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7382-4E3F-8060-A812B55E7304}"/>
                </c:ext>
              </c:extLst>
            </c:dLbl>
            <c:dLbl>
              <c:idx val="4"/>
              <c:layout>
                <c:manualLayout>
                  <c:x val="4.2551393225959203E-2"/>
                  <c:y val="5.4646290288082953E-2"/>
                </c:manualLayout>
              </c:layout>
              <c:tx>
                <c:rich>
                  <a:bodyPr/>
                  <a:lstStyle/>
                  <a:p>
                    <a:r>
                      <a:rPr lang="ar-DZ"/>
                      <a:t> المجتمع المدني </a:t>
                    </a:r>
                  </a:p>
                  <a:p>
                    <a:r>
                      <a:rPr lang="ar-DZ"/>
                      <a:t> 0,1</a:t>
                    </a:r>
                  </a:p>
                </c:rich>
              </c:tx>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7382-4E3F-8060-A812B55E7304}"/>
                </c:ext>
              </c:extLst>
            </c:dLbl>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spc="0" baseline="0">
                    <a:solidFill>
                      <a:schemeClr val="tx1"/>
                    </a:solidFill>
                    <a:latin typeface="+mn-lt"/>
                    <a:ea typeface="+mn-ea"/>
                    <a:cs typeface="+mn-cs"/>
                  </a:defRPr>
                </a:pPr>
                <a:endParaRPr lang="fr-FR"/>
              </a:p>
            </c:txPr>
            <c:dLblPos val="outEnd"/>
            <c:showVal val="1"/>
            <c:showCatName val="1"/>
            <c:separator> </c:separator>
            <c:extLst xmlns:c16r2="http://schemas.microsoft.com/office/drawing/2015/06/chart">
              <c:ext xmlns:c15="http://schemas.microsoft.com/office/drawing/2012/chart" uri="{CE6537A1-D6FC-4f65-9D91-7224C49458BB}"/>
            </c:extLst>
          </c:dLbls>
          <c:cat>
            <c:strRef>
              <c:f>'COUT ECO CORR'!$O$143:$S$143</c:f>
              <c:strCache>
                <c:ptCount val="5"/>
                <c:pt idx="0">
                  <c:v>   الصحة</c:v>
                </c:pt>
                <c:pt idx="1">
                  <c:v>استبدال أو إصلاح الأغراض المتلفة</c:v>
                </c:pt>
                <c:pt idx="2">
                  <c:v>الإجراءات القانونية والقضائية</c:v>
                </c:pt>
                <c:pt idx="3">
                  <c:v>مغادرة منزل الأسرة</c:v>
                </c:pt>
                <c:pt idx="4">
                  <c:v> المجتمع المدني</c:v>
                </c:pt>
              </c:strCache>
            </c:strRef>
          </c:cat>
          <c:val>
            <c:numRef>
              <c:f>'COUT ECO CORR'!$O$144:$S$144</c:f>
              <c:numCache>
                <c:formatCode>0.0</c:formatCode>
                <c:ptCount val="5"/>
                <c:pt idx="0">
                  <c:v>38.827599618637791</c:v>
                </c:pt>
                <c:pt idx="1">
                  <c:v>13.60946025163552</c:v>
                </c:pt>
                <c:pt idx="2">
                  <c:v>40.520968671474584</c:v>
                </c:pt>
                <c:pt idx="3">
                  <c:v>6.9187592238273794</c:v>
                </c:pt>
                <c:pt idx="4">
                  <c:v>0.12321223442473662</c:v>
                </c:pt>
              </c:numCache>
            </c:numRef>
          </c:val>
          <c:extLst xmlns:c16r2="http://schemas.microsoft.com/office/drawing/2015/06/chart">
            <c:ext xmlns:c16="http://schemas.microsoft.com/office/drawing/2014/chart" uri="{C3380CC4-5D6E-409C-BE32-E72D297353CC}">
              <c16:uniqueId val="{00000005-7382-4E3F-8060-A812B55E7304}"/>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fr-FR"/>
  <c:chart>
    <c:title>
      <c:tx>
        <c:rich>
          <a:bodyPr rot="0" vert="horz"/>
          <a:lstStyle/>
          <a:p>
            <a:pPr>
              <a:defRPr sz="1400"/>
            </a:pPr>
            <a:r>
              <a:rPr lang="ar-DZ" sz="1400"/>
              <a:t>التكلفة  غير المباشرة</a:t>
            </a:r>
            <a:endParaRPr lang="en-US" sz="1400"/>
          </a:p>
        </c:rich>
      </c:tx>
      <c:layout>
        <c:manualLayout>
          <c:xMode val="edge"/>
          <c:yMode val="edge"/>
          <c:x val="0.36289542583137435"/>
          <c:y val="0"/>
        </c:manualLayout>
      </c:layout>
    </c:title>
    <c:view3D>
      <c:rotX val="30"/>
      <c:depthPercent val="100"/>
      <c:perspective val="30"/>
    </c:view3D>
    <c:plotArea>
      <c:layout>
        <c:manualLayout>
          <c:layoutTarget val="inner"/>
          <c:xMode val="edge"/>
          <c:yMode val="edge"/>
          <c:x val="8.3549520643406855E-5"/>
          <c:y val="0.20727868838988397"/>
          <c:w val="0.9476965026014873"/>
          <c:h val="0.77083265713622484"/>
        </c:manualLayout>
      </c:layout>
      <c:pie3DChart>
        <c:varyColors val="1"/>
        <c:ser>
          <c:idx val="0"/>
          <c:order val="0"/>
          <c:dLbls>
            <c:dLbl>
              <c:idx val="0"/>
              <c:layout>
                <c:manualLayout>
                  <c:x val="-0.19170753455193973"/>
                  <c:y val="1.043569006000524E-2"/>
                </c:manualLayout>
              </c:layout>
              <c:tx>
                <c:rich>
                  <a:bodyPr/>
                  <a:lstStyle/>
                  <a:p>
                    <a:r>
                      <a:rPr lang="ar-MA" sz="900" b="1"/>
                      <a:t>الأعمال المنزلية ورعاية أفراد الأسرة </a:t>
                    </a:r>
                  </a:p>
                  <a:p>
                    <a:r>
                      <a:rPr lang="ar-MA" sz="900" b="1"/>
                      <a:t>25,1</a:t>
                    </a:r>
                  </a:p>
                  <a:p>
                    <a:endParaRPr lang="ar-MA" sz="900" b="1"/>
                  </a:p>
                </c:rich>
              </c:tx>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D455-474A-B2E4-C9C2F8E970E9}"/>
                </c:ext>
              </c:extLst>
            </c:dLbl>
            <c:dLbl>
              <c:idx val="1"/>
              <c:layout>
                <c:manualLayout>
                  <c:x val="-3.3387951854388198E-2"/>
                  <c:y val="-0.13044612575006545"/>
                </c:manualLayout>
              </c:layout>
              <c:tx>
                <c:rich>
                  <a:bodyPr/>
                  <a:lstStyle/>
                  <a:p>
                    <a:r>
                      <a:rPr lang="ar-MA" sz="900" b="1"/>
                      <a:t>التغيب عن الدراسة </a:t>
                    </a:r>
                  </a:p>
                  <a:p>
                    <a:r>
                      <a:rPr lang="ar-MA" sz="900" b="1"/>
                      <a:t>0,1</a:t>
                    </a:r>
                  </a:p>
                </c:rich>
              </c:tx>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D455-474A-B2E4-C9C2F8E970E9}"/>
                </c:ext>
              </c:extLst>
            </c:dLbl>
            <c:dLbl>
              <c:idx val="2"/>
              <c:layout>
                <c:manualLayout>
                  <c:x val="0.2050824788230049"/>
                  <c:y val="-0.23480302635011738"/>
                </c:manualLayout>
              </c:layout>
              <c:tx>
                <c:rich>
                  <a:bodyPr/>
                  <a:lstStyle/>
                  <a:p>
                    <a:r>
                      <a:rPr lang="ar-MA" sz="900" b="1"/>
                      <a:t>فقدان العمل المؤدى عنه </a:t>
                    </a:r>
                  </a:p>
                  <a:p>
                    <a:r>
                      <a:rPr lang="ar-MA" sz="900" b="1"/>
                      <a:t>74,8</a:t>
                    </a:r>
                  </a:p>
                </c:rich>
              </c:tx>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D455-474A-B2E4-C9C2F8E970E9}"/>
                </c:ext>
              </c:extLst>
            </c:dLbl>
            <c:dLbl>
              <c:idx val="3"/>
              <c:dLblPos val="outEnd"/>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455-474A-B2E4-C9C2F8E970E9}"/>
                </c:ext>
              </c:extLst>
            </c:dLbl>
            <c:spPr>
              <a:noFill/>
              <a:ln>
                <a:noFill/>
              </a:ln>
              <a:effectLst/>
            </c:spPr>
            <c:txPr>
              <a:bodyPr rot="0" vert="horz"/>
              <a:lstStyle/>
              <a:p>
                <a:pPr>
                  <a:defRPr sz="900" b="1"/>
                </a:pPr>
                <a:endParaRPr lang="fr-FR"/>
              </a:p>
            </c:txPr>
            <c:dLblPos val="outEnd"/>
            <c:showVal val="1"/>
            <c:showCatName val="1"/>
            <c:separator> </c:separator>
            <c:extLst xmlns:c16r2="http://schemas.microsoft.com/office/drawing/2015/06/chart">
              <c:ext xmlns:c15="http://schemas.microsoft.com/office/drawing/2012/chart" uri="{CE6537A1-D6FC-4f65-9D91-7224C49458BB}"/>
            </c:extLst>
          </c:dLbls>
          <c:cat>
            <c:strRef>
              <c:f>'COUT ECO CORR'!$S$171:$U$171</c:f>
              <c:strCache>
                <c:ptCount val="3"/>
                <c:pt idx="0">
                  <c:v>الأعمال المنزلية ورعاية أفراد الأسرة</c:v>
                </c:pt>
                <c:pt idx="1">
                  <c:v>التغيب عن الدراسة</c:v>
                </c:pt>
                <c:pt idx="2">
                  <c:v>فقدان العمل المؤدى عنه</c:v>
                </c:pt>
              </c:strCache>
            </c:strRef>
          </c:cat>
          <c:val>
            <c:numRef>
              <c:f>'COUT ECO CORR'!$S$172:$U$172</c:f>
              <c:numCache>
                <c:formatCode>General</c:formatCode>
                <c:ptCount val="3"/>
                <c:pt idx="0">
                  <c:v>25.1</c:v>
                </c:pt>
                <c:pt idx="1">
                  <c:v>0.1</c:v>
                </c:pt>
                <c:pt idx="2">
                  <c:v>74.8</c:v>
                </c:pt>
              </c:numCache>
            </c:numRef>
          </c:val>
          <c:extLst xmlns:c16r2="http://schemas.microsoft.com/office/drawing/2015/06/chart">
            <c:ext xmlns:c16="http://schemas.microsoft.com/office/drawing/2014/chart" uri="{C3380CC4-5D6E-409C-BE32-E72D297353CC}">
              <c16:uniqueId val="{00000004-D455-474A-B2E4-C9C2F8E970E9}"/>
            </c:ext>
          </c:extLst>
        </c:ser>
        <c:dLbls>
          <c:showCatName val="1"/>
        </c:dLbls>
      </c:pie3DChart>
    </c:plotArea>
    <c:plotVisOnly val="1"/>
    <c:dispBlanksAs val="zero"/>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400" b="1" i="0" u="none" strike="noStrike" kern="1200" cap="all" baseline="0">
                <a:solidFill>
                  <a:schemeClr val="tx1">
                    <a:lumMod val="65000"/>
                    <a:lumOff val="35000"/>
                  </a:schemeClr>
                </a:solidFill>
                <a:latin typeface="+mn-lt"/>
                <a:ea typeface="+mn-ea"/>
                <a:cs typeface="+mn-cs"/>
              </a:defRPr>
            </a:pPr>
            <a:r>
              <a:rPr lang="ar-DZ" sz="1400"/>
              <a:t>التكلفة المباشرة</a:t>
            </a:r>
            <a:endParaRPr lang="en-US" sz="1400"/>
          </a:p>
        </c:rich>
      </c:tx>
      <c:layout>
        <c:manualLayout>
          <c:xMode val="edge"/>
          <c:yMode val="edge"/>
          <c:x val="0.40996228292188414"/>
          <c:y val="0"/>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
          <c:y val="0.16130236014076221"/>
          <c:w val="1"/>
          <c:h val="0.83849083084797882"/>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29B4-4366-AEB1-D22C5130D59B}"/>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29B4-4366-AEB1-D22C5130D59B}"/>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29B4-4366-AEB1-D22C5130D59B}"/>
              </c:ext>
            </c:extLst>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29B4-4366-AEB1-D22C5130D59B}"/>
              </c:ext>
            </c:extLst>
          </c:dPt>
          <c:dLbls>
            <c:dLbl>
              <c:idx val="0"/>
              <c:layout>
                <c:manualLayout>
                  <c:x val="-6.9641419518636324E-2"/>
                  <c:y val="9.9606815203145543E-2"/>
                </c:manualLayout>
              </c:layout>
              <c:tx>
                <c:rich>
                  <a:bodyPr/>
                  <a:lstStyle/>
                  <a:p>
                    <a:r>
                      <a:rPr lang="ar-DZ" sz="900"/>
                      <a:t> </a:t>
                    </a:r>
                  </a:p>
                  <a:p>
                    <a:endParaRPr lang="ar-DZ" sz="900"/>
                  </a:p>
                  <a:p>
                    <a:endParaRPr lang="ar-DZ" sz="900"/>
                  </a:p>
                  <a:p>
                    <a:endParaRPr lang="ar-DZ" sz="900"/>
                  </a:p>
                  <a:p>
                    <a:r>
                      <a:rPr lang="ar-DZ" sz="900"/>
                      <a:t>  </a:t>
                    </a:r>
                  </a:p>
                  <a:p>
                    <a:r>
                      <a:rPr lang="ar-DZ" sz="900"/>
                      <a:t>الصحة</a:t>
                    </a:r>
                  </a:p>
                  <a:p>
                    <a:r>
                      <a:rPr lang="ar-DZ" sz="900"/>
                      <a:t> 29,1</a:t>
                    </a:r>
                  </a:p>
                </c:rich>
              </c:tx>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29B4-4366-AEB1-D22C5130D59B}"/>
                </c:ext>
              </c:extLst>
            </c:dLbl>
            <c:dLbl>
              <c:idx val="1"/>
              <c:layout>
                <c:manualLayout>
                  <c:x val="0.2246592613869324"/>
                  <c:y val="-0.25163826998689381"/>
                </c:manualLayout>
              </c:layout>
              <c:tx>
                <c:rich>
                  <a:bodyPr rot="0" spcFirstLastPara="1" vertOverflow="ellipsis" vert="horz" wrap="square" lIns="38100" tIns="19050" rIns="38100" bIns="19050" anchor="ctr" anchorCtr="1">
                    <a:noAutofit/>
                  </a:bodyPr>
                  <a:lstStyle/>
                  <a:p>
                    <a:pPr>
                      <a:defRPr lang="en-US" sz="900" b="1" i="0" u="none" strike="noStrike" kern="1200" spc="0" baseline="0">
                        <a:solidFill>
                          <a:schemeClr val="tx1"/>
                        </a:solidFill>
                        <a:latin typeface="+mn-lt"/>
                        <a:ea typeface="+mn-ea"/>
                        <a:cs typeface="+mn-cs"/>
                      </a:defRPr>
                    </a:pPr>
                    <a:endParaRPr lang="ar-DZ" sz="900"/>
                  </a:p>
                  <a:p>
                    <a:pPr>
                      <a:defRPr lang="en-US" sz="900" b="1" i="0" u="none" strike="noStrike" kern="1200" spc="0" baseline="0">
                        <a:solidFill>
                          <a:schemeClr val="tx1"/>
                        </a:solidFill>
                        <a:latin typeface="+mn-lt"/>
                        <a:ea typeface="+mn-ea"/>
                        <a:cs typeface="+mn-cs"/>
                      </a:defRPr>
                    </a:pPr>
                    <a:endParaRPr lang="ar-DZ" sz="900"/>
                  </a:p>
                  <a:p>
                    <a:pPr>
                      <a:defRPr lang="en-US" sz="900" b="1" i="0" u="none" strike="noStrike" kern="1200" spc="0" baseline="0">
                        <a:solidFill>
                          <a:schemeClr val="tx1"/>
                        </a:solidFill>
                        <a:latin typeface="+mn-lt"/>
                        <a:ea typeface="+mn-ea"/>
                        <a:cs typeface="+mn-cs"/>
                      </a:defRPr>
                    </a:pPr>
                    <a:endParaRPr lang="ar-DZ" sz="900"/>
                  </a:p>
                  <a:p>
                    <a:pPr>
                      <a:defRPr lang="en-US" sz="900" b="1" i="0" u="none" strike="noStrike" kern="1200" spc="0" baseline="0">
                        <a:solidFill>
                          <a:schemeClr val="tx1"/>
                        </a:solidFill>
                        <a:latin typeface="+mn-lt"/>
                        <a:ea typeface="+mn-ea"/>
                        <a:cs typeface="+mn-cs"/>
                      </a:defRPr>
                    </a:pPr>
                    <a:r>
                      <a:rPr lang="ar-DZ" sz="900"/>
                      <a:t>استبدال أو إصلاح الأغراض</a:t>
                    </a:r>
                  </a:p>
                  <a:p>
                    <a:pPr>
                      <a:defRPr lang="en-US" sz="900" b="1" i="0" u="none" strike="noStrike" kern="1200" spc="0" baseline="0">
                        <a:solidFill>
                          <a:schemeClr val="tx1"/>
                        </a:solidFill>
                        <a:latin typeface="+mn-lt"/>
                        <a:ea typeface="+mn-ea"/>
                        <a:cs typeface="+mn-cs"/>
                      </a:defRPr>
                    </a:pPr>
                    <a:r>
                      <a:rPr lang="ar-DZ" sz="900"/>
                      <a:t>المتلفة </a:t>
                    </a:r>
                  </a:p>
                  <a:p>
                    <a:pPr>
                      <a:defRPr lang="en-US" sz="900" b="1" i="0" u="none" strike="noStrike" kern="1200" spc="0" baseline="0">
                        <a:solidFill>
                          <a:schemeClr val="tx1"/>
                        </a:solidFill>
                        <a:latin typeface="+mn-lt"/>
                        <a:ea typeface="+mn-ea"/>
                        <a:cs typeface="+mn-cs"/>
                      </a:defRPr>
                    </a:pPr>
                    <a:r>
                      <a:rPr lang="ar-DZ" sz="900"/>
                      <a:t>51,5</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layout>
                    <c:manualLayout>
                      <c:w val="0.37724011430905974"/>
                      <c:h val="0.20183486238532111"/>
                    </c:manualLayout>
                  </c15:layout>
                  <c15:showDataLabelsRange val="0"/>
                </c:ext>
                <c:ext xmlns:c16="http://schemas.microsoft.com/office/drawing/2014/chart" uri="{C3380CC4-5D6E-409C-BE32-E72D297353CC}">
                  <c16:uniqueId val="{00000001-29B4-4366-AEB1-D22C5130D59B}"/>
                </c:ext>
              </c:extLst>
            </c:dLbl>
            <c:dLbl>
              <c:idx val="2"/>
              <c:layout>
                <c:manualLayout>
                  <c:x val="0.1095937661548195"/>
                  <c:y val="0.14678899082568828"/>
                </c:manualLayout>
              </c:layout>
              <c:dLblPos val="bestFit"/>
              <c:showVal val="1"/>
              <c:showCatName val="1"/>
              <c:extLst xmlns:c16r2="http://schemas.microsoft.com/office/drawing/2015/06/chart">
                <c:ext xmlns:c15="http://schemas.microsoft.com/office/drawing/2012/chart" uri="{CE6537A1-D6FC-4f65-9D91-7224C49458BB}">
                  <c15:layout>
                    <c:manualLayout>
                      <c:w val="0.26309194634971245"/>
                      <c:h val="0.20854521625163827"/>
                    </c:manualLayout>
                  </c15:layout>
                </c:ext>
                <c:ext xmlns:c16="http://schemas.microsoft.com/office/drawing/2014/chart" uri="{C3380CC4-5D6E-409C-BE32-E72D297353CC}">
                  <c16:uniqueId val="{00000002-29B4-4366-AEB1-D22C5130D59B}"/>
                </c:ext>
              </c:extLst>
            </c:dLbl>
            <c:dLbl>
              <c:idx val="3"/>
              <c:layout>
                <c:manualLayout>
                  <c:x val="4.4677227260918415E-3"/>
                  <c:y val="3.6697247706422111E-2"/>
                </c:manualLayout>
              </c:layout>
              <c:tx>
                <c:rich>
                  <a:bodyPr/>
                  <a:lstStyle/>
                  <a:p>
                    <a:r>
                      <a:rPr lang="ar-DZ" sz="900"/>
                      <a:t> </a:t>
                    </a:r>
                  </a:p>
                  <a:p>
                    <a:endParaRPr lang="ar-DZ" sz="900"/>
                  </a:p>
                  <a:p>
                    <a:r>
                      <a:rPr lang="ar-DZ" sz="900"/>
                      <a:t>المجتمع المدني </a:t>
                    </a:r>
                  </a:p>
                  <a:p>
                    <a:r>
                      <a:rPr lang="ar-DZ" sz="900"/>
                      <a:t>0,8</a:t>
                    </a:r>
                  </a:p>
                </c:rich>
              </c:tx>
              <c:dLblPos val="outEnd"/>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29B4-4366-AEB1-D22C5130D59B}"/>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spc="0" baseline="0">
                    <a:solidFill>
                      <a:schemeClr val="tx1"/>
                    </a:solidFill>
                    <a:latin typeface="+mn-lt"/>
                    <a:ea typeface="+mn-ea"/>
                    <a:cs typeface="+mn-cs"/>
                  </a:defRPr>
                </a:pPr>
                <a:endParaRPr lang="fr-FR"/>
              </a:p>
            </c:txPr>
            <c:dLblPos val="outEnd"/>
            <c:showVal val="1"/>
            <c:showCatName val="1"/>
            <c:separator> </c:separator>
            <c:extLst xmlns:c16r2="http://schemas.microsoft.com/office/drawing/2015/06/chart">
              <c:ext xmlns:c15="http://schemas.microsoft.com/office/drawing/2012/chart" uri="{CE6537A1-D6FC-4f65-9D91-7224C49458BB}"/>
            </c:extLst>
          </c:dLbls>
          <c:cat>
            <c:strRef>
              <c:f>'COUT ECO CORR'!$O$171:$R$171</c:f>
              <c:strCache>
                <c:ptCount val="4"/>
                <c:pt idx="0">
                  <c:v>   الصحة</c:v>
                </c:pt>
                <c:pt idx="1">
                  <c:v>استبدال أو إصلاح الأغراض المتلفة</c:v>
                </c:pt>
                <c:pt idx="2">
                  <c:v>الإجراءات القانونية والقضائية</c:v>
                </c:pt>
                <c:pt idx="3">
                  <c:v> المجتمع المدني</c:v>
                </c:pt>
              </c:strCache>
            </c:strRef>
          </c:cat>
          <c:val>
            <c:numRef>
              <c:f>'COUT ECO CORR'!$O$172:$R$172</c:f>
              <c:numCache>
                <c:formatCode>0.0</c:formatCode>
                <c:ptCount val="4"/>
                <c:pt idx="0">
                  <c:v>29.08398841734353</c:v>
                </c:pt>
                <c:pt idx="1">
                  <c:v>51.475774059656274</c:v>
                </c:pt>
                <c:pt idx="2">
                  <c:v>18.593297482253728</c:v>
                </c:pt>
                <c:pt idx="3">
                  <c:v>0.84694004074638374</c:v>
                </c:pt>
              </c:numCache>
            </c:numRef>
          </c:val>
          <c:extLst xmlns:c16r2="http://schemas.microsoft.com/office/drawing/2015/06/chart">
            <c:ext xmlns:c16="http://schemas.microsoft.com/office/drawing/2014/chart" uri="{C3380CC4-5D6E-409C-BE32-E72D297353CC}">
              <c16:uniqueId val="{00000004-29B4-4366-AEB1-D22C5130D59B}"/>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400" b="1" i="0" u="none" strike="noStrike" kern="1200" cap="all" baseline="0">
                <a:solidFill>
                  <a:schemeClr val="tx1">
                    <a:lumMod val="65000"/>
                    <a:lumOff val="35000"/>
                  </a:schemeClr>
                </a:solidFill>
                <a:latin typeface="+mn-lt"/>
                <a:ea typeface="+mn-ea"/>
                <a:cs typeface="+mn-cs"/>
              </a:defRPr>
            </a:pPr>
            <a:r>
              <a:rPr lang="ar-DZ" sz="1400"/>
              <a:t>وسط الاقامة</a:t>
            </a:r>
            <a:endParaRPr lang="en-US" sz="1400"/>
          </a:p>
        </c:rich>
      </c:tx>
      <c:layout>
        <c:manualLayout>
          <c:xMode val="edge"/>
          <c:yMode val="edge"/>
          <c:x val="0.35928825515721763"/>
          <c:y val="0"/>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5.2948807616812886E-2"/>
          <c:y val="0.18254903620918378"/>
          <c:w val="0.88496905293715078"/>
          <c:h val="0.76056501001890964"/>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4563-4712-9C03-2668AE944A90}"/>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4563-4712-9C03-2668AE944A90}"/>
              </c:ext>
            </c:extLst>
          </c:dPt>
          <c:dLbls>
            <c:dLbl>
              <c:idx val="0"/>
              <c:layout>
                <c:manualLayout>
                  <c:x val="-0.26285714285714296"/>
                  <c:y val="-0.20173628091731594"/>
                </c:manualLayout>
              </c:layout>
              <c:tx>
                <c:rich>
                  <a:bodyPr rot="0" spcFirstLastPara="1" vertOverflow="ellipsis" vert="horz" wrap="square" lIns="38100" tIns="19050" rIns="38100" bIns="19050" anchor="ctr" anchorCtr="1">
                    <a:spAutoFit/>
                  </a:bodyPr>
                  <a:lstStyle/>
                  <a:p>
                    <a:pPr>
                      <a:defRPr lang="en-US" sz="900" b="1" i="0" u="none" strike="noStrike" kern="1200" spc="0" baseline="0">
                        <a:solidFill>
                          <a:schemeClr val="tx1"/>
                        </a:solidFill>
                        <a:latin typeface="+mn-lt"/>
                        <a:ea typeface="+mn-ea"/>
                        <a:cs typeface="+mn-cs"/>
                      </a:defRPr>
                    </a:pPr>
                    <a:r>
                      <a:rPr lang="ar-DZ"/>
                      <a:t>حضري 72,2</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4563-4712-9C03-2668AE944A90}"/>
                </c:ext>
              </c:extLst>
            </c:dLbl>
            <c:dLbl>
              <c:idx val="1"/>
              <c:layout>
                <c:manualLayout>
                  <c:x val="0.18514285714285736"/>
                  <c:y val="6.6143042923709969E-2"/>
                </c:manualLayout>
              </c:layout>
              <c:tx>
                <c:rich>
                  <a:bodyPr rot="0" spcFirstLastPara="1" vertOverflow="ellipsis" vert="horz" wrap="square" lIns="38100" tIns="19050" rIns="38100" bIns="19050" anchor="ctr" anchorCtr="1">
                    <a:spAutoFit/>
                  </a:bodyPr>
                  <a:lstStyle/>
                  <a:p>
                    <a:pPr>
                      <a:defRPr lang="en-US" sz="900" b="1" i="0" u="none" strike="noStrike" kern="1200" spc="0" baseline="0">
                        <a:solidFill>
                          <a:schemeClr val="tx1"/>
                        </a:solidFill>
                        <a:latin typeface="+mn-lt"/>
                        <a:ea typeface="+mn-ea"/>
                        <a:cs typeface="+mn-cs"/>
                      </a:defRPr>
                    </a:pPr>
                    <a:r>
                      <a:rPr lang="ar-DZ"/>
                      <a:t>قروي </a:t>
                    </a:r>
                  </a:p>
                  <a:p>
                    <a:pPr>
                      <a:defRPr lang="en-US" sz="900" b="1" i="0" u="none" strike="noStrike" kern="1200" spc="0" baseline="0">
                        <a:solidFill>
                          <a:schemeClr val="tx1"/>
                        </a:solidFill>
                        <a:latin typeface="+mn-lt"/>
                        <a:ea typeface="+mn-ea"/>
                        <a:cs typeface="+mn-cs"/>
                      </a:defRPr>
                    </a:pPr>
                    <a:r>
                      <a:rPr lang="ar-DZ"/>
                      <a:t>27,8</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4563-4712-9C03-2668AE944A90}"/>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spc="0" baseline="0">
                    <a:solidFill>
                      <a:schemeClr val="accent1"/>
                    </a:solidFill>
                    <a:latin typeface="+mn-lt"/>
                    <a:ea typeface="+mn-ea"/>
                    <a:cs typeface="+mn-cs"/>
                  </a:defRPr>
                </a:pPr>
                <a:endParaRPr lang="fr-FR"/>
              </a:p>
            </c:txPr>
            <c:dLblPos val="outEnd"/>
            <c:showVal val="1"/>
            <c:showCatName val="1"/>
            <c:extLst xmlns:c16r2="http://schemas.microsoft.com/office/drawing/2015/06/chart">
              <c:ext xmlns:c15="http://schemas.microsoft.com/office/drawing/2012/chart" uri="{CE6537A1-D6FC-4f65-9D91-7224C49458BB}"/>
            </c:extLst>
          </c:dLbls>
          <c:cat>
            <c:strRef>
              <c:f>'COUT ECO CORR'!$E$19:$E$20</c:f>
              <c:strCache>
                <c:ptCount val="2"/>
                <c:pt idx="0">
                  <c:v>حضري</c:v>
                </c:pt>
                <c:pt idx="1">
                  <c:v>قروي</c:v>
                </c:pt>
              </c:strCache>
            </c:strRef>
          </c:cat>
          <c:val>
            <c:numRef>
              <c:f>'COUT ECO CORR'!$F$19:$F$20</c:f>
              <c:numCache>
                <c:formatCode>0.0</c:formatCode>
                <c:ptCount val="2"/>
                <c:pt idx="0">
                  <c:v>72.2</c:v>
                </c:pt>
                <c:pt idx="1">
                  <c:v>27.8</c:v>
                </c:pt>
              </c:numCache>
            </c:numRef>
          </c:val>
          <c:extLst xmlns:c16r2="http://schemas.microsoft.com/office/drawing/2015/06/chart">
            <c:ext xmlns:c16="http://schemas.microsoft.com/office/drawing/2014/chart" uri="{C3380CC4-5D6E-409C-BE32-E72D297353CC}">
              <c16:uniqueId val="{00000002-4563-4712-9C03-2668AE944A90}"/>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400" b="1" i="0" u="none" strike="noStrike" kern="1200" cap="all" baseline="0">
                <a:solidFill>
                  <a:schemeClr val="tx1">
                    <a:lumMod val="65000"/>
                    <a:lumOff val="35000"/>
                  </a:schemeClr>
                </a:solidFill>
                <a:latin typeface="+mn-lt"/>
                <a:ea typeface="+mn-ea"/>
                <a:cs typeface="+mn-cs"/>
              </a:defRPr>
            </a:pPr>
            <a:r>
              <a:rPr lang="ar-DZ" sz="1400"/>
              <a:t>مجال</a:t>
            </a:r>
            <a:r>
              <a:rPr lang="fr-MA" sz="1400" baseline="0"/>
              <a:t> </a:t>
            </a:r>
            <a:r>
              <a:rPr lang="ar-DZ" sz="1400"/>
              <a:t>العنف</a:t>
            </a:r>
            <a:endParaRPr lang="en-US" sz="1400"/>
          </a:p>
        </c:rich>
      </c:tx>
      <c:layout>
        <c:manualLayout>
          <c:xMode val="edge"/>
          <c:yMode val="edge"/>
          <c:x val="0.38702373168048254"/>
          <c:y val="3.9585112101951205E-3"/>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3.2664048520538641E-2"/>
          <c:y val="0.12848229497628591"/>
          <c:w val="0.96733595147946161"/>
          <c:h val="0.83995717640558243"/>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80F4-4DC7-A225-CD722FBECC49}"/>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80F4-4DC7-A225-CD722FBECC49}"/>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80F4-4DC7-A225-CD722FBECC49}"/>
              </c:ext>
            </c:extLst>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80F4-4DC7-A225-CD722FBECC49}"/>
              </c:ext>
            </c:extLst>
          </c:dPt>
          <c:dPt>
            <c:idx val="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80F4-4DC7-A225-CD722FBECC49}"/>
              </c:ext>
            </c:extLst>
          </c:dPt>
          <c:dLbls>
            <c:dLbl>
              <c:idx val="0"/>
              <c:layout>
                <c:manualLayout>
                  <c:x val="-0.26168224299065468"/>
                  <c:y val="-0.11473274060682173"/>
                </c:manualLayout>
              </c:layout>
              <c:tx>
                <c:rich>
                  <a:bodyPr rot="0" spcFirstLastPara="1" vertOverflow="ellipsis" vert="horz" wrap="square" anchor="ctr" anchorCtr="1"/>
                  <a:lstStyle/>
                  <a:p>
                    <a:pPr>
                      <a:defRPr lang="en-US" sz="900" b="1" i="0" u="none" strike="noStrike" kern="1200" spc="0" baseline="0">
                        <a:solidFill>
                          <a:schemeClr val="tx1"/>
                        </a:solidFill>
                        <a:latin typeface="+mn-lt"/>
                        <a:ea typeface="+mn-ea"/>
                        <a:cs typeface="+mn-cs"/>
                      </a:defRPr>
                    </a:pPr>
                    <a:r>
                      <a:rPr lang="ar-MA">
                        <a:solidFill>
                          <a:schemeClr val="tx1"/>
                        </a:solidFill>
                      </a:rPr>
                      <a:t>الفضاء الزوجي</a:t>
                    </a:r>
                  </a:p>
                  <a:p>
                    <a:pPr>
                      <a:defRPr lang="en-US" sz="900" b="1" i="0" u="none" strike="noStrike" kern="1200" spc="0" baseline="0">
                        <a:solidFill>
                          <a:schemeClr val="tx1"/>
                        </a:solidFill>
                        <a:latin typeface="+mn-lt"/>
                        <a:ea typeface="+mn-ea"/>
                        <a:cs typeface="+mn-cs"/>
                      </a:defRPr>
                    </a:pPr>
                    <a:r>
                      <a:rPr lang="ar-MA"/>
                      <a:t>69,6</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80F4-4DC7-A225-CD722FBECC49}"/>
                </c:ext>
              </c:extLst>
            </c:dLbl>
            <c:dLbl>
              <c:idx val="1"/>
              <c:layout>
                <c:manualLayout>
                  <c:x val="0.12741165082617753"/>
                  <c:y val="2.0351578786570606E-2"/>
                </c:manualLayout>
              </c:layout>
              <c:tx>
                <c:rich>
                  <a:bodyPr rot="0" spcFirstLastPara="1" vertOverflow="ellipsis" vert="horz" wrap="square" anchor="ctr" anchorCtr="1"/>
                  <a:lstStyle/>
                  <a:p>
                    <a:pPr>
                      <a:defRPr lang="en-US" sz="900" b="1" i="0" u="none" strike="noStrike" kern="1200" spc="0" baseline="0">
                        <a:solidFill>
                          <a:schemeClr val="tx1"/>
                        </a:solidFill>
                        <a:latin typeface="+mn-lt"/>
                        <a:ea typeface="+mn-ea"/>
                        <a:cs typeface="+mn-cs"/>
                      </a:defRPr>
                    </a:pPr>
                    <a:r>
                      <a:rPr lang="ar-MA"/>
                      <a:t>الفضاء العائلي 12,9</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80F4-4DC7-A225-CD722FBECC49}"/>
                </c:ext>
              </c:extLst>
            </c:dLbl>
            <c:dLbl>
              <c:idx val="2"/>
              <c:tx>
                <c:rich>
                  <a:bodyPr rot="0" spcFirstLastPara="1" vertOverflow="ellipsis" vert="horz" wrap="square" anchor="ctr" anchorCtr="1"/>
                  <a:lstStyle/>
                  <a:p>
                    <a:pPr>
                      <a:defRPr lang="en-US" sz="900" b="1" i="0" u="none" strike="noStrike" kern="1200" spc="0" baseline="0">
                        <a:solidFill>
                          <a:schemeClr val="tx1"/>
                        </a:solidFill>
                        <a:latin typeface="+mn-lt"/>
                        <a:ea typeface="+mn-ea"/>
                        <a:cs typeface="+mn-cs"/>
                      </a:defRPr>
                    </a:pPr>
                    <a:r>
                      <a:rPr lang="ar-DZ"/>
                      <a:t>مكان العمل 1,7</a:t>
                    </a:r>
                  </a:p>
                </c:rich>
              </c:tx>
              <c:spPr>
                <a:noFill/>
                <a:ln>
                  <a:noFill/>
                </a:ln>
                <a:effectLst/>
              </c:spPr>
              <c:dLblPos val="outEnd"/>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80F4-4DC7-A225-CD722FBECC49}"/>
                </c:ext>
              </c:extLst>
            </c:dLbl>
            <c:dLbl>
              <c:idx val="3"/>
              <c:layout>
                <c:manualLayout>
                  <c:x val="8.1442616788764119E-2"/>
                  <c:y val="-0.14203079300577581"/>
                </c:manualLayout>
              </c:layout>
              <c:tx>
                <c:rich>
                  <a:bodyPr rot="0" spcFirstLastPara="1" vertOverflow="ellipsis" vert="horz" wrap="square" anchor="ctr" anchorCtr="1"/>
                  <a:lstStyle/>
                  <a:p>
                    <a:pPr>
                      <a:defRPr lang="en-US" sz="900" b="1" i="0" u="none" strike="noStrike" kern="1200" spc="0" baseline="0">
                        <a:solidFill>
                          <a:schemeClr val="tx1"/>
                        </a:solidFill>
                        <a:latin typeface="+mn-lt"/>
                        <a:ea typeface="+mn-ea"/>
                        <a:cs typeface="+mn-cs"/>
                      </a:defRPr>
                    </a:pPr>
                    <a:r>
                      <a:rPr lang="ar-DZ"/>
                      <a:t>مكان الدراسة 0,1</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80F4-4DC7-A225-CD722FBECC49}"/>
                </c:ext>
              </c:extLst>
            </c:dLbl>
            <c:dLbl>
              <c:idx val="4"/>
              <c:layout>
                <c:manualLayout>
                  <c:x val="0.15845214172096247"/>
                  <c:y val="6.0122310412427424E-2"/>
                </c:manualLayout>
              </c:layout>
              <c:tx>
                <c:rich>
                  <a:bodyPr rot="0" spcFirstLastPara="1" vertOverflow="ellipsis" vert="horz" wrap="square" anchor="ctr" anchorCtr="1"/>
                  <a:lstStyle/>
                  <a:p>
                    <a:pPr>
                      <a:defRPr lang="en-US" sz="900" b="1" i="0" u="none" strike="noStrike" kern="1200" spc="0" baseline="0">
                        <a:solidFill>
                          <a:schemeClr val="tx1"/>
                        </a:solidFill>
                        <a:latin typeface="+mn-lt"/>
                        <a:ea typeface="+mn-ea"/>
                        <a:cs typeface="+mn-cs"/>
                      </a:defRPr>
                    </a:pPr>
                    <a:r>
                      <a:rPr lang="ar-DZ"/>
                      <a:t>مكان عام 15,7</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80F4-4DC7-A225-CD722FBECC49}"/>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spc="0" baseline="0">
                    <a:solidFill>
                      <a:schemeClr val="tx1"/>
                    </a:solidFill>
                    <a:latin typeface="+mn-lt"/>
                    <a:ea typeface="+mn-ea"/>
                    <a:cs typeface="+mn-cs"/>
                  </a:defRPr>
                </a:pPr>
                <a:endParaRPr lang="fr-FR"/>
              </a:p>
            </c:txPr>
            <c:dLblPos val="outEnd"/>
            <c:showVal val="1"/>
            <c:showCatName val="1"/>
            <c:extLst xmlns:c16r2="http://schemas.microsoft.com/office/drawing/2015/06/chart">
              <c:ext xmlns:c15="http://schemas.microsoft.com/office/drawing/2012/chart" uri="{CE6537A1-D6FC-4f65-9D91-7224C49458BB}"/>
            </c:extLst>
          </c:dLbls>
          <c:cat>
            <c:strRef>
              <c:f>'COUT ECO CORR'!$E$12:$E$16</c:f>
              <c:strCache>
                <c:ptCount val="5"/>
                <c:pt idx="0">
                  <c:v>زوجي</c:v>
                </c:pt>
                <c:pt idx="1">
                  <c:v>أسري</c:v>
                </c:pt>
                <c:pt idx="2">
                  <c:v>مكان العمل</c:v>
                </c:pt>
                <c:pt idx="3">
                  <c:v>مكان الدراسة</c:v>
                </c:pt>
                <c:pt idx="4">
                  <c:v>مكان عام</c:v>
                </c:pt>
              </c:strCache>
            </c:strRef>
          </c:cat>
          <c:val>
            <c:numRef>
              <c:f>'COUT ECO CORR'!$F$12:$F$16</c:f>
              <c:numCache>
                <c:formatCode>0.0</c:formatCode>
                <c:ptCount val="5"/>
                <c:pt idx="0">
                  <c:v>69.598224191674532</c:v>
                </c:pt>
                <c:pt idx="1">
                  <c:v>12.874545208083781</c:v>
                </c:pt>
                <c:pt idx="2">
                  <c:v>1.6730698335000662</c:v>
                </c:pt>
                <c:pt idx="3">
                  <c:v>0.12200146576916684</c:v>
                </c:pt>
                <c:pt idx="4">
                  <c:v>15.732159300972491</c:v>
                </c:pt>
              </c:numCache>
            </c:numRef>
          </c:val>
          <c:extLst xmlns:c16r2="http://schemas.microsoft.com/office/drawing/2015/06/chart">
            <c:ext xmlns:c16="http://schemas.microsoft.com/office/drawing/2014/chart" uri="{C3380CC4-5D6E-409C-BE32-E72D297353CC}">
              <c16:uniqueId val="{00000005-80F4-4DC7-A225-CD722FBECC49}"/>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sz="900"/>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600" b="1" i="0" u="none" strike="noStrike" kern="1200" cap="all" baseline="0">
                <a:solidFill>
                  <a:schemeClr val="tx1">
                    <a:lumMod val="65000"/>
                    <a:lumOff val="35000"/>
                  </a:schemeClr>
                </a:solidFill>
                <a:latin typeface="+mn-lt"/>
                <a:ea typeface="+mn-ea"/>
                <a:cs typeface="+mn-cs"/>
              </a:defRPr>
            </a:pPr>
            <a:r>
              <a:rPr lang="ar-DZ" baseline="0"/>
              <a:t>أشكال العنف</a:t>
            </a:r>
            <a:endParaRPr lang="en-US"/>
          </a:p>
        </c:rich>
      </c:tx>
      <c:layout>
        <c:manualLayout>
          <c:xMode val="edge"/>
          <c:yMode val="edge"/>
          <c:x val="0.29769998262412328"/>
          <c:y val="2.1685062292977612E-2"/>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1360311668358529"/>
          <c:y val="0.19494137468624306"/>
          <c:w val="0.88639688331641453"/>
          <c:h val="0.68889454320393362"/>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A3E9-4514-8E48-64E19279135D}"/>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A3E9-4514-8E48-64E19279135D}"/>
              </c:ext>
            </c:extLst>
          </c:dPt>
          <c:dLbls>
            <c:dLbl>
              <c:idx val="0"/>
              <c:layout>
                <c:manualLayout>
                  <c:x val="-0.19214866434378616"/>
                  <c:y val="-0.27728822106843631"/>
                </c:manualLayout>
              </c:layout>
              <c:tx>
                <c:rich>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r>
                      <a:rPr lang="ar-DZ"/>
                      <a:t>جسدي  84,7</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A3E9-4514-8E48-64E19279135D}"/>
                </c:ext>
              </c:extLst>
            </c:dLbl>
            <c:dLbl>
              <c:idx val="1"/>
              <c:layout>
                <c:manualLayout>
                  <c:x val="0.13028571428571417"/>
                  <c:y val="0.10252171653175061"/>
                </c:manualLayout>
              </c:layout>
              <c:tx>
                <c:rich>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r>
                      <a:rPr lang="ar-DZ"/>
                      <a:t>جنسي 15,3</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A3E9-4514-8E48-64E19279135D}"/>
                </c:ext>
              </c:extLst>
            </c:dLbl>
            <c:spPr>
              <a:noFill/>
              <a:ln>
                <a:noFill/>
              </a:ln>
              <a:effectLst/>
            </c:spPr>
            <c:txPr>
              <a:bodyPr/>
              <a:lstStyle/>
              <a:p>
                <a:pPr>
                  <a:defRPr lang="en-US"/>
                </a:pPr>
                <a:endParaRPr lang="fr-FR"/>
              </a:p>
            </c:txPr>
            <c:dLblPos val="outEnd"/>
            <c:showVal val="1"/>
            <c:showCatName val="1"/>
            <c:extLst xmlns:c16r2="http://schemas.microsoft.com/office/drawing/2015/06/chart">
              <c:ext xmlns:c15="http://schemas.microsoft.com/office/drawing/2012/chart" uri="{CE6537A1-D6FC-4f65-9D91-7224C49458BB}"/>
            </c:extLst>
          </c:dLbls>
          <c:cat>
            <c:strRef>
              <c:f>'COUT ECO CORR'!$E$17:$E$18</c:f>
              <c:strCache>
                <c:ptCount val="2"/>
                <c:pt idx="0">
                  <c:v>جسدي </c:v>
                </c:pt>
                <c:pt idx="1">
                  <c:v>جنسي</c:v>
                </c:pt>
              </c:strCache>
            </c:strRef>
          </c:cat>
          <c:val>
            <c:numRef>
              <c:f>'COUT ECO CORR'!$F$17:$F$18</c:f>
              <c:numCache>
                <c:formatCode>0.0</c:formatCode>
                <c:ptCount val="2"/>
                <c:pt idx="0">
                  <c:v>84.670974495571059</c:v>
                </c:pt>
                <c:pt idx="1">
                  <c:v>15.329025504428941</c:v>
                </c:pt>
              </c:numCache>
            </c:numRef>
          </c:val>
          <c:extLst xmlns:c16r2="http://schemas.microsoft.com/office/drawing/2015/06/chart">
            <c:ext xmlns:c16="http://schemas.microsoft.com/office/drawing/2014/chart" uri="{C3380CC4-5D6E-409C-BE32-E72D297353CC}">
              <c16:uniqueId val="{00000002-A3E9-4514-8E48-64E19279135D}"/>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053B-4A62-BB32-2287F06DB7FD}"/>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053B-4A62-BB32-2287F06DB7FD}"/>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053B-4A62-BB32-2287F06DB7FD}"/>
              </c:ext>
            </c:extLst>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053B-4A62-BB32-2287F06DB7FD}"/>
              </c:ext>
            </c:extLst>
          </c:dPt>
          <c:dPt>
            <c:idx val="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053B-4A62-BB32-2287F06DB7FD}"/>
              </c:ext>
            </c:extLst>
          </c:dPt>
          <c:dLbls>
            <c:dLbl>
              <c:idx val="0"/>
              <c:tx>
                <c:rich>
                  <a:bodyPr/>
                  <a:lstStyle/>
                  <a:p>
                    <a:r>
                      <a:rPr lang="ar-DZ"/>
                      <a:t>   الصحة </a:t>
                    </a:r>
                  </a:p>
                  <a:p>
                    <a:r>
                      <a:rPr lang="ar-DZ"/>
                      <a:t>42,3%</a:t>
                    </a:r>
                  </a:p>
                </c:rich>
              </c:tx>
              <c:dLblPos val="outEnd"/>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053B-4A62-BB32-2287F06DB7FD}"/>
                </c:ext>
              </c:extLst>
            </c:dLbl>
            <c:dLbl>
              <c:idx val="1"/>
              <c:layout>
                <c:manualLayout>
                  <c:x val="6.9405367239100098E-3"/>
                  <c:y val="-0.17084430203504591"/>
                </c:manualLayout>
              </c:layout>
              <c:dLblPos val="outEnd"/>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53B-4A62-BB32-2287F06DB7FD}"/>
                </c:ext>
              </c:extLst>
            </c:dLbl>
            <c:dLbl>
              <c:idx val="2"/>
              <c:tx>
                <c:rich>
                  <a:bodyPr/>
                  <a:lstStyle/>
                  <a:p>
                    <a:r>
                      <a:rPr lang="ar-DZ"/>
                      <a:t>الإجراءات القانونية </a:t>
                    </a:r>
                  </a:p>
                  <a:p>
                    <a:r>
                      <a:rPr lang="ar-DZ"/>
                      <a:t>والقضائية  25,8%</a:t>
                    </a:r>
                  </a:p>
                </c:rich>
              </c:tx>
              <c:dLblPos val="outEnd"/>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053B-4A62-BB32-2287F06DB7FD}"/>
                </c:ext>
              </c:extLst>
            </c:dLbl>
            <c:dLbl>
              <c:idx val="3"/>
              <c:dLblPos val="outEnd"/>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53B-4A62-BB32-2287F06DB7FD}"/>
                </c:ext>
              </c:extLst>
            </c:dLbl>
            <c:dLbl>
              <c:idx val="4"/>
              <c:tx>
                <c:rich>
                  <a:bodyPr/>
                  <a:lstStyle/>
                  <a:p>
                    <a:r>
                      <a:rPr lang="ar-DZ"/>
                      <a:t> المجتمع المدني </a:t>
                    </a:r>
                  </a:p>
                  <a:p>
                    <a:r>
                      <a:rPr lang="ar-DZ"/>
                      <a:t>0,5%</a:t>
                    </a:r>
                  </a:p>
                </c:rich>
              </c:tx>
              <c:dLblPos val="outEnd"/>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053B-4A62-BB32-2287F06DB7FD}"/>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endParaRPr lang="fr-FR"/>
              </a:p>
            </c:txPr>
            <c:dLblPos val="outEnd"/>
            <c:showVal val="1"/>
            <c:showCatName val="1"/>
            <c:separator> </c:separator>
            <c:extLst xmlns:c16r2="http://schemas.microsoft.com/office/drawing/2015/06/chart">
              <c:ext xmlns:c15="http://schemas.microsoft.com/office/drawing/2012/chart" uri="{CE6537A1-D6FC-4f65-9D91-7224C49458BB}"/>
            </c:extLst>
          </c:dLbls>
          <c:cat>
            <c:strRef>
              <c:f>'COUT ECO-PUBLIE'!$C$60:$C$64</c:f>
              <c:strCache>
                <c:ptCount val="5"/>
                <c:pt idx="0">
                  <c:v>   الصحة</c:v>
                </c:pt>
                <c:pt idx="1">
                  <c:v>استبدال أو إصلاح الأغراض المتلفة</c:v>
                </c:pt>
                <c:pt idx="2">
                  <c:v>الإجراءات القانونية والقضائية</c:v>
                </c:pt>
                <c:pt idx="3">
                  <c:v>مغادرة منزل الأسرة</c:v>
                </c:pt>
                <c:pt idx="4">
                  <c:v> المجتمع المدني</c:v>
                </c:pt>
              </c:strCache>
            </c:strRef>
          </c:cat>
          <c:val>
            <c:numRef>
              <c:f>'COUT ECO-PUBLIE'!$D$60:$D$64</c:f>
              <c:numCache>
                <c:formatCode>0.0%</c:formatCode>
                <c:ptCount val="5"/>
                <c:pt idx="0">
                  <c:v>0.42335416231913275</c:v>
                </c:pt>
                <c:pt idx="1">
                  <c:v>0.17897298872846129</c:v>
                </c:pt>
                <c:pt idx="2">
                  <c:v>0.25789606880456839</c:v>
                </c:pt>
                <c:pt idx="3">
                  <c:v>0.13502638342472584</c:v>
                </c:pt>
                <c:pt idx="4">
                  <c:v>4.7503967231132399E-3</c:v>
                </c:pt>
              </c:numCache>
            </c:numRef>
          </c:val>
          <c:extLst xmlns:c16r2="http://schemas.microsoft.com/office/drawing/2015/06/chart">
            <c:ext xmlns:c16="http://schemas.microsoft.com/office/drawing/2014/chart" uri="{C3380CC4-5D6E-409C-BE32-E72D297353CC}">
              <c16:uniqueId val="{00000005-053B-4A62-BB32-2287F06DB7FD}"/>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A9E5-4559-8AF7-233C91B24836}"/>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A9E5-4559-8AF7-233C91B24836}"/>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A9E5-4559-8AF7-233C91B24836}"/>
              </c:ext>
            </c:extLst>
          </c:dPt>
          <c:dLbls>
            <c:dLbl>
              <c:idx val="0"/>
              <c:layout>
                <c:manualLayout>
                  <c:x val="-0.20114285714285723"/>
                  <c:y val="-0.11905747726267804"/>
                </c:manualLayout>
              </c:layout>
              <c:tx>
                <c:rich>
                  <a:bodyPr/>
                  <a:lstStyle/>
                  <a:p>
                    <a:r>
                      <a:rPr lang="ar-DZ"/>
                      <a:t>الأعمال المنزلية ورعاية أفراد الأسرة </a:t>
                    </a:r>
                  </a:p>
                  <a:p>
                    <a:r>
                      <a:rPr lang="ar-DZ"/>
                      <a:t>55,0</a:t>
                    </a:r>
                  </a:p>
                </c:rich>
              </c:tx>
              <c:dLblPos val="bestFit"/>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A9E5-4559-8AF7-233C91B24836}"/>
                </c:ext>
              </c:extLst>
            </c:dLbl>
            <c:dLbl>
              <c:idx val="1"/>
              <c:layout>
                <c:manualLayout>
                  <c:x val="-2.5462962962962982E-2"/>
                  <c:y val="-2.0028039254957067E-2"/>
                </c:manualLayout>
              </c:layout>
              <c:tx>
                <c:rich>
                  <a:bodyPr/>
                  <a:lstStyle/>
                  <a:p>
                    <a:r>
                      <a:rPr lang="ar-DZ"/>
                      <a:t>التغيب عن الدراسة </a:t>
                    </a:r>
                  </a:p>
                  <a:p>
                    <a:r>
                      <a:rPr lang="ar-DZ"/>
                      <a:t>1,1</a:t>
                    </a:r>
                  </a:p>
                </c:rich>
              </c:tx>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A9E5-4559-8AF7-233C91B24836}"/>
                </c:ext>
              </c:extLst>
            </c:dLbl>
            <c:dLbl>
              <c:idx val="2"/>
              <c:layout>
                <c:manualLayout>
                  <c:x val="0.24685714285714325"/>
                  <c:y val="3.6378673608040549E-2"/>
                </c:manualLayout>
              </c:layout>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9E5-4559-8AF7-233C91B24836}"/>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endParaRPr lang="fr-FR"/>
              </a:p>
            </c:txPr>
            <c:dLblPos val="outEnd"/>
            <c:showVal val="1"/>
            <c:showCatName val="1"/>
            <c:separator> </c:separator>
            <c:extLst xmlns:c16r2="http://schemas.microsoft.com/office/drawing/2015/06/chart">
              <c:ext xmlns:c15="http://schemas.microsoft.com/office/drawing/2012/chart" uri="{CE6537A1-D6FC-4f65-9D91-7224C49458BB}"/>
            </c:extLst>
          </c:dLbls>
          <c:cat>
            <c:strRef>
              <c:f>'COUT ECO CORR'!$F$93:$F$95</c:f>
              <c:strCache>
                <c:ptCount val="3"/>
                <c:pt idx="0">
                  <c:v>الأعمال المنزلية ورعاية أفراد الأسرة</c:v>
                </c:pt>
                <c:pt idx="1">
                  <c:v>التغيب عن الدراسة</c:v>
                </c:pt>
                <c:pt idx="2">
                  <c:v>فقدان العمل المؤدى عنه</c:v>
                </c:pt>
              </c:strCache>
            </c:strRef>
          </c:cat>
          <c:val>
            <c:numRef>
              <c:f>'COUT ECO CORR'!$G$93:$G$95</c:f>
              <c:numCache>
                <c:formatCode>General</c:formatCode>
                <c:ptCount val="3"/>
                <c:pt idx="0">
                  <c:v>55</c:v>
                </c:pt>
                <c:pt idx="1">
                  <c:v>1.1000000000000001</c:v>
                </c:pt>
                <c:pt idx="2">
                  <c:v>43.9</c:v>
                </c:pt>
              </c:numCache>
            </c:numRef>
          </c:val>
          <c:extLst xmlns:c16r2="http://schemas.microsoft.com/office/drawing/2015/06/chart">
            <c:ext xmlns:c16="http://schemas.microsoft.com/office/drawing/2014/chart" uri="{C3380CC4-5D6E-409C-BE32-E72D297353CC}">
              <c16:uniqueId val="{00000003-A9E5-4559-8AF7-233C91B24836}"/>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600" b="1" i="0" u="none" strike="noStrike" kern="1200" cap="all" baseline="0">
                <a:solidFill>
                  <a:schemeClr val="tx1">
                    <a:lumMod val="65000"/>
                    <a:lumOff val="35000"/>
                  </a:schemeClr>
                </a:solidFill>
                <a:latin typeface="+mn-lt"/>
                <a:ea typeface="+mn-ea"/>
                <a:cs typeface="+mn-cs"/>
              </a:defRPr>
            </a:pPr>
            <a:r>
              <a:rPr lang="ar-DZ"/>
              <a:t>التكاليف غير المباشرة</a:t>
            </a:r>
            <a:endParaRPr lang="en-US"/>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3.3716048146896008E-2"/>
          <c:y val="0.20630005092855516"/>
          <c:w val="0.92777059020177122"/>
          <c:h val="0.75116894657531663"/>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F752-45C6-98C5-3BCFEFB6D79B}"/>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F752-45C6-98C5-3BCFEFB6D79B}"/>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F752-45C6-98C5-3BCFEFB6D79B}"/>
              </c:ext>
            </c:extLst>
          </c:dPt>
          <c:dLbls>
            <c:dLbl>
              <c:idx val="0"/>
              <c:layout>
                <c:manualLayout>
                  <c:x val="-0.25580333281079126"/>
                  <c:y val="-0.11574083481500297"/>
                </c:manualLayout>
              </c:layout>
              <c:tx>
                <c:rich>
                  <a:bodyPr rot="0" spcFirstLastPara="1" vertOverflow="ellipsis" vert="horz" wrap="square" lIns="38100" tIns="19050" rIns="38100" bIns="19050" anchor="ctr" anchorCtr="1">
                    <a:spAutoFit/>
                  </a:bodyPr>
                  <a:lstStyle/>
                  <a:p>
                    <a:pPr>
                      <a:defRPr lang="en-US" sz="900" b="1" i="0" u="none" strike="noStrike" kern="1200" spc="0" baseline="0">
                        <a:solidFill>
                          <a:schemeClr val="tx1"/>
                        </a:solidFill>
                        <a:latin typeface="+mn-lt"/>
                        <a:ea typeface="+mn-ea"/>
                        <a:cs typeface="+mn-cs"/>
                      </a:defRPr>
                    </a:pPr>
                    <a:r>
                      <a:rPr lang="ar-DZ" sz="900"/>
                      <a:t>الأعمال المنزلية ورعاية أفراد الأسرة </a:t>
                    </a:r>
                  </a:p>
                  <a:p>
                    <a:pPr>
                      <a:defRPr lang="en-US" sz="900" b="1" i="0" u="none" strike="noStrike" kern="1200" spc="0" baseline="0">
                        <a:solidFill>
                          <a:schemeClr val="tx1"/>
                        </a:solidFill>
                        <a:latin typeface="+mn-lt"/>
                        <a:ea typeface="+mn-ea"/>
                        <a:cs typeface="+mn-cs"/>
                      </a:defRPr>
                    </a:pPr>
                    <a:r>
                      <a:rPr lang="ar-DZ" sz="900"/>
                      <a:t>63,4</a:t>
                    </a:r>
                  </a:p>
                </c:rich>
              </c:tx>
              <c:spPr>
                <a:noFill/>
                <a:ln>
                  <a:noFill/>
                </a:ln>
                <a:effectLst/>
              </c:spPr>
              <c:dLblPos val="bestFit"/>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F752-45C6-98C5-3BCFEFB6D79B}"/>
                </c:ext>
              </c:extLst>
            </c:dLbl>
            <c:dLbl>
              <c:idx val="1"/>
              <c:tx>
                <c:rich>
                  <a:bodyPr/>
                  <a:lstStyle/>
                  <a:p>
                    <a:r>
                      <a:rPr lang="ar-DZ"/>
                      <a:t>التغيب عن الدراسة </a:t>
                    </a:r>
                  </a:p>
                  <a:p>
                    <a:r>
                      <a:rPr lang="ar-DZ"/>
                      <a:t>0,8</a:t>
                    </a:r>
                  </a:p>
                </c:rich>
              </c:tx>
              <c:dLblPos val="outEnd"/>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F752-45C6-98C5-3BCFEFB6D79B}"/>
                </c:ext>
              </c:extLst>
            </c:dLbl>
            <c:dLbl>
              <c:idx val="2"/>
              <c:layout>
                <c:manualLayout>
                  <c:x val="0.14166666666666666"/>
                  <c:y val="7.8703703703703734E-2"/>
                </c:manualLayout>
              </c:layout>
              <c:tx>
                <c:rich>
                  <a:bodyPr/>
                  <a:lstStyle/>
                  <a:p>
                    <a:r>
                      <a:rPr lang="ar-DZ"/>
                      <a:t>فقدان العمل المؤدى عنه 35,8</a:t>
                    </a:r>
                  </a:p>
                </c:rich>
              </c:tx>
              <c:dLblPos val="bestFit"/>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F752-45C6-98C5-3BCFEFB6D79B}"/>
                </c:ext>
              </c:extLst>
            </c:dLbl>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spc="0" baseline="0">
                    <a:solidFill>
                      <a:schemeClr val="tx1"/>
                    </a:solidFill>
                    <a:latin typeface="+mn-lt"/>
                    <a:ea typeface="+mn-ea"/>
                    <a:cs typeface="+mn-cs"/>
                  </a:defRPr>
                </a:pPr>
                <a:endParaRPr lang="fr-FR"/>
              </a:p>
            </c:txPr>
            <c:dLblPos val="outEnd"/>
            <c:showVal val="1"/>
            <c:showCatName val="1"/>
            <c:separator> </c:separator>
            <c:extLst xmlns:c16r2="http://schemas.microsoft.com/office/drawing/2015/06/chart">
              <c:ext xmlns:c15="http://schemas.microsoft.com/office/drawing/2012/chart" uri="{CE6537A1-D6FC-4f65-9D91-7224C49458BB}"/>
            </c:extLst>
          </c:dLbls>
          <c:cat>
            <c:strRef>
              <c:f>'COUT ECO CORR'!$T$125:$V$125</c:f>
              <c:strCache>
                <c:ptCount val="3"/>
                <c:pt idx="0">
                  <c:v>الأعمال المنزلية ورعاية أفراد الأسرة</c:v>
                </c:pt>
                <c:pt idx="1">
                  <c:v>التغيب عن الدراسة</c:v>
                </c:pt>
                <c:pt idx="2">
                  <c:v>فقدان العمل المؤدى عنه</c:v>
                </c:pt>
              </c:strCache>
            </c:strRef>
          </c:cat>
          <c:val>
            <c:numRef>
              <c:f>'COUT ECO CORR'!$T$126:$V$126</c:f>
              <c:numCache>
                <c:formatCode>General</c:formatCode>
                <c:ptCount val="3"/>
                <c:pt idx="0">
                  <c:v>63.4</c:v>
                </c:pt>
                <c:pt idx="1">
                  <c:v>0.8</c:v>
                </c:pt>
                <c:pt idx="2">
                  <c:v>35.9</c:v>
                </c:pt>
              </c:numCache>
            </c:numRef>
          </c:val>
          <c:extLst xmlns:c16r2="http://schemas.microsoft.com/office/drawing/2015/06/chart">
            <c:ext xmlns:c16="http://schemas.microsoft.com/office/drawing/2014/chart" uri="{C3380CC4-5D6E-409C-BE32-E72D297353CC}">
              <c16:uniqueId val="{00000003-F752-45C6-98C5-3BCFEFB6D79B}"/>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600" b="1" i="0" u="none" strike="noStrike" kern="1200" cap="all" baseline="0">
                <a:solidFill>
                  <a:schemeClr val="tx1">
                    <a:lumMod val="65000"/>
                    <a:lumOff val="35000"/>
                  </a:schemeClr>
                </a:solidFill>
                <a:latin typeface="+mn-lt"/>
                <a:ea typeface="+mn-ea"/>
                <a:cs typeface="+mn-cs"/>
              </a:defRPr>
            </a:pPr>
            <a:r>
              <a:rPr lang="ar-DZ"/>
              <a:t>التكلفة المباشرة</a:t>
            </a:r>
            <a:endParaRPr lang="en-US"/>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5.8126765296206494E-2"/>
          <c:y val="0.23226914817465999"/>
          <c:w val="0.8871914449980286"/>
          <c:h val="0.73564529032801607"/>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4EB1-4A86-B62B-1E8BFD154B00}"/>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4EB1-4A86-B62B-1E8BFD154B00}"/>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4EB1-4A86-B62B-1E8BFD154B00}"/>
              </c:ext>
            </c:extLst>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4EB1-4A86-B62B-1E8BFD154B00}"/>
              </c:ext>
            </c:extLst>
          </c:dPt>
          <c:dPt>
            <c:idx val="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4EB1-4A86-B62B-1E8BFD154B00}"/>
              </c:ext>
            </c:extLst>
          </c:dPt>
          <c:dLbls>
            <c:dLbl>
              <c:idx val="0"/>
              <c:layout>
                <c:manualLayout>
                  <c:x val="-0.17222222222222244"/>
                  <c:y val="9.25925925925929E-3"/>
                </c:manualLayout>
              </c:layout>
              <c:tx>
                <c:rich>
                  <a:bodyPr/>
                  <a:lstStyle/>
                  <a:p>
                    <a:r>
                      <a:rPr lang="ar-DZ"/>
                      <a:t>   الصحة 45,2</a:t>
                    </a:r>
                  </a:p>
                </c:rich>
              </c:tx>
              <c:dLblPos val="bestFit"/>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4EB1-4A86-B62B-1E8BFD154B00}"/>
                </c:ext>
              </c:extLst>
            </c:dLbl>
            <c:dLbl>
              <c:idx val="1"/>
              <c:layout>
                <c:manualLayout>
                  <c:x val="2.7777777777777863E-2"/>
                  <c:y val="-0.17129629629629675"/>
                </c:manualLayout>
              </c:layout>
              <c:tx>
                <c:rich>
                  <a:bodyPr/>
                  <a:lstStyle/>
                  <a:p>
                    <a:r>
                      <a:rPr lang="ar-DZ"/>
                      <a:t>استبدال أو إصلاح الأغراض المتلفة </a:t>
                    </a:r>
                  </a:p>
                  <a:p>
                    <a:r>
                      <a:rPr lang="ar-DZ"/>
                      <a:t>11,3</a:t>
                    </a:r>
                  </a:p>
                </c:rich>
              </c:tx>
              <c:dLblPos val="bestFit"/>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4EB1-4A86-B62B-1E8BFD154B00}"/>
                </c:ext>
              </c:extLst>
            </c:dLbl>
            <c:dLbl>
              <c:idx val="2"/>
              <c:layout>
                <c:manualLayout>
                  <c:x val="0.14444444444444496"/>
                  <c:y val="-9.2592592592592893E-2"/>
                </c:manualLayout>
              </c:layout>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EB1-4A86-B62B-1E8BFD154B00}"/>
                </c:ext>
              </c:extLst>
            </c:dLbl>
            <c:dLbl>
              <c:idx val="3"/>
              <c:layout>
                <c:manualLayout>
                  <c:x val="9.7222222222222224E-2"/>
                  <c:y val="7.407407407407407E-2"/>
                </c:manualLayout>
              </c:layout>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EB1-4A86-B62B-1E8BFD154B00}"/>
                </c:ext>
              </c:extLst>
            </c:dLbl>
            <c:dLbl>
              <c:idx val="4"/>
              <c:dLblPos val="outEnd"/>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EB1-4A86-B62B-1E8BFD154B00}"/>
                </c:ext>
              </c:extLst>
            </c:dLbl>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spc="0" baseline="0">
                    <a:solidFill>
                      <a:schemeClr val="tx1"/>
                    </a:solidFill>
                    <a:latin typeface="+mn-lt"/>
                    <a:ea typeface="+mn-ea"/>
                    <a:cs typeface="+mn-cs"/>
                  </a:defRPr>
                </a:pPr>
                <a:endParaRPr lang="fr-FR"/>
              </a:p>
            </c:txPr>
            <c:dLblPos val="outEnd"/>
            <c:showVal val="1"/>
            <c:showCatName val="1"/>
            <c:separator> </c:separator>
            <c:extLst xmlns:c16r2="http://schemas.microsoft.com/office/drawing/2015/06/chart">
              <c:ext xmlns:c15="http://schemas.microsoft.com/office/drawing/2012/chart" uri="{CE6537A1-D6FC-4f65-9D91-7224C49458BB}"/>
            </c:extLst>
          </c:dLbls>
          <c:cat>
            <c:strRef>
              <c:f>'COUT ECO CORR'!$O$125:$S$125</c:f>
              <c:strCache>
                <c:ptCount val="5"/>
                <c:pt idx="0">
                  <c:v>   الصحة</c:v>
                </c:pt>
                <c:pt idx="1">
                  <c:v>استبدال أو إصلاح الأغراض المتلفة</c:v>
                </c:pt>
                <c:pt idx="2">
                  <c:v>الإجراءات القانونية والقضائية</c:v>
                </c:pt>
                <c:pt idx="3">
                  <c:v>مغادرة منزل الأسرة</c:v>
                </c:pt>
                <c:pt idx="4">
                  <c:v> المجتمع المدني</c:v>
                </c:pt>
              </c:strCache>
            </c:strRef>
          </c:cat>
          <c:val>
            <c:numRef>
              <c:f>'COUT ECO CORR'!$O$126:$S$126</c:f>
              <c:numCache>
                <c:formatCode>#,##0.0</c:formatCode>
                <c:ptCount val="5"/>
                <c:pt idx="0">
                  <c:v>45.251606294695897</c:v>
                </c:pt>
                <c:pt idx="1">
                  <c:v>11.326590700050819</c:v>
                </c:pt>
                <c:pt idx="2">
                  <c:v>24.963389877558956</c:v>
                </c:pt>
                <c:pt idx="3">
                  <c:v>17.987943332378901</c:v>
                </c:pt>
                <c:pt idx="4">
                  <c:v>0.47046979531535404</c:v>
                </c:pt>
              </c:numCache>
            </c:numRef>
          </c:val>
          <c:extLst xmlns:c16r2="http://schemas.microsoft.com/office/drawing/2015/06/chart">
            <c:ext xmlns:c16="http://schemas.microsoft.com/office/drawing/2014/chart" uri="{C3380CC4-5D6E-409C-BE32-E72D297353CC}">
              <c16:uniqueId val="{00000005-4EB1-4A86-B62B-1E8BFD154B00}"/>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400" b="1" i="0" u="none" strike="noStrike" kern="1200" cap="all" baseline="0">
                <a:solidFill>
                  <a:schemeClr val="tx1">
                    <a:lumMod val="65000"/>
                    <a:lumOff val="35000"/>
                  </a:schemeClr>
                </a:solidFill>
                <a:latin typeface="+mn-lt"/>
                <a:ea typeface="+mn-ea"/>
                <a:cs typeface="+mn-cs"/>
              </a:defRPr>
            </a:pPr>
            <a:r>
              <a:rPr lang="ar-DZ" sz="1400"/>
              <a:t>التكاليف غير المباشرة</a:t>
            </a:r>
            <a:endParaRPr lang="en-US" sz="1400"/>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4.8607781401717003E-2"/>
          <c:y val="0.16805659005462156"/>
          <c:w val="0.93750011394442789"/>
          <c:h val="0.76684532200942346"/>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4447-4646-B4AF-7EDB388CE3E3}"/>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4447-4646-B4AF-7EDB388CE3E3}"/>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4447-4646-B4AF-7EDB388CE3E3}"/>
              </c:ext>
            </c:extLst>
          </c:dPt>
          <c:dLbls>
            <c:dLbl>
              <c:idx val="0"/>
              <c:layout>
                <c:manualLayout>
                  <c:x val="-0.2222222222222224"/>
                  <c:y val="-0.115740740740741"/>
                </c:manualLayout>
              </c:layout>
              <c:tx>
                <c:rich>
                  <a:bodyPr/>
                  <a:lstStyle/>
                  <a:p>
                    <a:r>
                      <a:rPr lang="ar-DZ"/>
                      <a:t>الأعمال المنزلية ورعاية أفراد الأسرة </a:t>
                    </a:r>
                  </a:p>
                  <a:p>
                    <a:r>
                      <a:rPr lang="ar-DZ"/>
                      <a:t>61,3</a:t>
                    </a:r>
                  </a:p>
                </c:rich>
              </c:tx>
              <c:dLblPos val="bestFit"/>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4447-4646-B4AF-7EDB388CE3E3}"/>
                </c:ext>
              </c:extLst>
            </c:dLbl>
            <c:dLbl>
              <c:idx val="1"/>
              <c:layout>
                <c:manualLayout>
                  <c:x val="2.7017158699989285E-2"/>
                  <c:y val="-7.6557578575934315E-2"/>
                </c:manualLayout>
              </c:layout>
              <c:tx>
                <c:rich>
                  <a:bodyPr/>
                  <a:lstStyle/>
                  <a:p>
                    <a:r>
                      <a:rPr lang="ar-DZ"/>
                      <a:t>5,0   </a:t>
                    </a:r>
                    <a:r>
                      <a:rPr lang="ar-DZ" sz="800" b="1" i="0" u="none" strike="noStrike" baseline="0"/>
                      <a:t>التغيب عن الدراسة</a:t>
                    </a:r>
                  </a:p>
                  <a:p>
                    <a:r>
                      <a:rPr lang="ar-DZ" sz="800" b="1" i="0" u="none" strike="noStrike" baseline="0"/>
                      <a:t> </a:t>
                    </a:r>
                  </a:p>
                  <a:p>
                    <a:endParaRPr lang="ar-DZ"/>
                  </a:p>
                </c:rich>
              </c:tx>
              <c:dLblPos val="outEnd"/>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4447-4646-B4AF-7EDB388CE3E3}"/>
                </c:ext>
              </c:extLst>
            </c:dLbl>
            <c:dLbl>
              <c:idx val="2"/>
              <c:layout>
                <c:manualLayout>
                  <c:x val="0.14166666666666666"/>
                  <c:y val="7.8703703703703734E-2"/>
                </c:manualLayout>
              </c:layout>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447-4646-B4AF-7EDB388CE3E3}"/>
                </c:ext>
              </c:extLst>
            </c:dLbl>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spc="0" baseline="0">
                    <a:solidFill>
                      <a:schemeClr val="tx1"/>
                    </a:solidFill>
                    <a:latin typeface="+mn-lt"/>
                    <a:ea typeface="+mn-ea"/>
                    <a:cs typeface="+mn-cs"/>
                  </a:defRPr>
                </a:pPr>
                <a:endParaRPr lang="fr-FR"/>
              </a:p>
            </c:txPr>
            <c:dLblPos val="outEnd"/>
            <c:showVal val="1"/>
            <c:showCatName val="1"/>
            <c:separator> </c:separator>
            <c:extLst xmlns:c16r2="http://schemas.microsoft.com/office/drawing/2015/06/chart">
              <c:ext xmlns:c15="http://schemas.microsoft.com/office/drawing/2012/chart" uri="{CE6537A1-D6FC-4f65-9D91-7224C49458BB}"/>
            </c:extLst>
          </c:dLbls>
          <c:cat>
            <c:strRef>
              <c:f>'COUT ECO CORR'!$T$143:$V$143</c:f>
              <c:strCache>
                <c:ptCount val="3"/>
                <c:pt idx="0">
                  <c:v>الأعمال المنزلية ورعاية أفراد الأسرة</c:v>
                </c:pt>
                <c:pt idx="1">
                  <c:v>التغيب عن الدراسة</c:v>
                </c:pt>
                <c:pt idx="2">
                  <c:v>فقدان العمل المؤدى عنه</c:v>
                </c:pt>
              </c:strCache>
            </c:strRef>
          </c:cat>
          <c:val>
            <c:numRef>
              <c:f>'COUT ECO CORR'!$T$144:$V$144</c:f>
              <c:numCache>
                <c:formatCode>General</c:formatCode>
                <c:ptCount val="3"/>
                <c:pt idx="0">
                  <c:v>61.3</c:v>
                </c:pt>
                <c:pt idx="1">
                  <c:v>5</c:v>
                </c:pt>
                <c:pt idx="2">
                  <c:v>33.700000000000003</c:v>
                </c:pt>
              </c:numCache>
            </c:numRef>
          </c:val>
          <c:extLst xmlns:c16r2="http://schemas.microsoft.com/office/drawing/2015/06/chart">
            <c:ext xmlns:c16="http://schemas.microsoft.com/office/drawing/2014/chart" uri="{C3380CC4-5D6E-409C-BE32-E72D297353CC}">
              <c16:uniqueId val="{00000003-4447-4646-B4AF-7EDB388CE3E3}"/>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yYKRgYHMmRkdpsBgkMWVdJtByKw==">AMUW2mXSjkiLXuo16qLwb4XaSNq+yw5eLN6mQvdoyp6snhUQqD33NGyaCn/MyIlT4bdN3aU9djcc7LoNJfq5EuvvjGyqgrx1kE7uIA7tkVTFBgIIpxVHVsOlT6hvod7yoeWemPJxEW2rmQbWQTkCWYdY8NGu+DNsAQ==</go:docsCustomData>
</go:gDocsCustomXmlDataStorage>
</file>

<file path=customXml/itemProps1.xml><?xml version="1.0" encoding="utf-8"?>
<ds:datastoreItem xmlns:ds="http://schemas.openxmlformats.org/officeDocument/2006/customXml" ds:itemID="{A113B7A3-30BB-4B18-BAAB-FB8E9C030F1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1745</Words>
  <Characters>9598</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 RHIWI</dc:creator>
  <cp:lastModifiedBy>hcp</cp:lastModifiedBy>
  <cp:revision>2</cp:revision>
  <cp:lastPrinted>2020-11-25T04:00:00Z</cp:lastPrinted>
  <dcterms:created xsi:type="dcterms:W3CDTF">2020-11-30T10:20:00Z</dcterms:created>
  <dcterms:modified xsi:type="dcterms:W3CDTF">2020-11-30T10:20:00Z</dcterms:modified>
</cp:coreProperties>
</file>