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A57EF8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إخبـارية</w:t>
      </w:r>
    </w:p>
    <w:p w:rsidR="00BA4E60" w:rsidRPr="007F2F8F" w:rsidRDefault="00BA4E60" w:rsidP="00E015B9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BA4E60" w:rsidRPr="007F2F8F" w:rsidRDefault="00BA4E60" w:rsidP="00E015B9">
      <w:pPr>
        <w:pStyle w:val="Corpsdetexte"/>
        <w:bidi/>
        <w:spacing w:line="420" w:lineRule="exact"/>
        <w:ind w:right="-425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8D70F9">
        <w:rPr>
          <w:rFonts w:cs="Simplified Arabic"/>
          <w:b/>
          <w:bCs/>
          <w:color w:val="0000FF"/>
          <w:sz w:val="36"/>
          <w:szCs w:val="36"/>
        </w:rPr>
        <w:t>4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E808EE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عرف الرقم الاستدلالي لشهر </w:t>
      </w:r>
      <w:proofErr w:type="spellStart"/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دجنبر</w:t>
      </w:r>
      <w:proofErr w:type="spellEnd"/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8D70F9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4F2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ارتفاعا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قدره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8945A7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بالمقارنة مع الشهر السابق و 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BB4F28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8945A7">
        <w:rPr>
          <w:rFonts w:ascii="Arial" w:hAnsi="Arial" w:cs="Arial"/>
          <w:b/>
          <w:bCs/>
          <w:color w:val="0000FF"/>
          <w:sz w:val="28"/>
          <w:szCs w:val="28"/>
        </w:rPr>
        <w:t>0,4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808EE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BC5980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BB4F28" w:rsidP="00E808EE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E9479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proofErr w:type="spellStart"/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proofErr w:type="spellEnd"/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4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7C6286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7C6286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8945A7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7C6286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%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واستقرار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مؤشر التضخم الأساسي الشهري</w:t>
      </w:r>
    </w:p>
    <w:p w:rsidR="003846CD" w:rsidRPr="007F2F8F" w:rsidRDefault="00BA4E60" w:rsidP="005A4825">
      <w:pPr>
        <w:tabs>
          <w:tab w:val="left" w:pos="708"/>
        </w:tabs>
        <w:spacing w:after="160" w:line="320" w:lineRule="exact"/>
        <w:ind w:left="-286" w:right="-426" w:firstLine="425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proofErr w:type="spellStart"/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 خلال شهر </w:t>
      </w:r>
      <w:proofErr w:type="spellStart"/>
      <w:r w:rsidR="009A62CD"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BB4F28">
        <w:rPr>
          <w:rFonts w:cs="Simplified Arabic"/>
          <w:sz w:val="30"/>
          <w:szCs w:val="30"/>
          <w:lang w:bidi="ar-MA"/>
        </w:rPr>
        <w:t>4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B4F28">
        <w:rPr>
          <w:rFonts w:cs="Simplified Arabic" w:hint="cs"/>
          <w:sz w:val="30"/>
          <w:szCs w:val="30"/>
          <w:rtl/>
          <w:lang w:bidi="ar-MA"/>
        </w:rPr>
        <w:t>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3C0039" w:rsidRPr="007F2F8F">
        <w:rPr>
          <w:rFonts w:cs="Simplified Arabic"/>
          <w:sz w:val="30"/>
          <w:szCs w:val="30"/>
          <w:rtl/>
          <w:lang w:bidi="ar-MA"/>
        </w:rPr>
        <w:t>قدره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C0039" w:rsidRPr="007F2F8F">
        <w:rPr>
          <w:rFonts w:cs="Simplified Arabic"/>
          <w:sz w:val="30"/>
          <w:szCs w:val="30"/>
          <w:lang w:bidi="ar-MA"/>
        </w:rPr>
        <w:t>0,</w:t>
      </w:r>
      <w:r w:rsidR="008945A7">
        <w:rPr>
          <w:rFonts w:cs="Simplified Arabic"/>
          <w:sz w:val="30"/>
          <w:szCs w:val="30"/>
          <w:lang w:bidi="ar-MA"/>
        </w:rPr>
        <w:t>3</w:t>
      </w:r>
      <w:r w:rsidR="003C0039" w:rsidRPr="007F2F8F">
        <w:rPr>
          <w:rFonts w:cs="Simplified Arabic"/>
          <w:sz w:val="30"/>
          <w:szCs w:val="30"/>
          <w:lang w:bidi="ar-MA"/>
        </w:rPr>
        <w:t>%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>هذا ا</w:t>
      </w:r>
      <w:r w:rsidR="00ED24EF">
        <w:rPr>
          <w:rFonts w:cs="Simplified Arabic" w:hint="cs"/>
          <w:sz w:val="30"/>
          <w:szCs w:val="30"/>
          <w:rtl/>
          <w:lang w:bidi="ar-MA"/>
        </w:rPr>
        <w:t>ل</w:t>
      </w:r>
      <w:r w:rsidR="008945A7">
        <w:rPr>
          <w:rFonts w:cs="Simplified Arabic" w:hint="cs"/>
          <w:sz w:val="30"/>
          <w:szCs w:val="30"/>
          <w:rtl/>
          <w:lang w:bidi="ar-MA"/>
        </w:rPr>
        <w:t>ارتفاع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ED24EF">
        <w:rPr>
          <w:rFonts w:cs="Simplified Arabic" w:hint="cs"/>
          <w:sz w:val="30"/>
          <w:szCs w:val="30"/>
          <w:rtl/>
          <w:lang w:bidi="ar-MA"/>
        </w:rPr>
        <w:t>ت</w:t>
      </w:r>
      <w:r w:rsidR="008945A7">
        <w:rPr>
          <w:rFonts w:cs="Simplified Arabic" w:hint="cs"/>
          <w:sz w:val="30"/>
          <w:szCs w:val="30"/>
          <w:rtl/>
          <w:lang w:bidi="ar-MA"/>
        </w:rPr>
        <w:t>زايد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D24EF">
        <w:rPr>
          <w:rFonts w:cs="Simplified Arabic"/>
          <w:sz w:val="30"/>
          <w:szCs w:val="30"/>
          <w:lang w:bidi="ar-MA"/>
        </w:rPr>
        <w:t>0</w:t>
      </w:r>
      <w:r w:rsidR="002D20F7" w:rsidRPr="007F2F8F">
        <w:rPr>
          <w:rFonts w:cs="Simplified Arabic"/>
          <w:sz w:val="30"/>
          <w:szCs w:val="30"/>
          <w:lang w:bidi="ar-MA"/>
        </w:rPr>
        <w:t>,</w:t>
      </w:r>
      <w:r w:rsidR="008945A7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8945A7">
        <w:rPr>
          <w:rFonts w:cs="Simplified Arabic" w:hint="cs"/>
          <w:sz w:val="30"/>
          <w:szCs w:val="30"/>
          <w:rtl/>
          <w:lang w:bidi="ar-MA"/>
        </w:rPr>
        <w:t>انخفاض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D24EF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ب</w:t>
      </w:r>
      <w:r w:rsidR="00BB090A">
        <w:rPr>
          <w:rFonts w:cs="Simplified Arabic"/>
          <w:sz w:val="30"/>
          <w:szCs w:val="30"/>
          <w:lang w:bidi="ar-MA"/>
        </w:rPr>
        <w:t>0,</w:t>
      </w:r>
      <w:r w:rsidR="008945A7">
        <w:rPr>
          <w:rFonts w:cs="Simplified Arabic"/>
          <w:sz w:val="30"/>
          <w:szCs w:val="30"/>
          <w:lang w:bidi="ar-MA"/>
        </w:rPr>
        <w:t>4</w:t>
      </w:r>
      <w:r w:rsidR="00BB090A">
        <w:rPr>
          <w:rFonts w:cs="Simplified Arabic"/>
          <w:sz w:val="30"/>
          <w:szCs w:val="30"/>
          <w:lang w:bidi="ar-MA"/>
        </w:rPr>
        <w:t>%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5A4825">
      <w:pPr>
        <w:tabs>
          <w:tab w:val="left" w:pos="708"/>
        </w:tabs>
        <w:spacing w:line="320" w:lineRule="exact"/>
        <w:ind w:left="-286" w:right="-426" w:firstLine="425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همت ا</w:t>
      </w:r>
      <w:r w:rsidR="000E4B9C">
        <w:rPr>
          <w:rFonts w:cs="Simplified Arabic" w:hint="cs"/>
          <w:sz w:val="30"/>
          <w:szCs w:val="30"/>
          <w:rtl/>
          <w:lang w:bidi="ar-MA"/>
        </w:rPr>
        <w:t>رتفاعات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proofErr w:type="spellStart"/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proofErr w:type="spellEnd"/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A12C39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="00BC5980">
        <w:rPr>
          <w:rFonts w:cs="Simplified Arabic"/>
          <w:sz w:val="30"/>
          <w:szCs w:val="30"/>
          <w:lang w:bidi="ar-MA"/>
        </w:rPr>
        <w:t>201</w:t>
      </w:r>
      <w:r w:rsidR="00BB4F28">
        <w:rPr>
          <w:rFonts w:cs="Simplified Arabic"/>
          <w:sz w:val="30"/>
          <w:szCs w:val="30"/>
          <w:lang w:val="en-US" w:bidi="ar-MA"/>
        </w:rPr>
        <w:t>4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10699F">
        <w:rPr>
          <w:rFonts w:cs="Simplified Arabic"/>
          <w:sz w:val="30"/>
          <w:szCs w:val="30"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الخضر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4318A">
        <w:rPr>
          <w:rFonts w:cs="Simplified Arabic"/>
          <w:sz w:val="30"/>
          <w:szCs w:val="30"/>
          <w:lang w:bidi="ar-MA"/>
        </w:rPr>
        <w:t>8</w:t>
      </w:r>
      <w:r w:rsidR="000E4B9C">
        <w:rPr>
          <w:rFonts w:cs="Simplified Arabic"/>
          <w:sz w:val="30"/>
          <w:szCs w:val="30"/>
          <w:lang w:bidi="ar-MA"/>
        </w:rPr>
        <w:t>,</w:t>
      </w:r>
      <w:r w:rsidR="00E4318A">
        <w:rPr>
          <w:rFonts w:cs="Simplified Arabic"/>
          <w:sz w:val="30"/>
          <w:szCs w:val="30"/>
          <w:lang w:bidi="ar-MA"/>
        </w:rPr>
        <w:t>4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4318A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>السمك و فواكه البحر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 w:rsidRPr="007F2F8F">
        <w:rPr>
          <w:rFonts w:cs="Simplified Arabic" w:hint="cs"/>
          <w:sz w:val="30"/>
          <w:szCs w:val="30"/>
          <w:rtl/>
          <w:lang w:bidi="ar-MA"/>
        </w:rPr>
        <w:t xml:space="preserve"> ب</w:t>
      </w:r>
      <w:r w:rsidR="0010699F">
        <w:rPr>
          <w:rFonts w:cs="Simplified Arabic" w:hint="cs"/>
          <w:sz w:val="30"/>
          <w:szCs w:val="30"/>
          <w:rtl/>
          <w:lang w:bidi="ar-MA"/>
        </w:rPr>
        <w:t> </w:t>
      </w:r>
      <w:r w:rsidR="00E4318A">
        <w:rPr>
          <w:rFonts w:cs="Simplified Arabic"/>
          <w:sz w:val="30"/>
          <w:szCs w:val="30"/>
          <w:lang w:bidi="ar-MA"/>
        </w:rPr>
        <w:t>0</w:t>
      </w:r>
      <w:r w:rsidR="00E4318A" w:rsidRPr="007F2F8F">
        <w:rPr>
          <w:rFonts w:cs="Simplified Arabic"/>
          <w:sz w:val="30"/>
          <w:szCs w:val="30"/>
          <w:lang w:bidi="ar-MA"/>
        </w:rPr>
        <w:t>,</w:t>
      </w:r>
      <w:r w:rsidR="00E4318A">
        <w:rPr>
          <w:rFonts w:cs="Simplified Arabic"/>
          <w:sz w:val="30"/>
          <w:szCs w:val="30"/>
          <w:lang w:bidi="ar-MA"/>
        </w:rPr>
        <w:t>7</w:t>
      </w:r>
      <w:r w:rsidR="00E4318A" w:rsidRPr="007F2F8F">
        <w:rPr>
          <w:rFonts w:cs="Simplified Arabic"/>
          <w:sz w:val="30"/>
          <w:szCs w:val="30"/>
          <w:lang w:bidi="ar-MA"/>
        </w:rPr>
        <w:t>%</w:t>
      </w:r>
      <w:r w:rsidR="0010699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/>
          <w:sz w:val="30"/>
          <w:szCs w:val="30"/>
          <w:lang w:bidi="ar-MA"/>
        </w:rPr>
        <w:t> 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60634">
        <w:rPr>
          <w:rFonts w:cs="Simplified Arabic" w:hint="cs"/>
          <w:sz w:val="30"/>
          <w:szCs w:val="30"/>
          <w:rtl/>
          <w:lang w:bidi="ar-MA"/>
        </w:rPr>
        <w:t>الحليب والجبن والبيض</w:t>
      </w:r>
      <w:r w:rsidR="0010699F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10699F">
        <w:rPr>
          <w:rFonts w:cs="Simplified Arabic"/>
          <w:sz w:val="30"/>
          <w:szCs w:val="30"/>
          <w:lang w:bidi="ar-MA"/>
        </w:rPr>
        <w:t>0,</w:t>
      </w:r>
      <w:r w:rsidR="00E60634">
        <w:rPr>
          <w:rFonts w:cs="Simplified Arabic"/>
          <w:sz w:val="30"/>
          <w:szCs w:val="30"/>
          <w:lang w:bidi="ar-MA"/>
        </w:rPr>
        <w:t>6</w:t>
      </w:r>
      <w:r w:rsidR="0010699F">
        <w:rPr>
          <w:rFonts w:cs="Simplified Arabic"/>
          <w:sz w:val="30"/>
          <w:szCs w:val="30"/>
          <w:lang w:bidi="ar-MA"/>
        </w:rPr>
        <w:t>%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E4B9C">
        <w:rPr>
          <w:rFonts w:cs="Simplified Arabic" w:hint="cs"/>
          <w:sz w:val="30"/>
          <w:szCs w:val="30"/>
          <w:rtl/>
          <w:lang w:bidi="ar-MA"/>
        </w:rPr>
        <w:t>انخفضت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الفواكه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4318A">
        <w:rPr>
          <w:rFonts w:cs="Simplified Arabic"/>
          <w:sz w:val="30"/>
          <w:szCs w:val="30"/>
          <w:lang w:bidi="ar-MA"/>
        </w:rPr>
        <w:t>3,8%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>الزيوت والدهنيات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E4318A">
        <w:rPr>
          <w:rFonts w:cs="Simplified Arabic"/>
          <w:sz w:val="30"/>
          <w:szCs w:val="30"/>
          <w:lang w:bidi="ar-MA"/>
        </w:rPr>
        <w:t>0</w:t>
      </w:r>
      <w:r w:rsidR="002D20F7" w:rsidRPr="007F2F8F">
        <w:rPr>
          <w:rFonts w:cs="Simplified Arabic"/>
          <w:sz w:val="30"/>
          <w:szCs w:val="30"/>
          <w:lang w:bidi="ar-MA"/>
        </w:rPr>
        <w:t>,</w:t>
      </w:r>
      <w:r w:rsidR="00E4318A">
        <w:rPr>
          <w:rFonts w:cs="Simplified Arabic"/>
          <w:sz w:val="30"/>
          <w:szCs w:val="30"/>
          <w:lang w:bidi="ar-MA"/>
        </w:rPr>
        <w:t>3</w:t>
      </w:r>
      <w:r w:rsidR="003846CD" w:rsidRPr="007F2F8F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>اللحوم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E4318A">
        <w:rPr>
          <w:rFonts w:cs="Simplified Arabic"/>
          <w:sz w:val="30"/>
          <w:szCs w:val="30"/>
          <w:lang w:bidi="ar-MA"/>
        </w:rPr>
        <w:t>0,2%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5A4825">
      <w:pPr>
        <w:spacing w:line="320" w:lineRule="exact"/>
        <w:ind w:left="-286" w:right="-426" w:firstLine="425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5A4825">
      <w:pPr>
        <w:spacing w:line="320" w:lineRule="exact"/>
        <w:ind w:left="-286" w:right="-426" w:firstLine="425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استقرارا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201</w:t>
      </w:r>
      <w:r w:rsidR="00D827DB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E808EE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526C92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proofErr w:type="gramStart"/>
      <w:r w:rsidR="004D408A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526C92">
        <w:rPr>
          <w:rFonts w:cs="Simplified Arabic"/>
          <w:b/>
          <w:bCs/>
          <w:color w:val="0000FF"/>
          <w:sz w:val="30"/>
          <w:szCs w:val="30"/>
          <w:lang w:bidi="ar-MA"/>
        </w:rPr>
        <w:t>4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proofErr w:type="gramEnd"/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E808EE">
        <w:rPr>
          <w:rFonts w:cs="Simplified Arabic"/>
          <w:b/>
          <w:bCs/>
          <w:color w:val="0000FF"/>
          <w:sz w:val="30"/>
          <w:szCs w:val="30"/>
          <w:lang w:bidi="ar-MA"/>
        </w:rPr>
        <w:t>2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5A4825">
      <w:pPr>
        <w:spacing w:after="160" w:line="320" w:lineRule="exact"/>
        <w:ind w:left="-286" w:right="-426" w:firstLine="284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D827DB">
        <w:rPr>
          <w:rFonts w:cs="Simplified Arabic"/>
          <w:sz w:val="30"/>
          <w:szCs w:val="30"/>
          <w:lang w:bidi="ar-MA"/>
        </w:rPr>
        <w:t>4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/>
          <w:sz w:val="30"/>
          <w:szCs w:val="30"/>
          <w:lang w:bidi="ar-MA"/>
        </w:rPr>
        <w:t>0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526C92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BC5980">
        <w:rPr>
          <w:rFonts w:cs="Simplified Arabic"/>
          <w:sz w:val="30"/>
          <w:szCs w:val="30"/>
          <w:lang w:bidi="ar-MA"/>
        </w:rPr>
        <w:t>1</w:t>
      </w:r>
      <w:r w:rsidR="00D827DB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غير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الغذائية ب </w:t>
      </w:r>
      <w:r w:rsidR="00194EA6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انخفاض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D24EF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194EA6">
        <w:rPr>
          <w:rFonts w:cs="Simplified Arabic"/>
          <w:sz w:val="30"/>
          <w:szCs w:val="30"/>
          <w:lang w:bidi="ar-MA"/>
        </w:rPr>
        <w:t>4</w:t>
      </w:r>
      <w:proofErr w:type="gramStart"/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6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proofErr w:type="gramEnd"/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194EA6">
        <w:rPr>
          <w:rFonts w:cs="Simplified Arabic"/>
          <w:sz w:val="30"/>
          <w:szCs w:val="30"/>
          <w:lang w:bidi="ar-MA"/>
        </w:rPr>
        <w:t>3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4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التعليم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5A4825">
      <w:pPr>
        <w:spacing w:line="320" w:lineRule="exact"/>
        <w:ind w:left="-286" w:right="-426" w:firstLine="284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proofErr w:type="gramStart"/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E808EE">
        <w:rPr>
          <w:rFonts w:cs="Simplified Arabic"/>
          <w:sz w:val="30"/>
          <w:szCs w:val="30"/>
          <w:lang w:bidi="ar-MA"/>
        </w:rPr>
        <w:t>2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proofErr w:type="gram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E808EE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E808EE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10699F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proofErr w:type="spellStart"/>
      <w:r w:rsidR="0010699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بفاس</w:t>
      </w:r>
      <w:proofErr w:type="spellEnd"/>
      <w:r w:rsidR="0010699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والرباط ومراكش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b/>
          <w:bCs/>
          <w:color w:val="0000FF"/>
          <w:sz w:val="30"/>
          <w:szCs w:val="30"/>
          <w:rtl/>
          <w:lang w:val="en-US" w:bidi="ar-MA"/>
        </w:rPr>
        <w:t xml:space="preserve">استقرار </w:t>
      </w:r>
      <w:proofErr w:type="spellStart"/>
      <w:r w:rsidR="0010699F">
        <w:rPr>
          <w:rFonts w:cs="Simplified Arabic" w:hint="cs"/>
          <w:b/>
          <w:bCs/>
          <w:color w:val="0000FF"/>
          <w:sz w:val="30"/>
          <w:szCs w:val="30"/>
          <w:rtl/>
          <w:lang w:val="en-US" w:bidi="ar-MA"/>
        </w:rPr>
        <w:t>بأكادير</w:t>
      </w:r>
      <w:proofErr w:type="spellEnd"/>
    </w:p>
    <w:p w:rsidR="00BA4E60" w:rsidRPr="007F2F8F" w:rsidRDefault="00A22E37" w:rsidP="005A4825">
      <w:pPr>
        <w:tabs>
          <w:tab w:val="left" w:pos="850"/>
        </w:tabs>
        <w:spacing w:line="320" w:lineRule="exact"/>
        <w:ind w:left="-286" w:right="-426" w:firstLine="284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المدن،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194EA6">
        <w:rPr>
          <w:rFonts w:cs="Simplified Arabic"/>
          <w:sz w:val="30"/>
          <w:szCs w:val="30"/>
          <w:lang w:bidi="ar-MA"/>
        </w:rPr>
        <w:t>4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proofErr w:type="spellStart"/>
      <w:r w:rsidR="001F0CDC" w:rsidRPr="007F2F8F">
        <w:rPr>
          <w:rFonts w:cs="Simplified Arabic" w:hint="cs"/>
          <w:sz w:val="30"/>
          <w:szCs w:val="30"/>
          <w:rtl/>
        </w:rPr>
        <w:t>الإرتفاعات</w:t>
      </w:r>
      <w:proofErr w:type="spellEnd"/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 xml:space="preserve">في </w:t>
      </w:r>
      <w:proofErr w:type="spellStart"/>
      <w:r w:rsidR="00194EA6">
        <w:rPr>
          <w:rFonts w:cs="Simplified Arabic" w:hint="cs"/>
          <w:sz w:val="30"/>
          <w:szCs w:val="30"/>
          <w:rtl/>
        </w:rPr>
        <w:t>فاس</w:t>
      </w:r>
      <w:proofErr w:type="spellEnd"/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0F441B">
        <w:rPr>
          <w:rFonts w:cs="Simplified Arabic"/>
          <w:sz w:val="30"/>
          <w:szCs w:val="30"/>
          <w:lang w:bidi="ar-MA"/>
        </w:rPr>
        <w:t>1</w:t>
      </w:r>
      <w:r w:rsidR="00966B1F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1</w:t>
      </w:r>
      <w:r w:rsidR="00966B1F" w:rsidRPr="007F2F8F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194EA6">
        <w:rPr>
          <w:rFonts w:cs="Simplified Arabic" w:hint="cs"/>
          <w:sz w:val="30"/>
          <w:szCs w:val="30"/>
          <w:rtl/>
          <w:lang w:bidi="ar-MA"/>
        </w:rPr>
        <w:t>الرباط</w:t>
      </w:r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0F441B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9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194EA6">
        <w:rPr>
          <w:rFonts w:cs="Simplified Arabic" w:hint="cs"/>
          <w:sz w:val="30"/>
          <w:szCs w:val="30"/>
          <w:rtl/>
        </w:rPr>
        <w:t>مراكش</w:t>
      </w:r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0F441B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8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194EA6">
        <w:rPr>
          <w:rFonts w:cs="Simplified Arabic" w:hint="cs"/>
          <w:sz w:val="30"/>
          <w:szCs w:val="30"/>
          <w:rtl/>
          <w:lang w:bidi="ar-MA"/>
        </w:rPr>
        <w:t>الداخلة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0F441B">
        <w:rPr>
          <w:rFonts w:cs="Simplified Arabic"/>
          <w:sz w:val="30"/>
          <w:szCs w:val="30"/>
          <w:lang w:val="en-US" w:bidi="ar-MA"/>
        </w:rPr>
        <w:t>0</w:t>
      </w:r>
      <w:r w:rsidR="00BE1FCD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7</w:t>
      </w:r>
      <w:r w:rsidR="00BE1FCD">
        <w:rPr>
          <w:rFonts w:cs="Simplified Arabic"/>
          <w:sz w:val="30"/>
          <w:szCs w:val="30"/>
          <w:lang w:bidi="ar-MA"/>
        </w:rPr>
        <w:t>%</w:t>
      </w:r>
      <w:proofErr w:type="spellStart"/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194EA6">
        <w:rPr>
          <w:rFonts w:cs="Simplified Arabic" w:hint="cs"/>
          <w:sz w:val="30"/>
          <w:szCs w:val="30"/>
          <w:rtl/>
          <w:lang w:bidi="ar-MA"/>
        </w:rPr>
        <w:t xml:space="preserve"> وعلى العكس من </w:t>
      </w:r>
      <w:proofErr w:type="spellStart"/>
      <w:r w:rsidR="00194EA6">
        <w:rPr>
          <w:rFonts w:cs="Simplified Arabic" w:hint="cs"/>
          <w:sz w:val="30"/>
          <w:szCs w:val="30"/>
          <w:rtl/>
          <w:lang w:bidi="ar-MA"/>
        </w:rPr>
        <w:t>ذلك،</w:t>
      </w:r>
      <w:proofErr w:type="spellEnd"/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انخفاضات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كل من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194EA6">
        <w:rPr>
          <w:rFonts w:cs="Simplified Arabic" w:hint="cs"/>
          <w:sz w:val="30"/>
          <w:szCs w:val="30"/>
          <w:rtl/>
          <w:lang w:bidi="ar-MA"/>
        </w:rPr>
        <w:t>كلميم</w:t>
      </w:r>
      <w:proofErr w:type="spellEnd"/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194EA6">
        <w:rPr>
          <w:rFonts w:cs="Simplified Arabic" w:hint="cs"/>
          <w:sz w:val="30"/>
          <w:szCs w:val="30"/>
          <w:rtl/>
          <w:lang w:bidi="ar-MA"/>
        </w:rPr>
        <w:t>وسطات</w:t>
      </w:r>
      <w:proofErr w:type="spellEnd"/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194EA6">
        <w:rPr>
          <w:rFonts w:cs="Simplified Arabic" w:hint="cs"/>
          <w:sz w:val="30"/>
          <w:szCs w:val="30"/>
          <w:rtl/>
          <w:lang w:bidi="ar-MA"/>
        </w:rPr>
        <w:t>والحسيمة</w:t>
      </w:r>
      <w:proofErr w:type="spellEnd"/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482F2D" w:rsidRPr="007F2F8F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2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194EA6">
        <w:rPr>
          <w:rFonts w:cs="Simplified Arabic" w:hint="cs"/>
          <w:sz w:val="30"/>
          <w:szCs w:val="30"/>
          <w:rtl/>
          <w:lang w:bidi="ar-MA"/>
        </w:rPr>
        <w:t>وجدة</w:t>
      </w:r>
      <w:proofErr w:type="spellEnd"/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1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فيما سجل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استقرار </w:t>
      </w:r>
      <w:proofErr w:type="spellStart"/>
      <w:r w:rsidR="008B49E3">
        <w:rPr>
          <w:rFonts w:cs="Simplified Arabic" w:hint="cs"/>
          <w:sz w:val="30"/>
          <w:szCs w:val="30"/>
          <w:rtl/>
          <w:lang w:bidi="ar-MA"/>
        </w:rPr>
        <w:t>ب</w:t>
      </w:r>
      <w:r w:rsidR="00194EA6">
        <w:rPr>
          <w:rFonts w:cs="Simplified Arabic" w:hint="cs"/>
          <w:sz w:val="30"/>
          <w:szCs w:val="30"/>
          <w:rtl/>
          <w:lang w:bidi="ar-MA"/>
        </w:rPr>
        <w:t>أكادير</w:t>
      </w:r>
      <w:proofErr w:type="spellEnd"/>
      <w:r w:rsidR="00945AF2">
        <w:rPr>
          <w:rFonts w:cs="Simplified Arabic" w:hint="cs"/>
          <w:sz w:val="30"/>
          <w:szCs w:val="30"/>
          <w:rtl/>
          <w:lang w:bidi="ar-MA"/>
        </w:rPr>
        <w:t>.</w:t>
      </w:r>
      <w:r w:rsidR="00482F2D" w:rsidRPr="007F2F8F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8B49E3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proofErr w:type="gramStart"/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CD270B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الملابس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CD270B">
              <w:rPr>
                <w:rFonts w:ascii="Arial" w:hAnsi="Arial" w:cs="Arial"/>
                <w:rtl/>
              </w:rPr>
              <w:t>السكن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06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07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08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الترفيه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10 –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CD270B">
              <w:rPr>
                <w:rFonts w:ascii="Arial" w:hAnsi="Arial" w:cs="Arial"/>
                <w:rtl/>
              </w:rPr>
              <w:t>مطاعم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CD270B">
              <w:rPr>
                <w:rFonts w:ascii="Arial" w:hAnsi="Arial" w:cs="Arial"/>
                <w:rtl/>
              </w:rPr>
              <w:t>مواد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CD270B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30B9A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3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4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D7D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D7DD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D7D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4D7D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</w:tr>
      <w:tr w:rsidR="004D7DD6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-4,6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4D7DD6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D7DD6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 w:rsidTr="00A57EF8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A57E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14A8E">
              <w:rPr>
                <w:rFonts w:ascii="Arial" w:hAnsi="Arial" w:cs="Arial"/>
                <w:b/>
                <w:bCs/>
              </w:rPr>
              <w:t>4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A57E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14A8E">
              <w:rPr>
                <w:rFonts w:ascii="Arial" w:hAnsi="Arial" w:cs="Arial"/>
                <w:b/>
                <w:bCs/>
              </w:rPr>
              <w:t>4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14A8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14A8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الدار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فاس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بني </w:t>
            </w:r>
            <w:proofErr w:type="spellStart"/>
            <w:r w:rsidRPr="00CD270B">
              <w:rPr>
                <w:rFonts w:ascii="Arial" w:hAnsi="Arial" w:cs="Arial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4318A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4318A" w:rsidRPr="00A153EC" w:rsidRDefault="00E4318A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38325A" w:rsidRPr="004671FE" w:rsidRDefault="0038325A" w:rsidP="00A57EF8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>:</w:t>
      </w:r>
      <w:proofErr w:type="gramEnd"/>
      <w:r w:rsidRPr="004671FE">
        <w:rPr>
          <w:rFonts w:cs="Arial"/>
          <w:b/>
          <w:bCs/>
          <w:color w:val="0000FF"/>
          <w:rtl/>
        </w:rPr>
        <w:t xml:space="preserve">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2B5670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C10" w:rsidRDefault="00722C10">
      <w:r>
        <w:separator/>
      </w:r>
    </w:p>
  </w:endnote>
  <w:endnote w:type="continuationSeparator" w:id="0">
    <w:p w:rsidR="00722C10" w:rsidRDefault="0072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C10" w:rsidRDefault="00722C10">
      <w:r>
        <w:separator/>
      </w:r>
    </w:p>
  </w:footnote>
  <w:footnote w:type="continuationSeparator" w:id="0">
    <w:p w:rsidR="00722C10" w:rsidRDefault="00722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D7E56"/>
    <w:rsid w:val="001F0CDC"/>
    <w:rsid w:val="00210536"/>
    <w:rsid w:val="002149C0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5670"/>
    <w:rsid w:val="002B65B6"/>
    <w:rsid w:val="002B73CA"/>
    <w:rsid w:val="002C0ACC"/>
    <w:rsid w:val="002D20F7"/>
    <w:rsid w:val="00301E30"/>
    <w:rsid w:val="00307730"/>
    <w:rsid w:val="00336FD3"/>
    <w:rsid w:val="003435B7"/>
    <w:rsid w:val="0034623C"/>
    <w:rsid w:val="0034758E"/>
    <w:rsid w:val="00357244"/>
    <w:rsid w:val="003733ED"/>
    <w:rsid w:val="0038325A"/>
    <w:rsid w:val="003846CD"/>
    <w:rsid w:val="0039389C"/>
    <w:rsid w:val="003A2B46"/>
    <w:rsid w:val="003C0039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D041B"/>
    <w:rsid w:val="004D408A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4825"/>
    <w:rsid w:val="005A527C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55CB"/>
    <w:rsid w:val="006A5971"/>
    <w:rsid w:val="006C75E4"/>
    <w:rsid w:val="006D75DC"/>
    <w:rsid w:val="006E5CEC"/>
    <w:rsid w:val="006F3813"/>
    <w:rsid w:val="007032A5"/>
    <w:rsid w:val="00704F21"/>
    <w:rsid w:val="00722C10"/>
    <w:rsid w:val="007339A7"/>
    <w:rsid w:val="0076573B"/>
    <w:rsid w:val="007819F7"/>
    <w:rsid w:val="00782FF3"/>
    <w:rsid w:val="00787DDB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EF8"/>
    <w:rsid w:val="00A62AD6"/>
    <w:rsid w:val="00A91337"/>
    <w:rsid w:val="00AB7955"/>
    <w:rsid w:val="00AC3AF4"/>
    <w:rsid w:val="00AE3942"/>
    <w:rsid w:val="00AF01C2"/>
    <w:rsid w:val="00B006A4"/>
    <w:rsid w:val="00B032D7"/>
    <w:rsid w:val="00B201E4"/>
    <w:rsid w:val="00B27CAC"/>
    <w:rsid w:val="00B4467D"/>
    <w:rsid w:val="00B56347"/>
    <w:rsid w:val="00B6157D"/>
    <w:rsid w:val="00B73D18"/>
    <w:rsid w:val="00B73DF6"/>
    <w:rsid w:val="00B85E04"/>
    <w:rsid w:val="00B90A4A"/>
    <w:rsid w:val="00B960D6"/>
    <w:rsid w:val="00BA4E60"/>
    <w:rsid w:val="00BB090A"/>
    <w:rsid w:val="00BB4F28"/>
    <w:rsid w:val="00BC5980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64B9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27DB"/>
    <w:rsid w:val="00D8772E"/>
    <w:rsid w:val="00D9245F"/>
    <w:rsid w:val="00D93EC5"/>
    <w:rsid w:val="00DA3994"/>
    <w:rsid w:val="00DA702F"/>
    <w:rsid w:val="00DA7716"/>
    <w:rsid w:val="00DC3108"/>
    <w:rsid w:val="00DF17C4"/>
    <w:rsid w:val="00DF7F64"/>
    <w:rsid w:val="00E00017"/>
    <w:rsid w:val="00E015B9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4DCA"/>
    <w:rsid w:val="00E754F0"/>
    <w:rsid w:val="00E808EE"/>
    <w:rsid w:val="00E85815"/>
    <w:rsid w:val="00E94794"/>
    <w:rsid w:val="00EB3B25"/>
    <w:rsid w:val="00EB4936"/>
    <w:rsid w:val="00EC3804"/>
    <w:rsid w:val="00ED24EF"/>
    <w:rsid w:val="00ED762F"/>
    <w:rsid w:val="00EE441E"/>
    <w:rsid w:val="00EE78D8"/>
    <w:rsid w:val="00EE7ADE"/>
    <w:rsid w:val="00EE7BA8"/>
    <w:rsid w:val="00F14736"/>
    <w:rsid w:val="00F304FA"/>
    <w:rsid w:val="00F650FE"/>
    <w:rsid w:val="00F825C1"/>
    <w:rsid w:val="00F97C2E"/>
    <w:rsid w:val="00FA46BF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70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2B5670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2B5670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2B5670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2B5670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2B5670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2B5670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2B5670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2B5670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2B5670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2B5670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2B5670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2B5670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2B5670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2B5670"/>
    <w:pPr>
      <w:spacing w:after="120"/>
      <w:ind w:left="283"/>
    </w:pPr>
  </w:style>
  <w:style w:type="paragraph" w:customStyle="1" w:styleId="Corpsdetexte21">
    <w:name w:val="Corps de texte 21"/>
    <w:basedOn w:val="Normal"/>
    <w:rsid w:val="002B5670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2B5670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2B5670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2B5670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2B5670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2B5670"/>
  </w:style>
  <w:style w:type="character" w:styleId="Appelnotedebasdep">
    <w:name w:val="footnote reference"/>
    <w:basedOn w:val="Policepardfaut"/>
    <w:semiHidden/>
    <w:rsid w:val="002B5670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2B567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2B5670"/>
  </w:style>
  <w:style w:type="paragraph" w:styleId="En-tte">
    <w:name w:val="header"/>
    <w:basedOn w:val="Normal"/>
    <w:semiHidden/>
    <w:rsid w:val="002B5670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2012-01-18T14:39:00Z</cp:lastPrinted>
  <dcterms:created xsi:type="dcterms:W3CDTF">2015-01-21T21:17:00Z</dcterms:created>
  <dcterms:modified xsi:type="dcterms:W3CDTF">2015-01-21T21:28:00Z</dcterms:modified>
</cp:coreProperties>
</file>