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E4B" w:rsidRPr="00736973" w:rsidRDefault="00105E4B" w:rsidP="00E05F80">
      <w:pPr>
        <w:spacing w:after="0" w:line="360" w:lineRule="auto"/>
        <w:rPr>
          <w:sz w:val="24"/>
          <w:szCs w:val="24"/>
        </w:rPr>
      </w:pPr>
      <w:r w:rsidRPr="00736973">
        <w:rPr>
          <w:sz w:val="24"/>
          <w:szCs w:val="24"/>
        </w:rPr>
        <w:t>Royaume du Maroc</w:t>
      </w:r>
      <w:r w:rsidRPr="00736973">
        <w:rPr>
          <w:sz w:val="24"/>
          <w:szCs w:val="24"/>
        </w:rPr>
        <w:tab/>
      </w:r>
      <w:r w:rsidRPr="00736973">
        <w:rPr>
          <w:sz w:val="24"/>
          <w:szCs w:val="24"/>
        </w:rPr>
        <w:tab/>
      </w:r>
      <w:r w:rsidRPr="00736973">
        <w:rPr>
          <w:sz w:val="24"/>
          <w:szCs w:val="24"/>
        </w:rPr>
        <w:tab/>
      </w:r>
      <w:r>
        <w:rPr>
          <w:sz w:val="24"/>
          <w:szCs w:val="24"/>
        </w:rPr>
        <w:t xml:space="preserve">              </w:t>
      </w:r>
      <w:r>
        <w:rPr>
          <w:sz w:val="24"/>
          <w:szCs w:val="24"/>
        </w:rPr>
        <w:tab/>
      </w:r>
      <w:r>
        <w:rPr>
          <w:sz w:val="24"/>
          <w:szCs w:val="24"/>
        </w:rPr>
        <w:tab/>
        <w:t xml:space="preserve">  </w:t>
      </w:r>
    </w:p>
    <w:p w:rsidR="00105E4B" w:rsidRPr="00736973" w:rsidRDefault="00105E4B" w:rsidP="00105E4B">
      <w:pPr>
        <w:spacing w:after="0" w:line="360" w:lineRule="auto"/>
        <w:rPr>
          <w:sz w:val="24"/>
          <w:szCs w:val="24"/>
        </w:rPr>
      </w:pPr>
      <w:r w:rsidRPr="00736973">
        <w:rPr>
          <w:sz w:val="24"/>
          <w:szCs w:val="24"/>
        </w:rPr>
        <w:t>Haut -Commissariat au Plan</w:t>
      </w:r>
    </w:p>
    <w:p w:rsidR="00105E4B" w:rsidRDefault="00E05F80" w:rsidP="00105E4B">
      <w:pPr>
        <w:spacing w:after="0" w:line="360" w:lineRule="auto"/>
        <w:jc w:val="center"/>
        <w:rPr>
          <w:rFonts w:ascii="Gill Sans MT" w:hAnsi="Gill Sans MT"/>
          <w:b/>
          <w:bCs/>
          <w:color w:val="0070C0"/>
          <w:sz w:val="24"/>
          <w:szCs w:val="24"/>
        </w:rPr>
      </w:pPr>
      <w:r>
        <w:rPr>
          <w:rFonts w:ascii="Gill Sans MT" w:hAnsi="Gill Sans MT"/>
          <w:b/>
          <w:bCs/>
          <w:color w:val="0070C0"/>
          <w:sz w:val="24"/>
          <w:szCs w:val="24"/>
        </w:rPr>
        <w:t xml:space="preserve">    </w:t>
      </w:r>
    </w:p>
    <w:p w:rsidR="00105E4B" w:rsidRDefault="00105E4B" w:rsidP="00105E4B">
      <w:pPr>
        <w:spacing w:after="0" w:line="360" w:lineRule="auto"/>
        <w:jc w:val="center"/>
        <w:rPr>
          <w:rFonts w:ascii="Gill Sans MT" w:hAnsi="Gill Sans MT"/>
          <w:b/>
          <w:bCs/>
          <w:color w:val="0070C0"/>
          <w:sz w:val="24"/>
          <w:szCs w:val="24"/>
        </w:rPr>
      </w:pPr>
    </w:p>
    <w:p w:rsidR="00105E4B" w:rsidRDefault="00105E4B" w:rsidP="00105E4B">
      <w:pPr>
        <w:spacing w:after="0" w:line="360" w:lineRule="auto"/>
        <w:jc w:val="center"/>
        <w:rPr>
          <w:rFonts w:ascii="Gill Sans MT" w:hAnsi="Gill Sans MT"/>
          <w:b/>
          <w:bCs/>
          <w:color w:val="0070C0"/>
          <w:sz w:val="24"/>
          <w:szCs w:val="24"/>
        </w:rPr>
      </w:pPr>
      <w:r>
        <w:rPr>
          <w:rFonts w:ascii="Gill Sans MT" w:hAnsi="Gill Sans MT"/>
          <w:b/>
          <w:bCs/>
          <w:color w:val="0070C0"/>
          <w:sz w:val="24"/>
          <w:szCs w:val="24"/>
        </w:rPr>
        <w:t>Synthèse de la m</w:t>
      </w:r>
      <w:r w:rsidR="00F01402" w:rsidRPr="00F81267">
        <w:rPr>
          <w:rFonts w:ascii="Gill Sans MT" w:hAnsi="Gill Sans MT"/>
          <w:b/>
          <w:bCs/>
          <w:color w:val="0070C0"/>
          <w:sz w:val="24"/>
          <w:szCs w:val="24"/>
        </w:rPr>
        <w:t xml:space="preserve">esure du capital </w:t>
      </w:r>
    </w:p>
    <w:p w:rsidR="00CC410E" w:rsidRPr="00F81267" w:rsidRDefault="00F01402" w:rsidP="00105E4B">
      <w:pPr>
        <w:spacing w:after="0" w:line="360" w:lineRule="auto"/>
        <w:jc w:val="center"/>
        <w:rPr>
          <w:rFonts w:ascii="Gill Sans MT" w:hAnsi="Gill Sans MT"/>
          <w:b/>
          <w:bCs/>
          <w:color w:val="0070C0"/>
          <w:sz w:val="24"/>
          <w:szCs w:val="24"/>
        </w:rPr>
      </w:pPr>
      <w:r w:rsidRPr="00F81267">
        <w:rPr>
          <w:rFonts w:ascii="Gill Sans MT" w:hAnsi="Gill Sans MT"/>
          <w:b/>
          <w:bCs/>
          <w:color w:val="0070C0"/>
          <w:sz w:val="24"/>
          <w:szCs w:val="24"/>
        </w:rPr>
        <w:t>humain du Maroc</w:t>
      </w:r>
    </w:p>
    <w:p w:rsidR="007E6E6E" w:rsidRPr="00F81267" w:rsidRDefault="007E6E6E" w:rsidP="00105E4B">
      <w:pPr>
        <w:spacing w:line="360" w:lineRule="auto"/>
        <w:jc w:val="both"/>
        <w:rPr>
          <w:rFonts w:ascii="Gill Sans MT" w:hAnsi="Gill Sans MT"/>
          <w:sz w:val="24"/>
          <w:szCs w:val="24"/>
        </w:rPr>
      </w:pPr>
    </w:p>
    <w:p w:rsidR="00B62EB4" w:rsidRPr="00F81267" w:rsidRDefault="00957CB5" w:rsidP="00F065E9">
      <w:pPr>
        <w:spacing w:line="360" w:lineRule="auto"/>
        <w:jc w:val="both"/>
        <w:rPr>
          <w:rFonts w:ascii="Gill Sans MT" w:hAnsi="Gill Sans MT"/>
          <w:sz w:val="24"/>
          <w:szCs w:val="24"/>
        </w:rPr>
      </w:pPr>
      <w:r w:rsidRPr="00F81267">
        <w:rPr>
          <w:rFonts w:ascii="Gill Sans MT" w:hAnsi="Gill Sans MT"/>
          <w:sz w:val="24"/>
          <w:szCs w:val="24"/>
        </w:rPr>
        <w:t>L</w:t>
      </w:r>
      <w:r w:rsidR="00FE61B3" w:rsidRPr="00F81267">
        <w:rPr>
          <w:rFonts w:ascii="Gill Sans MT" w:hAnsi="Gill Sans MT"/>
          <w:sz w:val="24"/>
          <w:szCs w:val="24"/>
        </w:rPr>
        <w:t>e c</w:t>
      </w:r>
      <w:r w:rsidR="00CC410E" w:rsidRPr="00F81267">
        <w:rPr>
          <w:rFonts w:ascii="Gill Sans MT" w:hAnsi="Gill Sans MT"/>
          <w:sz w:val="24"/>
          <w:szCs w:val="24"/>
        </w:rPr>
        <w:t>apital</w:t>
      </w:r>
      <w:r w:rsidR="00F065E9">
        <w:rPr>
          <w:rFonts w:ascii="Gill Sans MT" w:hAnsi="Gill Sans MT"/>
          <w:sz w:val="24"/>
          <w:szCs w:val="24"/>
        </w:rPr>
        <w:t xml:space="preserve"> </w:t>
      </w:r>
      <w:r w:rsidR="00CC410E" w:rsidRPr="00F81267">
        <w:rPr>
          <w:rFonts w:ascii="Gill Sans MT" w:hAnsi="Gill Sans MT"/>
          <w:sz w:val="24"/>
          <w:szCs w:val="24"/>
        </w:rPr>
        <w:t>humain</w:t>
      </w:r>
      <w:r w:rsidR="00FE61B3" w:rsidRPr="00F81267">
        <w:rPr>
          <w:rFonts w:ascii="Gill Sans MT" w:hAnsi="Gill Sans MT"/>
          <w:sz w:val="24"/>
          <w:szCs w:val="24"/>
        </w:rPr>
        <w:t xml:space="preserve"> </w:t>
      </w:r>
      <w:r w:rsidR="007276EF" w:rsidRPr="00F81267">
        <w:rPr>
          <w:rFonts w:ascii="Gill Sans MT" w:hAnsi="Gill Sans MT"/>
          <w:sz w:val="24"/>
          <w:szCs w:val="24"/>
        </w:rPr>
        <w:t xml:space="preserve">est </w:t>
      </w:r>
      <w:r w:rsidR="001512DA" w:rsidRPr="00F81267">
        <w:rPr>
          <w:rFonts w:ascii="Gill Sans MT" w:hAnsi="Gill Sans MT"/>
          <w:sz w:val="24"/>
          <w:szCs w:val="24"/>
        </w:rPr>
        <w:t>analysé</w:t>
      </w:r>
      <w:r w:rsidR="007253FA" w:rsidRPr="00F81267">
        <w:rPr>
          <w:rFonts w:ascii="Gill Sans MT" w:hAnsi="Gill Sans MT"/>
          <w:sz w:val="24"/>
          <w:szCs w:val="24"/>
        </w:rPr>
        <w:t xml:space="preserve"> </w:t>
      </w:r>
      <w:r w:rsidR="00FE61B3" w:rsidRPr="00F81267">
        <w:rPr>
          <w:rFonts w:ascii="Gill Sans MT" w:hAnsi="Gill Sans MT"/>
          <w:sz w:val="24"/>
          <w:szCs w:val="24"/>
        </w:rPr>
        <w:t xml:space="preserve">dans ce papier </w:t>
      </w:r>
      <w:r w:rsidR="00866CD9" w:rsidRPr="00F81267">
        <w:rPr>
          <w:rFonts w:ascii="Gill Sans MT" w:hAnsi="Gill Sans MT"/>
          <w:sz w:val="24"/>
          <w:szCs w:val="24"/>
        </w:rPr>
        <w:t xml:space="preserve">selon </w:t>
      </w:r>
      <w:r w:rsidR="007276EF" w:rsidRPr="00F81267">
        <w:rPr>
          <w:rFonts w:ascii="Gill Sans MT" w:hAnsi="Gill Sans MT"/>
          <w:sz w:val="24"/>
          <w:szCs w:val="24"/>
        </w:rPr>
        <w:t xml:space="preserve">deux </w:t>
      </w:r>
      <w:r w:rsidR="00866CD9" w:rsidRPr="00F81267">
        <w:rPr>
          <w:rFonts w:ascii="Gill Sans MT" w:hAnsi="Gill Sans MT"/>
          <w:sz w:val="24"/>
          <w:szCs w:val="24"/>
        </w:rPr>
        <w:t>approche</w:t>
      </w:r>
      <w:r w:rsidR="00224E03" w:rsidRPr="00F81267">
        <w:rPr>
          <w:rFonts w:ascii="Gill Sans MT" w:hAnsi="Gill Sans MT"/>
          <w:sz w:val="24"/>
          <w:szCs w:val="24"/>
        </w:rPr>
        <w:t>s</w:t>
      </w:r>
      <w:r w:rsidR="007276EF" w:rsidRPr="00F81267">
        <w:rPr>
          <w:rFonts w:ascii="Gill Sans MT" w:hAnsi="Gill Sans MT"/>
          <w:sz w:val="24"/>
          <w:szCs w:val="24"/>
        </w:rPr>
        <w:t xml:space="preserve">. </w:t>
      </w:r>
      <w:r w:rsidR="0021455C" w:rsidRPr="00F81267">
        <w:rPr>
          <w:rFonts w:ascii="Gill Sans MT" w:hAnsi="Gill Sans MT"/>
          <w:sz w:val="24"/>
          <w:szCs w:val="24"/>
        </w:rPr>
        <w:t xml:space="preserve">La première se réfère au nombre d’années d’études, au rendement </w:t>
      </w:r>
      <w:r w:rsidR="00224E03" w:rsidRPr="00F81267">
        <w:rPr>
          <w:rFonts w:ascii="Gill Sans MT" w:hAnsi="Gill Sans MT"/>
          <w:sz w:val="24"/>
          <w:szCs w:val="24"/>
        </w:rPr>
        <w:t xml:space="preserve">économique </w:t>
      </w:r>
      <w:r w:rsidR="0021455C" w:rsidRPr="00F81267">
        <w:rPr>
          <w:rFonts w:ascii="Gill Sans MT" w:hAnsi="Gill Sans MT"/>
          <w:sz w:val="24"/>
          <w:szCs w:val="24"/>
        </w:rPr>
        <w:t>du capital humain et à la survie des individus en âge d’activité ’15</w:t>
      </w:r>
      <w:r w:rsidR="005B7330" w:rsidRPr="00F81267">
        <w:rPr>
          <w:rFonts w:ascii="Gill Sans MT" w:hAnsi="Gill Sans MT"/>
          <w:sz w:val="24"/>
          <w:szCs w:val="24"/>
        </w:rPr>
        <w:t xml:space="preserve"> </w:t>
      </w:r>
      <w:r w:rsidR="0021455C" w:rsidRPr="00F81267">
        <w:rPr>
          <w:rFonts w:ascii="Gill Sans MT" w:hAnsi="Gill Sans MT"/>
          <w:sz w:val="24"/>
          <w:szCs w:val="24"/>
        </w:rPr>
        <w:t>–</w:t>
      </w:r>
      <w:r w:rsidR="005B7330" w:rsidRPr="00F81267">
        <w:rPr>
          <w:rFonts w:ascii="Gill Sans MT" w:hAnsi="Gill Sans MT"/>
          <w:sz w:val="24"/>
          <w:szCs w:val="24"/>
        </w:rPr>
        <w:t xml:space="preserve"> </w:t>
      </w:r>
      <w:r w:rsidR="0021455C" w:rsidRPr="00F81267">
        <w:rPr>
          <w:rFonts w:ascii="Gill Sans MT" w:hAnsi="Gill Sans MT"/>
          <w:sz w:val="24"/>
          <w:szCs w:val="24"/>
        </w:rPr>
        <w:t>59 ans’ pour calculer, selon l</w:t>
      </w:r>
      <w:r w:rsidR="00224E03" w:rsidRPr="00F81267">
        <w:rPr>
          <w:rFonts w:ascii="Gill Sans MT" w:hAnsi="Gill Sans MT"/>
          <w:sz w:val="24"/>
          <w:szCs w:val="24"/>
        </w:rPr>
        <w:t>’approche</w:t>
      </w:r>
      <w:r w:rsidR="0021455C" w:rsidRPr="00F81267">
        <w:rPr>
          <w:rFonts w:ascii="Gill Sans MT" w:hAnsi="Gill Sans MT"/>
          <w:sz w:val="24"/>
          <w:szCs w:val="24"/>
        </w:rPr>
        <w:t xml:space="preserve"> de la Banque Mondiale, l’indice de capital humain permettant d’en mesurer la valeur monétaire (Caselli, 2005)</w:t>
      </w:r>
      <w:r w:rsidR="0021455C" w:rsidRPr="00F81267">
        <w:rPr>
          <w:rStyle w:val="Appelnotedebasdep"/>
          <w:rFonts w:ascii="Gill Sans MT" w:hAnsi="Gill Sans MT"/>
          <w:sz w:val="24"/>
          <w:szCs w:val="24"/>
        </w:rPr>
        <w:footnoteReference w:id="2"/>
      </w:r>
      <w:r w:rsidR="0021455C" w:rsidRPr="00F81267">
        <w:rPr>
          <w:rFonts w:ascii="Gill Sans MT" w:hAnsi="Gill Sans MT"/>
          <w:sz w:val="24"/>
          <w:szCs w:val="24"/>
        </w:rPr>
        <w:t xml:space="preserve">. </w:t>
      </w:r>
      <w:r w:rsidR="00AC1DC0" w:rsidRPr="00F81267">
        <w:rPr>
          <w:rFonts w:ascii="Gill Sans MT" w:hAnsi="Gill Sans MT"/>
          <w:sz w:val="24"/>
          <w:szCs w:val="24"/>
        </w:rPr>
        <w:t>L</w:t>
      </w:r>
      <w:r w:rsidR="00224E03" w:rsidRPr="00F81267">
        <w:rPr>
          <w:rFonts w:ascii="Gill Sans MT" w:hAnsi="Gill Sans MT"/>
          <w:sz w:val="24"/>
          <w:szCs w:val="24"/>
        </w:rPr>
        <w:t>a</w:t>
      </w:r>
      <w:r w:rsidR="00AC1DC0" w:rsidRPr="00F81267">
        <w:rPr>
          <w:rFonts w:ascii="Gill Sans MT" w:hAnsi="Gill Sans MT"/>
          <w:sz w:val="24"/>
          <w:szCs w:val="24"/>
        </w:rPr>
        <w:t xml:space="preserve"> </w:t>
      </w:r>
      <w:r w:rsidR="00224E03" w:rsidRPr="00F81267">
        <w:rPr>
          <w:rFonts w:ascii="Gill Sans MT" w:hAnsi="Gill Sans MT"/>
          <w:sz w:val="24"/>
          <w:szCs w:val="24"/>
        </w:rPr>
        <w:t xml:space="preserve">seconde </w:t>
      </w:r>
      <w:r w:rsidR="00866CD9" w:rsidRPr="00F81267">
        <w:rPr>
          <w:rFonts w:ascii="Gill Sans MT" w:hAnsi="Gill Sans MT"/>
          <w:sz w:val="24"/>
          <w:szCs w:val="24"/>
        </w:rPr>
        <w:t xml:space="preserve">approche </w:t>
      </w:r>
      <w:r w:rsidR="007276EF" w:rsidRPr="00F81267">
        <w:rPr>
          <w:rFonts w:ascii="Gill Sans MT" w:hAnsi="Gill Sans MT"/>
          <w:sz w:val="24"/>
          <w:szCs w:val="24"/>
        </w:rPr>
        <w:t xml:space="preserve">appréhende le capital humain en termes de </w:t>
      </w:r>
      <w:r w:rsidR="00CC410E" w:rsidRPr="00F81267">
        <w:rPr>
          <w:rFonts w:ascii="Gill Sans MT" w:hAnsi="Gill Sans MT"/>
          <w:sz w:val="24"/>
          <w:szCs w:val="24"/>
        </w:rPr>
        <w:t>stock</w:t>
      </w:r>
      <w:r w:rsidR="008E2136" w:rsidRPr="00F81267">
        <w:rPr>
          <w:rFonts w:ascii="Gill Sans MT" w:hAnsi="Gill Sans MT"/>
          <w:sz w:val="24"/>
          <w:szCs w:val="24"/>
        </w:rPr>
        <w:t>,</w:t>
      </w:r>
      <w:r w:rsidR="00CC410E" w:rsidRPr="00F81267">
        <w:rPr>
          <w:rFonts w:ascii="Gill Sans MT" w:hAnsi="Gill Sans MT"/>
          <w:sz w:val="24"/>
          <w:szCs w:val="24"/>
        </w:rPr>
        <w:t xml:space="preserve"> </w:t>
      </w:r>
      <w:r w:rsidR="0011774F" w:rsidRPr="00F81267">
        <w:rPr>
          <w:rFonts w:ascii="Gill Sans MT" w:hAnsi="Gill Sans MT"/>
          <w:sz w:val="24"/>
          <w:szCs w:val="24"/>
        </w:rPr>
        <w:t>tendance</w:t>
      </w:r>
      <w:r w:rsidR="001B50BD" w:rsidRPr="00F81267">
        <w:rPr>
          <w:rFonts w:ascii="Gill Sans MT" w:hAnsi="Gill Sans MT"/>
          <w:sz w:val="24"/>
          <w:szCs w:val="24"/>
        </w:rPr>
        <w:t>, répartition sociale</w:t>
      </w:r>
      <w:r w:rsidR="001512DA" w:rsidRPr="00F81267">
        <w:rPr>
          <w:rFonts w:ascii="Gill Sans MT" w:hAnsi="Gill Sans MT"/>
          <w:sz w:val="24"/>
          <w:szCs w:val="24"/>
        </w:rPr>
        <w:t xml:space="preserve">, </w:t>
      </w:r>
      <w:r w:rsidR="00224E03" w:rsidRPr="00F81267">
        <w:rPr>
          <w:rFonts w:ascii="Gill Sans MT" w:hAnsi="Gill Sans MT"/>
          <w:sz w:val="24"/>
          <w:szCs w:val="24"/>
        </w:rPr>
        <w:t xml:space="preserve">insertion </w:t>
      </w:r>
      <w:r w:rsidR="000448EA" w:rsidRPr="00F81267">
        <w:rPr>
          <w:rFonts w:ascii="Gill Sans MT" w:hAnsi="Gill Sans MT"/>
          <w:sz w:val="24"/>
          <w:szCs w:val="24"/>
        </w:rPr>
        <w:t xml:space="preserve">et expérience </w:t>
      </w:r>
      <w:r w:rsidR="00224E03" w:rsidRPr="00F81267">
        <w:rPr>
          <w:rFonts w:ascii="Gill Sans MT" w:hAnsi="Gill Sans MT"/>
          <w:sz w:val="24"/>
          <w:szCs w:val="24"/>
        </w:rPr>
        <w:t>professionnelle</w:t>
      </w:r>
      <w:r w:rsidR="000448EA" w:rsidRPr="00F81267">
        <w:rPr>
          <w:rFonts w:ascii="Gill Sans MT" w:hAnsi="Gill Sans MT"/>
          <w:sz w:val="24"/>
          <w:szCs w:val="24"/>
        </w:rPr>
        <w:t>s</w:t>
      </w:r>
      <w:r w:rsidR="00224E03" w:rsidRPr="00F81267">
        <w:rPr>
          <w:rFonts w:ascii="Gill Sans MT" w:hAnsi="Gill Sans MT"/>
          <w:sz w:val="24"/>
          <w:szCs w:val="24"/>
        </w:rPr>
        <w:t>, mobilité</w:t>
      </w:r>
      <w:r w:rsidR="000448EA" w:rsidRPr="00F81267">
        <w:rPr>
          <w:rFonts w:ascii="Gill Sans MT" w:hAnsi="Gill Sans MT"/>
          <w:sz w:val="24"/>
          <w:szCs w:val="24"/>
        </w:rPr>
        <w:t>s</w:t>
      </w:r>
      <w:r w:rsidR="00224E03" w:rsidRPr="00F81267">
        <w:rPr>
          <w:rFonts w:ascii="Gill Sans MT" w:hAnsi="Gill Sans MT"/>
          <w:sz w:val="24"/>
          <w:szCs w:val="24"/>
        </w:rPr>
        <w:t xml:space="preserve"> sociale et scolaire, </w:t>
      </w:r>
      <w:r w:rsidR="00C75F6C" w:rsidRPr="00F81267">
        <w:rPr>
          <w:rFonts w:ascii="Gill Sans MT" w:hAnsi="Gill Sans MT"/>
          <w:sz w:val="24"/>
          <w:szCs w:val="24"/>
        </w:rPr>
        <w:t xml:space="preserve">inégalités sociales et </w:t>
      </w:r>
      <w:r w:rsidR="001512DA" w:rsidRPr="00F81267">
        <w:rPr>
          <w:rFonts w:ascii="Gill Sans MT" w:hAnsi="Gill Sans MT"/>
          <w:sz w:val="24"/>
          <w:szCs w:val="24"/>
        </w:rPr>
        <w:t>investissement</w:t>
      </w:r>
      <w:r w:rsidR="00830B62" w:rsidRPr="00F81267">
        <w:rPr>
          <w:rFonts w:ascii="Gill Sans MT" w:hAnsi="Gill Sans MT"/>
          <w:sz w:val="24"/>
          <w:szCs w:val="24"/>
        </w:rPr>
        <w:t xml:space="preserve">, à l’aide des indicateurs </w:t>
      </w:r>
      <w:r w:rsidR="000558EF" w:rsidRPr="00F81267">
        <w:rPr>
          <w:rFonts w:ascii="Gill Sans MT" w:hAnsi="Gill Sans MT"/>
          <w:sz w:val="24"/>
          <w:szCs w:val="24"/>
        </w:rPr>
        <w:t>unidimensionnels</w:t>
      </w:r>
      <w:r w:rsidR="007D4985" w:rsidRPr="00F81267">
        <w:rPr>
          <w:rFonts w:ascii="Gill Sans MT" w:hAnsi="Gill Sans MT"/>
          <w:sz w:val="24"/>
          <w:szCs w:val="24"/>
        </w:rPr>
        <w:t xml:space="preserve"> sélectionnés </w:t>
      </w:r>
      <w:r w:rsidR="00830B62" w:rsidRPr="00F81267">
        <w:rPr>
          <w:rFonts w:ascii="Gill Sans MT" w:hAnsi="Gill Sans MT"/>
          <w:sz w:val="24"/>
          <w:szCs w:val="24"/>
        </w:rPr>
        <w:t>par l’OCDE</w:t>
      </w:r>
      <w:r w:rsidR="000D19A8" w:rsidRPr="00F81267">
        <w:rPr>
          <w:rStyle w:val="Appelnotedebasdep"/>
          <w:rFonts w:ascii="Gill Sans MT" w:hAnsi="Gill Sans MT"/>
          <w:sz w:val="24"/>
          <w:szCs w:val="24"/>
        </w:rPr>
        <w:footnoteReference w:id="3"/>
      </w:r>
      <w:r w:rsidR="00C05623" w:rsidRPr="00F81267">
        <w:rPr>
          <w:rFonts w:ascii="Gill Sans MT" w:hAnsi="Gill Sans MT"/>
          <w:sz w:val="24"/>
          <w:szCs w:val="24"/>
        </w:rPr>
        <w:t>.</w:t>
      </w:r>
      <w:r w:rsidR="00B62EB4" w:rsidRPr="00F81267">
        <w:rPr>
          <w:rFonts w:ascii="Gill Sans MT" w:hAnsi="Gill Sans MT"/>
          <w:sz w:val="24"/>
          <w:szCs w:val="24"/>
        </w:rPr>
        <w:t xml:space="preserve"> </w:t>
      </w:r>
    </w:p>
    <w:p w:rsidR="00DC79C7" w:rsidRPr="00F81267" w:rsidRDefault="008F2408" w:rsidP="00105E4B">
      <w:pPr>
        <w:spacing w:line="360" w:lineRule="auto"/>
        <w:jc w:val="both"/>
        <w:rPr>
          <w:rFonts w:ascii="Gill Sans MT" w:hAnsi="Gill Sans MT"/>
          <w:sz w:val="24"/>
          <w:szCs w:val="24"/>
        </w:rPr>
      </w:pPr>
      <w:r w:rsidRPr="00F81267">
        <w:rPr>
          <w:rFonts w:ascii="Gill Sans MT" w:hAnsi="Gill Sans MT"/>
          <w:sz w:val="24"/>
          <w:szCs w:val="24"/>
        </w:rPr>
        <w:t xml:space="preserve">Selon l’approche de la Banque Mondiale, l’indice du capital humain est une fonction du nombre d’années d’études des actifs occupés, du rendement économique du capital humain et de la survie des individus en âge d’activité ’15 – 59 ans’. </w:t>
      </w:r>
      <w:r w:rsidR="00023D79" w:rsidRPr="00F81267">
        <w:rPr>
          <w:rFonts w:ascii="Gill Sans MT" w:hAnsi="Gill Sans MT"/>
          <w:sz w:val="24"/>
          <w:szCs w:val="24"/>
        </w:rPr>
        <w:t>C</w:t>
      </w:r>
      <w:r w:rsidR="007232D3" w:rsidRPr="00F81267">
        <w:rPr>
          <w:rFonts w:ascii="Gill Sans MT" w:hAnsi="Gill Sans MT"/>
          <w:sz w:val="24"/>
          <w:szCs w:val="24"/>
        </w:rPr>
        <w:t>’est c</w:t>
      </w:r>
      <w:r w:rsidR="00023D79" w:rsidRPr="00F81267">
        <w:rPr>
          <w:rFonts w:ascii="Gill Sans MT" w:hAnsi="Gill Sans MT"/>
          <w:sz w:val="24"/>
          <w:szCs w:val="24"/>
        </w:rPr>
        <w:t>e</w:t>
      </w:r>
      <w:r w:rsidR="007232D3" w:rsidRPr="00F81267">
        <w:rPr>
          <w:rFonts w:ascii="Gill Sans MT" w:hAnsi="Gill Sans MT"/>
          <w:sz w:val="24"/>
          <w:szCs w:val="24"/>
        </w:rPr>
        <w:t xml:space="preserve">t indice qui </w:t>
      </w:r>
      <w:r w:rsidR="00023D79" w:rsidRPr="00F81267">
        <w:rPr>
          <w:rFonts w:ascii="Gill Sans MT" w:hAnsi="Gill Sans MT"/>
          <w:sz w:val="24"/>
          <w:szCs w:val="24"/>
        </w:rPr>
        <w:t>permet de mesurer la valeur monétaire du capital humain du Maroc</w:t>
      </w:r>
      <w:r w:rsidR="007232D3" w:rsidRPr="00F81267">
        <w:rPr>
          <w:rFonts w:ascii="Gill Sans MT" w:hAnsi="Gill Sans MT"/>
          <w:sz w:val="24"/>
          <w:szCs w:val="24"/>
        </w:rPr>
        <w:t>.</w:t>
      </w:r>
      <w:r w:rsidR="00AC1DC0" w:rsidRPr="00F81267">
        <w:rPr>
          <w:rFonts w:ascii="Gill Sans MT" w:hAnsi="Gill Sans MT"/>
          <w:sz w:val="24"/>
          <w:szCs w:val="24"/>
        </w:rPr>
        <w:t xml:space="preserve"> </w:t>
      </w:r>
    </w:p>
    <w:p w:rsidR="00DC79C7" w:rsidRPr="00F81267" w:rsidRDefault="00C75F6C" w:rsidP="00105E4B">
      <w:pPr>
        <w:spacing w:line="360" w:lineRule="auto"/>
        <w:jc w:val="both"/>
        <w:rPr>
          <w:rFonts w:ascii="Gill Sans MT" w:hAnsi="Gill Sans MT"/>
          <w:sz w:val="24"/>
          <w:szCs w:val="24"/>
        </w:rPr>
      </w:pPr>
      <w:r w:rsidRPr="00F81267">
        <w:rPr>
          <w:rFonts w:ascii="Gill Sans MT" w:hAnsi="Gill Sans MT"/>
          <w:sz w:val="24"/>
          <w:szCs w:val="24"/>
        </w:rPr>
        <w:t>Ainsi mesuré, l’indice du capital humain</w:t>
      </w:r>
      <w:r w:rsidR="00AC1DC0" w:rsidRPr="00F81267">
        <w:rPr>
          <w:rFonts w:ascii="Gill Sans MT" w:hAnsi="Gill Sans MT"/>
          <w:sz w:val="24"/>
          <w:szCs w:val="24"/>
        </w:rPr>
        <w:t xml:space="preserve"> </w:t>
      </w:r>
      <w:r w:rsidRPr="00F81267">
        <w:rPr>
          <w:rFonts w:ascii="Gill Sans MT" w:hAnsi="Gill Sans MT"/>
          <w:sz w:val="24"/>
          <w:szCs w:val="24"/>
        </w:rPr>
        <w:t xml:space="preserve">a été de 2,983 en 2013. Il </w:t>
      </w:r>
      <w:r w:rsidR="00AC1DC0" w:rsidRPr="00F81267">
        <w:rPr>
          <w:rFonts w:ascii="Gill Sans MT" w:hAnsi="Gill Sans MT"/>
          <w:sz w:val="24"/>
          <w:szCs w:val="24"/>
        </w:rPr>
        <w:t xml:space="preserve">a </w:t>
      </w:r>
      <w:r w:rsidRPr="00F81267">
        <w:rPr>
          <w:rFonts w:ascii="Gill Sans MT" w:hAnsi="Gill Sans MT"/>
          <w:sz w:val="24"/>
          <w:szCs w:val="24"/>
        </w:rPr>
        <w:t xml:space="preserve">connu une hausse de 15,8% entre 1991 et 2013. Il a augmenté de 4,1% entre 1991 et 1999, passant de 2,576 à 2,681, et de 11,3% entre 1999 et 2013 passant de 2,681 à 2,983. C’est ainsi que près des 3/4 (74,0%) de la hausse de cet indice ont été réalisés  entre 1999 et 2013.  </w:t>
      </w:r>
    </w:p>
    <w:p w:rsidR="00AC1DC0" w:rsidRPr="00F81267" w:rsidRDefault="00AC1DC0" w:rsidP="00105E4B">
      <w:pPr>
        <w:spacing w:line="360" w:lineRule="auto"/>
        <w:jc w:val="both"/>
        <w:rPr>
          <w:rFonts w:ascii="Gill Sans MT" w:hAnsi="Gill Sans MT"/>
          <w:sz w:val="24"/>
          <w:szCs w:val="24"/>
        </w:rPr>
      </w:pPr>
      <w:r w:rsidRPr="00F81267">
        <w:rPr>
          <w:rFonts w:ascii="Gill Sans MT" w:hAnsi="Gill Sans MT"/>
          <w:sz w:val="24"/>
          <w:szCs w:val="24"/>
        </w:rPr>
        <w:t xml:space="preserve">Cependant cet indice, </w:t>
      </w:r>
      <w:r w:rsidR="00A139D0" w:rsidRPr="00F81267">
        <w:rPr>
          <w:rFonts w:ascii="Gill Sans MT" w:hAnsi="Gill Sans MT"/>
          <w:sz w:val="24"/>
          <w:szCs w:val="24"/>
        </w:rPr>
        <w:t>adopté par la Banque Mondiale</w:t>
      </w:r>
      <w:r w:rsidRPr="00F81267">
        <w:rPr>
          <w:rFonts w:ascii="Gill Sans MT" w:hAnsi="Gill Sans MT"/>
          <w:sz w:val="24"/>
          <w:szCs w:val="24"/>
        </w:rPr>
        <w:t>,</w:t>
      </w:r>
      <w:r w:rsidR="00A139D0" w:rsidRPr="00F81267">
        <w:rPr>
          <w:rFonts w:ascii="Gill Sans MT" w:hAnsi="Gill Sans MT"/>
          <w:sz w:val="24"/>
          <w:szCs w:val="24"/>
        </w:rPr>
        <w:t xml:space="preserve"> ne rend pas compte de l’ensemble des rendements de l’investissement dans l’éducation, la formation</w:t>
      </w:r>
      <w:r w:rsidR="008B0F79" w:rsidRPr="00F81267">
        <w:rPr>
          <w:rFonts w:ascii="Gill Sans MT" w:hAnsi="Gill Sans MT"/>
          <w:sz w:val="24"/>
          <w:szCs w:val="24"/>
        </w:rPr>
        <w:t>, l’expérience professionnelle</w:t>
      </w:r>
      <w:r w:rsidR="00A139D0" w:rsidRPr="00F81267">
        <w:rPr>
          <w:rFonts w:ascii="Gill Sans MT" w:hAnsi="Gill Sans MT"/>
          <w:sz w:val="24"/>
          <w:szCs w:val="24"/>
        </w:rPr>
        <w:t xml:space="preserve"> et la santé. </w:t>
      </w:r>
      <w:r w:rsidR="00F05032" w:rsidRPr="00F81267">
        <w:rPr>
          <w:rFonts w:ascii="Gill Sans MT" w:hAnsi="Gill Sans MT"/>
          <w:sz w:val="24"/>
          <w:szCs w:val="24"/>
        </w:rPr>
        <w:t>T</w:t>
      </w:r>
      <w:r w:rsidR="00095E30" w:rsidRPr="00F81267">
        <w:rPr>
          <w:rFonts w:ascii="Gill Sans MT" w:hAnsi="Gill Sans MT"/>
          <w:sz w:val="24"/>
          <w:szCs w:val="24"/>
        </w:rPr>
        <w:t>rois indicateurs fondamentaux décrivent le stock de capital humain</w:t>
      </w:r>
      <w:r w:rsidR="0043315E" w:rsidRPr="00F81267">
        <w:rPr>
          <w:rFonts w:ascii="Gill Sans MT" w:hAnsi="Gill Sans MT"/>
          <w:sz w:val="24"/>
          <w:szCs w:val="24"/>
        </w:rPr>
        <w:t xml:space="preserve"> et son évolution:</w:t>
      </w:r>
      <w:r w:rsidRPr="00F81267">
        <w:rPr>
          <w:rFonts w:ascii="Gill Sans MT" w:hAnsi="Gill Sans MT"/>
          <w:sz w:val="24"/>
          <w:szCs w:val="24"/>
        </w:rPr>
        <w:t xml:space="preserve"> </w:t>
      </w:r>
    </w:p>
    <w:p w:rsidR="00AC1DC0" w:rsidRPr="00F81267" w:rsidRDefault="00F05032" w:rsidP="00105E4B">
      <w:pPr>
        <w:spacing w:line="360" w:lineRule="auto"/>
        <w:jc w:val="both"/>
        <w:rPr>
          <w:rFonts w:ascii="Gill Sans MT" w:hAnsi="Gill Sans MT"/>
          <w:sz w:val="24"/>
          <w:szCs w:val="24"/>
        </w:rPr>
      </w:pPr>
      <w:r w:rsidRPr="00F81267">
        <w:rPr>
          <w:rFonts w:ascii="Gill Sans MT" w:hAnsi="Gill Sans MT"/>
          <w:b/>
          <w:bCs/>
          <w:sz w:val="24"/>
          <w:szCs w:val="24"/>
        </w:rPr>
        <w:t>Sur le plan de l’éducation</w:t>
      </w:r>
      <w:r w:rsidR="00DC79C7" w:rsidRPr="00F81267">
        <w:rPr>
          <w:rFonts w:ascii="Gill Sans MT" w:hAnsi="Gill Sans MT"/>
          <w:b/>
          <w:bCs/>
          <w:sz w:val="24"/>
          <w:szCs w:val="24"/>
        </w:rPr>
        <w:t>-</w:t>
      </w:r>
      <w:r w:rsidRPr="00F81267">
        <w:rPr>
          <w:rFonts w:ascii="Gill Sans MT" w:hAnsi="Gill Sans MT"/>
          <w:b/>
          <w:bCs/>
          <w:sz w:val="24"/>
          <w:szCs w:val="24"/>
        </w:rPr>
        <w:t>formation,</w:t>
      </w:r>
      <w:r w:rsidR="00AC1DC0" w:rsidRPr="00F81267">
        <w:rPr>
          <w:rFonts w:ascii="Gill Sans MT" w:hAnsi="Gill Sans MT"/>
          <w:b/>
          <w:bCs/>
          <w:sz w:val="24"/>
          <w:szCs w:val="24"/>
        </w:rPr>
        <w:t xml:space="preserve"> </w:t>
      </w:r>
      <w:r w:rsidR="0043315E" w:rsidRPr="00F81267">
        <w:rPr>
          <w:rFonts w:ascii="Gill Sans MT" w:hAnsi="Gill Sans MT"/>
          <w:sz w:val="24"/>
          <w:szCs w:val="24"/>
        </w:rPr>
        <w:t>l</w:t>
      </w:r>
      <w:r w:rsidR="00201059" w:rsidRPr="00F81267">
        <w:rPr>
          <w:rFonts w:ascii="Gill Sans MT" w:hAnsi="Gill Sans MT"/>
          <w:sz w:val="24"/>
          <w:szCs w:val="24"/>
        </w:rPr>
        <w:t>a proportion de</w:t>
      </w:r>
      <w:r w:rsidR="008B680F" w:rsidRPr="00F81267">
        <w:rPr>
          <w:rFonts w:ascii="Gill Sans MT" w:hAnsi="Gill Sans MT"/>
          <w:sz w:val="24"/>
          <w:szCs w:val="24"/>
        </w:rPr>
        <w:t xml:space="preserve"> la population âgée de </w:t>
      </w:r>
      <w:r w:rsidR="005B5FA4" w:rsidRPr="00F81267">
        <w:rPr>
          <w:rFonts w:ascii="Gill Sans MT" w:hAnsi="Gill Sans MT"/>
          <w:sz w:val="24"/>
          <w:szCs w:val="24"/>
        </w:rPr>
        <w:t>’25 ans et plus’ ayant u</w:t>
      </w:r>
      <w:r w:rsidR="00201059" w:rsidRPr="00F81267">
        <w:rPr>
          <w:rFonts w:ascii="Gill Sans MT" w:hAnsi="Gill Sans MT"/>
          <w:sz w:val="24"/>
          <w:szCs w:val="24"/>
        </w:rPr>
        <w:t xml:space="preserve">n niveau d’études </w:t>
      </w:r>
      <w:r w:rsidR="007A4BB4" w:rsidRPr="00F81267">
        <w:rPr>
          <w:rFonts w:ascii="Gill Sans MT" w:hAnsi="Gill Sans MT"/>
          <w:sz w:val="24"/>
          <w:szCs w:val="24"/>
        </w:rPr>
        <w:t xml:space="preserve">collégiales, </w:t>
      </w:r>
      <w:r w:rsidR="00201059" w:rsidRPr="00F81267">
        <w:rPr>
          <w:rFonts w:ascii="Gill Sans MT" w:hAnsi="Gill Sans MT"/>
          <w:sz w:val="24"/>
          <w:szCs w:val="24"/>
        </w:rPr>
        <w:t>secondaires ou supérieures est de </w:t>
      </w:r>
      <w:r w:rsidR="00B71A2F" w:rsidRPr="00F81267">
        <w:rPr>
          <w:rFonts w:ascii="Gill Sans MT" w:hAnsi="Gill Sans MT"/>
          <w:sz w:val="24"/>
          <w:szCs w:val="24"/>
        </w:rPr>
        <w:t>29,9</w:t>
      </w:r>
      <w:r w:rsidR="00201059" w:rsidRPr="00F81267">
        <w:rPr>
          <w:rFonts w:ascii="Gill Sans MT" w:hAnsi="Gill Sans MT"/>
          <w:sz w:val="24"/>
          <w:szCs w:val="24"/>
        </w:rPr>
        <w:t>%</w:t>
      </w:r>
      <w:r w:rsidR="002A708E" w:rsidRPr="00F81267">
        <w:rPr>
          <w:rFonts w:ascii="Gill Sans MT" w:hAnsi="Gill Sans MT"/>
          <w:sz w:val="24"/>
          <w:szCs w:val="24"/>
        </w:rPr>
        <w:t xml:space="preserve"> en </w:t>
      </w:r>
      <w:r w:rsidR="002A708E" w:rsidRPr="00F81267">
        <w:rPr>
          <w:rFonts w:ascii="Gill Sans MT" w:hAnsi="Gill Sans MT"/>
          <w:sz w:val="24"/>
          <w:szCs w:val="24"/>
        </w:rPr>
        <w:lastRenderedPageBreak/>
        <w:t>2013</w:t>
      </w:r>
      <w:r w:rsidR="00201059" w:rsidRPr="00F81267">
        <w:rPr>
          <w:rFonts w:ascii="Gill Sans MT" w:hAnsi="Gill Sans MT"/>
          <w:sz w:val="24"/>
          <w:szCs w:val="24"/>
        </w:rPr>
        <w:t>. Bien qu’</w:t>
      </w:r>
      <w:r w:rsidR="0043315E" w:rsidRPr="00F81267">
        <w:rPr>
          <w:rFonts w:ascii="Gill Sans MT" w:hAnsi="Gill Sans MT"/>
          <w:sz w:val="24"/>
          <w:szCs w:val="24"/>
        </w:rPr>
        <w:t>elle</w:t>
      </w:r>
      <w:r w:rsidR="00201059" w:rsidRPr="00F81267">
        <w:rPr>
          <w:rFonts w:ascii="Gill Sans MT" w:hAnsi="Gill Sans MT"/>
          <w:sz w:val="24"/>
          <w:szCs w:val="24"/>
        </w:rPr>
        <w:t xml:space="preserve"> </w:t>
      </w:r>
      <w:r w:rsidR="00EB231B" w:rsidRPr="00F81267">
        <w:rPr>
          <w:rFonts w:ascii="Gill Sans MT" w:hAnsi="Gill Sans MT"/>
          <w:sz w:val="24"/>
          <w:szCs w:val="24"/>
        </w:rPr>
        <w:t>ait connu une hausse de 3</w:t>
      </w:r>
      <w:r w:rsidR="004D21C2" w:rsidRPr="00F81267">
        <w:rPr>
          <w:rFonts w:ascii="Gill Sans MT" w:hAnsi="Gill Sans MT"/>
          <w:sz w:val="24"/>
          <w:szCs w:val="24"/>
        </w:rPr>
        <w:t>7</w:t>
      </w:r>
      <w:r w:rsidR="00EB231B" w:rsidRPr="00F81267">
        <w:rPr>
          <w:rFonts w:ascii="Gill Sans MT" w:hAnsi="Gill Sans MT"/>
          <w:sz w:val="24"/>
          <w:szCs w:val="24"/>
        </w:rPr>
        <w:t>,</w:t>
      </w:r>
      <w:r w:rsidR="004D21C2" w:rsidRPr="00F81267">
        <w:rPr>
          <w:rFonts w:ascii="Gill Sans MT" w:hAnsi="Gill Sans MT"/>
          <w:sz w:val="24"/>
          <w:szCs w:val="24"/>
        </w:rPr>
        <w:t>2</w:t>
      </w:r>
      <w:r w:rsidR="00EB231B" w:rsidRPr="00F81267">
        <w:rPr>
          <w:rFonts w:ascii="Gill Sans MT" w:hAnsi="Gill Sans MT"/>
          <w:sz w:val="24"/>
          <w:szCs w:val="24"/>
        </w:rPr>
        <w:t xml:space="preserve">% entre 1999 et 2013, elle </w:t>
      </w:r>
      <w:r w:rsidR="00201059" w:rsidRPr="00F81267">
        <w:rPr>
          <w:rFonts w:ascii="Gill Sans MT" w:hAnsi="Gill Sans MT"/>
          <w:sz w:val="24"/>
          <w:szCs w:val="24"/>
        </w:rPr>
        <w:t xml:space="preserve">reste en deçà de la moyenne des pays </w:t>
      </w:r>
      <w:r w:rsidR="00260236" w:rsidRPr="00F81267">
        <w:rPr>
          <w:rFonts w:ascii="Gill Sans MT" w:hAnsi="Gill Sans MT"/>
          <w:sz w:val="24"/>
          <w:szCs w:val="24"/>
        </w:rPr>
        <w:t xml:space="preserve">à développement humain </w:t>
      </w:r>
      <w:r w:rsidR="00EB231B" w:rsidRPr="00F81267">
        <w:rPr>
          <w:rFonts w:ascii="Gill Sans MT" w:hAnsi="Gill Sans MT"/>
          <w:sz w:val="24"/>
          <w:szCs w:val="24"/>
        </w:rPr>
        <w:t xml:space="preserve">moyen </w:t>
      </w:r>
      <w:r w:rsidR="002A708E" w:rsidRPr="00F81267">
        <w:rPr>
          <w:rFonts w:ascii="Gill Sans MT" w:hAnsi="Gill Sans MT"/>
          <w:sz w:val="24"/>
          <w:szCs w:val="24"/>
        </w:rPr>
        <w:t>(</w:t>
      </w:r>
      <w:r w:rsidR="00EB231B" w:rsidRPr="00F81267">
        <w:rPr>
          <w:rFonts w:ascii="Gill Sans MT" w:hAnsi="Gill Sans MT"/>
          <w:sz w:val="24"/>
          <w:szCs w:val="24"/>
        </w:rPr>
        <w:t>47,5</w:t>
      </w:r>
      <w:r w:rsidR="00260236" w:rsidRPr="00F81267">
        <w:rPr>
          <w:rFonts w:ascii="Gill Sans MT" w:hAnsi="Gill Sans MT"/>
          <w:sz w:val="24"/>
          <w:szCs w:val="24"/>
        </w:rPr>
        <w:t>%)</w:t>
      </w:r>
      <w:r w:rsidR="00EB231B" w:rsidRPr="00F81267">
        <w:rPr>
          <w:rFonts w:ascii="Gill Sans MT" w:hAnsi="Gill Sans MT"/>
          <w:sz w:val="24"/>
          <w:szCs w:val="24"/>
        </w:rPr>
        <w:t xml:space="preserve">, </w:t>
      </w:r>
      <w:r w:rsidR="004D21C2" w:rsidRPr="00F81267">
        <w:rPr>
          <w:rFonts w:ascii="Gill Sans MT" w:hAnsi="Gill Sans MT"/>
          <w:sz w:val="24"/>
          <w:szCs w:val="24"/>
        </w:rPr>
        <w:t xml:space="preserve">et </w:t>
      </w:r>
      <w:r w:rsidR="00EB231B" w:rsidRPr="00F81267">
        <w:rPr>
          <w:rFonts w:ascii="Gill Sans MT" w:hAnsi="Gill Sans MT"/>
          <w:sz w:val="24"/>
          <w:szCs w:val="24"/>
        </w:rPr>
        <w:t>nettement inférieur à la moyenne mondiale (63,6%)</w:t>
      </w:r>
      <w:r w:rsidR="00AC1DC0" w:rsidRPr="00F81267">
        <w:rPr>
          <w:rFonts w:ascii="Gill Sans MT" w:hAnsi="Gill Sans MT"/>
          <w:sz w:val="24"/>
          <w:szCs w:val="24"/>
        </w:rPr>
        <w:t xml:space="preserve">. </w:t>
      </w:r>
    </w:p>
    <w:p w:rsidR="00BF7C2D" w:rsidRPr="00F81267" w:rsidRDefault="00AC1DC0" w:rsidP="00105E4B">
      <w:pPr>
        <w:spacing w:line="360" w:lineRule="auto"/>
        <w:jc w:val="both"/>
        <w:rPr>
          <w:rFonts w:ascii="Gill Sans MT" w:hAnsi="Gill Sans MT"/>
          <w:sz w:val="24"/>
          <w:szCs w:val="24"/>
        </w:rPr>
      </w:pPr>
      <w:r w:rsidRPr="00F81267">
        <w:rPr>
          <w:rFonts w:ascii="Gill Sans MT" w:hAnsi="Gill Sans MT"/>
          <w:sz w:val="24"/>
          <w:szCs w:val="24"/>
        </w:rPr>
        <w:t xml:space="preserve">Par ailleurs, </w:t>
      </w:r>
      <w:r w:rsidR="0043315E" w:rsidRPr="00F81267">
        <w:rPr>
          <w:rFonts w:ascii="Gill Sans MT" w:hAnsi="Gill Sans MT"/>
          <w:sz w:val="24"/>
          <w:szCs w:val="24"/>
        </w:rPr>
        <w:t>l</w:t>
      </w:r>
      <w:r w:rsidR="001D617E" w:rsidRPr="00F81267">
        <w:rPr>
          <w:rFonts w:ascii="Gill Sans MT" w:hAnsi="Gill Sans MT"/>
          <w:sz w:val="24"/>
          <w:szCs w:val="24"/>
        </w:rPr>
        <w:t>e</w:t>
      </w:r>
      <w:r w:rsidR="00095E30" w:rsidRPr="00F81267">
        <w:rPr>
          <w:rFonts w:ascii="Gill Sans MT" w:hAnsi="Gill Sans MT"/>
          <w:sz w:val="24"/>
          <w:szCs w:val="24"/>
        </w:rPr>
        <w:t xml:space="preserve"> nombre moyen d’années de scolarité</w:t>
      </w:r>
      <w:r w:rsidR="0043315E" w:rsidRPr="00F81267">
        <w:rPr>
          <w:rFonts w:ascii="Gill Sans MT" w:hAnsi="Gill Sans MT"/>
          <w:sz w:val="24"/>
          <w:szCs w:val="24"/>
        </w:rPr>
        <w:t xml:space="preserve"> par actif occupé a </w:t>
      </w:r>
      <w:r w:rsidR="00A74218" w:rsidRPr="00F81267">
        <w:rPr>
          <w:rFonts w:ascii="Gill Sans MT" w:hAnsi="Gill Sans MT"/>
          <w:sz w:val="24"/>
          <w:szCs w:val="24"/>
        </w:rPr>
        <w:t xml:space="preserve">augmenté de plus de moitié (59,3%) </w:t>
      </w:r>
      <w:r w:rsidR="0043315E" w:rsidRPr="00F81267">
        <w:rPr>
          <w:rFonts w:ascii="Gill Sans MT" w:hAnsi="Gill Sans MT"/>
          <w:sz w:val="24"/>
          <w:szCs w:val="24"/>
        </w:rPr>
        <w:t xml:space="preserve">au cours des deux dernières décennies, passant de </w:t>
      </w:r>
      <w:r w:rsidR="00A74218" w:rsidRPr="00F81267">
        <w:rPr>
          <w:rFonts w:ascii="Gill Sans MT" w:hAnsi="Gill Sans MT"/>
          <w:sz w:val="24"/>
          <w:szCs w:val="24"/>
        </w:rPr>
        <w:t>3,2</w:t>
      </w:r>
      <w:r w:rsidR="001D617E" w:rsidRPr="00F81267">
        <w:rPr>
          <w:rFonts w:ascii="Gill Sans MT" w:hAnsi="Gill Sans MT"/>
          <w:sz w:val="24"/>
          <w:szCs w:val="24"/>
        </w:rPr>
        <w:t xml:space="preserve"> </w:t>
      </w:r>
      <w:r w:rsidR="0043315E" w:rsidRPr="00F81267">
        <w:rPr>
          <w:rFonts w:ascii="Gill Sans MT" w:hAnsi="Gill Sans MT"/>
          <w:sz w:val="24"/>
          <w:szCs w:val="24"/>
        </w:rPr>
        <w:t>en 199</w:t>
      </w:r>
      <w:r w:rsidR="004D21C2" w:rsidRPr="00F81267">
        <w:rPr>
          <w:rFonts w:ascii="Gill Sans MT" w:hAnsi="Gill Sans MT"/>
          <w:sz w:val="24"/>
          <w:szCs w:val="24"/>
        </w:rPr>
        <w:t>1</w:t>
      </w:r>
      <w:r w:rsidR="0043315E" w:rsidRPr="00F81267">
        <w:rPr>
          <w:rFonts w:ascii="Gill Sans MT" w:hAnsi="Gill Sans MT"/>
          <w:sz w:val="24"/>
          <w:szCs w:val="24"/>
        </w:rPr>
        <w:t xml:space="preserve"> à </w:t>
      </w:r>
      <w:r w:rsidR="00A74218" w:rsidRPr="00F81267">
        <w:rPr>
          <w:rFonts w:ascii="Gill Sans MT" w:hAnsi="Gill Sans MT"/>
          <w:sz w:val="24"/>
          <w:szCs w:val="24"/>
        </w:rPr>
        <w:t xml:space="preserve">5,1 en </w:t>
      </w:r>
      <w:r w:rsidR="0043315E" w:rsidRPr="00F81267">
        <w:rPr>
          <w:rFonts w:ascii="Gill Sans MT" w:hAnsi="Gill Sans MT"/>
          <w:sz w:val="24"/>
          <w:szCs w:val="24"/>
        </w:rPr>
        <w:t xml:space="preserve">2013. </w:t>
      </w:r>
      <w:r w:rsidR="007253FA" w:rsidRPr="00F81267">
        <w:rPr>
          <w:rFonts w:ascii="Gill Sans MT" w:hAnsi="Gill Sans MT"/>
          <w:sz w:val="24"/>
          <w:szCs w:val="24"/>
        </w:rPr>
        <w:t>C</w:t>
      </w:r>
      <w:r w:rsidR="00EB231B" w:rsidRPr="00F81267">
        <w:rPr>
          <w:rFonts w:ascii="Gill Sans MT" w:hAnsi="Gill Sans MT"/>
          <w:sz w:val="24"/>
          <w:szCs w:val="24"/>
        </w:rPr>
        <w:t>alculé</w:t>
      </w:r>
      <w:r w:rsidR="007253FA" w:rsidRPr="00F81267">
        <w:rPr>
          <w:rFonts w:ascii="Gill Sans MT" w:hAnsi="Gill Sans MT"/>
          <w:sz w:val="24"/>
          <w:szCs w:val="24"/>
        </w:rPr>
        <w:t xml:space="preserve"> </w:t>
      </w:r>
      <w:r w:rsidR="00EB231B" w:rsidRPr="00F81267">
        <w:rPr>
          <w:rFonts w:ascii="Gill Sans MT" w:hAnsi="Gill Sans MT"/>
          <w:sz w:val="24"/>
          <w:szCs w:val="24"/>
        </w:rPr>
        <w:t>pour l</w:t>
      </w:r>
      <w:r w:rsidR="00F05032" w:rsidRPr="00F81267">
        <w:rPr>
          <w:rFonts w:ascii="Gill Sans MT" w:hAnsi="Gill Sans MT"/>
          <w:sz w:val="24"/>
          <w:szCs w:val="24"/>
        </w:rPr>
        <w:t xml:space="preserve">a population âgée de </w:t>
      </w:r>
      <w:r w:rsidR="00EB231B" w:rsidRPr="00F81267">
        <w:rPr>
          <w:rFonts w:ascii="Gill Sans MT" w:hAnsi="Gill Sans MT"/>
          <w:sz w:val="24"/>
          <w:szCs w:val="24"/>
        </w:rPr>
        <w:t>25 ans et plus, le nombre moyen d’années d’études</w:t>
      </w:r>
      <w:r w:rsidR="0043315E" w:rsidRPr="00F81267">
        <w:rPr>
          <w:rFonts w:ascii="Gill Sans MT" w:hAnsi="Gill Sans MT"/>
          <w:sz w:val="24"/>
          <w:szCs w:val="24"/>
        </w:rPr>
        <w:t> </w:t>
      </w:r>
      <w:r w:rsidR="00EB231B" w:rsidRPr="00F81267">
        <w:rPr>
          <w:rFonts w:ascii="Gill Sans MT" w:hAnsi="Gill Sans MT"/>
          <w:sz w:val="24"/>
          <w:szCs w:val="24"/>
        </w:rPr>
        <w:t xml:space="preserve">se situe </w:t>
      </w:r>
      <w:r w:rsidR="00F05032" w:rsidRPr="00F81267">
        <w:rPr>
          <w:rFonts w:ascii="Gill Sans MT" w:hAnsi="Gill Sans MT"/>
          <w:sz w:val="24"/>
          <w:szCs w:val="24"/>
        </w:rPr>
        <w:t xml:space="preserve">à 4,3 ans. La moyenne </w:t>
      </w:r>
      <w:r w:rsidR="00EB231B" w:rsidRPr="00F81267">
        <w:rPr>
          <w:rFonts w:ascii="Gill Sans MT" w:hAnsi="Gill Sans MT"/>
          <w:sz w:val="24"/>
          <w:szCs w:val="24"/>
        </w:rPr>
        <w:t xml:space="preserve">mondiale </w:t>
      </w:r>
      <w:r w:rsidR="00F05032" w:rsidRPr="00F81267">
        <w:rPr>
          <w:rFonts w:ascii="Gill Sans MT" w:hAnsi="Gill Sans MT"/>
          <w:sz w:val="24"/>
          <w:szCs w:val="24"/>
        </w:rPr>
        <w:t xml:space="preserve">est </w:t>
      </w:r>
      <w:r w:rsidR="00EB231B" w:rsidRPr="00F81267">
        <w:rPr>
          <w:rFonts w:ascii="Gill Sans MT" w:hAnsi="Gill Sans MT"/>
          <w:sz w:val="24"/>
          <w:szCs w:val="24"/>
        </w:rPr>
        <w:t>de 7,7 ans</w:t>
      </w:r>
      <w:r w:rsidR="00F05032" w:rsidRPr="00F81267">
        <w:rPr>
          <w:rFonts w:ascii="Gill Sans MT" w:hAnsi="Gill Sans MT"/>
          <w:sz w:val="24"/>
          <w:szCs w:val="24"/>
        </w:rPr>
        <w:t>, celle des pays à développement humain faible est de 4,1 ans et celle des pays à développement humain moyen de 5,5 ans.</w:t>
      </w:r>
    </w:p>
    <w:p w:rsidR="006A326D" w:rsidRPr="00F81267" w:rsidRDefault="00F05032" w:rsidP="00105E4B">
      <w:pPr>
        <w:spacing w:line="360" w:lineRule="auto"/>
        <w:jc w:val="both"/>
        <w:rPr>
          <w:rFonts w:ascii="Gill Sans MT" w:hAnsi="Gill Sans MT"/>
          <w:sz w:val="24"/>
          <w:szCs w:val="24"/>
        </w:rPr>
      </w:pPr>
      <w:r w:rsidRPr="00F81267">
        <w:rPr>
          <w:rFonts w:ascii="Gill Sans MT" w:hAnsi="Gill Sans MT"/>
          <w:b/>
          <w:bCs/>
          <w:sz w:val="24"/>
          <w:szCs w:val="24"/>
        </w:rPr>
        <w:t>Au plan de la santé,</w:t>
      </w:r>
      <w:r w:rsidR="00DC79C7" w:rsidRPr="00F81267">
        <w:rPr>
          <w:rFonts w:ascii="Gill Sans MT" w:hAnsi="Gill Sans MT"/>
          <w:b/>
          <w:bCs/>
          <w:sz w:val="24"/>
          <w:szCs w:val="24"/>
        </w:rPr>
        <w:t xml:space="preserve"> </w:t>
      </w:r>
      <w:r w:rsidR="0043315E" w:rsidRPr="00F81267">
        <w:rPr>
          <w:rFonts w:ascii="Gill Sans MT" w:hAnsi="Gill Sans MT"/>
          <w:sz w:val="24"/>
          <w:szCs w:val="24"/>
        </w:rPr>
        <w:t>le taux de survie</w:t>
      </w:r>
      <w:r w:rsidR="00222469" w:rsidRPr="00F81267">
        <w:rPr>
          <w:rFonts w:ascii="Gill Sans MT" w:hAnsi="Gill Sans MT"/>
          <w:sz w:val="24"/>
          <w:szCs w:val="24"/>
        </w:rPr>
        <w:t xml:space="preserve"> </w:t>
      </w:r>
      <w:r w:rsidR="0043315E" w:rsidRPr="00F81267">
        <w:rPr>
          <w:rFonts w:ascii="Gill Sans MT" w:hAnsi="Gill Sans MT"/>
          <w:sz w:val="24"/>
          <w:szCs w:val="24"/>
        </w:rPr>
        <w:t xml:space="preserve">de la population </w:t>
      </w:r>
      <w:r w:rsidR="008F0A19" w:rsidRPr="00F81267">
        <w:rPr>
          <w:rFonts w:ascii="Gill Sans MT" w:hAnsi="Gill Sans MT"/>
          <w:sz w:val="24"/>
          <w:szCs w:val="24"/>
        </w:rPr>
        <w:t xml:space="preserve">âgée de 15 à </w:t>
      </w:r>
      <w:r w:rsidR="008B680F" w:rsidRPr="00F81267">
        <w:rPr>
          <w:rFonts w:ascii="Gill Sans MT" w:hAnsi="Gill Sans MT"/>
          <w:sz w:val="24"/>
          <w:szCs w:val="24"/>
        </w:rPr>
        <w:t>59</w:t>
      </w:r>
      <w:r w:rsidR="008F0A19" w:rsidRPr="00F81267">
        <w:rPr>
          <w:rFonts w:ascii="Gill Sans MT" w:hAnsi="Gill Sans MT"/>
          <w:sz w:val="24"/>
          <w:szCs w:val="24"/>
        </w:rPr>
        <w:t xml:space="preserve"> ans</w:t>
      </w:r>
      <w:r w:rsidR="006A326D" w:rsidRPr="00F81267">
        <w:rPr>
          <w:rFonts w:ascii="Gill Sans MT" w:hAnsi="Gill Sans MT"/>
          <w:sz w:val="24"/>
          <w:szCs w:val="24"/>
        </w:rPr>
        <w:t xml:space="preserve"> </w:t>
      </w:r>
      <w:r w:rsidR="00681871" w:rsidRPr="00F81267">
        <w:rPr>
          <w:rFonts w:ascii="Gill Sans MT" w:hAnsi="Gill Sans MT"/>
          <w:sz w:val="24"/>
          <w:szCs w:val="24"/>
        </w:rPr>
        <w:t xml:space="preserve">a été de </w:t>
      </w:r>
      <w:r w:rsidR="008F0A19" w:rsidRPr="00F81267">
        <w:rPr>
          <w:rFonts w:ascii="Gill Sans MT" w:hAnsi="Gill Sans MT"/>
          <w:sz w:val="24"/>
          <w:szCs w:val="24"/>
        </w:rPr>
        <w:t>920</w:t>
      </w:r>
      <w:r w:rsidR="00EA0CF6" w:rsidRPr="00F81267">
        <w:rPr>
          <w:rFonts w:ascii="Gill Sans MT" w:hAnsi="Gill Sans MT"/>
          <w:sz w:val="24"/>
          <w:szCs w:val="24"/>
        </w:rPr>
        <w:t xml:space="preserve"> pour mille en </w:t>
      </w:r>
      <w:r w:rsidR="008F0A19" w:rsidRPr="00F81267">
        <w:rPr>
          <w:rFonts w:ascii="Gill Sans MT" w:hAnsi="Gill Sans MT"/>
          <w:sz w:val="24"/>
          <w:szCs w:val="24"/>
        </w:rPr>
        <w:t>2013</w:t>
      </w:r>
      <w:r w:rsidR="00681871" w:rsidRPr="00F81267">
        <w:rPr>
          <w:rFonts w:ascii="Gill Sans MT" w:hAnsi="Gill Sans MT"/>
          <w:sz w:val="24"/>
          <w:szCs w:val="24"/>
        </w:rPr>
        <w:t xml:space="preserve">. Il a </w:t>
      </w:r>
      <w:r w:rsidR="006A326D" w:rsidRPr="00F81267">
        <w:rPr>
          <w:rFonts w:ascii="Gill Sans MT" w:hAnsi="Gill Sans MT"/>
          <w:sz w:val="24"/>
          <w:szCs w:val="24"/>
        </w:rPr>
        <w:t xml:space="preserve">augmenté de </w:t>
      </w:r>
      <w:r w:rsidR="008F0A19" w:rsidRPr="00F81267">
        <w:rPr>
          <w:rFonts w:ascii="Gill Sans MT" w:hAnsi="Gill Sans MT"/>
          <w:sz w:val="24"/>
          <w:szCs w:val="24"/>
        </w:rPr>
        <w:t>9,6</w:t>
      </w:r>
      <w:r w:rsidR="006A326D" w:rsidRPr="00F81267">
        <w:rPr>
          <w:rFonts w:ascii="Gill Sans MT" w:hAnsi="Gill Sans MT"/>
          <w:sz w:val="24"/>
          <w:szCs w:val="24"/>
        </w:rPr>
        <w:t xml:space="preserve">% entre </w:t>
      </w:r>
      <w:r w:rsidR="008F0A19" w:rsidRPr="00F81267">
        <w:rPr>
          <w:rFonts w:ascii="Gill Sans MT" w:hAnsi="Gill Sans MT"/>
          <w:sz w:val="24"/>
          <w:szCs w:val="24"/>
        </w:rPr>
        <w:t>1988</w:t>
      </w:r>
      <w:r w:rsidR="006A326D" w:rsidRPr="00F81267">
        <w:rPr>
          <w:rFonts w:ascii="Gill Sans MT" w:hAnsi="Gill Sans MT"/>
          <w:sz w:val="24"/>
          <w:szCs w:val="24"/>
        </w:rPr>
        <w:t xml:space="preserve"> et </w:t>
      </w:r>
      <w:r w:rsidR="008F0A19" w:rsidRPr="00F81267">
        <w:rPr>
          <w:rFonts w:ascii="Gill Sans MT" w:hAnsi="Gill Sans MT"/>
          <w:sz w:val="24"/>
          <w:szCs w:val="24"/>
        </w:rPr>
        <w:t>2010</w:t>
      </w:r>
      <w:r w:rsidR="006A326D" w:rsidRPr="00F81267">
        <w:rPr>
          <w:rFonts w:ascii="Gill Sans MT" w:hAnsi="Gill Sans MT"/>
          <w:sz w:val="24"/>
          <w:szCs w:val="24"/>
        </w:rPr>
        <w:t>, années de référence des deux dernières enquêtes démographiques à passages répétés</w:t>
      </w:r>
      <w:r w:rsidR="0043315E" w:rsidRPr="00F81267">
        <w:rPr>
          <w:rFonts w:ascii="Gill Sans MT" w:hAnsi="Gill Sans MT"/>
          <w:sz w:val="24"/>
          <w:szCs w:val="24"/>
        </w:rPr>
        <w:t>.</w:t>
      </w:r>
      <w:r w:rsidR="008F124A" w:rsidRPr="00F81267">
        <w:rPr>
          <w:rFonts w:ascii="Gill Sans MT" w:hAnsi="Gill Sans MT"/>
          <w:sz w:val="24"/>
          <w:szCs w:val="24"/>
        </w:rPr>
        <w:t xml:space="preserve"> Il est, à l’inverse des indicateurs </w:t>
      </w:r>
      <w:r w:rsidR="004D21C2" w:rsidRPr="00F81267">
        <w:rPr>
          <w:rFonts w:ascii="Gill Sans MT" w:hAnsi="Gill Sans MT"/>
          <w:sz w:val="24"/>
          <w:szCs w:val="24"/>
        </w:rPr>
        <w:t>relatifs</w:t>
      </w:r>
      <w:r w:rsidR="008F124A" w:rsidRPr="00F81267">
        <w:rPr>
          <w:rFonts w:ascii="Gill Sans MT" w:hAnsi="Gill Sans MT"/>
          <w:sz w:val="24"/>
          <w:szCs w:val="24"/>
        </w:rPr>
        <w:t xml:space="preserve"> </w:t>
      </w:r>
      <w:r w:rsidR="008B680F" w:rsidRPr="00F81267">
        <w:rPr>
          <w:rFonts w:ascii="Gill Sans MT" w:hAnsi="Gill Sans MT"/>
          <w:sz w:val="24"/>
          <w:szCs w:val="24"/>
        </w:rPr>
        <w:t xml:space="preserve">à </w:t>
      </w:r>
      <w:r w:rsidR="008F124A" w:rsidRPr="00F81267">
        <w:rPr>
          <w:rFonts w:ascii="Gill Sans MT" w:hAnsi="Gill Sans MT"/>
          <w:sz w:val="24"/>
          <w:szCs w:val="24"/>
        </w:rPr>
        <w:t xml:space="preserve">l’éducation, </w:t>
      </w:r>
      <w:r w:rsidR="008F0A19" w:rsidRPr="00F81267">
        <w:rPr>
          <w:rFonts w:ascii="Gill Sans MT" w:hAnsi="Gill Sans MT"/>
          <w:sz w:val="24"/>
          <w:szCs w:val="24"/>
        </w:rPr>
        <w:t>co</w:t>
      </w:r>
      <w:r w:rsidR="008F124A" w:rsidRPr="00F81267">
        <w:rPr>
          <w:rFonts w:ascii="Gill Sans MT" w:hAnsi="Gill Sans MT"/>
          <w:sz w:val="24"/>
          <w:szCs w:val="24"/>
        </w:rPr>
        <w:t>mparable à la moyenne des pays à développement humain élevé</w:t>
      </w:r>
      <w:r w:rsidR="00681871" w:rsidRPr="00F81267">
        <w:rPr>
          <w:rFonts w:ascii="Gill Sans MT" w:hAnsi="Gill Sans MT"/>
          <w:sz w:val="24"/>
          <w:szCs w:val="24"/>
        </w:rPr>
        <w:t xml:space="preserve">. Ces pays enregistrent un taux de survie de </w:t>
      </w:r>
      <w:r w:rsidR="008F0A19" w:rsidRPr="00F81267">
        <w:rPr>
          <w:rFonts w:ascii="Gill Sans MT" w:hAnsi="Gill Sans MT"/>
          <w:sz w:val="24"/>
          <w:szCs w:val="24"/>
        </w:rPr>
        <w:t>880 pour mille</w:t>
      </w:r>
      <w:r w:rsidR="00681871" w:rsidRPr="00F81267">
        <w:rPr>
          <w:rFonts w:ascii="Gill Sans MT" w:hAnsi="Gill Sans MT"/>
          <w:sz w:val="24"/>
          <w:szCs w:val="24"/>
        </w:rPr>
        <w:t xml:space="preserve"> en 2011</w:t>
      </w:r>
      <w:r w:rsidR="008F124A" w:rsidRPr="00F81267">
        <w:rPr>
          <w:rFonts w:ascii="Gill Sans MT" w:hAnsi="Gill Sans MT"/>
          <w:sz w:val="24"/>
          <w:szCs w:val="24"/>
        </w:rPr>
        <w:t xml:space="preserve">.  </w:t>
      </w:r>
      <w:r w:rsidR="0043315E" w:rsidRPr="00F81267">
        <w:rPr>
          <w:rFonts w:ascii="Gill Sans MT" w:hAnsi="Gill Sans MT"/>
          <w:sz w:val="24"/>
          <w:szCs w:val="24"/>
        </w:rPr>
        <w:t xml:space="preserve"> </w:t>
      </w:r>
    </w:p>
    <w:p w:rsidR="002C3963" w:rsidRPr="00F81267" w:rsidRDefault="00DC79C7" w:rsidP="00105E4B">
      <w:pPr>
        <w:spacing w:line="360" w:lineRule="auto"/>
        <w:jc w:val="both"/>
        <w:rPr>
          <w:rFonts w:ascii="Gill Sans MT" w:hAnsi="Gill Sans MT"/>
          <w:sz w:val="24"/>
          <w:szCs w:val="24"/>
        </w:rPr>
      </w:pPr>
      <w:r w:rsidRPr="00F81267">
        <w:rPr>
          <w:rFonts w:ascii="Gill Sans MT" w:hAnsi="Gill Sans MT"/>
          <w:b/>
          <w:bCs/>
          <w:sz w:val="24"/>
          <w:szCs w:val="24"/>
        </w:rPr>
        <w:t>En termes d’i</w:t>
      </w:r>
      <w:r w:rsidR="00C47541" w:rsidRPr="00F81267">
        <w:rPr>
          <w:rFonts w:ascii="Gill Sans MT" w:hAnsi="Gill Sans MT"/>
          <w:b/>
          <w:bCs/>
          <w:sz w:val="24"/>
          <w:szCs w:val="24"/>
        </w:rPr>
        <w:t>nvestissement dans</w:t>
      </w:r>
      <w:r w:rsidRPr="00F81267">
        <w:rPr>
          <w:rFonts w:ascii="Gill Sans MT" w:hAnsi="Gill Sans MT"/>
          <w:b/>
          <w:bCs/>
          <w:sz w:val="24"/>
          <w:szCs w:val="24"/>
        </w:rPr>
        <w:t xml:space="preserve"> </w:t>
      </w:r>
      <w:r w:rsidR="00C47541" w:rsidRPr="00F81267">
        <w:rPr>
          <w:rFonts w:ascii="Gill Sans MT" w:hAnsi="Gill Sans MT"/>
          <w:b/>
          <w:bCs/>
          <w:sz w:val="24"/>
          <w:szCs w:val="24"/>
        </w:rPr>
        <w:t>le capital humain</w:t>
      </w:r>
      <w:r w:rsidRPr="00F81267">
        <w:rPr>
          <w:rFonts w:ascii="Gill Sans MT" w:hAnsi="Gill Sans MT"/>
          <w:b/>
          <w:bCs/>
          <w:sz w:val="24"/>
          <w:szCs w:val="24"/>
        </w:rPr>
        <w:t xml:space="preserve">, </w:t>
      </w:r>
      <w:r w:rsidR="002C3963" w:rsidRPr="00F81267">
        <w:rPr>
          <w:rFonts w:ascii="Gill Sans MT" w:hAnsi="Gill Sans MT"/>
          <w:sz w:val="24"/>
          <w:szCs w:val="24"/>
        </w:rPr>
        <w:t xml:space="preserve">le budget dédié au secteur de l’enseignement public a presque triplé (2,9 fois) entre 1999 et 2013, celui des ménages a enregistré une hausse équivalente (2,7 fois). </w:t>
      </w:r>
      <w:r w:rsidRPr="00F81267">
        <w:rPr>
          <w:rFonts w:ascii="Gill Sans MT" w:hAnsi="Gill Sans MT"/>
          <w:sz w:val="24"/>
          <w:szCs w:val="24"/>
        </w:rPr>
        <w:t xml:space="preserve">Le poids des dépenses des ménages en éducation et formation, a </w:t>
      </w:r>
      <w:r w:rsidR="00DB3996" w:rsidRPr="00F81267">
        <w:rPr>
          <w:rFonts w:ascii="Gill Sans MT" w:hAnsi="Gill Sans MT"/>
          <w:sz w:val="24"/>
          <w:szCs w:val="24"/>
        </w:rPr>
        <w:t xml:space="preserve">lui </w:t>
      </w:r>
      <w:r w:rsidRPr="00F81267">
        <w:rPr>
          <w:rFonts w:ascii="Gill Sans MT" w:hAnsi="Gill Sans MT"/>
          <w:sz w:val="24"/>
          <w:szCs w:val="24"/>
        </w:rPr>
        <w:t xml:space="preserve">aussi augmenté de 16,0% à 25,1%, par rapport au coût total de l’éducation. Cette </w:t>
      </w:r>
      <w:r w:rsidR="002C3963" w:rsidRPr="00F81267">
        <w:rPr>
          <w:rFonts w:ascii="Gill Sans MT" w:hAnsi="Gill Sans MT"/>
          <w:sz w:val="24"/>
          <w:szCs w:val="24"/>
        </w:rPr>
        <w:t>augmentation de</w:t>
      </w:r>
      <w:r w:rsidR="00681871" w:rsidRPr="00F81267">
        <w:rPr>
          <w:rFonts w:ascii="Gill Sans MT" w:hAnsi="Gill Sans MT"/>
          <w:sz w:val="24"/>
          <w:szCs w:val="24"/>
        </w:rPr>
        <w:t xml:space="preserve">s dépenses </w:t>
      </w:r>
      <w:r w:rsidR="002C3963" w:rsidRPr="00F81267">
        <w:rPr>
          <w:rFonts w:ascii="Gill Sans MT" w:hAnsi="Gill Sans MT"/>
          <w:sz w:val="24"/>
          <w:szCs w:val="24"/>
        </w:rPr>
        <w:t>dans l’éducation n’</w:t>
      </w:r>
      <w:r w:rsidR="00681871" w:rsidRPr="00F81267">
        <w:rPr>
          <w:rFonts w:ascii="Gill Sans MT" w:hAnsi="Gill Sans MT"/>
          <w:sz w:val="24"/>
          <w:szCs w:val="24"/>
        </w:rPr>
        <w:t xml:space="preserve">a pas été accompagnée par une </w:t>
      </w:r>
      <w:r w:rsidR="00611735" w:rsidRPr="00F81267">
        <w:rPr>
          <w:rFonts w:ascii="Gill Sans MT" w:hAnsi="Gill Sans MT"/>
          <w:sz w:val="24"/>
          <w:szCs w:val="24"/>
        </w:rPr>
        <w:t xml:space="preserve">évolution </w:t>
      </w:r>
      <w:r w:rsidR="00681871" w:rsidRPr="00F81267">
        <w:rPr>
          <w:rFonts w:ascii="Gill Sans MT" w:hAnsi="Gill Sans MT"/>
          <w:sz w:val="24"/>
          <w:szCs w:val="24"/>
        </w:rPr>
        <w:t xml:space="preserve">comparable </w:t>
      </w:r>
      <w:r w:rsidR="006F604C" w:rsidRPr="00F81267">
        <w:rPr>
          <w:rFonts w:ascii="Gill Sans MT" w:hAnsi="Gill Sans MT"/>
          <w:sz w:val="24"/>
          <w:szCs w:val="24"/>
        </w:rPr>
        <w:t>des effectifs scolarisés. En 2013, ces derniers sont 1,4 fois plus grand</w:t>
      </w:r>
      <w:r w:rsidR="00681871" w:rsidRPr="00F81267">
        <w:rPr>
          <w:rFonts w:ascii="Gill Sans MT" w:hAnsi="Gill Sans MT"/>
          <w:sz w:val="24"/>
          <w:szCs w:val="24"/>
        </w:rPr>
        <w:t>s</w:t>
      </w:r>
      <w:r w:rsidR="006F604C" w:rsidRPr="00F81267">
        <w:rPr>
          <w:rFonts w:ascii="Gill Sans MT" w:hAnsi="Gill Sans MT"/>
          <w:sz w:val="24"/>
          <w:szCs w:val="24"/>
        </w:rPr>
        <w:t xml:space="preserve"> que ceux de 1999. C’est dire que le coût de scolarisation d’un élève a nettement augmenté durant la période. Il a p</w:t>
      </w:r>
      <w:r w:rsidR="00B221E8" w:rsidRPr="00F81267">
        <w:rPr>
          <w:rFonts w:ascii="Gill Sans MT" w:hAnsi="Gill Sans MT"/>
          <w:sz w:val="24"/>
          <w:szCs w:val="24"/>
        </w:rPr>
        <w:t xml:space="preserve">lus que </w:t>
      </w:r>
      <w:r w:rsidR="006F604C" w:rsidRPr="00F81267">
        <w:rPr>
          <w:rFonts w:ascii="Gill Sans MT" w:hAnsi="Gill Sans MT"/>
          <w:sz w:val="24"/>
          <w:szCs w:val="24"/>
        </w:rPr>
        <w:t xml:space="preserve">doublé </w:t>
      </w:r>
      <w:r w:rsidR="00611735" w:rsidRPr="00F81267">
        <w:rPr>
          <w:rFonts w:ascii="Gill Sans MT" w:hAnsi="Gill Sans MT"/>
          <w:sz w:val="24"/>
          <w:szCs w:val="24"/>
        </w:rPr>
        <w:t>(2,</w:t>
      </w:r>
      <w:r w:rsidR="00B221E8" w:rsidRPr="00F81267">
        <w:rPr>
          <w:rFonts w:ascii="Gill Sans MT" w:hAnsi="Gill Sans MT"/>
          <w:sz w:val="24"/>
          <w:szCs w:val="24"/>
        </w:rPr>
        <w:t>4</w:t>
      </w:r>
      <w:r w:rsidR="00611735" w:rsidRPr="00F81267">
        <w:rPr>
          <w:rFonts w:ascii="Gill Sans MT" w:hAnsi="Gill Sans MT"/>
          <w:sz w:val="24"/>
          <w:szCs w:val="24"/>
        </w:rPr>
        <w:t xml:space="preserve"> fois) </w:t>
      </w:r>
      <w:r w:rsidR="006F604C" w:rsidRPr="00F81267">
        <w:rPr>
          <w:rFonts w:ascii="Gill Sans MT" w:hAnsi="Gill Sans MT"/>
          <w:sz w:val="24"/>
          <w:szCs w:val="24"/>
        </w:rPr>
        <w:t>passant</w:t>
      </w:r>
      <w:r w:rsidR="00611735" w:rsidRPr="00F81267">
        <w:rPr>
          <w:rFonts w:ascii="Gill Sans MT" w:hAnsi="Gill Sans MT"/>
          <w:sz w:val="24"/>
          <w:szCs w:val="24"/>
        </w:rPr>
        <w:t xml:space="preserve"> de 5088 DH à 1</w:t>
      </w:r>
      <w:r w:rsidR="00B221E8" w:rsidRPr="00F81267">
        <w:rPr>
          <w:rFonts w:ascii="Gill Sans MT" w:hAnsi="Gill Sans MT"/>
          <w:sz w:val="24"/>
          <w:szCs w:val="24"/>
        </w:rPr>
        <w:t>2</w:t>
      </w:r>
      <w:r w:rsidR="00611735" w:rsidRPr="00F81267">
        <w:rPr>
          <w:rFonts w:ascii="Gill Sans MT" w:hAnsi="Gill Sans MT"/>
          <w:sz w:val="24"/>
          <w:szCs w:val="24"/>
        </w:rPr>
        <w:t>06</w:t>
      </w:r>
      <w:r w:rsidR="00B221E8" w:rsidRPr="00F81267">
        <w:rPr>
          <w:rFonts w:ascii="Gill Sans MT" w:hAnsi="Gill Sans MT"/>
          <w:sz w:val="24"/>
          <w:szCs w:val="24"/>
        </w:rPr>
        <w:t>2</w:t>
      </w:r>
      <w:r w:rsidR="00611735" w:rsidRPr="00F81267">
        <w:rPr>
          <w:rFonts w:ascii="Gill Sans MT" w:hAnsi="Gill Sans MT"/>
          <w:sz w:val="24"/>
          <w:szCs w:val="24"/>
        </w:rPr>
        <w:t xml:space="preserve"> DH </w:t>
      </w:r>
      <w:r w:rsidR="006F604C" w:rsidRPr="00F81267">
        <w:rPr>
          <w:rFonts w:ascii="Gill Sans MT" w:hAnsi="Gill Sans MT"/>
          <w:sz w:val="24"/>
          <w:szCs w:val="24"/>
        </w:rPr>
        <w:t xml:space="preserve"> </w:t>
      </w:r>
      <w:r w:rsidR="00611735" w:rsidRPr="00F81267">
        <w:rPr>
          <w:rFonts w:ascii="Gill Sans MT" w:hAnsi="Gill Sans MT"/>
          <w:sz w:val="24"/>
          <w:szCs w:val="24"/>
        </w:rPr>
        <w:t xml:space="preserve">par élève et par an. </w:t>
      </w:r>
    </w:p>
    <w:p w:rsidR="00756D70" w:rsidRPr="00F81267" w:rsidRDefault="005A7C59" w:rsidP="00105E4B">
      <w:pPr>
        <w:pStyle w:val="Paragraphedeliste"/>
        <w:spacing w:after="0" w:line="360" w:lineRule="auto"/>
        <w:ind w:left="0"/>
        <w:jc w:val="both"/>
        <w:rPr>
          <w:rFonts w:ascii="Gill Sans MT" w:hAnsi="Gill Sans MT"/>
          <w:sz w:val="24"/>
          <w:szCs w:val="24"/>
        </w:rPr>
      </w:pPr>
      <w:r w:rsidRPr="00F81267">
        <w:rPr>
          <w:rFonts w:ascii="Gill Sans MT" w:hAnsi="Gill Sans MT"/>
          <w:sz w:val="24"/>
          <w:szCs w:val="24"/>
        </w:rPr>
        <w:t>C’est ainsi que</w:t>
      </w:r>
      <w:r w:rsidR="00E82465" w:rsidRPr="00F81267">
        <w:rPr>
          <w:rFonts w:ascii="Gill Sans MT" w:hAnsi="Gill Sans MT"/>
          <w:sz w:val="24"/>
          <w:szCs w:val="24"/>
        </w:rPr>
        <w:t xml:space="preserve">, dans le domaine de l’éducation-formation, la progression </w:t>
      </w:r>
      <w:r w:rsidR="00756D70" w:rsidRPr="00F81267">
        <w:rPr>
          <w:rFonts w:ascii="Gill Sans MT" w:hAnsi="Gill Sans MT"/>
          <w:sz w:val="24"/>
          <w:szCs w:val="24"/>
        </w:rPr>
        <w:t xml:space="preserve">des indicateurs de </w:t>
      </w:r>
      <w:r w:rsidR="00E82465" w:rsidRPr="00F81267">
        <w:rPr>
          <w:rFonts w:ascii="Gill Sans MT" w:hAnsi="Gill Sans MT"/>
          <w:sz w:val="24"/>
          <w:szCs w:val="24"/>
        </w:rPr>
        <w:t xml:space="preserve">résultats entre </w:t>
      </w:r>
      <w:r w:rsidR="007253FA" w:rsidRPr="00F81267">
        <w:rPr>
          <w:rFonts w:ascii="Gill Sans MT" w:hAnsi="Gill Sans MT"/>
          <w:sz w:val="24"/>
          <w:szCs w:val="24"/>
        </w:rPr>
        <w:t>1</w:t>
      </w:r>
      <w:r w:rsidR="00E82465" w:rsidRPr="00F81267">
        <w:rPr>
          <w:rFonts w:ascii="Gill Sans MT" w:hAnsi="Gill Sans MT"/>
          <w:sz w:val="24"/>
          <w:szCs w:val="24"/>
        </w:rPr>
        <w:t xml:space="preserve">999 et 2013 est nettement inférieure à celle des indicateurs d’apport comme </w:t>
      </w:r>
      <w:r w:rsidR="00756D70" w:rsidRPr="00F81267">
        <w:rPr>
          <w:rFonts w:ascii="Gill Sans MT" w:hAnsi="Gill Sans MT"/>
          <w:sz w:val="24"/>
          <w:szCs w:val="24"/>
        </w:rPr>
        <w:t>l</w:t>
      </w:r>
      <w:r w:rsidRPr="00F81267">
        <w:rPr>
          <w:rFonts w:ascii="Gill Sans MT" w:hAnsi="Gill Sans MT"/>
          <w:sz w:val="24"/>
          <w:szCs w:val="24"/>
        </w:rPr>
        <w:t xml:space="preserve">es dépenses publiques et celles des ménages. </w:t>
      </w:r>
      <w:r w:rsidR="00E82465" w:rsidRPr="00F81267">
        <w:rPr>
          <w:rFonts w:ascii="Gill Sans MT" w:hAnsi="Gill Sans MT"/>
          <w:sz w:val="24"/>
          <w:szCs w:val="24"/>
        </w:rPr>
        <w:t>Ce qui montre que</w:t>
      </w:r>
      <w:r w:rsidRPr="00F81267">
        <w:rPr>
          <w:rFonts w:ascii="Gill Sans MT" w:hAnsi="Gill Sans MT"/>
          <w:sz w:val="24"/>
          <w:szCs w:val="24"/>
        </w:rPr>
        <w:t xml:space="preserve">, dans le cadre du système actuel d’enseignement, le rendement de l’investissement dans l’éducation ne suit pas l’augmentation des dépenses publiques dans le domaine. </w:t>
      </w:r>
    </w:p>
    <w:p w:rsidR="002C3963" w:rsidRDefault="002C3963" w:rsidP="00105E4B">
      <w:pPr>
        <w:pStyle w:val="Paragraphedeliste"/>
        <w:spacing w:after="0" w:line="360" w:lineRule="auto"/>
        <w:jc w:val="both"/>
        <w:rPr>
          <w:rFonts w:ascii="Gill Sans MT" w:hAnsi="Gill Sans MT"/>
          <w:sz w:val="24"/>
          <w:szCs w:val="24"/>
        </w:rPr>
      </w:pPr>
    </w:p>
    <w:p w:rsidR="00105E4B" w:rsidRDefault="00105E4B" w:rsidP="00105E4B">
      <w:pPr>
        <w:pStyle w:val="Paragraphedeliste"/>
        <w:spacing w:after="0" w:line="360" w:lineRule="auto"/>
        <w:jc w:val="both"/>
        <w:rPr>
          <w:rFonts w:ascii="Gill Sans MT" w:hAnsi="Gill Sans MT"/>
          <w:sz w:val="24"/>
          <w:szCs w:val="24"/>
        </w:rPr>
      </w:pPr>
    </w:p>
    <w:p w:rsidR="00105E4B" w:rsidRPr="00F81267" w:rsidRDefault="00105E4B" w:rsidP="00105E4B">
      <w:pPr>
        <w:pStyle w:val="Paragraphedeliste"/>
        <w:spacing w:after="0" w:line="360" w:lineRule="auto"/>
        <w:jc w:val="both"/>
        <w:rPr>
          <w:rFonts w:ascii="Gill Sans MT" w:hAnsi="Gill Sans MT"/>
          <w:sz w:val="24"/>
          <w:szCs w:val="24"/>
        </w:rPr>
      </w:pPr>
    </w:p>
    <w:p w:rsidR="00DB3996" w:rsidRPr="00F81267" w:rsidRDefault="00DB3996" w:rsidP="00105E4B">
      <w:pPr>
        <w:spacing w:line="360" w:lineRule="auto"/>
        <w:jc w:val="both"/>
        <w:rPr>
          <w:rFonts w:ascii="Gill Sans MT" w:hAnsi="Gill Sans MT"/>
          <w:b/>
          <w:bCs/>
          <w:sz w:val="24"/>
          <w:szCs w:val="24"/>
        </w:rPr>
      </w:pPr>
      <w:r w:rsidRPr="00F81267">
        <w:rPr>
          <w:rFonts w:ascii="Gill Sans MT" w:hAnsi="Gill Sans MT"/>
          <w:b/>
          <w:bCs/>
          <w:sz w:val="24"/>
          <w:szCs w:val="24"/>
        </w:rPr>
        <w:lastRenderedPageBreak/>
        <w:t>Sur le plan du r</w:t>
      </w:r>
      <w:r w:rsidR="0030653E" w:rsidRPr="00F81267">
        <w:rPr>
          <w:rFonts w:ascii="Gill Sans MT" w:hAnsi="Gill Sans MT"/>
          <w:b/>
          <w:bCs/>
          <w:sz w:val="24"/>
          <w:szCs w:val="24"/>
        </w:rPr>
        <w:t>endement du capital humain</w:t>
      </w:r>
      <w:r w:rsidRPr="00F81267">
        <w:rPr>
          <w:rFonts w:ascii="Gill Sans MT" w:hAnsi="Gill Sans MT"/>
          <w:b/>
          <w:bCs/>
          <w:sz w:val="24"/>
          <w:szCs w:val="24"/>
        </w:rPr>
        <w:t xml:space="preserve">, </w:t>
      </w:r>
    </w:p>
    <w:p w:rsidR="00C000F5" w:rsidRPr="00F81267" w:rsidRDefault="00DB3996" w:rsidP="00105E4B">
      <w:pPr>
        <w:spacing w:after="0" w:line="360" w:lineRule="auto"/>
        <w:jc w:val="both"/>
        <w:rPr>
          <w:rFonts w:ascii="Gill Sans MT" w:hAnsi="Gill Sans MT"/>
          <w:sz w:val="24"/>
          <w:szCs w:val="24"/>
        </w:rPr>
      </w:pPr>
      <w:r w:rsidRPr="00F81267">
        <w:rPr>
          <w:rFonts w:ascii="Gill Sans MT" w:hAnsi="Gill Sans MT"/>
          <w:sz w:val="24"/>
          <w:szCs w:val="24"/>
        </w:rPr>
        <w:t>L</w:t>
      </w:r>
      <w:r w:rsidR="00DA231A" w:rsidRPr="00F81267">
        <w:rPr>
          <w:rFonts w:ascii="Gill Sans MT" w:hAnsi="Gill Sans MT"/>
          <w:sz w:val="24"/>
          <w:szCs w:val="24"/>
        </w:rPr>
        <w:t xml:space="preserve">'investissement dans l'éducation et la formation </w:t>
      </w:r>
      <w:r w:rsidR="00753896" w:rsidRPr="00F81267">
        <w:rPr>
          <w:rFonts w:ascii="Gill Sans MT" w:hAnsi="Gill Sans MT"/>
          <w:sz w:val="24"/>
          <w:szCs w:val="24"/>
        </w:rPr>
        <w:t>n’a pas uniquement des effets sur les revenus des individus</w:t>
      </w:r>
      <w:r w:rsidR="008E6EEA" w:rsidRPr="00F81267">
        <w:rPr>
          <w:rFonts w:ascii="Gill Sans MT" w:hAnsi="Gill Sans MT"/>
          <w:sz w:val="24"/>
          <w:szCs w:val="24"/>
        </w:rPr>
        <w:t xml:space="preserve"> et leurs chances d’insertion professionnelle</w:t>
      </w:r>
      <w:r w:rsidR="00753896" w:rsidRPr="00F81267">
        <w:rPr>
          <w:rFonts w:ascii="Gill Sans MT" w:hAnsi="Gill Sans MT"/>
          <w:sz w:val="24"/>
          <w:szCs w:val="24"/>
        </w:rPr>
        <w:t xml:space="preserve">. </w:t>
      </w:r>
      <w:r w:rsidR="007D4F52" w:rsidRPr="00F81267">
        <w:rPr>
          <w:rFonts w:ascii="Gill Sans MT" w:hAnsi="Gill Sans MT"/>
          <w:sz w:val="24"/>
          <w:szCs w:val="24"/>
        </w:rPr>
        <w:t xml:space="preserve">Il a </w:t>
      </w:r>
      <w:r w:rsidR="006B3A78" w:rsidRPr="00F81267">
        <w:rPr>
          <w:rFonts w:ascii="Gill Sans MT" w:hAnsi="Gill Sans MT"/>
          <w:sz w:val="24"/>
          <w:szCs w:val="24"/>
        </w:rPr>
        <w:t xml:space="preserve">aussi </w:t>
      </w:r>
      <w:r w:rsidR="007D4F52" w:rsidRPr="00F81267">
        <w:rPr>
          <w:rFonts w:ascii="Gill Sans MT" w:hAnsi="Gill Sans MT"/>
          <w:sz w:val="24"/>
          <w:szCs w:val="24"/>
        </w:rPr>
        <w:t xml:space="preserve">un </w:t>
      </w:r>
      <w:r w:rsidR="00753896" w:rsidRPr="00F81267">
        <w:rPr>
          <w:rFonts w:ascii="Gill Sans MT" w:hAnsi="Gill Sans MT"/>
          <w:sz w:val="24"/>
          <w:szCs w:val="24"/>
        </w:rPr>
        <w:t xml:space="preserve">apport </w:t>
      </w:r>
      <w:r w:rsidR="007D4F52" w:rsidRPr="00F81267">
        <w:rPr>
          <w:rFonts w:ascii="Gill Sans MT" w:hAnsi="Gill Sans MT"/>
          <w:sz w:val="24"/>
          <w:szCs w:val="24"/>
        </w:rPr>
        <w:t xml:space="preserve">indéniable </w:t>
      </w:r>
      <w:r w:rsidR="00753896" w:rsidRPr="00F81267">
        <w:rPr>
          <w:rFonts w:ascii="Gill Sans MT" w:hAnsi="Gill Sans MT"/>
          <w:sz w:val="24"/>
          <w:szCs w:val="24"/>
        </w:rPr>
        <w:t xml:space="preserve">à </w:t>
      </w:r>
      <w:r w:rsidR="005526A4" w:rsidRPr="00F81267">
        <w:rPr>
          <w:rFonts w:ascii="Gill Sans MT" w:hAnsi="Gill Sans MT"/>
          <w:sz w:val="24"/>
          <w:szCs w:val="24"/>
        </w:rPr>
        <w:t xml:space="preserve">d’autres dimensions de la cohésion sociale telles que la mobilité sociale et scolaire, </w:t>
      </w:r>
      <w:r w:rsidR="00793303" w:rsidRPr="00F81267">
        <w:rPr>
          <w:rFonts w:ascii="Gill Sans MT" w:hAnsi="Gill Sans MT"/>
          <w:sz w:val="24"/>
          <w:szCs w:val="24"/>
        </w:rPr>
        <w:t>l’équité</w:t>
      </w:r>
      <w:r w:rsidR="00222469" w:rsidRPr="00F81267">
        <w:rPr>
          <w:rFonts w:ascii="Gill Sans MT" w:hAnsi="Gill Sans MT"/>
          <w:sz w:val="24"/>
          <w:szCs w:val="24"/>
        </w:rPr>
        <w:t>, l’égalité de chances</w:t>
      </w:r>
      <w:r w:rsidR="00753896" w:rsidRPr="00F81267">
        <w:rPr>
          <w:rFonts w:ascii="Gill Sans MT" w:hAnsi="Gill Sans MT"/>
          <w:sz w:val="24"/>
          <w:szCs w:val="24"/>
        </w:rPr>
        <w:t>.</w:t>
      </w:r>
      <w:r w:rsidR="00407CD9" w:rsidRPr="00F81267">
        <w:rPr>
          <w:rFonts w:ascii="Gill Sans MT" w:hAnsi="Gill Sans MT"/>
          <w:sz w:val="24"/>
          <w:szCs w:val="24"/>
        </w:rPr>
        <w:t xml:space="preserve"> </w:t>
      </w:r>
      <w:r w:rsidR="00167F61" w:rsidRPr="00F81267">
        <w:rPr>
          <w:rFonts w:ascii="Gill Sans MT" w:hAnsi="Gill Sans MT"/>
          <w:sz w:val="24"/>
          <w:szCs w:val="24"/>
        </w:rPr>
        <w:t xml:space="preserve"> </w:t>
      </w:r>
    </w:p>
    <w:p w:rsidR="00DB3996" w:rsidRPr="00F81267" w:rsidRDefault="00DB3996" w:rsidP="00105E4B">
      <w:pPr>
        <w:pStyle w:val="Paragraphedeliste"/>
        <w:spacing w:after="0" w:line="360" w:lineRule="auto"/>
        <w:jc w:val="both"/>
        <w:rPr>
          <w:rFonts w:ascii="Gill Sans MT" w:hAnsi="Gill Sans MT"/>
          <w:sz w:val="24"/>
          <w:szCs w:val="24"/>
        </w:rPr>
      </w:pPr>
    </w:p>
    <w:p w:rsidR="001527DD" w:rsidRPr="00F81267" w:rsidRDefault="00DB3996" w:rsidP="00105E4B">
      <w:pPr>
        <w:spacing w:line="360" w:lineRule="auto"/>
        <w:jc w:val="both"/>
        <w:rPr>
          <w:rFonts w:ascii="Gill Sans MT" w:hAnsi="Gill Sans MT"/>
          <w:sz w:val="24"/>
          <w:szCs w:val="24"/>
        </w:rPr>
      </w:pPr>
      <w:r w:rsidRPr="00F81267">
        <w:rPr>
          <w:rFonts w:ascii="Gill Sans MT" w:hAnsi="Gill Sans MT"/>
          <w:sz w:val="24"/>
          <w:szCs w:val="24"/>
        </w:rPr>
        <w:t>Ainsi, l</w:t>
      </w:r>
      <w:r w:rsidR="00DA231A" w:rsidRPr="00F81267">
        <w:rPr>
          <w:rFonts w:ascii="Gill Sans MT" w:hAnsi="Gill Sans MT"/>
          <w:sz w:val="24"/>
          <w:szCs w:val="24"/>
        </w:rPr>
        <w:t>’</w:t>
      </w:r>
      <w:r w:rsidR="00753896" w:rsidRPr="00F81267">
        <w:rPr>
          <w:rFonts w:ascii="Gill Sans MT" w:hAnsi="Gill Sans MT"/>
          <w:sz w:val="24"/>
          <w:szCs w:val="24"/>
        </w:rPr>
        <w:t>investisse</w:t>
      </w:r>
      <w:r w:rsidR="00793303" w:rsidRPr="00F81267">
        <w:rPr>
          <w:rFonts w:ascii="Gill Sans MT" w:hAnsi="Gill Sans MT"/>
          <w:sz w:val="24"/>
          <w:szCs w:val="24"/>
        </w:rPr>
        <w:t xml:space="preserve">ment </w:t>
      </w:r>
      <w:r w:rsidR="00DA231A" w:rsidRPr="00F81267">
        <w:rPr>
          <w:rFonts w:ascii="Gill Sans MT" w:hAnsi="Gill Sans MT"/>
          <w:sz w:val="24"/>
          <w:szCs w:val="24"/>
        </w:rPr>
        <w:t xml:space="preserve">dans le capital humain </w:t>
      </w:r>
      <w:r w:rsidR="00753896" w:rsidRPr="00F81267">
        <w:rPr>
          <w:rFonts w:ascii="Gill Sans MT" w:hAnsi="Gill Sans MT"/>
          <w:sz w:val="24"/>
          <w:szCs w:val="24"/>
        </w:rPr>
        <w:t>accroît</w:t>
      </w:r>
      <w:r w:rsidR="00793303" w:rsidRPr="00F81267">
        <w:rPr>
          <w:rFonts w:ascii="Gill Sans MT" w:hAnsi="Gill Sans MT"/>
          <w:sz w:val="24"/>
          <w:szCs w:val="24"/>
        </w:rPr>
        <w:t xml:space="preserve"> le revenu de la population active occupée dont celle salariée, en améliorant son </w:t>
      </w:r>
      <w:r w:rsidR="00753896" w:rsidRPr="00F81267">
        <w:rPr>
          <w:rFonts w:ascii="Gill Sans MT" w:hAnsi="Gill Sans MT"/>
          <w:sz w:val="24"/>
          <w:szCs w:val="24"/>
        </w:rPr>
        <w:t>potentiel productif</w:t>
      </w:r>
      <w:r w:rsidR="00793303" w:rsidRPr="00F81267">
        <w:rPr>
          <w:rFonts w:ascii="Gill Sans MT" w:hAnsi="Gill Sans MT"/>
          <w:sz w:val="24"/>
          <w:szCs w:val="24"/>
        </w:rPr>
        <w:t xml:space="preserve"> et s</w:t>
      </w:r>
      <w:r w:rsidR="002C608B" w:rsidRPr="00F81267">
        <w:rPr>
          <w:rFonts w:ascii="Gill Sans MT" w:hAnsi="Gill Sans MT"/>
          <w:sz w:val="24"/>
          <w:szCs w:val="24"/>
        </w:rPr>
        <w:t>a</w:t>
      </w:r>
      <w:r w:rsidR="00753896" w:rsidRPr="00F81267">
        <w:rPr>
          <w:rFonts w:ascii="Gill Sans MT" w:hAnsi="Gill Sans MT"/>
          <w:sz w:val="24"/>
          <w:szCs w:val="24"/>
        </w:rPr>
        <w:t xml:space="preserve"> productivité. </w:t>
      </w:r>
      <w:r w:rsidR="00F64364" w:rsidRPr="00F81267">
        <w:rPr>
          <w:rFonts w:ascii="Gill Sans MT" w:hAnsi="Gill Sans MT"/>
          <w:sz w:val="24"/>
          <w:szCs w:val="24"/>
        </w:rPr>
        <w:t xml:space="preserve">En 2013, la rémunération moyenne d’un salarié ayant juste le niveau scolaire du primaire est la moitié de celle d’un salarié ayant le niveau du lycée. </w:t>
      </w:r>
      <w:r w:rsidR="001527DD" w:rsidRPr="00F81267">
        <w:rPr>
          <w:rFonts w:ascii="Gill Sans MT" w:hAnsi="Gill Sans MT"/>
          <w:sz w:val="24"/>
          <w:szCs w:val="24"/>
        </w:rPr>
        <w:t>Ce dernier a un salaire supérieur de 40% à celui d’un</w:t>
      </w:r>
      <w:r w:rsidR="00F64364" w:rsidRPr="00F81267">
        <w:rPr>
          <w:rFonts w:ascii="Gill Sans MT" w:hAnsi="Gill Sans MT"/>
          <w:sz w:val="24"/>
          <w:szCs w:val="24"/>
        </w:rPr>
        <w:t xml:space="preserve"> niveau du collège</w:t>
      </w:r>
      <w:r w:rsidR="00E37FDB" w:rsidRPr="00F81267">
        <w:rPr>
          <w:rFonts w:ascii="Gill Sans MT" w:hAnsi="Gill Sans MT"/>
          <w:sz w:val="24"/>
          <w:szCs w:val="24"/>
        </w:rPr>
        <w:t xml:space="preserve">. Enfin, disposer d’un niveau d’études supérieures permet d’avoir, en moyenne, un salaire presque deux fois </w:t>
      </w:r>
      <w:r w:rsidR="00C000F5" w:rsidRPr="00F81267">
        <w:rPr>
          <w:rFonts w:ascii="Gill Sans MT" w:hAnsi="Gill Sans MT"/>
          <w:sz w:val="24"/>
          <w:szCs w:val="24"/>
        </w:rPr>
        <w:t>(1</w:t>
      </w:r>
      <w:r w:rsidR="00957CDA" w:rsidRPr="00F81267">
        <w:rPr>
          <w:rFonts w:ascii="Gill Sans MT" w:hAnsi="Gill Sans MT"/>
          <w:sz w:val="24"/>
          <w:szCs w:val="24"/>
        </w:rPr>
        <w:t>,</w:t>
      </w:r>
      <w:r w:rsidR="00C000F5" w:rsidRPr="00F81267">
        <w:rPr>
          <w:rFonts w:ascii="Gill Sans MT" w:hAnsi="Gill Sans MT"/>
          <w:sz w:val="24"/>
          <w:szCs w:val="24"/>
        </w:rPr>
        <w:t>8</w:t>
      </w:r>
      <w:r w:rsidR="00957CDA" w:rsidRPr="00F81267">
        <w:rPr>
          <w:rFonts w:ascii="Gill Sans MT" w:hAnsi="Gill Sans MT"/>
          <w:sz w:val="24"/>
          <w:szCs w:val="24"/>
        </w:rPr>
        <w:t xml:space="preserve"> fois</w:t>
      </w:r>
      <w:r w:rsidR="00C000F5" w:rsidRPr="00F81267">
        <w:rPr>
          <w:rFonts w:ascii="Gill Sans MT" w:hAnsi="Gill Sans MT"/>
          <w:sz w:val="24"/>
          <w:szCs w:val="24"/>
        </w:rPr>
        <w:t xml:space="preserve">) </w:t>
      </w:r>
      <w:r w:rsidR="00E37FDB" w:rsidRPr="00F81267">
        <w:rPr>
          <w:rFonts w:ascii="Gill Sans MT" w:hAnsi="Gill Sans MT"/>
          <w:sz w:val="24"/>
          <w:szCs w:val="24"/>
        </w:rPr>
        <w:t>celui d’un salarié ayant le niveau du lycée</w:t>
      </w:r>
      <w:r w:rsidR="00957CDA" w:rsidRPr="00F81267">
        <w:rPr>
          <w:rFonts w:ascii="Gill Sans MT" w:hAnsi="Gill Sans MT"/>
          <w:sz w:val="24"/>
          <w:szCs w:val="24"/>
        </w:rPr>
        <w:t xml:space="preserve">. </w:t>
      </w:r>
    </w:p>
    <w:p w:rsidR="00372B54" w:rsidRPr="00F81267" w:rsidRDefault="001527DD" w:rsidP="00105E4B">
      <w:pPr>
        <w:spacing w:line="360" w:lineRule="auto"/>
        <w:jc w:val="both"/>
        <w:rPr>
          <w:rFonts w:ascii="Gill Sans MT" w:hAnsi="Gill Sans MT"/>
          <w:sz w:val="24"/>
          <w:szCs w:val="24"/>
        </w:rPr>
      </w:pPr>
      <w:r w:rsidRPr="00F81267">
        <w:rPr>
          <w:rFonts w:ascii="Gill Sans MT" w:hAnsi="Gill Sans MT"/>
          <w:sz w:val="24"/>
          <w:szCs w:val="24"/>
        </w:rPr>
        <w:t xml:space="preserve">En </w:t>
      </w:r>
      <w:r w:rsidR="00C000F5" w:rsidRPr="00F81267">
        <w:rPr>
          <w:rFonts w:ascii="Gill Sans MT" w:hAnsi="Gill Sans MT"/>
          <w:sz w:val="24"/>
          <w:szCs w:val="24"/>
        </w:rPr>
        <w:t>2013</w:t>
      </w:r>
      <w:r w:rsidRPr="00F81267">
        <w:rPr>
          <w:rFonts w:ascii="Gill Sans MT" w:hAnsi="Gill Sans MT"/>
          <w:sz w:val="24"/>
          <w:szCs w:val="24"/>
        </w:rPr>
        <w:t>, l’augmentation</w:t>
      </w:r>
      <w:r w:rsidR="007C278D" w:rsidRPr="00F81267">
        <w:rPr>
          <w:rFonts w:ascii="Gill Sans MT" w:hAnsi="Gill Sans MT"/>
          <w:sz w:val="24"/>
          <w:szCs w:val="24"/>
        </w:rPr>
        <w:t>, d’une année,</w:t>
      </w:r>
      <w:r w:rsidR="00C000F5" w:rsidRPr="00F81267">
        <w:rPr>
          <w:rFonts w:ascii="Gill Sans MT" w:hAnsi="Gill Sans MT"/>
          <w:sz w:val="24"/>
          <w:szCs w:val="24"/>
        </w:rPr>
        <w:t xml:space="preserve"> du nombre d’années d’études d’un salarié,</w:t>
      </w:r>
      <w:r w:rsidR="007C278D" w:rsidRPr="00F81267">
        <w:rPr>
          <w:rFonts w:ascii="Gill Sans MT" w:hAnsi="Gill Sans MT"/>
          <w:sz w:val="24"/>
          <w:szCs w:val="24"/>
        </w:rPr>
        <w:t xml:space="preserve"> </w:t>
      </w:r>
      <w:r w:rsidRPr="00F81267">
        <w:rPr>
          <w:rFonts w:ascii="Gill Sans MT" w:hAnsi="Gill Sans MT"/>
          <w:sz w:val="24"/>
          <w:szCs w:val="24"/>
        </w:rPr>
        <w:t xml:space="preserve">améliore </w:t>
      </w:r>
      <w:r w:rsidR="007C278D" w:rsidRPr="00F81267">
        <w:rPr>
          <w:rFonts w:ascii="Gill Sans MT" w:hAnsi="Gill Sans MT"/>
          <w:sz w:val="24"/>
          <w:szCs w:val="24"/>
        </w:rPr>
        <w:t>s</w:t>
      </w:r>
      <w:r w:rsidRPr="00F81267">
        <w:rPr>
          <w:rFonts w:ascii="Gill Sans MT" w:hAnsi="Gill Sans MT"/>
          <w:sz w:val="24"/>
          <w:szCs w:val="24"/>
        </w:rPr>
        <w:t xml:space="preserve">a rémunération </w:t>
      </w:r>
      <w:r w:rsidR="007C278D" w:rsidRPr="00F81267">
        <w:rPr>
          <w:rFonts w:ascii="Gill Sans MT" w:hAnsi="Gill Sans MT"/>
          <w:sz w:val="24"/>
          <w:szCs w:val="24"/>
        </w:rPr>
        <w:t xml:space="preserve">de </w:t>
      </w:r>
      <w:r w:rsidR="00C000F5" w:rsidRPr="00F81267">
        <w:rPr>
          <w:rFonts w:ascii="Gill Sans MT" w:hAnsi="Gill Sans MT"/>
          <w:sz w:val="24"/>
          <w:szCs w:val="24"/>
        </w:rPr>
        <w:t>9,6</w:t>
      </w:r>
      <w:r w:rsidR="007C278D" w:rsidRPr="00F81267">
        <w:rPr>
          <w:rFonts w:ascii="Gill Sans MT" w:hAnsi="Gill Sans MT"/>
          <w:sz w:val="24"/>
          <w:szCs w:val="24"/>
        </w:rPr>
        <w:t>%</w:t>
      </w:r>
      <w:r w:rsidR="008F124A" w:rsidRPr="00F81267">
        <w:rPr>
          <w:rFonts w:ascii="Gill Sans MT" w:hAnsi="Gill Sans MT"/>
          <w:sz w:val="24"/>
          <w:szCs w:val="24"/>
        </w:rPr>
        <w:t xml:space="preserve"> en moyenne</w:t>
      </w:r>
      <w:r w:rsidRPr="00F81267">
        <w:rPr>
          <w:rFonts w:ascii="Gill Sans MT" w:hAnsi="Gill Sans MT"/>
          <w:sz w:val="24"/>
          <w:szCs w:val="24"/>
        </w:rPr>
        <w:t>.</w:t>
      </w:r>
      <w:r w:rsidR="00A901A3" w:rsidRPr="00F81267">
        <w:rPr>
          <w:rFonts w:ascii="Gill Sans MT" w:hAnsi="Gill Sans MT"/>
          <w:sz w:val="24"/>
          <w:szCs w:val="24"/>
        </w:rPr>
        <w:t xml:space="preserve"> Ce</w:t>
      </w:r>
      <w:r w:rsidR="007C278D" w:rsidRPr="00F81267">
        <w:rPr>
          <w:rFonts w:ascii="Gill Sans MT" w:hAnsi="Gill Sans MT"/>
          <w:sz w:val="24"/>
          <w:szCs w:val="24"/>
        </w:rPr>
        <w:t xml:space="preserve"> rendement </w:t>
      </w:r>
      <w:r w:rsidR="00A901A3" w:rsidRPr="00F81267">
        <w:rPr>
          <w:rFonts w:ascii="Gill Sans MT" w:hAnsi="Gill Sans MT"/>
          <w:sz w:val="24"/>
          <w:szCs w:val="24"/>
        </w:rPr>
        <w:t>s</w:t>
      </w:r>
      <w:r w:rsidR="007C278D" w:rsidRPr="00F81267">
        <w:rPr>
          <w:rFonts w:ascii="Gill Sans MT" w:hAnsi="Gill Sans MT"/>
          <w:sz w:val="24"/>
          <w:szCs w:val="24"/>
        </w:rPr>
        <w:t xml:space="preserve">’améliore avec le </w:t>
      </w:r>
      <w:r w:rsidR="00A901A3" w:rsidRPr="00F81267">
        <w:rPr>
          <w:rFonts w:ascii="Gill Sans MT" w:hAnsi="Gill Sans MT"/>
          <w:sz w:val="24"/>
          <w:szCs w:val="24"/>
        </w:rPr>
        <w:t xml:space="preserve">niveau scolaire. </w:t>
      </w:r>
      <w:r w:rsidR="007C278D" w:rsidRPr="00F81267">
        <w:rPr>
          <w:rFonts w:ascii="Gill Sans MT" w:hAnsi="Gill Sans MT"/>
          <w:sz w:val="24"/>
          <w:szCs w:val="24"/>
        </w:rPr>
        <w:t xml:space="preserve">Il </w:t>
      </w:r>
      <w:r w:rsidR="00A901A3" w:rsidRPr="00F81267">
        <w:rPr>
          <w:rFonts w:ascii="Gill Sans MT" w:hAnsi="Gill Sans MT"/>
          <w:sz w:val="24"/>
          <w:szCs w:val="24"/>
        </w:rPr>
        <w:t xml:space="preserve">est de </w:t>
      </w:r>
      <w:r w:rsidR="008F124A" w:rsidRPr="00F81267">
        <w:rPr>
          <w:rFonts w:ascii="Gill Sans MT" w:hAnsi="Gill Sans MT"/>
          <w:sz w:val="24"/>
          <w:szCs w:val="24"/>
        </w:rPr>
        <w:t>0,8%</w:t>
      </w:r>
      <w:r w:rsidR="00A901A3" w:rsidRPr="00F81267">
        <w:rPr>
          <w:rFonts w:ascii="Gill Sans MT" w:hAnsi="Gill Sans MT"/>
          <w:sz w:val="24"/>
          <w:szCs w:val="24"/>
        </w:rPr>
        <w:t xml:space="preserve"> pour une </w:t>
      </w:r>
      <w:r w:rsidR="00BC23FD" w:rsidRPr="00F81267">
        <w:rPr>
          <w:rFonts w:ascii="Gill Sans MT" w:hAnsi="Gill Sans MT"/>
          <w:sz w:val="24"/>
          <w:szCs w:val="24"/>
        </w:rPr>
        <w:t>a</w:t>
      </w:r>
      <w:r w:rsidR="00A901A3" w:rsidRPr="00F81267">
        <w:rPr>
          <w:rFonts w:ascii="Gill Sans MT" w:hAnsi="Gill Sans MT"/>
          <w:sz w:val="24"/>
          <w:szCs w:val="24"/>
        </w:rPr>
        <w:t xml:space="preserve">nnée de l’enseignement </w:t>
      </w:r>
      <w:r w:rsidR="008F124A" w:rsidRPr="00F81267">
        <w:rPr>
          <w:rFonts w:ascii="Gill Sans MT" w:hAnsi="Gill Sans MT"/>
          <w:sz w:val="24"/>
          <w:szCs w:val="24"/>
        </w:rPr>
        <w:t xml:space="preserve">primaire, 2,4% pour le collège, 9,6% </w:t>
      </w:r>
      <w:r w:rsidR="00A901A3" w:rsidRPr="00F81267">
        <w:rPr>
          <w:rFonts w:ascii="Gill Sans MT" w:hAnsi="Gill Sans MT"/>
          <w:sz w:val="24"/>
          <w:szCs w:val="24"/>
        </w:rPr>
        <w:t xml:space="preserve">pour le </w:t>
      </w:r>
      <w:r w:rsidR="008F124A" w:rsidRPr="00F81267">
        <w:rPr>
          <w:rFonts w:ascii="Gill Sans MT" w:hAnsi="Gill Sans MT"/>
          <w:sz w:val="24"/>
          <w:szCs w:val="24"/>
        </w:rPr>
        <w:t>lycée</w:t>
      </w:r>
      <w:r w:rsidR="00A901A3" w:rsidRPr="00F81267">
        <w:rPr>
          <w:rFonts w:ascii="Gill Sans MT" w:hAnsi="Gill Sans MT"/>
          <w:sz w:val="24"/>
          <w:szCs w:val="24"/>
        </w:rPr>
        <w:t xml:space="preserve"> et de </w:t>
      </w:r>
      <w:r w:rsidR="008F124A" w:rsidRPr="00F81267">
        <w:rPr>
          <w:rFonts w:ascii="Gill Sans MT" w:hAnsi="Gill Sans MT"/>
          <w:sz w:val="24"/>
          <w:szCs w:val="24"/>
        </w:rPr>
        <w:t>11,0</w:t>
      </w:r>
      <w:r w:rsidR="00372B54" w:rsidRPr="00F81267">
        <w:rPr>
          <w:rFonts w:ascii="Gill Sans MT" w:hAnsi="Gill Sans MT"/>
          <w:sz w:val="24"/>
          <w:szCs w:val="24"/>
        </w:rPr>
        <w:t>% pour l’enseignement supérieur.</w:t>
      </w:r>
    </w:p>
    <w:p w:rsidR="004D2EB4" w:rsidRPr="00F81267" w:rsidRDefault="008F124A" w:rsidP="00105E4B">
      <w:pPr>
        <w:spacing w:line="360" w:lineRule="auto"/>
        <w:jc w:val="both"/>
        <w:rPr>
          <w:rFonts w:ascii="Gill Sans MT" w:hAnsi="Gill Sans MT"/>
          <w:sz w:val="24"/>
          <w:szCs w:val="24"/>
        </w:rPr>
      </w:pPr>
      <w:r w:rsidRPr="00F81267">
        <w:rPr>
          <w:rFonts w:ascii="Gill Sans MT" w:hAnsi="Gill Sans MT"/>
          <w:b/>
          <w:bCs/>
          <w:sz w:val="24"/>
          <w:szCs w:val="24"/>
        </w:rPr>
        <w:t xml:space="preserve">Sur le plan de </w:t>
      </w:r>
      <w:r w:rsidR="00FC5533" w:rsidRPr="00F81267">
        <w:rPr>
          <w:rFonts w:ascii="Gill Sans MT" w:hAnsi="Gill Sans MT"/>
          <w:b/>
          <w:bCs/>
          <w:sz w:val="24"/>
          <w:szCs w:val="24"/>
        </w:rPr>
        <w:t>l’insertion professionnelle</w:t>
      </w:r>
      <w:r w:rsidR="00FC5533" w:rsidRPr="00F81267">
        <w:rPr>
          <w:rFonts w:ascii="Gill Sans MT" w:hAnsi="Gill Sans MT"/>
          <w:sz w:val="24"/>
          <w:szCs w:val="24"/>
        </w:rPr>
        <w:t xml:space="preserve">, </w:t>
      </w:r>
    </w:p>
    <w:p w:rsidR="00010D70" w:rsidRPr="00F81267" w:rsidRDefault="00B221E8" w:rsidP="00105E4B">
      <w:pPr>
        <w:spacing w:line="360" w:lineRule="auto"/>
        <w:jc w:val="both"/>
        <w:rPr>
          <w:rFonts w:ascii="Gill Sans MT" w:hAnsi="Gill Sans MT"/>
          <w:sz w:val="24"/>
          <w:szCs w:val="24"/>
        </w:rPr>
      </w:pPr>
      <w:r w:rsidRPr="00F81267">
        <w:rPr>
          <w:rFonts w:ascii="Gill Sans MT" w:hAnsi="Gill Sans MT"/>
          <w:sz w:val="24"/>
          <w:szCs w:val="24"/>
        </w:rPr>
        <w:t>L</w:t>
      </w:r>
      <w:r w:rsidR="00FC5533" w:rsidRPr="00F81267">
        <w:rPr>
          <w:rFonts w:ascii="Gill Sans MT" w:hAnsi="Gill Sans MT"/>
          <w:sz w:val="24"/>
          <w:szCs w:val="24"/>
        </w:rPr>
        <w:t>a</w:t>
      </w:r>
      <w:r w:rsidRPr="00F81267">
        <w:rPr>
          <w:rFonts w:ascii="Gill Sans MT" w:hAnsi="Gill Sans MT"/>
          <w:sz w:val="24"/>
          <w:szCs w:val="24"/>
        </w:rPr>
        <w:t xml:space="preserve"> </w:t>
      </w:r>
      <w:r w:rsidR="00FC5533" w:rsidRPr="00F81267">
        <w:rPr>
          <w:rFonts w:ascii="Gill Sans MT" w:hAnsi="Gill Sans MT"/>
          <w:sz w:val="24"/>
          <w:szCs w:val="24"/>
        </w:rPr>
        <w:t>hausse du nombre d’années de scolarité a tendance à s’accompagne</w:t>
      </w:r>
      <w:r w:rsidR="00615FC1" w:rsidRPr="00F81267">
        <w:rPr>
          <w:rFonts w:ascii="Gill Sans MT" w:hAnsi="Gill Sans MT"/>
          <w:sz w:val="24"/>
          <w:szCs w:val="24"/>
        </w:rPr>
        <w:t>r</w:t>
      </w:r>
      <w:r w:rsidR="00FC5533" w:rsidRPr="00F81267">
        <w:rPr>
          <w:rFonts w:ascii="Gill Sans MT" w:hAnsi="Gill Sans MT"/>
          <w:sz w:val="24"/>
          <w:szCs w:val="24"/>
        </w:rPr>
        <w:t xml:space="preserve"> d’une hausse du sous emploi</w:t>
      </w:r>
      <w:r w:rsidR="004D2EB4" w:rsidRPr="00F81267">
        <w:rPr>
          <w:rFonts w:ascii="Gill Sans MT" w:hAnsi="Gill Sans MT"/>
          <w:sz w:val="24"/>
          <w:szCs w:val="24"/>
        </w:rPr>
        <w:t>,</w:t>
      </w:r>
      <w:r w:rsidR="00FC5533" w:rsidRPr="00F81267">
        <w:rPr>
          <w:rFonts w:ascii="Gill Sans MT" w:hAnsi="Gill Sans MT"/>
          <w:sz w:val="24"/>
          <w:szCs w:val="24"/>
        </w:rPr>
        <w:t xml:space="preserve"> du chômage et de sa durée</w:t>
      </w:r>
      <w:r w:rsidR="004D2EB4" w:rsidRPr="00F81267">
        <w:rPr>
          <w:rFonts w:ascii="Gill Sans MT" w:hAnsi="Gill Sans MT"/>
          <w:sz w:val="24"/>
          <w:szCs w:val="24"/>
        </w:rPr>
        <w:t xml:space="preserve"> et ce, jusqu’à une durée d</w:t>
      </w:r>
      <w:r w:rsidR="00615FC1" w:rsidRPr="00F81267">
        <w:rPr>
          <w:rFonts w:ascii="Gill Sans MT" w:hAnsi="Gill Sans MT"/>
          <w:sz w:val="24"/>
          <w:szCs w:val="24"/>
        </w:rPr>
        <w:t>’études</w:t>
      </w:r>
      <w:r w:rsidR="004D2EB4" w:rsidRPr="00F81267">
        <w:rPr>
          <w:rFonts w:ascii="Gill Sans MT" w:hAnsi="Gill Sans MT"/>
          <w:sz w:val="24"/>
          <w:szCs w:val="24"/>
        </w:rPr>
        <w:t xml:space="preserve"> de 12 an</w:t>
      </w:r>
      <w:r w:rsidR="00615FC1" w:rsidRPr="00F81267">
        <w:rPr>
          <w:rFonts w:ascii="Gill Sans MT" w:hAnsi="Gill Sans MT"/>
          <w:sz w:val="24"/>
          <w:szCs w:val="24"/>
        </w:rPr>
        <w:t>nées</w:t>
      </w:r>
      <w:r w:rsidR="00FC5533" w:rsidRPr="00F81267">
        <w:rPr>
          <w:rFonts w:ascii="Gill Sans MT" w:hAnsi="Gill Sans MT"/>
          <w:sz w:val="24"/>
          <w:szCs w:val="24"/>
        </w:rPr>
        <w:t xml:space="preserve">. </w:t>
      </w:r>
      <w:r w:rsidR="004D2EB4" w:rsidRPr="00F81267">
        <w:rPr>
          <w:rFonts w:ascii="Gill Sans MT" w:hAnsi="Gill Sans MT"/>
          <w:sz w:val="24"/>
          <w:szCs w:val="24"/>
        </w:rPr>
        <w:t>Par la suite, à</w:t>
      </w:r>
      <w:r w:rsidR="00FC5533" w:rsidRPr="00F81267">
        <w:rPr>
          <w:rFonts w:ascii="Gill Sans MT" w:hAnsi="Gill Sans MT"/>
          <w:sz w:val="24"/>
          <w:szCs w:val="24"/>
        </w:rPr>
        <w:t xml:space="preserve"> partir de 13 ans de scolarité, les chances d’emploi s’améliorent avec l’augmentation du nombre d’années d’études.</w:t>
      </w:r>
      <w:r w:rsidR="007253FA" w:rsidRPr="00F81267">
        <w:rPr>
          <w:rFonts w:ascii="Gill Sans MT" w:hAnsi="Gill Sans MT"/>
          <w:sz w:val="24"/>
          <w:szCs w:val="24"/>
        </w:rPr>
        <w:t xml:space="preserve"> </w:t>
      </w:r>
      <w:r w:rsidR="00FC5533" w:rsidRPr="00F81267">
        <w:rPr>
          <w:rFonts w:ascii="Gill Sans MT" w:hAnsi="Gill Sans MT"/>
          <w:sz w:val="24"/>
          <w:szCs w:val="24"/>
        </w:rPr>
        <w:t xml:space="preserve">En 2013, le taux de chômage </w:t>
      </w:r>
      <w:r w:rsidR="004D2EB4" w:rsidRPr="00F81267">
        <w:rPr>
          <w:rFonts w:ascii="Gill Sans MT" w:hAnsi="Gill Sans MT"/>
          <w:sz w:val="24"/>
          <w:szCs w:val="24"/>
        </w:rPr>
        <w:t xml:space="preserve">varie de </w:t>
      </w:r>
      <w:r w:rsidR="00FC5533" w:rsidRPr="00F81267">
        <w:rPr>
          <w:rFonts w:ascii="Gill Sans MT" w:hAnsi="Gill Sans MT"/>
          <w:sz w:val="24"/>
          <w:szCs w:val="24"/>
        </w:rPr>
        <w:t xml:space="preserve">2,3% pour </w:t>
      </w:r>
      <w:r w:rsidR="004D2EB4" w:rsidRPr="00F81267">
        <w:rPr>
          <w:rFonts w:ascii="Gill Sans MT" w:hAnsi="Gill Sans MT"/>
          <w:sz w:val="24"/>
          <w:szCs w:val="24"/>
        </w:rPr>
        <w:t>ceux n’ayant jamais été scolarisés</w:t>
      </w:r>
      <w:r w:rsidR="00FC5533" w:rsidRPr="00F81267">
        <w:rPr>
          <w:rFonts w:ascii="Gill Sans MT" w:hAnsi="Gill Sans MT"/>
          <w:sz w:val="24"/>
          <w:szCs w:val="24"/>
        </w:rPr>
        <w:t xml:space="preserve"> à 18,2% pour </w:t>
      </w:r>
      <w:r w:rsidR="004D2EB4" w:rsidRPr="00F81267">
        <w:rPr>
          <w:rFonts w:ascii="Gill Sans MT" w:hAnsi="Gill Sans MT"/>
          <w:sz w:val="24"/>
          <w:szCs w:val="24"/>
        </w:rPr>
        <w:t xml:space="preserve">ceux ayant </w:t>
      </w:r>
      <w:r w:rsidR="00FC5533" w:rsidRPr="00F81267">
        <w:rPr>
          <w:rFonts w:ascii="Gill Sans MT" w:hAnsi="Gill Sans MT"/>
          <w:sz w:val="24"/>
          <w:szCs w:val="24"/>
        </w:rPr>
        <w:t xml:space="preserve">une durée de scolarité de 10 à 12 ans. Il tend par la suite à diminuer pour s’établir à 16,9% pour une durée de scolarité de 17 à 19 ans. La même tendance est enregistrée par le </w:t>
      </w:r>
      <w:r w:rsidR="004D2EB4" w:rsidRPr="00F81267">
        <w:rPr>
          <w:rFonts w:ascii="Gill Sans MT" w:hAnsi="Gill Sans MT"/>
          <w:sz w:val="24"/>
          <w:szCs w:val="24"/>
        </w:rPr>
        <w:t xml:space="preserve">taux de </w:t>
      </w:r>
      <w:r w:rsidR="00FC5533" w:rsidRPr="00F81267">
        <w:rPr>
          <w:rFonts w:ascii="Gill Sans MT" w:hAnsi="Gill Sans MT"/>
          <w:sz w:val="24"/>
          <w:szCs w:val="24"/>
        </w:rPr>
        <w:t>sou</w:t>
      </w:r>
      <w:r w:rsidR="00DB3996" w:rsidRPr="00F81267">
        <w:rPr>
          <w:rFonts w:ascii="Gill Sans MT" w:hAnsi="Gill Sans MT"/>
          <w:sz w:val="24"/>
          <w:szCs w:val="24"/>
        </w:rPr>
        <w:t>s emploi.</w:t>
      </w:r>
    </w:p>
    <w:p w:rsidR="00010D70" w:rsidRPr="00F81267" w:rsidRDefault="0064140A" w:rsidP="00105E4B">
      <w:pPr>
        <w:spacing w:line="360" w:lineRule="auto"/>
        <w:rPr>
          <w:rFonts w:ascii="Gill Sans MT" w:hAnsi="Gill Sans MT"/>
          <w:b/>
          <w:bCs/>
          <w:sz w:val="24"/>
          <w:szCs w:val="24"/>
        </w:rPr>
      </w:pPr>
      <w:r w:rsidRPr="00F81267">
        <w:rPr>
          <w:rFonts w:ascii="Gill Sans MT" w:hAnsi="Gill Sans MT"/>
          <w:b/>
          <w:bCs/>
          <w:sz w:val="24"/>
          <w:szCs w:val="24"/>
        </w:rPr>
        <w:t>S</w:t>
      </w:r>
      <w:r w:rsidR="00010D70" w:rsidRPr="00F81267">
        <w:rPr>
          <w:rFonts w:ascii="Gill Sans MT" w:hAnsi="Gill Sans MT"/>
          <w:b/>
          <w:bCs/>
          <w:sz w:val="24"/>
          <w:szCs w:val="24"/>
        </w:rPr>
        <w:t>ur le plan de l’égalité des chances</w:t>
      </w:r>
      <w:r w:rsidR="008E72A9" w:rsidRPr="00F81267">
        <w:rPr>
          <w:rFonts w:ascii="Gill Sans MT" w:hAnsi="Gill Sans MT"/>
          <w:b/>
          <w:bCs/>
          <w:sz w:val="24"/>
          <w:szCs w:val="24"/>
        </w:rPr>
        <w:t xml:space="preserve"> et de l’ascension sociale</w:t>
      </w:r>
      <w:r w:rsidR="00010D70" w:rsidRPr="00F81267">
        <w:rPr>
          <w:rFonts w:ascii="Gill Sans MT" w:hAnsi="Gill Sans MT"/>
          <w:b/>
          <w:bCs/>
          <w:sz w:val="24"/>
          <w:szCs w:val="24"/>
        </w:rPr>
        <w:t>,</w:t>
      </w:r>
    </w:p>
    <w:p w:rsidR="00010D70" w:rsidRPr="00F81267" w:rsidRDefault="00DB3996" w:rsidP="00105E4B">
      <w:pPr>
        <w:spacing w:line="360" w:lineRule="auto"/>
        <w:jc w:val="both"/>
        <w:rPr>
          <w:rFonts w:ascii="Gill Sans MT" w:hAnsi="Gill Sans MT"/>
          <w:sz w:val="24"/>
          <w:szCs w:val="24"/>
        </w:rPr>
      </w:pPr>
      <w:r w:rsidRPr="00F81267">
        <w:rPr>
          <w:rFonts w:ascii="Gill Sans MT" w:hAnsi="Gill Sans MT"/>
          <w:sz w:val="24"/>
          <w:szCs w:val="24"/>
        </w:rPr>
        <w:t>L</w:t>
      </w:r>
      <w:r w:rsidR="00010D70" w:rsidRPr="00F81267">
        <w:rPr>
          <w:rFonts w:ascii="Gill Sans MT" w:hAnsi="Gill Sans MT"/>
          <w:sz w:val="24"/>
          <w:szCs w:val="24"/>
        </w:rPr>
        <w:t xml:space="preserve">’investissement dans le capital humain </w:t>
      </w:r>
      <w:r w:rsidR="008E30D7" w:rsidRPr="00F81267">
        <w:rPr>
          <w:rFonts w:ascii="Gill Sans MT" w:hAnsi="Gill Sans MT"/>
          <w:sz w:val="24"/>
          <w:szCs w:val="24"/>
        </w:rPr>
        <w:t>améliore significativement la mobilité scolaire</w:t>
      </w:r>
      <w:r w:rsidR="00BC23E4" w:rsidRPr="00F81267">
        <w:rPr>
          <w:rFonts w:ascii="Gill Sans MT" w:hAnsi="Gill Sans MT"/>
          <w:sz w:val="24"/>
          <w:szCs w:val="24"/>
        </w:rPr>
        <w:t xml:space="preserve"> intergénérationnelle</w:t>
      </w:r>
      <w:r w:rsidR="008E30D7" w:rsidRPr="00F81267">
        <w:rPr>
          <w:rFonts w:ascii="Gill Sans MT" w:hAnsi="Gill Sans MT"/>
          <w:sz w:val="24"/>
          <w:szCs w:val="24"/>
        </w:rPr>
        <w:t>.</w:t>
      </w:r>
      <w:r w:rsidR="00010D70" w:rsidRPr="00F81267">
        <w:rPr>
          <w:rFonts w:ascii="Gill Sans MT" w:hAnsi="Gill Sans MT"/>
          <w:sz w:val="24"/>
          <w:szCs w:val="24"/>
        </w:rPr>
        <w:t xml:space="preserve"> En 2011, la chance d’atteindre un niveau de l’enseignement secondaire ou supérieur </w:t>
      </w:r>
      <w:r w:rsidR="00BC23E4" w:rsidRPr="00F81267">
        <w:rPr>
          <w:rFonts w:ascii="Gill Sans MT" w:hAnsi="Gill Sans MT"/>
          <w:sz w:val="24"/>
          <w:szCs w:val="24"/>
        </w:rPr>
        <w:t>passe</w:t>
      </w:r>
      <w:r w:rsidR="00010D70" w:rsidRPr="00F81267">
        <w:rPr>
          <w:rFonts w:ascii="Gill Sans MT" w:hAnsi="Gill Sans MT"/>
          <w:sz w:val="24"/>
          <w:szCs w:val="24"/>
        </w:rPr>
        <w:t xml:space="preserve"> de 11,7% pour ceux dont le père n’a jamais été à l’école à  89,6% pour ceux dont le père détient un niveau </w:t>
      </w:r>
      <w:r w:rsidR="004C0F75" w:rsidRPr="00F81267">
        <w:rPr>
          <w:rFonts w:ascii="Gill Sans MT" w:hAnsi="Gill Sans MT"/>
          <w:sz w:val="24"/>
          <w:szCs w:val="24"/>
        </w:rPr>
        <w:t xml:space="preserve">d’études </w:t>
      </w:r>
      <w:r w:rsidR="00010D70" w:rsidRPr="00F81267">
        <w:rPr>
          <w:rFonts w:ascii="Gill Sans MT" w:hAnsi="Gill Sans MT"/>
          <w:sz w:val="24"/>
          <w:szCs w:val="24"/>
        </w:rPr>
        <w:t>supérieur</w:t>
      </w:r>
      <w:r w:rsidR="004C0F75" w:rsidRPr="00F81267">
        <w:rPr>
          <w:rFonts w:ascii="Gill Sans MT" w:hAnsi="Gill Sans MT"/>
          <w:sz w:val="24"/>
          <w:szCs w:val="24"/>
        </w:rPr>
        <w:t>es</w:t>
      </w:r>
      <w:r w:rsidR="00010D70" w:rsidRPr="00F81267">
        <w:rPr>
          <w:rFonts w:ascii="Gill Sans MT" w:hAnsi="Gill Sans MT"/>
          <w:sz w:val="24"/>
          <w:szCs w:val="24"/>
        </w:rPr>
        <w:t xml:space="preserve">. </w:t>
      </w:r>
    </w:p>
    <w:p w:rsidR="008E72A9" w:rsidRPr="00F81267" w:rsidRDefault="008E72A9" w:rsidP="00105E4B">
      <w:pPr>
        <w:spacing w:line="360" w:lineRule="auto"/>
        <w:jc w:val="both"/>
        <w:rPr>
          <w:rFonts w:ascii="Gill Sans MT" w:hAnsi="Gill Sans MT"/>
          <w:sz w:val="24"/>
          <w:szCs w:val="24"/>
        </w:rPr>
      </w:pPr>
      <w:r w:rsidRPr="00F81267">
        <w:rPr>
          <w:rFonts w:ascii="Gill Sans MT" w:hAnsi="Gill Sans MT"/>
          <w:sz w:val="24"/>
          <w:szCs w:val="24"/>
        </w:rPr>
        <w:lastRenderedPageBreak/>
        <w:t xml:space="preserve">Ce constat est d’autant plus intéressant que l’éducation et l’expérience professionnelle constituent des facteurs décisifs dans l’ascension sociale. Un actif de niveau d’étude fondamental a 1,6 fois de chances de plus que son homologue ‘sans niveau d’étude’ d’occuper une position sociale supérieure à celle de son père. Ce rapport de chances s’élève à 4,6 fois pour le niveau d’enseignement secondaire et à 16,2 fois pour le supérieur. </w:t>
      </w:r>
    </w:p>
    <w:p w:rsidR="008E72A9" w:rsidRPr="00F81267" w:rsidRDefault="008E72A9" w:rsidP="00105E4B">
      <w:pPr>
        <w:spacing w:line="360" w:lineRule="auto"/>
        <w:jc w:val="both"/>
        <w:rPr>
          <w:rFonts w:ascii="Gill Sans MT" w:hAnsi="Gill Sans MT"/>
          <w:sz w:val="24"/>
          <w:szCs w:val="24"/>
        </w:rPr>
      </w:pPr>
      <w:r w:rsidRPr="00F81267">
        <w:rPr>
          <w:rFonts w:ascii="Gill Sans MT" w:hAnsi="Gill Sans MT"/>
          <w:sz w:val="24"/>
          <w:szCs w:val="24"/>
        </w:rPr>
        <w:t>En résumé, l’augmentation du nombre d’années de scolarité d’une année améliore les chances d’ascension sociale de 13,7%</w:t>
      </w:r>
      <w:r w:rsidR="00DB3996" w:rsidRPr="00F81267">
        <w:rPr>
          <w:rFonts w:ascii="Gill Sans MT" w:hAnsi="Gill Sans MT"/>
          <w:sz w:val="24"/>
          <w:szCs w:val="24"/>
        </w:rPr>
        <w:t xml:space="preserve"> et la hausse de </w:t>
      </w:r>
      <w:r w:rsidRPr="00F81267">
        <w:rPr>
          <w:rFonts w:ascii="Gill Sans MT" w:hAnsi="Gill Sans MT"/>
          <w:sz w:val="24"/>
          <w:szCs w:val="24"/>
        </w:rPr>
        <w:t xml:space="preserve">l’expérience professionnelle d’une année améliore de 12% les chances de mobilité sociale ascendante. </w:t>
      </w:r>
    </w:p>
    <w:p w:rsidR="00010D70" w:rsidRPr="00F81267" w:rsidRDefault="00436C5B" w:rsidP="00105E4B">
      <w:pPr>
        <w:spacing w:line="360" w:lineRule="auto"/>
        <w:rPr>
          <w:rFonts w:ascii="Gill Sans MT" w:hAnsi="Gill Sans MT"/>
          <w:b/>
          <w:bCs/>
          <w:sz w:val="24"/>
          <w:szCs w:val="24"/>
        </w:rPr>
      </w:pPr>
      <w:r w:rsidRPr="00F81267">
        <w:rPr>
          <w:rFonts w:ascii="Gill Sans MT" w:hAnsi="Gill Sans MT"/>
          <w:b/>
          <w:bCs/>
          <w:sz w:val="24"/>
          <w:szCs w:val="24"/>
        </w:rPr>
        <w:t xml:space="preserve">Inégalités et répartition sociales </w:t>
      </w:r>
      <w:r w:rsidR="004C0F75" w:rsidRPr="00F81267">
        <w:rPr>
          <w:rFonts w:ascii="Gill Sans MT" w:hAnsi="Gill Sans MT"/>
          <w:b/>
          <w:bCs/>
          <w:sz w:val="24"/>
          <w:szCs w:val="24"/>
        </w:rPr>
        <w:t>d</w:t>
      </w:r>
      <w:r w:rsidR="00D07A9D" w:rsidRPr="00F81267">
        <w:rPr>
          <w:rFonts w:ascii="Gill Sans MT" w:hAnsi="Gill Sans MT"/>
          <w:b/>
          <w:bCs/>
          <w:sz w:val="24"/>
          <w:szCs w:val="24"/>
        </w:rPr>
        <w:t>u stock de capital humain</w:t>
      </w:r>
      <w:r w:rsidRPr="00F81267">
        <w:rPr>
          <w:rFonts w:ascii="Gill Sans MT" w:hAnsi="Gill Sans MT"/>
          <w:b/>
          <w:bCs/>
          <w:sz w:val="24"/>
          <w:szCs w:val="24"/>
        </w:rPr>
        <w:t xml:space="preserve"> </w:t>
      </w:r>
    </w:p>
    <w:p w:rsidR="00DD1258" w:rsidRPr="00F81267" w:rsidRDefault="00DD1258" w:rsidP="00105E4B">
      <w:pPr>
        <w:spacing w:line="360" w:lineRule="auto"/>
        <w:jc w:val="both"/>
        <w:rPr>
          <w:rFonts w:ascii="Gill Sans MT" w:hAnsi="Gill Sans MT"/>
          <w:sz w:val="24"/>
          <w:szCs w:val="24"/>
        </w:rPr>
      </w:pPr>
      <w:r w:rsidRPr="00F81267">
        <w:rPr>
          <w:rFonts w:ascii="Gill Sans MT" w:hAnsi="Gill Sans MT"/>
          <w:sz w:val="24"/>
          <w:szCs w:val="24"/>
        </w:rPr>
        <w:t xml:space="preserve">La répartition sociale du capital humain mesuré à l’aune du nombre d’années de scolarité </w:t>
      </w:r>
      <w:r w:rsidR="006F2343" w:rsidRPr="00F81267">
        <w:rPr>
          <w:rFonts w:ascii="Gill Sans MT" w:hAnsi="Gill Sans MT"/>
          <w:sz w:val="24"/>
          <w:szCs w:val="24"/>
        </w:rPr>
        <w:t>de</w:t>
      </w:r>
      <w:r w:rsidR="00BC23E4" w:rsidRPr="00F81267">
        <w:rPr>
          <w:rFonts w:ascii="Gill Sans MT" w:hAnsi="Gill Sans MT"/>
          <w:sz w:val="24"/>
          <w:szCs w:val="24"/>
        </w:rPr>
        <w:t xml:space="preserve"> la population âgées de</w:t>
      </w:r>
      <w:r w:rsidR="006F2343" w:rsidRPr="00F81267">
        <w:rPr>
          <w:rFonts w:ascii="Gill Sans MT" w:hAnsi="Gill Sans MT"/>
          <w:sz w:val="24"/>
          <w:szCs w:val="24"/>
        </w:rPr>
        <w:t xml:space="preserve"> ’25 ans et plus’ </w:t>
      </w:r>
      <w:r w:rsidRPr="00F81267">
        <w:rPr>
          <w:rFonts w:ascii="Gill Sans MT" w:hAnsi="Gill Sans MT"/>
          <w:sz w:val="24"/>
          <w:szCs w:val="24"/>
        </w:rPr>
        <w:t>est plus inégalitaire (Gini égal</w:t>
      </w:r>
      <w:r w:rsidR="00C51540" w:rsidRPr="00F81267">
        <w:rPr>
          <w:rFonts w:ascii="Gill Sans MT" w:hAnsi="Gill Sans MT"/>
          <w:sz w:val="24"/>
          <w:szCs w:val="24"/>
        </w:rPr>
        <w:t xml:space="preserve"> à </w:t>
      </w:r>
      <w:r w:rsidR="00BC23FD" w:rsidRPr="00F81267">
        <w:rPr>
          <w:rFonts w:ascii="Gill Sans MT" w:hAnsi="Gill Sans MT"/>
          <w:sz w:val="24"/>
          <w:szCs w:val="24"/>
        </w:rPr>
        <w:t>0,6327</w:t>
      </w:r>
      <w:r w:rsidR="00C51540" w:rsidRPr="00F81267">
        <w:rPr>
          <w:rFonts w:ascii="Gill Sans MT" w:hAnsi="Gill Sans MT"/>
          <w:sz w:val="24"/>
          <w:szCs w:val="24"/>
        </w:rPr>
        <w:t>) que les revenus des ménages (</w:t>
      </w:r>
      <w:r w:rsidR="006F2343" w:rsidRPr="00F81267">
        <w:rPr>
          <w:rFonts w:ascii="Gill Sans MT" w:hAnsi="Gill Sans MT"/>
          <w:sz w:val="24"/>
          <w:szCs w:val="24"/>
        </w:rPr>
        <w:t>0,4</w:t>
      </w:r>
      <w:r w:rsidR="00BC23FD" w:rsidRPr="00F81267">
        <w:rPr>
          <w:rFonts w:ascii="Gill Sans MT" w:hAnsi="Gill Sans MT"/>
          <w:sz w:val="24"/>
          <w:szCs w:val="24"/>
        </w:rPr>
        <w:t>6</w:t>
      </w:r>
      <w:r w:rsidR="006F2343" w:rsidRPr="00F81267">
        <w:rPr>
          <w:rFonts w:ascii="Gill Sans MT" w:hAnsi="Gill Sans MT"/>
          <w:sz w:val="24"/>
          <w:szCs w:val="24"/>
        </w:rPr>
        <w:t>7</w:t>
      </w:r>
      <w:r w:rsidR="00BC23FD" w:rsidRPr="00F81267">
        <w:rPr>
          <w:rFonts w:ascii="Gill Sans MT" w:hAnsi="Gill Sans MT"/>
          <w:sz w:val="24"/>
          <w:szCs w:val="24"/>
        </w:rPr>
        <w:t>9</w:t>
      </w:r>
      <w:r w:rsidR="00C51540" w:rsidRPr="00F81267">
        <w:rPr>
          <w:rFonts w:ascii="Gill Sans MT" w:hAnsi="Gill Sans MT"/>
          <w:sz w:val="24"/>
          <w:szCs w:val="24"/>
        </w:rPr>
        <w:t xml:space="preserve">). Les urbains </w:t>
      </w:r>
      <w:r w:rsidR="006F2343" w:rsidRPr="00F81267">
        <w:rPr>
          <w:rFonts w:ascii="Gill Sans MT" w:hAnsi="Gill Sans MT"/>
          <w:sz w:val="24"/>
          <w:szCs w:val="24"/>
        </w:rPr>
        <w:t xml:space="preserve">(près de 60% de la population) </w:t>
      </w:r>
      <w:r w:rsidR="00C51540" w:rsidRPr="00F81267">
        <w:rPr>
          <w:rFonts w:ascii="Gill Sans MT" w:hAnsi="Gill Sans MT"/>
          <w:sz w:val="24"/>
          <w:szCs w:val="24"/>
        </w:rPr>
        <w:t xml:space="preserve">accumulent  </w:t>
      </w:r>
      <w:r w:rsidR="006F2343" w:rsidRPr="00F81267">
        <w:rPr>
          <w:rFonts w:ascii="Gill Sans MT" w:hAnsi="Gill Sans MT"/>
          <w:sz w:val="24"/>
          <w:szCs w:val="24"/>
        </w:rPr>
        <w:t>83,4</w:t>
      </w:r>
      <w:r w:rsidR="00C51540" w:rsidRPr="00F81267">
        <w:rPr>
          <w:rFonts w:ascii="Gill Sans MT" w:hAnsi="Gill Sans MT"/>
          <w:sz w:val="24"/>
          <w:szCs w:val="24"/>
        </w:rPr>
        <w:t>% du capital humain</w:t>
      </w:r>
      <w:r w:rsidR="00372B54" w:rsidRPr="00F81267">
        <w:rPr>
          <w:rFonts w:ascii="Gill Sans MT" w:hAnsi="Gill Sans MT"/>
          <w:sz w:val="24"/>
          <w:szCs w:val="24"/>
        </w:rPr>
        <w:t xml:space="preserve"> et</w:t>
      </w:r>
      <w:r w:rsidR="00C51540" w:rsidRPr="00F81267">
        <w:rPr>
          <w:rFonts w:ascii="Gill Sans MT" w:hAnsi="Gill Sans MT"/>
          <w:sz w:val="24"/>
          <w:szCs w:val="24"/>
        </w:rPr>
        <w:t xml:space="preserve"> les hommes </w:t>
      </w:r>
      <w:r w:rsidR="006F2343" w:rsidRPr="00F81267">
        <w:rPr>
          <w:rFonts w:ascii="Gill Sans MT" w:hAnsi="Gill Sans MT"/>
          <w:sz w:val="24"/>
          <w:szCs w:val="24"/>
        </w:rPr>
        <w:t>60</w:t>
      </w:r>
      <w:r w:rsidR="00C51540" w:rsidRPr="00F81267">
        <w:rPr>
          <w:rFonts w:ascii="Gill Sans MT" w:hAnsi="Gill Sans MT"/>
          <w:sz w:val="24"/>
          <w:szCs w:val="24"/>
        </w:rPr>
        <w:t>%</w:t>
      </w:r>
      <w:r w:rsidR="00372B54" w:rsidRPr="00F81267">
        <w:rPr>
          <w:rFonts w:ascii="Gill Sans MT" w:hAnsi="Gill Sans MT"/>
          <w:sz w:val="24"/>
          <w:szCs w:val="24"/>
        </w:rPr>
        <w:t xml:space="preserve">. </w:t>
      </w:r>
    </w:p>
    <w:p w:rsidR="00C75F6C" w:rsidRPr="00F81267" w:rsidRDefault="0084173D" w:rsidP="00105E4B">
      <w:pPr>
        <w:spacing w:line="360" w:lineRule="auto"/>
        <w:jc w:val="both"/>
        <w:rPr>
          <w:rFonts w:ascii="Gill Sans MT" w:eastAsiaTheme="minorEastAsia" w:hAnsi="Gill Sans MT"/>
          <w:sz w:val="24"/>
          <w:szCs w:val="24"/>
        </w:rPr>
      </w:pPr>
      <w:r w:rsidRPr="00F81267">
        <w:rPr>
          <w:rFonts w:ascii="Gill Sans MT" w:hAnsi="Gill Sans MT"/>
          <w:sz w:val="24"/>
          <w:szCs w:val="24"/>
        </w:rPr>
        <w:t>En effet, e</w:t>
      </w:r>
      <w:r w:rsidR="00DD1258" w:rsidRPr="00F81267">
        <w:rPr>
          <w:rFonts w:ascii="Gill Sans MT" w:hAnsi="Gill Sans MT"/>
          <w:sz w:val="24"/>
          <w:szCs w:val="24"/>
        </w:rPr>
        <w:t xml:space="preserve">ntre 1999 et 2013, la hausse du nombre moyen d’années d’études a été </w:t>
      </w:r>
      <w:r w:rsidR="001867B7" w:rsidRPr="00F81267">
        <w:rPr>
          <w:rFonts w:ascii="Gill Sans MT" w:hAnsi="Gill Sans MT"/>
          <w:sz w:val="24"/>
          <w:szCs w:val="24"/>
        </w:rPr>
        <w:t>de 31,4% à l’échelle nationale. Sa plus grande h</w:t>
      </w:r>
      <w:r w:rsidR="007253FA" w:rsidRPr="00F81267">
        <w:rPr>
          <w:rFonts w:ascii="Gill Sans MT" w:hAnsi="Gill Sans MT"/>
          <w:sz w:val="24"/>
          <w:szCs w:val="24"/>
        </w:rPr>
        <w:t>au</w:t>
      </w:r>
      <w:r w:rsidR="001867B7" w:rsidRPr="00F81267">
        <w:rPr>
          <w:rFonts w:ascii="Gill Sans MT" w:hAnsi="Gill Sans MT"/>
          <w:sz w:val="24"/>
          <w:szCs w:val="24"/>
        </w:rPr>
        <w:t xml:space="preserve">sse a été </w:t>
      </w:r>
      <w:r w:rsidR="00DD1258" w:rsidRPr="00F81267">
        <w:rPr>
          <w:rFonts w:ascii="Gill Sans MT" w:hAnsi="Gill Sans MT"/>
          <w:sz w:val="24"/>
          <w:szCs w:val="24"/>
        </w:rPr>
        <w:t xml:space="preserve">enregistrée </w:t>
      </w:r>
      <w:r w:rsidRPr="00F81267">
        <w:rPr>
          <w:rFonts w:ascii="Gill Sans MT" w:hAnsi="Gill Sans MT"/>
          <w:sz w:val="24"/>
          <w:szCs w:val="24"/>
        </w:rPr>
        <w:t xml:space="preserve">aussi bien </w:t>
      </w:r>
      <w:r w:rsidR="00DD1258" w:rsidRPr="00F81267">
        <w:rPr>
          <w:rFonts w:ascii="Gill Sans MT" w:hAnsi="Gill Sans MT"/>
          <w:sz w:val="24"/>
          <w:szCs w:val="24"/>
        </w:rPr>
        <w:t xml:space="preserve">parmi les jeunes </w:t>
      </w:r>
      <w:r w:rsidR="007151A7" w:rsidRPr="00F81267">
        <w:rPr>
          <w:rFonts w:ascii="Gill Sans MT" w:hAnsi="Gill Sans MT"/>
          <w:sz w:val="24"/>
          <w:szCs w:val="24"/>
        </w:rPr>
        <w:t xml:space="preserve">’15-29 ans’ </w:t>
      </w:r>
      <w:r w:rsidR="00DD1258" w:rsidRPr="00F81267">
        <w:rPr>
          <w:rFonts w:ascii="Gill Sans MT" w:hAnsi="Gill Sans MT"/>
          <w:sz w:val="24"/>
          <w:szCs w:val="24"/>
        </w:rPr>
        <w:t>(</w:t>
      </w:r>
      <w:r w:rsidR="007151A7" w:rsidRPr="00F81267">
        <w:rPr>
          <w:rFonts w:ascii="Gill Sans MT" w:hAnsi="Gill Sans MT"/>
          <w:sz w:val="24"/>
          <w:szCs w:val="24"/>
        </w:rPr>
        <w:t>35,2</w:t>
      </w:r>
      <w:r w:rsidR="00DD1258" w:rsidRPr="00F81267">
        <w:rPr>
          <w:rFonts w:ascii="Gill Sans MT" w:hAnsi="Gill Sans MT"/>
          <w:sz w:val="24"/>
          <w:szCs w:val="24"/>
        </w:rPr>
        <w:t>%)</w:t>
      </w:r>
      <w:r w:rsidRPr="00F81267">
        <w:rPr>
          <w:rFonts w:ascii="Gill Sans MT" w:hAnsi="Gill Sans MT"/>
          <w:sz w:val="24"/>
          <w:szCs w:val="24"/>
        </w:rPr>
        <w:t xml:space="preserve"> que parmi les </w:t>
      </w:r>
      <w:r w:rsidR="00DD1258" w:rsidRPr="00F81267">
        <w:rPr>
          <w:rFonts w:ascii="Gill Sans MT" w:hAnsi="Gill Sans MT"/>
          <w:sz w:val="24"/>
          <w:szCs w:val="24"/>
        </w:rPr>
        <w:t>femmes (</w:t>
      </w:r>
      <w:r w:rsidR="00A519D0" w:rsidRPr="00F81267">
        <w:rPr>
          <w:rFonts w:ascii="Gill Sans MT" w:hAnsi="Gill Sans MT"/>
          <w:sz w:val="24"/>
          <w:szCs w:val="24"/>
        </w:rPr>
        <w:t>48,2%)</w:t>
      </w:r>
      <w:r w:rsidR="00DD1258" w:rsidRPr="00F81267">
        <w:rPr>
          <w:rFonts w:ascii="Gill Sans MT" w:hAnsi="Gill Sans MT"/>
          <w:sz w:val="24"/>
          <w:szCs w:val="24"/>
        </w:rPr>
        <w:t xml:space="preserve"> et les ruraux (</w:t>
      </w:r>
      <w:r w:rsidR="00A519D0" w:rsidRPr="00F81267">
        <w:rPr>
          <w:rFonts w:ascii="Gill Sans MT" w:hAnsi="Gill Sans MT"/>
          <w:sz w:val="24"/>
          <w:szCs w:val="24"/>
        </w:rPr>
        <w:t>54,8%</w:t>
      </w:r>
      <w:r w:rsidR="00DD1258" w:rsidRPr="00F81267">
        <w:rPr>
          <w:rFonts w:ascii="Gill Sans MT" w:hAnsi="Gill Sans MT"/>
          <w:sz w:val="24"/>
          <w:szCs w:val="24"/>
        </w:rPr>
        <w:t>)</w:t>
      </w:r>
      <w:r w:rsidR="00BC23E4" w:rsidRPr="00F81267">
        <w:rPr>
          <w:rFonts w:ascii="Gill Sans MT" w:hAnsi="Gill Sans MT"/>
          <w:sz w:val="24"/>
          <w:szCs w:val="24"/>
        </w:rPr>
        <w:t xml:space="preserve">. Cette </w:t>
      </w:r>
      <w:r w:rsidRPr="00F81267">
        <w:rPr>
          <w:rFonts w:ascii="Gill Sans MT" w:hAnsi="Gill Sans MT"/>
          <w:sz w:val="24"/>
          <w:szCs w:val="24"/>
        </w:rPr>
        <w:t xml:space="preserve">hausse </w:t>
      </w:r>
      <w:r w:rsidR="00BC23E4" w:rsidRPr="00F81267">
        <w:rPr>
          <w:rFonts w:ascii="Gill Sans MT" w:hAnsi="Gill Sans MT"/>
          <w:sz w:val="24"/>
          <w:szCs w:val="24"/>
        </w:rPr>
        <w:t>a été d</w:t>
      </w:r>
      <w:r w:rsidR="00DD1258" w:rsidRPr="00F81267">
        <w:rPr>
          <w:rFonts w:ascii="Gill Sans MT" w:hAnsi="Gill Sans MT"/>
          <w:sz w:val="24"/>
          <w:szCs w:val="24"/>
        </w:rPr>
        <w:t xml:space="preserve">e </w:t>
      </w:r>
      <w:r w:rsidR="00BC23E4" w:rsidRPr="00F81267">
        <w:rPr>
          <w:rFonts w:ascii="Gill Sans MT" w:hAnsi="Gill Sans MT"/>
          <w:sz w:val="24"/>
          <w:szCs w:val="24"/>
        </w:rPr>
        <w:t xml:space="preserve">23,8% </w:t>
      </w:r>
      <w:r w:rsidR="00D07A9D" w:rsidRPr="00F81267">
        <w:rPr>
          <w:rFonts w:ascii="Gill Sans MT" w:hAnsi="Gill Sans MT"/>
          <w:sz w:val="24"/>
          <w:szCs w:val="24"/>
        </w:rPr>
        <w:t xml:space="preserve">parmi les hommes </w:t>
      </w:r>
      <w:r w:rsidR="00BC23E4" w:rsidRPr="00F81267">
        <w:rPr>
          <w:rFonts w:ascii="Gill Sans MT" w:hAnsi="Gill Sans MT"/>
          <w:sz w:val="24"/>
          <w:szCs w:val="24"/>
        </w:rPr>
        <w:t xml:space="preserve">et de 23,2% parmi </w:t>
      </w:r>
      <w:r w:rsidR="00D07A9D" w:rsidRPr="00F81267">
        <w:rPr>
          <w:rFonts w:ascii="Gill Sans MT" w:hAnsi="Gill Sans MT"/>
          <w:sz w:val="24"/>
          <w:szCs w:val="24"/>
        </w:rPr>
        <w:t>les urbains.</w:t>
      </w:r>
      <w:r w:rsidR="00DD1258" w:rsidRPr="00F81267">
        <w:rPr>
          <w:rFonts w:ascii="Gill Sans MT" w:hAnsi="Gill Sans MT"/>
          <w:sz w:val="24"/>
          <w:szCs w:val="24"/>
        </w:rPr>
        <w:t xml:space="preserve"> </w:t>
      </w:r>
      <w:r w:rsidR="00C51540" w:rsidRPr="00F81267">
        <w:rPr>
          <w:rFonts w:ascii="Gill Sans MT" w:hAnsi="Gill Sans MT"/>
          <w:sz w:val="24"/>
          <w:szCs w:val="24"/>
        </w:rPr>
        <w:t>C’est dire que l</w:t>
      </w:r>
      <w:r w:rsidR="007151A7" w:rsidRPr="00F81267">
        <w:rPr>
          <w:rFonts w:ascii="Gill Sans MT" w:hAnsi="Gill Sans MT"/>
          <w:sz w:val="24"/>
          <w:szCs w:val="24"/>
        </w:rPr>
        <w:t>es</w:t>
      </w:r>
      <w:r w:rsidR="00C51540" w:rsidRPr="00F81267">
        <w:rPr>
          <w:rFonts w:ascii="Gill Sans MT" w:hAnsi="Gill Sans MT"/>
          <w:sz w:val="24"/>
          <w:szCs w:val="24"/>
        </w:rPr>
        <w:t xml:space="preserve"> femme</w:t>
      </w:r>
      <w:r w:rsidR="007151A7" w:rsidRPr="00F81267">
        <w:rPr>
          <w:rFonts w:ascii="Gill Sans MT" w:hAnsi="Gill Sans MT"/>
          <w:sz w:val="24"/>
          <w:szCs w:val="24"/>
        </w:rPr>
        <w:t xml:space="preserve">s et </w:t>
      </w:r>
      <w:r w:rsidR="00C51540" w:rsidRPr="00F81267">
        <w:rPr>
          <w:rFonts w:ascii="Gill Sans MT" w:hAnsi="Gill Sans MT"/>
          <w:sz w:val="24"/>
          <w:szCs w:val="24"/>
        </w:rPr>
        <w:t>les ruraux constituent un potentiel d’accumulation du capital humain</w:t>
      </w:r>
      <w:r w:rsidR="000F2E01" w:rsidRPr="00F81267">
        <w:rPr>
          <w:rFonts w:ascii="Gill Sans MT" w:hAnsi="Gill Sans MT"/>
          <w:sz w:val="24"/>
          <w:szCs w:val="24"/>
        </w:rPr>
        <w:t xml:space="preserve"> et, de là, de renforcement </w:t>
      </w:r>
      <w:r w:rsidR="00C51540" w:rsidRPr="00F81267">
        <w:rPr>
          <w:rFonts w:ascii="Gill Sans MT" w:hAnsi="Gill Sans MT"/>
          <w:sz w:val="24"/>
          <w:szCs w:val="24"/>
        </w:rPr>
        <w:t>du capital immatériel du pays</w:t>
      </w:r>
      <w:r w:rsidR="00D07A9D" w:rsidRPr="00F81267">
        <w:rPr>
          <w:rFonts w:ascii="Gill Sans MT" w:hAnsi="Gill Sans MT"/>
          <w:sz w:val="24"/>
          <w:szCs w:val="24"/>
        </w:rPr>
        <w:t>.</w:t>
      </w:r>
      <w:r w:rsidR="00A519D0" w:rsidRPr="00F81267">
        <w:rPr>
          <w:rFonts w:ascii="Gill Sans MT" w:hAnsi="Gill Sans MT"/>
          <w:sz w:val="24"/>
          <w:szCs w:val="24"/>
        </w:rPr>
        <w:t xml:space="preserve"> </w:t>
      </w:r>
      <w:r w:rsidR="00436C5B" w:rsidRPr="00F81267">
        <w:rPr>
          <w:rFonts w:ascii="Gill Sans MT" w:hAnsi="Gill Sans MT"/>
          <w:sz w:val="24"/>
          <w:szCs w:val="24"/>
        </w:rPr>
        <w:t xml:space="preserve">Ce qui permet de réduire davantage les inégalités des niveaux d’éducation. </w:t>
      </w:r>
    </w:p>
    <w:sectPr w:rsidR="00C75F6C" w:rsidRPr="00F81267" w:rsidSect="00105E4B">
      <w:footerReference w:type="default" r:id="rId8"/>
      <w:pgSz w:w="11906" w:h="16838"/>
      <w:pgMar w:top="1418" w:right="1531" w:bottom="1418" w:left="153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3A6" w:rsidRDefault="005D63A6" w:rsidP="00377140">
      <w:pPr>
        <w:spacing w:after="0" w:line="240" w:lineRule="auto"/>
      </w:pPr>
      <w:r>
        <w:separator/>
      </w:r>
    </w:p>
  </w:endnote>
  <w:endnote w:type="continuationSeparator" w:id="1">
    <w:p w:rsidR="005D63A6" w:rsidRDefault="005D63A6" w:rsidP="003771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346391"/>
      <w:docPartObj>
        <w:docPartGallery w:val="Page Numbers (Bottom of Page)"/>
        <w:docPartUnique/>
      </w:docPartObj>
    </w:sdtPr>
    <w:sdtContent>
      <w:p w:rsidR="001867B7" w:rsidRDefault="005F4614">
        <w:pPr>
          <w:pStyle w:val="Pieddepage"/>
          <w:jc w:val="center"/>
        </w:pPr>
        <w:fldSimple w:instr=" PAGE   \* MERGEFORMAT ">
          <w:r w:rsidR="00311ADF">
            <w:rPr>
              <w:noProof/>
            </w:rPr>
            <w:t>2</w:t>
          </w:r>
        </w:fldSimple>
      </w:p>
    </w:sdtContent>
  </w:sdt>
  <w:p w:rsidR="001867B7" w:rsidRDefault="001867B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3A6" w:rsidRDefault="005D63A6" w:rsidP="00377140">
      <w:pPr>
        <w:spacing w:after="0" w:line="240" w:lineRule="auto"/>
      </w:pPr>
      <w:r>
        <w:separator/>
      </w:r>
    </w:p>
  </w:footnote>
  <w:footnote w:type="continuationSeparator" w:id="1">
    <w:p w:rsidR="005D63A6" w:rsidRDefault="005D63A6" w:rsidP="00377140">
      <w:pPr>
        <w:spacing w:after="0" w:line="240" w:lineRule="auto"/>
      </w:pPr>
      <w:r>
        <w:continuationSeparator/>
      </w:r>
    </w:p>
  </w:footnote>
  <w:footnote w:id="2">
    <w:p w:rsidR="001867B7" w:rsidRPr="00F525D6" w:rsidRDefault="001867B7" w:rsidP="00AC1DC0">
      <w:pPr>
        <w:spacing w:after="0" w:line="240" w:lineRule="auto"/>
        <w:jc w:val="both"/>
        <w:rPr>
          <w:rFonts w:ascii="Gill Sans MT" w:hAnsi="Gill Sans MT" w:cstheme="majorBidi"/>
          <w:lang w:val="en-US"/>
        </w:rPr>
      </w:pPr>
      <w:r w:rsidRPr="00F525D6">
        <w:rPr>
          <w:rStyle w:val="Appelnotedebasdep"/>
          <w:rFonts w:ascii="Gill Sans MT" w:hAnsi="Gill Sans MT"/>
          <w:sz w:val="20"/>
          <w:szCs w:val="20"/>
        </w:rPr>
        <w:footnoteRef/>
      </w:r>
      <w:r w:rsidRPr="00F525D6">
        <w:rPr>
          <w:rFonts w:ascii="Gill Sans MT" w:hAnsi="Gill Sans MT"/>
          <w:sz w:val="20"/>
          <w:szCs w:val="20"/>
          <w:lang w:val="en-US"/>
        </w:rPr>
        <w:t xml:space="preserve"> </w:t>
      </w:r>
      <w:r w:rsidRPr="00F525D6">
        <w:rPr>
          <w:rFonts w:ascii="Gill Sans MT" w:hAnsi="Gill Sans MT" w:cstheme="majorBidi"/>
          <w:sz w:val="20"/>
          <w:szCs w:val="20"/>
          <w:lang w:val="en-US"/>
        </w:rPr>
        <w:t>Caselli, Francesco (2005) : Accounting for Cross-Country Income Differences.</w:t>
      </w:r>
    </w:p>
  </w:footnote>
  <w:footnote w:id="3">
    <w:p w:rsidR="001867B7" w:rsidRPr="00F525D6" w:rsidRDefault="001867B7" w:rsidP="007A4BB4">
      <w:pPr>
        <w:pStyle w:val="Notedebasdepage"/>
        <w:jc w:val="both"/>
        <w:rPr>
          <w:rFonts w:ascii="Gill Sans MT" w:hAnsi="Gill Sans MT" w:cstheme="majorBidi"/>
        </w:rPr>
      </w:pPr>
      <w:r w:rsidRPr="00F525D6">
        <w:rPr>
          <w:rStyle w:val="Appelnotedebasdep"/>
          <w:rFonts w:ascii="Gill Sans MT" w:hAnsi="Gill Sans MT" w:cstheme="majorBidi"/>
        </w:rPr>
        <w:footnoteRef/>
      </w:r>
      <w:r w:rsidRPr="00F525D6">
        <w:rPr>
          <w:rFonts w:ascii="Gill Sans MT" w:hAnsi="Gill Sans MT" w:cstheme="majorBidi"/>
        </w:rPr>
        <w:t xml:space="preserve"> OCDE, Centre pour l’information et l’innovation dans l’enseignement (1998) :   </w:t>
      </w:r>
    </w:p>
    <w:p w:rsidR="001867B7" w:rsidRPr="00F525D6" w:rsidRDefault="001867B7" w:rsidP="007A4BB4">
      <w:pPr>
        <w:pStyle w:val="Notedebasdepage"/>
        <w:jc w:val="both"/>
        <w:rPr>
          <w:rFonts w:ascii="Gill Sans MT" w:hAnsi="Gill Sans MT" w:cstheme="majorBidi"/>
        </w:rPr>
      </w:pPr>
      <w:r w:rsidRPr="00F525D6">
        <w:rPr>
          <w:rFonts w:ascii="Gill Sans MT" w:hAnsi="Gill Sans MT" w:cstheme="majorBidi"/>
        </w:rPr>
        <w:t xml:space="preserve">   L’investissement dans le capital humain, une comparaison internationale.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2009E"/>
    <w:multiLevelType w:val="hybridMultilevel"/>
    <w:tmpl w:val="538C867C"/>
    <w:lvl w:ilvl="0" w:tplc="A2E809E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9217D0"/>
    <w:multiLevelType w:val="hybridMultilevel"/>
    <w:tmpl w:val="712296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3E51ED3"/>
    <w:multiLevelType w:val="hybridMultilevel"/>
    <w:tmpl w:val="9236A436"/>
    <w:lvl w:ilvl="0" w:tplc="A0BEFF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8146685"/>
    <w:multiLevelType w:val="multilevel"/>
    <w:tmpl w:val="B1B6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887BD0"/>
    <w:multiLevelType w:val="hybridMultilevel"/>
    <w:tmpl w:val="496E8BB6"/>
    <w:lvl w:ilvl="0" w:tplc="A0BEFF92">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5">
    <w:nsid w:val="51A61B48"/>
    <w:multiLevelType w:val="hybridMultilevel"/>
    <w:tmpl w:val="D48C8BD6"/>
    <w:lvl w:ilvl="0" w:tplc="62F0FA3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5A13A80"/>
    <w:multiLevelType w:val="multilevel"/>
    <w:tmpl w:val="236E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E812C6"/>
    <w:multiLevelType w:val="hybridMultilevel"/>
    <w:tmpl w:val="AE0CAC46"/>
    <w:lvl w:ilvl="0" w:tplc="33FE1CF0">
      <w:numFmt w:val="bullet"/>
      <w:lvlText w:val="-"/>
      <w:lvlJc w:val="left"/>
      <w:pPr>
        <w:ind w:left="720" w:hanging="360"/>
      </w:pPr>
      <w:rPr>
        <w:rFonts w:ascii="Century Schoolbook" w:eastAsiaTheme="minorHAnsi" w:hAnsi="Century School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5BF2DBC"/>
    <w:multiLevelType w:val="hybridMultilevel"/>
    <w:tmpl w:val="76F0555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6C153FAB"/>
    <w:multiLevelType w:val="hybridMultilevel"/>
    <w:tmpl w:val="A3882A6C"/>
    <w:lvl w:ilvl="0" w:tplc="A0BEFF92">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3"/>
  </w:num>
  <w:num w:numId="6">
    <w:abstractNumId w:val="0"/>
  </w:num>
  <w:num w:numId="7">
    <w:abstractNumId w:val="7"/>
  </w:num>
  <w:num w:numId="8">
    <w:abstractNumId w:val="8"/>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F6C02"/>
    <w:rsid w:val="000036B7"/>
    <w:rsid w:val="000065F6"/>
    <w:rsid w:val="00010D70"/>
    <w:rsid w:val="00023D79"/>
    <w:rsid w:val="00024B58"/>
    <w:rsid w:val="00030031"/>
    <w:rsid w:val="000448EA"/>
    <w:rsid w:val="000558EF"/>
    <w:rsid w:val="00056B8B"/>
    <w:rsid w:val="00061596"/>
    <w:rsid w:val="00085144"/>
    <w:rsid w:val="00094DEF"/>
    <w:rsid w:val="00095E30"/>
    <w:rsid w:val="000A6DF5"/>
    <w:rsid w:val="000A7914"/>
    <w:rsid w:val="000B3195"/>
    <w:rsid w:val="000C1755"/>
    <w:rsid w:val="000D19A8"/>
    <w:rsid w:val="000D5E8B"/>
    <w:rsid w:val="000E09E1"/>
    <w:rsid w:val="000E5202"/>
    <w:rsid w:val="000F1141"/>
    <w:rsid w:val="000F2E01"/>
    <w:rsid w:val="00105E4B"/>
    <w:rsid w:val="00110096"/>
    <w:rsid w:val="0011616D"/>
    <w:rsid w:val="00116338"/>
    <w:rsid w:val="0011774F"/>
    <w:rsid w:val="001342D5"/>
    <w:rsid w:val="00144E40"/>
    <w:rsid w:val="00147CF6"/>
    <w:rsid w:val="001512DA"/>
    <w:rsid w:val="001527DD"/>
    <w:rsid w:val="0015366A"/>
    <w:rsid w:val="00167F61"/>
    <w:rsid w:val="0017130C"/>
    <w:rsid w:val="0018533C"/>
    <w:rsid w:val="001867B7"/>
    <w:rsid w:val="00193301"/>
    <w:rsid w:val="00197435"/>
    <w:rsid w:val="001A089E"/>
    <w:rsid w:val="001B03EE"/>
    <w:rsid w:val="001B2768"/>
    <w:rsid w:val="001B50BD"/>
    <w:rsid w:val="001D5C51"/>
    <w:rsid w:val="001D617E"/>
    <w:rsid w:val="001F01BD"/>
    <w:rsid w:val="00201059"/>
    <w:rsid w:val="0021455C"/>
    <w:rsid w:val="00222469"/>
    <w:rsid w:val="00223A62"/>
    <w:rsid w:val="00224E03"/>
    <w:rsid w:val="002459A7"/>
    <w:rsid w:val="00260236"/>
    <w:rsid w:val="00270EB7"/>
    <w:rsid w:val="0029044E"/>
    <w:rsid w:val="0029324D"/>
    <w:rsid w:val="002A708E"/>
    <w:rsid w:val="002C3963"/>
    <w:rsid w:val="002C608B"/>
    <w:rsid w:val="002C6193"/>
    <w:rsid w:val="002C646B"/>
    <w:rsid w:val="002E1C04"/>
    <w:rsid w:val="002E4EE5"/>
    <w:rsid w:val="002E6BD2"/>
    <w:rsid w:val="002F0780"/>
    <w:rsid w:val="002F63DB"/>
    <w:rsid w:val="0030653E"/>
    <w:rsid w:val="0030755A"/>
    <w:rsid w:val="00311ADF"/>
    <w:rsid w:val="003317F5"/>
    <w:rsid w:val="00335772"/>
    <w:rsid w:val="003465F3"/>
    <w:rsid w:val="00346B1F"/>
    <w:rsid w:val="0035616B"/>
    <w:rsid w:val="003672F0"/>
    <w:rsid w:val="00372B54"/>
    <w:rsid w:val="00377140"/>
    <w:rsid w:val="00396045"/>
    <w:rsid w:val="003A7276"/>
    <w:rsid w:val="003B6CB4"/>
    <w:rsid w:val="003C259F"/>
    <w:rsid w:val="003D2EB4"/>
    <w:rsid w:val="003D3D62"/>
    <w:rsid w:val="003D6350"/>
    <w:rsid w:val="003F2514"/>
    <w:rsid w:val="003F41E4"/>
    <w:rsid w:val="00407CD9"/>
    <w:rsid w:val="00411CFD"/>
    <w:rsid w:val="0043315E"/>
    <w:rsid w:val="00436C5B"/>
    <w:rsid w:val="004512D6"/>
    <w:rsid w:val="00451FA9"/>
    <w:rsid w:val="00462E6E"/>
    <w:rsid w:val="004726B8"/>
    <w:rsid w:val="00473382"/>
    <w:rsid w:val="00476BB2"/>
    <w:rsid w:val="004A263D"/>
    <w:rsid w:val="004C0F75"/>
    <w:rsid w:val="004C340D"/>
    <w:rsid w:val="004D21C2"/>
    <w:rsid w:val="004D2EB4"/>
    <w:rsid w:val="00510E4E"/>
    <w:rsid w:val="005243AB"/>
    <w:rsid w:val="005265F0"/>
    <w:rsid w:val="005425D0"/>
    <w:rsid w:val="00545E6B"/>
    <w:rsid w:val="005526A4"/>
    <w:rsid w:val="00573496"/>
    <w:rsid w:val="005A7C59"/>
    <w:rsid w:val="005B1963"/>
    <w:rsid w:val="005B2F56"/>
    <w:rsid w:val="005B45BF"/>
    <w:rsid w:val="005B5FA4"/>
    <w:rsid w:val="005B7330"/>
    <w:rsid w:val="005D63A6"/>
    <w:rsid w:val="005F4614"/>
    <w:rsid w:val="006075A8"/>
    <w:rsid w:val="006111B1"/>
    <w:rsid w:val="00611735"/>
    <w:rsid w:val="00615FC1"/>
    <w:rsid w:val="00622002"/>
    <w:rsid w:val="00626621"/>
    <w:rsid w:val="00637D5D"/>
    <w:rsid w:val="0064140A"/>
    <w:rsid w:val="0064463F"/>
    <w:rsid w:val="00664F51"/>
    <w:rsid w:val="0067118E"/>
    <w:rsid w:val="00680516"/>
    <w:rsid w:val="00681871"/>
    <w:rsid w:val="00693810"/>
    <w:rsid w:val="006A326D"/>
    <w:rsid w:val="006A5D53"/>
    <w:rsid w:val="006B2435"/>
    <w:rsid w:val="006B3A78"/>
    <w:rsid w:val="006C195D"/>
    <w:rsid w:val="006E094C"/>
    <w:rsid w:val="006E7C91"/>
    <w:rsid w:val="006F2343"/>
    <w:rsid w:val="006F604C"/>
    <w:rsid w:val="007151A7"/>
    <w:rsid w:val="007232D3"/>
    <w:rsid w:val="007253FA"/>
    <w:rsid w:val="007276EF"/>
    <w:rsid w:val="00736973"/>
    <w:rsid w:val="00753896"/>
    <w:rsid w:val="00756D70"/>
    <w:rsid w:val="007576BE"/>
    <w:rsid w:val="00757986"/>
    <w:rsid w:val="00782D99"/>
    <w:rsid w:val="00790143"/>
    <w:rsid w:val="00793303"/>
    <w:rsid w:val="0079359E"/>
    <w:rsid w:val="00793B4C"/>
    <w:rsid w:val="0079705C"/>
    <w:rsid w:val="007A1C5C"/>
    <w:rsid w:val="007A4BB4"/>
    <w:rsid w:val="007B7047"/>
    <w:rsid w:val="007B71AA"/>
    <w:rsid w:val="007C278D"/>
    <w:rsid w:val="007C7C7B"/>
    <w:rsid w:val="007D4985"/>
    <w:rsid w:val="007D4F52"/>
    <w:rsid w:val="007E6E6E"/>
    <w:rsid w:val="007F1E14"/>
    <w:rsid w:val="008016D1"/>
    <w:rsid w:val="0081271E"/>
    <w:rsid w:val="00825281"/>
    <w:rsid w:val="0083040C"/>
    <w:rsid w:val="00830B62"/>
    <w:rsid w:val="00830C96"/>
    <w:rsid w:val="00840C53"/>
    <w:rsid w:val="0084173D"/>
    <w:rsid w:val="00856E20"/>
    <w:rsid w:val="00866CD9"/>
    <w:rsid w:val="008771CE"/>
    <w:rsid w:val="00881C28"/>
    <w:rsid w:val="0088452D"/>
    <w:rsid w:val="008876BE"/>
    <w:rsid w:val="00893785"/>
    <w:rsid w:val="008B0F79"/>
    <w:rsid w:val="008B2AE1"/>
    <w:rsid w:val="008B680F"/>
    <w:rsid w:val="008D05AF"/>
    <w:rsid w:val="008D72BD"/>
    <w:rsid w:val="008E2136"/>
    <w:rsid w:val="008E30D7"/>
    <w:rsid w:val="008E4D36"/>
    <w:rsid w:val="008E6EEA"/>
    <w:rsid w:val="008E72A9"/>
    <w:rsid w:val="008F0A19"/>
    <w:rsid w:val="008F124A"/>
    <w:rsid w:val="008F2408"/>
    <w:rsid w:val="008F4D9A"/>
    <w:rsid w:val="008F6C02"/>
    <w:rsid w:val="00902A81"/>
    <w:rsid w:val="00903E42"/>
    <w:rsid w:val="009045C2"/>
    <w:rsid w:val="009200CC"/>
    <w:rsid w:val="00927B96"/>
    <w:rsid w:val="009353A2"/>
    <w:rsid w:val="009532FE"/>
    <w:rsid w:val="009579EE"/>
    <w:rsid w:val="00957CB5"/>
    <w:rsid w:val="00957CDA"/>
    <w:rsid w:val="00961B63"/>
    <w:rsid w:val="00964F8C"/>
    <w:rsid w:val="00971FBD"/>
    <w:rsid w:val="009744F3"/>
    <w:rsid w:val="009845F3"/>
    <w:rsid w:val="00994A16"/>
    <w:rsid w:val="009B4267"/>
    <w:rsid w:val="009D3EC9"/>
    <w:rsid w:val="009F2AE3"/>
    <w:rsid w:val="009F419B"/>
    <w:rsid w:val="009F6CA4"/>
    <w:rsid w:val="009F7686"/>
    <w:rsid w:val="00A031FE"/>
    <w:rsid w:val="00A139D0"/>
    <w:rsid w:val="00A504B6"/>
    <w:rsid w:val="00A519D0"/>
    <w:rsid w:val="00A74218"/>
    <w:rsid w:val="00A901A3"/>
    <w:rsid w:val="00A909BF"/>
    <w:rsid w:val="00A97AF0"/>
    <w:rsid w:val="00AC1DC0"/>
    <w:rsid w:val="00AD6D36"/>
    <w:rsid w:val="00AF5A71"/>
    <w:rsid w:val="00B05294"/>
    <w:rsid w:val="00B13147"/>
    <w:rsid w:val="00B221E8"/>
    <w:rsid w:val="00B34AF6"/>
    <w:rsid w:val="00B46654"/>
    <w:rsid w:val="00B62EB4"/>
    <w:rsid w:val="00B65743"/>
    <w:rsid w:val="00B71A2F"/>
    <w:rsid w:val="00B76224"/>
    <w:rsid w:val="00B836A7"/>
    <w:rsid w:val="00B934B0"/>
    <w:rsid w:val="00B956D0"/>
    <w:rsid w:val="00BA6441"/>
    <w:rsid w:val="00BA7C96"/>
    <w:rsid w:val="00BB7AF4"/>
    <w:rsid w:val="00BB7F32"/>
    <w:rsid w:val="00BC23E4"/>
    <w:rsid w:val="00BC23FD"/>
    <w:rsid w:val="00BC71F9"/>
    <w:rsid w:val="00BD0F3E"/>
    <w:rsid w:val="00BD50DC"/>
    <w:rsid w:val="00BF7376"/>
    <w:rsid w:val="00BF7C2D"/>
    <w:rsid w:val="00BF7FE6"/>
    <w:rsid w:val="00C000F5"/>
    <w:rsid w:val="00C05623"/>
    <w:rsid w:val="00C17121"/>
    <w:rsid w:val="00C24613"/>
    <w:rsid w:val="00C256B2"/>
    <w:rsid w:val="00C47541"/>
    <w:rsid w:val="00C51540"/>
    <w:rsid w:val="00C624C1"/>
    <w:rsid w:val="00C64C3C"/>
    <w:rsid w:val="00C736F1"/>
    <w:rsid w:val="00C75F6C"/>
    <w:rsid w:val="00C87337"/>
    <w:rsid w:val="00C90657"/>
    <w:rsid w:val="00CA2186"/>
    <w:rsid w:val="00CC1C72"/>
    <w:rsid w:val="00CC410E"/>
    <w:rsid w:val="00CC6D57"/>
    <w:rsid w:val="00CD44B0"/>
    <w:rsid w:val="00CE59BD"/>
    <w:rsid w:val="00D00C0F"/>
    <w:rsid w:val="00D047E3"/>
    <w:rsid w:val="00D07A9D"/>
    <w:rsid w:val="00D217E9"/>
    <w:rsid w:val="00D23559"/>
    <w:rsid w:val="00D46DB3"/>
    <w:rsid w:val="00D66B10"/>
    <w:rsid w:val="00DA231A"/>
    <w:rsid w:val="00DB3996"/>
    <w:rsid w:val="00DB623A"/>
    <w:rsid w:val="00DC3E2C"/>
    <w:rsid w:val="00DC6928"/>
    <w:rsid w:val="00DC79C7"/>
    <w:rsid w:val="00DD0B69"/>
    <w:rsid w:val="00DD1258"/>
    <w:rsid w:val="00DE0836"/>
    <w:rsid w:val="00DF30F0"/>
    <w:rsid w:val="00DF5B99"/>
    <w:rsid w:val="00E032D0"/>
    <w:rsid w:val="00E05F80"/>
    <w:rsid w:val="00E143E6"/>
    <w:rsid w:val="00E15524"/>
    <w:rsid w:val="00E225AC"/>
    <w:rsid w:val="00E23F4B"/>
    <w:rsid w:val="00E37FDB"/>
    <w:rsid w:val="00E40A30"/>
    <w:rsid w:val="00E5271F"/>
    <w:rsid w:val="00E60D5F"/>
    <w:rsid w:val="00E6483F"/>
    <w:rsid w:val="00E65E54"/>
    <w:rsid w:val="00E668E4"/>
    <w:rsid w:val="00E74EB9"/>
    <w:rsid w:val="00E81CA9"/>
    <w:rsid w:val="00E82465"/>
    <w:rsid w:val="00E84C2F"/>
    <w:rsid w:val="00E9370B"/>
    <w:rsid w:val="00EA0CF6"/>
    <w:rsid w:val="00EA4FCB"/>
    <w:rsid w:val="00EA77EF"/>
    <w:rsid w:val="00EB231B"/>
    <w:rsid w:val="00EC1200"/>
    <w:rsid w:val="00EC230F"/>
    <w:rsid w:val="00EC2759"/>
    <w:rsid w:val="00EC43CA"/>
    <w:rsid w:val="00EE428F"/>
    <w:rsid w:val="00EE5306"/>
    <w:rsid w:val="00EF396C"/>
    <w:rsid w:val="00F01402"/>
    <w:rsid w:val="00F05032"/>
    <w:rsid w:val="00F065E9"/>
    <w:rsid w:val="00F167DE"/>
    <w:rsid w:val="00F17028"/>
    <w:rsid w:val="00F41F00"/>
    <w:rsid w:val="00F465A3"/>
    <w:rsid w:val="00F525D6"/>
    <w:rsid w:val="00F6286F"/>
    <w:rsid w:val="00F64364"/>
    <w:rsid w:val="00F7092C"/>
    <w:rsid w:val="00F81267"/>
    <w:rsid w:val="00F85953"/>
    <w:rsid w:val="00FA019C"/>
    <w:rsid w:val="00FA4878"/>
    <w:rsid w:val="00FA4DAD"/>
    <w:rsid w:val="00FA7667"/>
    <w:rsid w:val="00FB295C"/>
    <w:rsid w:val="00FB2D61"/>
    <w:rsid w:val="00FB76E1"/>
    <w:rsid w:val="00FC0607"/>
    <w:rsid w:val="00FC20E1"/>
    <w:rsid w:val="00FC5533"/>
    <w:rsid w:val="00FD649B"/>
    <w:rsid w:val="00FE61B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B96"/>
  </w:style>
  <w:style w:type="paragraph" w:styleId="Titre1">
    <w:name w:val="heading 1"/>
    <w:basedOn w:val="Normal"/>
    <w:link w:val="Titre1Car"/>
    <w:uiPriority w:val="9"/>
    <w:qFormat/>
    <w:rsid w:val="000D19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0D19A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0D19A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E0836"/>
    <w:rPr>
      <w:i/>
      <w:iCs/>
    </w:rPr>
  </w:style>
  <w:style w:type="character" w:styleId="Lienhypertexte">
    <w:name w:val="Hyperlink"/>
    <w:basedOn w:val="Policepardfaut"/>
    <w:uiPriority w:val="99"/>
    <w:semiHidden/>
    <w:unhideWhenUsed/>
    <w:rsid w:val="00DE0836"/>
    <w:rPr>
      <w:color w:val="0000FF"/>
      <w:u w:val="single"/>
    </w:rPr>
  </w:style>
  <w:style w:type="paragraph" w:styleId="Paragraphedeliste">
    <w:name w:val="List Paragraph"/>
    <w:basedOn w:val="Normal"/>
    <w:uiPriority w:val="34"/>
    <w:qFormat/>
    <w:rsid w:val="0079359E"/>
    <w:pPr>
      <w:ind w:left="720"/>
      <w:contextualSpacing/>
    </w:pPr>
  </w:style>
  <w:style w:type="character" w:styleId="lev">
    <w:name w:val="Strong"/>
    <w:basedOn w:val="Policepardfaut"/>
    <w:uiPriority w:val="22"/>
    <w:qFormat/>
    <w:rsid w:val="00BD50DC"/>
    <w:rPr>
      <w:b/>
      <w:bCs/>
    </w:rPr>
  </w:style>
  <w:style w:type="character" w:styleId="Textedelespacerserv">
    <w:name w:val="Placeholder Text"/>
    <w:basedOn w:val="Policepardfaut"/>
    <w:uiPriority w:val="99"/>
    <w:semiHidden/>
    <w:rsid w:val="00BF7FE6"/>
    <w:rPr>
      <w:color w:val="808080"/>
    </w:rPr>
  </w:style>
  <w:style w:type="paragraph" w:styleId="Textedebulles">
    <w:name w:val="Balloon Text"/>
    <w:basedOn w:val="Normal"/>
    <w:link w:val="TextedebullesCar"/>
    <w:uiPriority w:val="99"/>
    <w:semiHidden/>
    <w:unhideWhenUsed/>
    <w:rsid w:val="00BF7FE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7FE6"/>
    <w:rPr>
      <w:rFonts w:ascii="Tahoma" w:hAnsi="Tahoma" w:cs="Tahoma"/>
      <w:sz w:val="16"/>
      <w:szCs w:val="16"/>
    </w:rPr>
  </w:style>
  <w:style w:type="paragraph" w:styleId="Corpsdetexte">
    <w:name w:val="Body Text"/>
    <w:basedOn w:val="Normal"/>
    <w:link w:val="CorpsdetexteCar"/>
    <w:rsid w:val="008D05AF"/>
    <w:pPr>
      <w:spacing w:after="0" w:line="240" w:lineRule="auto"/>
    </w:pPr>
    <w:rPr>
      <w:rFonts w:ascii="Bookman Old Style" w:eastAsia="Times New Roman" w:hAnsi="Bookman Old Style" w:cs="Times New Roman"/>
      <w:sz w:val="32"/>
      <w:szCs w:val="32"/>
      <w:lang w:eastAsia="fr-FR"/>
    </w:rPr>
  </w:style>
  <w:style w:type="character" w:customStyle="1" w:styleId="CorpsdetexteCar">
    <w:name w:val="Corps de texte Car"/>
    <w:basedOn w:val="Policepardfaut"/>
    <w:link w:val="Corpsdetexte"/>
    <w:rsid w:val="008D05AF"/>
    <w:rPr>
      <w:rFonts w:ascii="Bookman Old Style" w:eastAsia="Times New Roman" w:hAnsi="Bookman Old Style" w:cs="Times New Roman"/>
      <w:sz w:val="32"/>
      <w:szCs w:val="32"/>
      <w:lang w:eastAsia="fr-FR"/>
    </w:rPr>
  </w:style>
  <w:style w:type="paragraph" w:styleId="En-tte">
    <w:name w:val="header"/>
    <w:basedOn w:val="Normal"/>
    <w:link w:val="En-tteCar"/>
    <w:uiPriority w:val="99"/>
    <w:semiHidden/>
    <w:unhideWhenUsed/>
    <w:rsid w:val="0037714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77140"/>
  </w:style>
  <w:style w:type="paragraph" w:styleId="Pieddepage">
    <w:name w:val="footer"/>
    <w:basedOn w:val="Normal"/>
    <w:link w:val="PieddepageCar"/>
    <w:uiPriority w:val="99"/>
    <w:unhideWhenUsed/>
    <w:rsid w:val="003771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7140"/>
  </w:style>
  <w:style w:type="table" w:styleId="Grilledutableau">
    <w:name w:val="Table Grid"/>
    <w:basedOn w:val="TableauNormal"/>
    <w:uiPriority w:val="59"/>
    <w:rsid w:val="00E155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0D19A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D19A8"/>
    <w:rPr>
      <w:sz w:val="20"/>
      <w:szCs w:val="20"/>
    </w:rPr>
  </w:style>
  <w:style w:type="character" w:styleId="Appelnotedebasdep">
    <w:name w:val="footnote reference"/>
    <w:basedOn w:val="Policepardfaut"/>
    <w:uiPriority w:val="99"/>
    <w:semiHidden/>
    <w:unhideWhenUsed/>
    <w:rsid w:val="000D19A8"/>
    <w:rPr>
      <w:vertAlign w:val="superscript"/>
    </w:rPr>
  </w:style>
  <w:style w:type="character" w:customStyle="1" w:styleId="Titre1Car">
    <w:name w:val="Titre 1 Car"/>
    <w:basedOn w:val="Policepardfaut"/>
    <w:link w:val="Titre1"/>
    <w:uiPriority w:val="9"/>
    <w:rsid w:val="000D19A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0D19A8"/>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0D19A8"/>
    <w:rPr>
      <w:rFonts w:ascii="Times New Roman" w:eastAsia="Times New Roman" w:hAnsi="Times New Roman" w:cs="Times New Roman"/>
      <w:b/>
      <w:bCs/>
      <w:sz w:val="27"/>
      <w:szCs w:val="27"/>
      <w:lang w:eastAsia="fr-FR"/>
    </w:rPr>
  </w:style>
</w:styles>
</file>

<file path=word/webSettings.xml><?xml version="1.0" encoding="utf-8"?>
<w:webSettings xmlns:r="http://schemas.openxmlformats.org/officeDocument/2006/relationships" xmlns:w="http://schemas.openxmlformats.org/wordprocessingml/2006/main">
  <w:divs>
    <w:div w:id="13654736">
      <w:bodyDiv w:val="1"/>
      <w:marLeft w:val="0"/>
      <w:marRight w:val="0"/>
      <w:marTop w:val="0"/>
      <w:marBottom w:val="0"/>
      <w:divBdr>
        <w:top w:val="none" w:sz="0" w:space="0" w:color="auto"/>
        <w:left w:val="none" w:sz="0" w:space="0" w:color="auto"/>
        <w:bottom w:val="none" w:sz="0" w:space="0" w:color="auto"/>
        <w:right w:val="none" w:sz="0" w:space="0" w:color="auto"/>
      </w:divBdr>
      <w:divsChild>
        <w:div w:id="600912896">
          <w:marLeft w:val="0"/>
          <w:marRight w:val="0"/>
          <w:marTop w:val="0"/>
          <w:marBottom w:val="0"/>
          <w:divBdr>
            <w:top w:val="none" w:sz="0" w:space="0" w:color="auto"/>
            <w:left w:val="none" w:sz="0" w:space="0" w:color="auto"/>
            <w:bottom w:val="none" w:sz="0" w:space="0" w:color="auto"/>
            <w:right w:val="none" w:sz="0" w:space="0" w:color="auto"/>
          </w:divBdr>
        </w:div>
        <w:div w:id="1966623021">
          <w:marLeft w:val="0"/>
          <w:marRight w:val="0"/>
          <w:marTop w:val="0"/>
          <w:marBottom w:val="0"/>
          <w:divBdr>
            <w:top w:val="none" w:sz="0" w:space="0" w:color="auto"/>
            <w:left w:val="none" w:sz="0" w:space="0" w:color="auto"/>
            <w:bottom w:val="none" w:sz="0" w:space="0" w:color="auto"/>
            <w:right w:val="none" w:sz="0" w:space="0" w:color="auto"/>
          </w:divBdr>
        </w:div>
        <w:div w:id="1370450561">
          <w:marLeft w:val="0"/>
          <w:marRight w:val="0"/>
          <w:marTop w:val="0"/>
          <w:marBottom w:val="0"/>
          <w:divBdr>
            <w:top w:val="none" w:sz="0" w:space="0" w:color="auto"/>
            <w:left w:val="none" w:sz="0" w:space="0" w:color="auto"/>
            <w:bottom w:val="none" w:sz="0" w:space="0" w:color="auto"/>
            <w:right w:val="none" w:sz="0" w:space="0" w:color="auto"/>
          </w:divBdr>
        </w:div>
      </w:divsChild>
    </w:div>
    <w:div w:id="109319618">
      <w:bodyDiv w:val="1"/>
      <w:marLeft w:val="0"/>
      <w:marRight w:val="0"/>
      <w:marTop w:val="0"/>
      <w:marBottom w:val="0"/>
      <w:divBdr>
        <w:top w:val="none" w:sz="0" w:space="0" w:color="auto"/>
        <w:left w:val="none" w:sz="0" w:space="0" w:color="auto"/>
        <w:bottom w:val="none" w:sz="0" w:space="0" w:color="auto"/>
        <w:right w:val="none" w:sz="0" w:space="0" w:color="auto"/>
      </w:divBdr>
    </w:div>
    <w:div w:id="359480479">
      <w:bodyDiv w:val="1"/>
      <w:marLeft w:val="0"/>
      <w:marRight w:val="0"/>
      <w:marTop w:val="0"/>
      <w:marBottom w:val="0"/>
      <w:divBdr>
        <w:top w:val="none" w:sz="0" w:space="0" w:color="auto"/>
        <w:left w:val="none" w:sz="0" w:space="0" w:color="auto"/>
        <w:bottom w:val="none" w:sz="0" w:space="0" w:color="auto"/>
        <w:right w:val="none" w:sz="0" w:space="0" w:color="auto"/>
      </w:divBdr>
    </w:div>
    <w:div w:id="644168871">
      <w:bodyDiv w:val="1"/>
      <w:marLeft w:val="0"/>
      <w:marRight w:val="0"/>
      <w:marTop w:val="0"/>
      <w:marBottom w:val="0"/>
      <w:divBdr>
        <w:top w:val="none" w:sz="0" w:space="0" w:color="auto"/>
        <w:left w:val="none" w:sz="0" w:space="0" w:color="auto"/>
        <w:bottom w:val="none" w:sz="0" w:space="0" w:color="auto"/>
        <w:right w:val="none" w:sz="0" w:space="0" w:color="auto"/>
      </w:divBdr>
      <w:divsChild>
        <w:div w:id="1088043254">
          <w:marLeft w:val="0"/>
          <w:marRight w:val="0"/>
          <w:marTop w:val="0"/>
          <w:marBottom w:val="0"/>
          <w:divBdr>
            <w:top w:val="none" w:sz="0" w:space="0" w:color="auto"/>
            <w:left w:val="none" w:sz="0" w:space="0" w:color="auto"/>
            <w:bottom w:val="none" w:sz="0" w:space="0" w:color="auto"/>
            <w:right w:val="none" w:sz="0" w:space="0" w:color="auto"/>
          </w:divBdr>
        </w:div>
        <w:div w:id="1565409125">
          <w:marLeft w:val="0"/>
          <w:marRight w:val="0"/>
          <w:marTop w:val="0"/>
          <w:marBottom w:val="0"/>
          <w:divBdr>
            <w:top w:val="none" w:sz="0" w:space="0" w:color="auto"/>
            <w:left w:val="none" w:sz="0" w:space="0" w:color="auto"/>
            <w:bottom w:val="none" w:sz="0" w:space="0" w:color="auto"/>
            <w:right w:val="none" w:sz="0" w:space="0" w:color="auto"/>
          </w:divBdr>
          <w:divsChild>
            <w:div w:id="1390498418">
              <w:marLeft w:val="0"/>
              <w:marRight w:val="0"/>
              <w:marTop w:val="0"/>
              <w:marBottom w:val="0"/>
              <w:divBdr>
                <w:top w:val="none" w:sz="0" w:space="0" w:color="auto"/>
                <w:left w:val="none" w:sz="0" w:space="0" w:color="auto"/>
                <w:bottom w:val="none" w:sz="0" w:space="0" w:color="auto"/>
                <w:right w:val="none" w:sz="0" w:space="0" w:color="auto"/>
              </w:divBdr>
            </w:div>
            <w:div w:id="1500578949">
              <w:marLeft w:val="0"/>
              <w:marRight w:val="0"/>
              <w:marTop w:val="0"/>
              <w:marBottom w:val="0"/>
              <w:divBdr>
                <w:top w:val="none" w:sz="0" w:space="0" w:color="auto"/>
                <w:left w:val="none" w:sz="0" w:space="0" w:color="auto"/>
                <w:bottom w:val="none" w:sz="0" w:space="0" w:color="auto"/>
                <w:right w:val="none" w:sz="0" w:space="0" w:color="auto"/>
              </w:divBdr>
              <w:divsChild>
                <w:div w:id="1877154675">
                  <w:marLeft w:val="0"/>
                  <w:marRight w:val="0"/>
                  <w:marTop w:val="0"/>
                  <w:marBottom w:val="0"/>
                  <w:divBdr>
                    <w:top w:val="none" w:sz="0" w:space="0" w:color="auto"/>
                    <w:left w:val="none" w:sz="0" w:space="0" w:color="auto"/>
                    <w:bottom w:val="none" w:sz="0" w:space="0" w:color="auto"/>
                    <w:right w:val="none" w:sz="0" w:space="0" w:color="auto"/>
                  </w:divBdr>
                </w:div>
                <w:div w:id="2067796405">
                  <w:marLeft w:val="0"/>
                  <w:marRight w:val="0"/>
                  <w:marTop w:val="0"/>
                  <w:marBottom w:val="0"/>
                  <w:divBdr>
                    <w:top w:val="none" w:sz="0" w:space="0" w:color="auto"/>
                    <w:left w:val="none" w:sz="0" w:space="0" w:color="auto"/>
                    <w:bottom w:val="none" w:sz="0" w:space="0" w:color="auto"/>
                    <w:right w:val="none" w:sz="0" w:space="0" w:color="auto"/>
                  </w:divBdr>
                  <w:divsChild>
                    <w:div w:id="887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705207">
      <w:bodyDiv w:val="1"/>
      <w:marLeft w:val="0"/>
      <w:marRight w:val="0"/>
      <w:marTop w:val="0"/>
      <w:marBottom w:val="0"/>
      <w:divBdr>
        <w:top w:val="none" w:sz="0" w:space="0" w:color="auto"/>
        <w:left w:val="none" w:sz="0" w:space="0" w:color="auto"/>
        <w:bottom w:val="none" w:sz="0" w:space="0" w:color="auto"/>
        <w:right w:val="none" w:sz="0" w:space="0" w:color="auto"/>
      </w:divBdr>
    </w:div>
    <w:div w:id="1481118621">
      <w:bodyDiv w:val="1"/>
      <w:marLeft w:val="0"/>
      <w:marRight w:val="0"/>
      <w:marTop w:val="0"/>
      <w:marBottom w:val="0"/>
      <w:divBdr>
        <w:top w:val="none" w:sz="0" w:space="0" w:color="auto"/>
        <w:left w:val="none" w:sz="0" w:space="0" w:color="auto"/>
        <w:bottom w:val="none" w:sz="0" w:space="0" w:color="auto"/>
        <w:right w:val="none" w:sz="0" w:space="0" w:color="auto"/>
      </w:divBdr>
      <w:divsChild>
        <w:div w:id="1703089379">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13921101">
                  <w:marLeft w:val="0"/>
                  <w:marRight w:val="0"/>
                  <w:marTop w:val="0"/>
                  <w:marBottom w:val="0"/>
                  <w:divBdr>
                    <w:top w:val="none" w:sz="0" w:space="0" w:color="auto"/>
                    <w:left w:val="none" w:sz="0" w:space="0" w:color="auto"/>
                    <w:bottom w:val="none" w:sz="0" w:space="0" w:color="auto"/>
                    <w:right w:val="none" w:sz="0" w:space="0" w:color="auto"/>
                  </w:divBdr>
                </w:div>
                <w:div w:id="32309987">
                  <w:marLeft w:val="0"/>
                  <w:marRight w:val="0"/>
                  <w:marTop w:val="0"/>
                  <w:marBottom w:val="0"/>
                  <w:divBdr>
                    <w:top w:val="none" w:sz="0" w:space="0" w:color="auto"/>
                    <w:left w:val="none" w:sz="0" w:space="0" w:color="auto"/>
                    <w:bottom w:val="none" w:sz="0" w:space="0" w:color="auto"/>
                    <w:right w:val="none" w:sz="0" w:space="0" w:color="auto"/>
                  </w:divBdr>
                </w:div>
                <w:div w:id="52002197">
                  <w:marLeft w:val="0"/>
                  <w:marRight w:val="0"/>
                  <w:marTop w:val="0"/>
                  <w:marBottom w:val="0"/>
                  <w:divBdr>
                    <w:top w:val="none" w:sz="0" w:space="0" w:color="auto"/>
                    <w:left w:val="none" w:sz="0" w:space="0" w:color="auto"/>
                    <w:bottom w:val="none" w:sz="0" w:space="0" w:color="auto"/>
                    <w:right w:val="none" w:sz="0" w:space="0" w:color="auto"/>
                  </w:divBdr>
                </w:div>
                <w:div w:id="65425624">
                  <w:marLeft w:val="0"/>
                  <w:marRight w:val="0"/>
                  <w:marTop w:val="0"/>
                  <w:marBottom w:val="0"/>
                  <w:divBdr>
                    <w:top w:val="none" w:sz="0" w:space="0" w:color="auto"/>
                    <w:left w:val="none" w:sz="0" w:space="0" w:color="auto"/>
                    <w:bottom w:val="none" w:sz="0" w:space="0" w:color="auto"/>
                    <w:right w:val="none" w:sz="0" w:space="0" w:color="auto"/>
                  </w:divBdr>
                </w:div>
                <w:div w:id="70811487">
                  <w:marLeft w:val="0"/>
                  <w:marRight w:val="0"/>
                  <w:marTop w:val="0"/>
                  <w:marBottom w:val="0"/>
                  <w:divBdr>
                    <w:top w:val="none" w:sz="0" w:space="0" w:color="auto"/>
                    <w:left w:val="none" w:sz="0" w:space="0" w:color="auto"/>
                    <w:bottom w:val="none" w:sz="0" w:space="0" w:color="auto"/>
                    <w:right w:val="none" w:sz="0" w:space="0" w:color="auto"/>
                  </w:divBdr>
                </w:div>
                <w:div w:id="87390090">
                  <w:marLeft w:val="0"/>
                  <w:marRight w:val="0"/>
                  <w:marTop w:val="0"/>
                  <w:marBottom w:val="0"/>
                  <w:divBdr>
                    <w:top w:val="none" w:sz="0" w:space="0" w:color="auto"/>
                    <w:left w:val="none" w:sz="0" w:space="0" w:color="auto"/>
                    <w:bottom w:val="none" w:sz="0" w:space="0" w:color="auto"/>
                    <w:right w:val="none" w:sz="0" w:space="0" w:color="auto"/>
                  </w:divBdr>
                </w:div>
                <w:div w:id="94792568">
                  <w:marLeft w:val="0"/>
                  <w:marRight w:val="0"/>
                  <w:marTop w:val="0"/>
                  <w:marBottom w:val="0"/>
                  <w:divBdr>
                    <w:top w:val="none" w:sz="0" w:space="0" w:color="auto"/>
                    <w:left w:val="none" w:sz="0" w:space="0" w:color="auto"/>
                    <w:bottom w:val="none" w:sz="0" w:space="0" w:color="auto"/>
                    <w:right w:val="none" w:sz="0" w:space="0" w:color="auto"/>
                  </w:divBdr>
                </w:div>
                <w:div w:id="106438312">
                  <w:marLeft w:val="0"/>
                  <w:marRight w:val="0"/>
                  <w:marTop w:val="0"/>
                  <w:marBottom w:val="0"/>
                  <w:divBdr>
                    <w:top w:val="none" w:sz="0" w:space="0" w:color="auto"/>
                    <w:left w:val="none" w:sz="0" w:space="0" w:color="auto"/>
                    <w:bottom w:val="none" w:sz="0" w:space="0" w:color="auto"/>
                    <w:right w:val="none" w:sz="0" w:space="0" w:color="auto"/>
                  </w:divBdr>
                </w:div>
                <w:div w:id="127406847">
                  <w:marLeft w:val="0"/>
                  <w:marRight w:val="0"/>
                  <w:marTop w:val="0"/>
                  <w:marBottom w:val="0"/>
                  <w:divBdr>
                    <w:top w:val="none" w:sz="0" w:space="0" w:color="auto"/>
                    <w:left w:val="none" w:sz="0" w:space="0" w:color="auto"/>
                    <w:bottom w:val="none" w:sz="0" w:space="0" w:color="auto"/>
                    <w:right w:val="none" w:sz="0" w:space="0" w:color="auto"/>
                  </w:divBdr>
                </w:div>
                <w:div w:id="151991118">
                  <w:marLeft w:val="0"/>
                  <w:marRight w:val="0"/>
                  <w:marTop w:val="0"/>
                  <w:marBottom w:val="0"/>
                  <w:divBdr>
                    <w:top w:val="none" w:sz="0" w:space="0" w:color="auto"/>
                    <w:left w:val="none" w:sz="0" w:space="0" w:color="auto"/>
                    <w:bottom w:val="none" w:sz="0" w:space="0" w:color="auto"/>
                    <w:right w:val="none" w:sz="0" w:space="0" w:color="auto"/>
                  </w:divBdr>
                </w:div>
                <w:div w:id="160777857">
                  <w:marLeft w:val="0"/>
                  <w:marRight w:val="0"/>
                  <w:marTop w:val="0"/>
                  <w:marBottom w:val="0"/>
                  <w:divBdr>
                    <w:top w:val="none" w:sz="0" w:space="0" w:color="auto"/>
                    <w:left w:val="none" w:sz="0" w:space="0" w:color="auto"/>
                    <w:bottom w:val="none" w:sz="0" w:space="0" w:color="auto"/>
                    <w:right w:val="none" w:sz="0" w:space="0" w:color="auto"/>
                  </w:divBdr>
                </w:div>
                <w:div w:id="229511478">
                  <w:marLeft w:val="0"/>
                  <w:marRight w:val="0"/>
                  <w:marTop w:val="0"/>
                  <w:marBottom w:val="0"/>
                  <w:divBdr>
                    <w:top w:val="none" w:sz="0" w:space="0" w:color="auto"/>
                    <w:left w:val="none" w:sz="0" w:space="0" w:color="auto"/>
                    <w:bottom w:val="none" w:sz="0" w:space="0" w:color="auto"/>
                    <w:right w:val="none" w:sz="0" w:space="0" w:color="auto"/>
                  </w:divBdr>
                </w:div>
                <w:div w:id="266431023">
                  <w:marLeft w:val="0"/>
                  <w:marRight w:val="0"/>
                  <w:marTop w:val="0"/>
                  <w:marBottom w:val="0"/>
                  <w:divBdr>
                    <w:top w:val="none" w:sz="0" w:space="0" w:color="auto"/>
                    <w:left w:val="none" w:sz="0" w:space="0" w:color="auto"/>
                    <w:bottom w:val="none" w:sz="0" w:space="0" w:color="auto"/>
                    <w:right w:val="none" w:sz="0" w:space="0" w:color="auto"/>
                  </w:divBdr>
                </w:div>
                <w:div w:id="290408787">
                  <w:marLeft w:val="0"/>
                  <w:marRight w:val="0"/>
                  <w:marTop w:val="0"/>
                  <w:marBottom w:val="0"/>
                  <w:divBdr>
                    <w:top w:val="none" w:sz="0" w:space="0" w:color="auto"/>
                    <w:left w:val="none" w:sz="0" w:space="0" w:color="auto"/>
                    <w:bottom w:val="none" w:sz="0" w:space="0" w:color="auto"/>
                    <w:right w:val="none" w:sz="0" w:space="0" w:color="auto"/>
                  </w:divBdr>
                </w:div>
                <w:div w:id="315648129">
                  <w:marLeft w:val="0"/>
                  <w:marRight w:val="0"/>
                  <w:marTop w:val="0"/>
                  <w:marBottom w:val="0"/>
                  <w:divBdr>
                    <w:top w:val="none" w:sz="0" w:space="0" w:color="auto"/>
                    <w:left w:val="none" w:sz="0" w:space="0" w:color="auto"/>
                    <w:bottom w:val="none" w:sz="0" w:space="0" w:color="auto"/>
                    <w:right w:val="none" w:sz="0" w:space="0" w:color="auto"/>
                  </w:divBdr>
                </w:div>
                <w:div w:id="334964058">
                  <w:marLeft w:val="0"/>
                  <w:marRight w:val="0"/>
                  <w:marTop w:val="0"/>
                  <w:marBottom w:val="0"/>
                  <w:divBdr>
                    <w:top w:val="none" w:sz="0" w:space="0" w:color="auto"/>
                    <w:left w:val="none" w:sz="0" w:space="0" w:color="auto"/>
                    <w:bottom w:val="none" w:sz="0" w:space="0" w:color="auto"/>
                    <w:right w:val="none" w:sz="0" w:space="0" w:color="auto"/>
                  </w:divBdr>
                </w:div>
                <w:div w:id="344020679">
                  <w:marLeft w:val="0"/>
                  <w:marRight w:val="0"/>
                  <w:marTop w:val="0"/>
                  <w:marBottom w:val="0"/>
                  <w:divBdr>
                    <w:top w:val="none" w:sz="0" w:space="0" w:color="auto"/>
                    <w:left w:val="none" w:sz="0" w:space="0" w:color="auto"/>
                    <w:bottom w:val="none" w:sz="0" w:space="0" w:color="auto"/>
                    <w:right w:val="none" w:sz="0" w:space="0" w:color="auto"/>
                  </w:divBdr>
                </w:div>
                <w:div w:id="347097611">
                  <w:marLeft w:val="0"/>
                  <w:marRight w:val="0"/>
                  <w:marTop w:val="0"/>
                  <w:marBottom w:val="0"/>
                  <w:divBdr>
                    <w:top w:val="none" w:sz="0" w:space="0" w:color="auto"/>
                    <w:left w:val="none" w:sz="0" w:space="0" w:color="auto"/>
                    <w:bottom w:val="none" w:sz="0" w:space="0" w:color="auto"/>
                    <w:right w:val="none" w:sz="0" w:space="0" w:color="auto"/>
                  </w:divBdr>
                </w:div>
                <w:div w:id="457916425">
                  <w:marLeft w:val="0"/>
                  <w:marRight w:val="0"/>
                  <w:marTop w:val="0"/>
                  <w:marBottom w:val="0"/>
                  <w:divBdr>
                    <w:top w:val="none" w:sz="0" w:space="0" w:color="auto"/>
                    <w:left w:val="none" w:sz="0" w:space="0" w:color="auto"/>
                    <w:bottom w:val="none" w:sz="0" w:space="0" w:color="auto"/>
                    <w:right w:val="none" w:sz="0" w:space="0" w:color="auto"/>
                  </w:divBdr>
                </w:div>
                <w:div w:id="482548214">
                  <w:marLeft w:val="0"/>
                  <w:marRight w:val="0"/>
                  <w:marTop w:val="0"/>
                  <w:marBottom w:val="0"/>
                  <w:divBdr>
                    <w:top w:val="none" w:sz="0" w:space="0" w:color="auto"/>
                    <w:left w:val="none" w:sz="0" w:space="0" w:color="auto"/>
                    <w:bottom w:val="none" w:sz="0" w:space="0" w:color="auto"/>
                    <w:right w:val="none" w:sz="0" w:space="0" w:color="auto"/>
                  </w:divBdr>
                </w:div>
                <w:div w:id="485588833">
                  <w:marLeft w:val="0"/>
                  <w:marRight w:val="0"/>
                  <w:marTop w:val="0"/>
                  <w:marBottom w:val="0"/>
                  <w:divBdr>
                    <w:top w:val="none" w:sz="0" w:space="0" w:color="auto"/>
                    <w:left w:val="none" w:sz="0" w:space="0" w:color="auto"/>
                    <w:bottom w:val="none" w:sz="0" w:space="0" w:color="auto"/>
                    <w:right w:val="none" w:sz="0" w:space="0" w:color="auto"/>
                  </w:divBdr>
                </w:div>
                <w:div w:id="495730929">
                  <w:marLeft w:val="0"/>
                  <w:marRight w:val="0"/>
                  <w:marTop w:val="0"/>
                  <w:marBottom w:val="0"/>
                  <w:divBdr>
                    <w:top w:val="none" w:sz="0" w:space="0" w:color="auto"/>
                    <w:left w:val="none" w:sz="0" w:space="0" w:color="auto"/>
                    <w:bottom w:val="none" w:sz="0" w:space="0" w:color="auto"/>
                    <w:right w:val="none" w:sz="0" w:space="0" w:color="auto"/>
                  </w:divBdr>
                </w:div>
                <w:div w:id="559948627">
                  <w:marLeft w:val="0"/>
                  <w:marRight w:val="0"/>
                  <w:marTop w:val="0"/>
                  <w:marBottom w:val="0"/>
                  <w:divBdr>
                    <w:top w:val="none" w:sz="0" w:space="0" w:color="auto"/>
                    <w:left w:val="none" w:sz="0" w:space="0" w:color="auto"/>
                    <w:bottom w:val="none" w:sz="0" w:space="0" w:color="auto"/>
                    <w:right w:val="none" w:sz="0" w:space="0" w:color="auto"/>
                  </w:divBdr>
                </w:div>
                <w:div w:id="594437574">
                  <w:marLeft w:val="0"/>
                  <w:marRight w:val="0"/>
                  <w:marTop w:val="0"/>
                  <w:marBottom w:val="0"/>
                  <w:divBdr>
                    <w:top w:val="none" w:sz="0" w:space="0" w:color="auto"/>
                    <w:left w:val="none" w:sz="0" w:space="0" w:color="auto"/>
                    <w:bottom w:val="none" w:sz="0" w:space="0" w:color="auto"/>
                    <w:right w:val="none" w:sz="0" w:space="0" w:color="auto"/>
                  </w:divBdr>
                </w:div>
                <w:div w:id="627706362">
                  <w:marLeft w:val="0"/>
                  <w:marRight w:val="0"/>
                  <w:marTop w:val="0"/>
                  <w:marBottom w:val="0"/>
                  <w:divBdr>
                    <w:top w:val="none" w:sz="0" w:space="0" w:color="auto"/>
                    <w:left w:val="none" w:sz="0" w:space="0" w:color="auto"/>
                    <w:bottom w:val="none" w:sz="0" w:space="0" w:color="auto"/>
                    <w:right w:val="none" w:sz="0" w:space="0" w:color="auto"/>
                  </w:divBdr>
                </w:div>
                <w:div w:id="689717543">
                  <w:marLeft w:val="0"/>
                  <w:marRight w:val="0"/>
                  <w:marTop w:val="0"/>
                  <w:marBottom w:val="0"/>
                  <w:divBdr>
                    <w:top w:val="none" w:sz="0" w:space="0" w:color="auto"/>
                    <w:left w:val="none" w:sz="0" w:space="0" w:color="auto"/>
                    <w:bottom w:val="none" w:sz="0" w:space="0" w:color="auto"/>
                    <w:right w:val="none" w:sz="0" w:space="0" w:color="auto"/>
                  </w:divBdr>
                </w:div>
                <w:div w:id="874078629">
                  <w:marLeft w:val="0"/>
                  <w:marRight w:val="0"/>
                  <w:marTop w:val="0"/>
                  <w:marBottom w:val="0"/>
                  <w:divBdr>
                    <w:top w:val="none" w:sz="0" w:space="0" w:color="auto"/>
                    <w:left w:val="none" w:sz="0" w:space="0" w:color="auto"/>
                    <w:bottom w:val="none" w:sz="0" w:space="0" w:color="auto"/>
                    <w:right w:val="none" w:sz="0" w:space="0" w:color="auto"/>
                  </w:divBdr>
                </w:div>
                <w:div w:id="892084808">
                  <w:marLeft w:val="0"/>
                  <w:marRight w:val="0"/>
                  <w:marTop w:val="0"/>
                  <w:marBottom w:val="0"/>
                  <w:divBdr>
                    <w:top w:val="none" w:sz="0" w:space="0" w:color="auto"/>
                    <w:left w:val="none" w:sz="0" w:space="0" w:color="auto"/>
                    <w:bottom w:val="none" w:sz="0" w:space="0" w:color="auto"/>
                    <w:right w:val="none" w:sz="0" w:space="0" w:color="auto"/>
                  </w:divBdr>
                </w:div>
                <w:div w:id="925531508">
                  <w:marLeft w:val="0"/>
                  <w:marRight w:val="0"/>
                  <w:marTop w:val="0"/>
                  <w:marBottom w:val="0"/>
                  <w:divBdr>
                    <w:top w:val="none" w:sz="0" w:space="0" w:color="auto"/>
                    <w:left w:val="none" w:sz="0" w:space="0" w:color="auto"/>
                    <w:bottom w:val="none" w:sz="0" w:space="0" w:color="auto"/>
                    <w:right w:val="none" w:sz="0" w:space="0" w:color="auto"/>
                  </w:divBdr>
                </w:div>
                <w:div w:id="971786538">
                  <w:marLeft w:val="0"/>
                  <w:marRight w:val="0"/>
                  <w:marTop w:val="0"/>
                  <w:marBottom w:val="0"/>
                  <w:divBdr>
                    <w:top w:val="none" w:sz="0" w:space="0" w:color="auto"/>
                    <w:left w:val="none" w:sz="0" w:space="0" w:color="auto"/>
                    <w:bottom w:val="none" w:sz="0" w:space="0" w:color="auto"/>
                    <w:right w:val="none" w:sz="0" w:space="0" w:color="auto"/>
                  </w:divBdr>
                </w:div>
                <w:div w:id="999885550">
                  <w:marLeft w:val="0"/>
                  <w:marRight w:val="0"/>
                  <w:marTop w:val="0"/>
                  <w:marBottom w:val="0"/>
                  <w:divBdr>
                    <w:top w:val="none" w:sz="0" w:space="0" w:color="auto"/>
                    <w:left w:val="none" w:sz="0" w:space="0" w:color="auto"/>
                    <w:bottom w:val="none" w:sz="0" w:space="0" w:color="auto"/>
                    <w:right w:val="none" w:sz="0" w:space="0" w:color="auto"/>
                  </w:divBdr>
                </w:div>
                <w:div w:id="1042899531">
                  <w:marLeft w:val="0"/>
                  <w:marRight w:val="0"/>
                  <w:marTop w:val="0"/>
                  <w:marBottom w:val="0"/>
                  <w:divBdr>
                    <w:top w:val="none" w:sz="0" w:space="0" w:color="auto"/>
                    <w:left w:val="none" w:sz="0" w:space="0" w:color="auto"/>
                    <w:bottom w:val="none" w:sz="0" w:space="0" w:color="auto"/>
                    <w:right w:val="none" w:sz="0" w:space="0" w:color="auto"/>
                  </w:divBdr>
                </w:div>
                <w:div w:id="1097485717">
                  <w:marLeft w:val="0"/>
                  <w:marRight w:val="0"/>
                  <w:marTop w:val="0"/>
                  <w:marBottom w:val="0"/>
                  <w:divBdr>
                    <w:top w:val="none" w:sz="0" w:space="0" w:color="auto"/>
                    <w:left w:val="none" w:sz="0" w:space="0" w:color="auto"/>
                    <w:bottom w:val="none" w:sz="0" w:space="0" w:color="auto"/>
                    <w:right w:val="none" w:sz="0" w:space="0" w:color="auto"/>
                  </w:divBdr>
                </w:div>
                <w:div w:id="1112169778">
                  <w:marLeft w:val="0"/>
                  <w:marRight w:val="0"/>
                  <w:marTop w:val="0"/>
                  <w:marBottom w:val="0"/>
                  <w:divBdr>
                    <w:top w:val="none" w:sz="0" w:space="0" w:color="auto"/>
                    <w:left w:val="none" w:sz="0" w:space="0" w:color="auto"/>
                    <w:bottom w:val="none" w:sz="0" w:space="0" w:color="auto"/>
                    <w:right w:val="none" w:sz="0" w:space="0" w:color="auto"/>
                  </w:divBdr>
                </w:div>
                <w:div w:id="1183784912">
                  <w:marLeft w:val="0"/>
                  <w:marRight w:val="0"/>
                  <w:marTop w:val="0"/>
                  <w:marBottom w:val="0"/>
                  <w:divBdr>
                    <w:top w:val="none" w:sz="0" w:space="0" w:color="auto"/>
                    <w:left w:val="none" w:sz="0" w:space="0" w:color="auto"/>
                    <w:bottom w:val="none" w:sz="0" w:space="0" w:color="auto"/>
                    <w:right w:val="none" w:sz="0" w:space="0" w:color="auto"/>
                  </w:divBdr>
                </w:div>
                <w:div w:id="1234504323">
                  <w:marLeft w:val="0"/>
                  <w:marRight w:val="0"/>
                  <w:marTop w:val="0"/>
                  <w:marBottom w:val="0"/>
                  <w:divBdr>
                    <w:top w:val="none" w:sz="0" w:space="0" w:color="auto"/>
                    <w:left w:val="none" w:sz="0" w:space="0" w:color="auto"/>
                    <w:bottom w:val="none" w:sz="0" w:space="0" w:color="auto"/>
                    <w:right w:val="none" w:sz="0" w:space="0" w:color="auto"/>
                  </w:divBdr>
                </w:div>
                <w:div w:id="1279947937">
                  <w:marLeft w:val="0"/>
                  <w:marRight w:val="0"/>
                  <w:marTop w:val="0"/>
                  <w:marBottom w:val="0"/>
                  <w:divBdr>
                    <w:top w:val="none" w:sz="0" w:space="0" w:color="auto"/>
                    <w:left w:val="none" w:sz="0" w:space="0" w:color="auto"/>
                    <w:bottom w:val="none" w:sz="0" w:space="0" w:color="auto"/>
                    <w:right w:val="none" w:sz="0" w:space="0" w:color="auto"/>
                  </w:divBdr>
                </w:div>
                <w:div w:id="1297447033">
                  <w:marLeft w:val="0"/>
                  <w:marRight w:val="0"/>
                  <w:marTop w:val="0"/>
                  <w:marBottom w:val="0"/>
                  <w:divBdr>
                    <w:top w:val="none" w:sz="0" w:space="0" w:color="auto"/>
                    <w:left w:val="none" w:sz="0" w:space="0" w:color="auto"/>
                    <w:bottom w:val="none" w:sz="0" w:space="0" w:color="auto"/>
                    <w:right w:val="none" w:sz="0" w:space="0" w:color="auto"/>
                  </w:divBdr>
                </w:div>
                <w:div w:id="1329988172">
                  <w:marLeft w:val="0"/>
                  <w:marRight w:val="0"/>
                  <w:marTop w:val="0"/>
                  <w:marBottom w:val="0"/>
                  <w:divBdr>
                    <w:top w:val="none" w:sz="0" w:space="0" w:color="auto"/>
                    <w:left w:val="none" w:sz="0" w:space="0" w:color="auto"/>
                    <w:bottom w:val="none" w:sz="0" w:space="0" w:color="auto"/>
                    <w:right w:val="none" w:sz="0" w:space="0" w:color="auto"/>
                  </w:divBdr>
                </w:div>
                <w:div w:id="1379358465">
                  <w:marLeft w:val="0"/>
                  <w:marRight w:val="0"/>
                  <w:marTop w:val="0"/>
                  <w:marBottom w:val="0"/>
                  <w:divBdr>
                    <w:top w:val="none" w:sz="0" w:space="0" w:color="auto"/>
                    <w:left w:val="none" w:sz="0" w:space="0" w:color="auto"/>
                    <w:bottom w:val="none" w:sz="0" w:space="0" w:color="auto"/>
                    <w:right w:val="none" w:sz="0" w:space="0" w:color="auto"/>
                  </w:divBdr>
                </w:div>
                <w:div w:id="1383794705">
                  <w:marLeft w:val="0"/>
                  <w:marRight w:val="0"/>
                  <w:marTop w:val="0"/>
                  <w:marBottom w:val="0"/>
                  <w:divBdr>
                    <w:top w:val="none" w:sz="0" w:space="0" w:color="auto"/>
                    <w:left w:val="none" w:sz="0" w:space="0" w:color="auto"/>
                    <w:bottom w:val="none" w:sz="0" w:space="0" w:color="auto"/>
                    <w:right w:val="none" w:sz="0" w:space="0" w:color="auto"/>
                  </w:divBdr>
                </w:div>
                <w:div w:id="1393041387">
                  <w:marLeft w:val="0"/>
                  <w:marRight w:val="0"/>
                  <w:marTop w:val="0"/>
                  <w:marBottom w:val="0"/>
                  <w:divBdr>
                    <w:top w:val="none" w:sz="0" w:space="0" w:color="auto"/>
                    <w:left w:val="none" w:sz="0" w:space="0" w:color="auto"/>
                    <w:bottom w:val="none" w:sz="0" w:space="0" w:color="auto"/>
                    <w:right w:val="none" w:sz="0" w:space="0" w:color="auto"/>
                  </w:divBdr>
                </w:div>
                <w:div w:id="1458329597">
                  <w:marLeft w:val="0"/>
                  <w:marRight w:val="0"/>
                  <w:marTop w:val="0"/>
                  <w:marBottom w:val="0"/>
                  <w:divBdr>
                    <w:top w:val="none" w:sz="0" w:space="0" w:color="auto"/>
                    <w:left w:val="none" w:sz="0" w:space="0" w:color="auto"/>
                    <w:bottom w:val="none" w:sz="0" w:space="0" w:color="auto"/>
                    <w:right w:val="none" w:sz="0" w:space="0" w:color="auto"/>
                  </w:divBdr>
                </w:div>
                <w:div w:id="1483690122">
                  <w:marLeft w:val="0"/>
                  <w:marRight w:val="0"/>
                  <w:marTop w:val="0"/>
                  <w:marBottom w:val="0"/>
                  <w:divBdr>
                    <w:top w:val="none" w:sz="0" w:space="0" w:color="auto"/>
                    <w:left w:val="none" w:sz="0" w:space="0" w:color="auto"/>
                    <w:bottom w:val="none" w:sz="0" w:space="0" w:color="auto"/>
                    <w:right w:val="none" w:sz="0" w:space="0" w:color="auto"/>
                  </w:divBdr>
                </w:div>
                <w:div w:id="1583177424">
                  <w:marLeft w:val="0"/>
                  <w:marRight w:val="0"/>
                  <w:marTop w:val="0"/>
                  <w:marBottom w:val="0"/>
                  <w:divBdr>
                    <w:top w:val="none" w:sz="0" w:space="0" w:color="auto"/>
                    <w:left w:val="none" w:sz="0" w:space="0" w:color="auto"/>
                    <w:bottom w:val="none" w:sz="0" w:space="0" w:color="auto"/>
                    <w:right w:val="none" w:sz="0" w:space="0" w:color="auto"/>
                  </w:divBdr>
                </w:div>
                <w:div w:id="1598825180">
                  <w:marLeft w:val="0"/>
                  <w:marRight w:val="0"/>
                  <w:marTop w:val="0"/>
                  <w:marBottom w:val="0"/>
                  <w:divBdr>
                    <w:top w:val="none" w:sz="0" w:space="0" w:color="auto"/>
                    <w:left w:val="none" w:sz="0" w:space="0" w:color="auto"/>
                    <w:bottom w:val="none" w:sz="0" w:space="0" w:color="auto"/>
                    <w:right w:val="none" w:sz="0" w:space="0" w:color="auto"/>
                  </w:divBdr>
                </w:div>
                <w:div w:id="1599214772">
                  <w:marLeft w:val="0"/>
                  <w:marRight w:val="0"/>
                  <w:marTop w:val="0"/>
                  <w:marBottom w:val="0"/>
                  <w:divBdr>
                    <w:top w:val="none" w:sz="0" w:space="0" w:color="auto"/>
                    <w:left w:val="none" w:sz="0" w:space="0" w:color="auto"/>
                    <w:bottom w:val="none" w:sz="0" w:space="0" w:color="auto"/>
                    <w:right w:val="none" w:sz="0" w:space="0" w:color="auto"/>
                  </w:divBdr>
                </w:div>
                <w:div w:id="1630087412">
                  <w:marLeft w:val="0"/>
                  <w:marRight w:val="0"/>
                  <w:marTop w:val="0"/>
                  <w:marBottom w:val="0"/>
                  <w:divBdr>
                    <w:top w:val="none" w:sz="0" w:space="0" w:color="auto"/>
                    <w:left w:val="none" w:sz="0" w:space="0" w:color="auto"/>
                    <w:bottom w:val="none" w:sz="0" w:space="0" w:color="auto"/>
                    <w:right w:val="none" w:sz="0" w:space="0" w:color="auto"/>
                  </w:divBdr>
                </w:div>
                <w:div w:id="1633293074">
                  <w:marLeft w:val="0"/>
                  <w:marRight w:val="0"/>
                  <w:marTop w:val="0"/>
                  <w:marBottom w:val="0"/>
                  <w:divBdr>
                    <w:top w:val="none" w:sz="0" w:space="0" w:color="auto"/>
                    <w:left w:val="none" w:sz="0" w:space="0" w:color="auto"/>
                    <w:bottom w:val="none" w:sz="0" w:space="0" w:color="auto"/>
                    <w:right w:val="none" w:sz="0" w:space="0" w:color="auto"/>
                  </w:divBdr>
                </w:div>
                <w:div w:id="1641229682">
                  <w:marLeft w:val="0"/>
                  <w:marRight w:val="0"/>
                  <w:marTop w:val="0"/>
                  <w:marBottom w:val="0"/>
                  <w:divBdr>
                    <w:top w:val="none" w:sz="0" w:space="0" w:color="auto"/>
                    <w:left w:val="none" w:sz="0" w:space="0" w:color="auto"/>
                    <w:bottom w:val="none" w:sz="0" w:space="0" w:color="auto"/>
                    <w:right w:val="none" w:sz="0" w:space="0" w:color="auto"/>
                  </w:divBdr>
                </w:div>
                <w:div w:id="1641379931">
                  <w:marLeft w:val="0"/>
                  <w:marRight w:val="0"/>
                  <w:marTop w:val="0"/>
                  <w:marBottom w:val="0"/>
                  <w:divBdr>
                    <w:top w:val="none" w:sz="0" w:space="0" w:color="auto"/>
                    <w:left w:val="none" w:sz="0" w:space="0" w:color="auto"/>
                    <w:bottom w:val="none" w:sz="0" w:space="0" w:color="auto"/>
                    <w:right w:val="none" w:sz="0" w:space="0" w:color="auto"/>
                  </w:divBdr>
                </w:div>
                <w:div w:id="1733700263">
                  <w:marLeft w:val="0"/>
                  <w:marRight w:val="0"/>
                  <w:marTop w:val="0"/>
                  <w:marBottom w:val="0"/>
                  <w:divBdr>
                    <w:top w:val="none" w:sz="0" w:space="0" w:color="auto"/>
                    <w:left w:val="none" w:sz="0" w:space="0" w:color="auto"/>
                    <w:bottom w:val="none" w:sz="0" w:space="0" w:color="auto"/>
                    <w:right w:val="none" w:sz="0" w:space="0" w:color="auto"/>
                  </w:divBdr>
                </w:div>
                <w:div w:id="1734936373">
                  <w:marLeft w:val="0"/>
                  <w:marRight w:val="0"/>
                  <w:marTop w:val="0"/>
                  <w:marBottom w:val="0"/>
                  <w:divBdr>
                    <w:top w:val="none" w:sz="0" w:space="0" w:color="auto"/>
                    <w:left w:val="none" w:sz="0" w:space="0" w:color="auto"/>
                    <w:bottom w:val="none" w:sz="0" w:space="0" w:color="auto"/>
                    <w:right w:val="none" w:sz="0" w:space="0" w:color="auto"/>
                  </w:divBdr>
                </w:div>
                <w:div w:id="1746103908">
                  <w:marLeft w:val="0"/>
                  <w:marRight w:val="0"/>
                  <w:marTop w:val="0"/>
                  <w:marBottom w:val="0"/>
                  <w:divBdr>
                    <w:top w:val="none" w:sz="0" w:space="0" w:color="auto"/>
                    <w:left w:val="none" w:sz="0" w:space="0" w:color="auto"/>
                    <w:bottom w:val="none" w:sz="0" w:space="0" w:color="auto"/>
                    <w:right w:val="none" w:sz="0" w:space="0" w:color="auto"/>
                  </w:divBdr>
                </w:div>
                <w:div w:id="1777023817">
                  <w:marLeft w:val="0"/>
                  <w:marRight w:val="0"/>
                  <w:marTop w:val="0"/>
                  <w:marBottom w:val="0"/>
                  <w:divBdr>
                    <w:top w:val="none" w:sz="0" w:space="0" w:color="auto"/>
                    <w:left w:val="none" w:sz="0" w:space="0" w:color="auto"/>
                    <w:bottom w:val="none" w:sz="0" w:space="0" w:color="auto"/>
                    <w:right w:val="none" w:sz="0" w:space="0" w:color="auto"/>
                  </w:divBdr>
                </w:div>
                <w:div w:id="1833136915">
                  <w:marLeft w:val="0"/>
                  <w:marRight w:val="0"/>
                  <w:marTop w:val="0"/>
                  <w:marBottom w:val="0"/>
                  <w:divBdr>
                    <w:top w:val="none" w:sz="0" w:space="0" w:color="auto"/>
                    <w:left w:val="none" w:sz="0" w:space="0" w:color="auto"/>
                    <w:bottom w:val="none" w:sz="0" w:space="0" w:color="auto"/>
                    <w:right w:val="none" w:sz="0" w:space="0" w:color="auto"/>
                  </w:divBdr>
                </w:div>
                <w:div w:id="1839147775">
                  <w:marLeft w:val="0"/>
                  <w:marRight w:val="0"/>
                  <w:marTop w:val="0"/>
                  <w:marBottom w:val="0"/>
                  <w:divBdr>
                    <w:top w:val="none" w:sz="0" w:space="0" w:color="auto"/>
                    <w:left w:val="none" w:sz="0" w:space="0" w:color="auto"/>
                    <w:bottom w:val="none" w:sz="0" w:space="0" w:color="auto"/>
                    <w:right w:val="none" w:sz="0" w:space="0" w:color="auto"/>
                  </w:divBdr>
                </w:div>
                <w:div w:id="1915621597">
                  <w:marLeft w:val="0"/>
                  <w:marRight w:val="0"/>
                  <w:marTop w:val="0"/>
                  <w:marBottom w:val="0"/>
                  <w:divBdr>
                    <w:top w:val="none" w:sz="0" w:space="0" w:color="auto"/>
                    <w:left w:val="none" w:sz="0" w:space="0" w:color="auto"/>
                    <w:bottom w:val="none" w:sz="0" w:space="0" w:color="auto"/>
                    <w:right w:val="none" w:sz="0" w:space="0" w:color="auto"/>
                  </w:divBdr>
                </w:div>
                <w:div w:id="1954437362">
                  <w:marLeft w:val="0"/>
                  <w:marRight w:val="0"/>
                  <w:marTop w:val="0"/>
                  <w:marBottom w:val="0"/>
                  <w:divBdr>
                    <w:top w:val="none" w:sz="0" w:space="0" w:color="auto"/>
                    <w:left w:val="none" w:sz="0" w:space="0" w:color="auto"/>
                    <w:bottom w:val="none" w:sz="0" w:space="0" w:color="auto"/>
                    <w:right w:val="none" w:sz="0" w:space="0" w:color="auto"/>
                  </w:divBdr>
                </w:div>
                <w:div w:id="2020740556">
                  <w:marLeft w:val="0"/>
                  <w:marRight w:val="0"/>
                  <w:marTop w:val="0"/>
                  <w:marBottom w:val="0"/>
                  <w:divBdr>
                    <w:top w:val="none" w:sz="0" w:space="0" w:color="auto"/>
                    <w:left w:val="none" w:sz="0" w:space="0" w:color="auto"/>
                    <w:bottom w:val="none" w:sz="0" w:space="0" w:color="auto"/>
                    <w:right w:val="none" w:sz="0" w:space="0" w:color="auto"/>
                  </w:divBdr>
                </w:div>
                <w:div w:id="2039308315">
                  <w:marLeft w:val="0"/>
                  <w:marRight w:val="0"/>
                  <w:marTop w:val="0"/>
                  <w:marBottom w:val="0"/>
                  <w:divBdr>
                    <w:top w:val="none" w:sz="0" w:space="0" w:color="auto"/>
                    <w:left w:val="none" w:sz="0" w:space="0" w:color="auto"/>
                    <w:bottom w:val="none" w:sz="0" w:space="0" w:color="auto"/>
                    <w:right w:val="none" w:sz="0" w:space="0" w:color="auto"/>
                  </w:divBdr>
                </w:div>
                <w:div w:id="2134474719">
                  <w:marLeft w:val="0"/>
                  <w:marRight w:val="0"/>
                  <w:marTop w:val="0"/>
                  <w:marBottom w:val="0"/>
                  <w:divBdr>
                    <w:top w:val="none" w:sz="0" w:space="0" w:color="auto"/>
                    <w:left w:val="none" w:sz="0" w:space="0" w:color="auto"/>
                    <w:bottom w:val="none" w:sz="0" w:space="0" w:color="auto"/>
                    <w:right w:val="none" w:sz="0" w:space="0" w:color="auto"/>
                  </w:divBdr>
                </w:div>
                <w:div w:id="213466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98579">
      <w:bodyDiv w:val="1"/>
      <w:marLeft w:val="0"/>
      <w:marRight w:val="0"/>
      <w:marTop w:val="0"/>
      <w:marBottom w:val="0"/>
      <w:divBdr>
        <w:top w:val="none" w:sz="0" w:space="0" w:color="auto"/>
        <w:left w:val="none" w:sz="0" w:space="0" w:color="auto"/>
        <w:bottom w:val="none" w:sz="0" w:space="0" w:color="auto"/>
        <w:right w:val="none" w:sz="0" w:space="0" w:color="auto"/>
      </w:divBdr>
    </w:div>
    <w:div w:id="174922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FE978-6E0E-428F-AA40-C95EC4D5A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1232</Words>
  <Characters>6778</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hcp</cp:lastModifiedBy>
  <cp:revision>2</cp:revision>
  <cp:lastPrinted>2015-12-01T11:07:00Z</cp:lastPrinted>
  <dcterms:created xsi:type="dcterms:W3CDTF">2015-12-03T12:40:00Z</dcterms:created>
  <dcterms:modified xsi:type="dcterms:W3CDTF">2015-12-03T12:40:00Z</dcterms:modified>
</cp:coreProperties>
</file>