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79" w:rsidRPr="003A2CE4" w:rsidRDefault="0099745A" w:rsidP="002A7221">
      <w:r w:rsidRPr="0099745A">
        <w:rPr>
          <w:rFonts w:eastAsia="Arial Unicode MS"/>
          <w:noProof/>
        </w:rPr>
        <w:pict>
          <v:shapetype id="_x0000_t202" coordsize="21600,21600" o:spt="202" path="m,l,21600r21600,l21600,xe">
            <v:stroke joinstyle="miter"/>
            <v:path gradientshapeok="t" o:connecttype="rect"/>
          </v:shapetype>
          <v:shape id="Text Box 112" o:spid="_x0000_s1027" type="#_x0000_t202" style="position:absolute;margin-left:504.8pt;margin-top:-59.65pt;width:43.05pt;height:201.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" stroked="f">
            <v:textbox>
              <w:txbxContent>
                <w:p w:rsidR="00AD53FD" w:rsidRDefault="00AD53FD"/>
              </w:txbxContent>
            </v:textbox>
          </v:shape>
        </w:pict>
      </w:r>
      <w:r w:rsidRPr="0099745A">
        <w:rPr>
          <w:rFonts w:eastAsia="Arial Unicode MS"/>
          <w:noProof/>
        </w:rPr>
        <w:pict>
          <v:shape id="_x0000_s1133" type="#_x0000_t75" style="position:absolute;margin-left:386.8pt;margin-top:-49.9pt;width:118pt;height:59.3pt;z-index:251652096" wrapcoords="-106 0 -106 21308 21600 21308 21600 0 -106 0">
            <v:imagedata r:id="rId8" o:title=""/>
            <w10:wrap type="tight"/>
          </v:shape>
          <o:OLEObject Type="Embed" ProgID="PBrush" ShapeID="_x0000_s1133" DrawAspect="Content" ObjectID="_1520410937" r:id="rId9"/>
        </w:pict>
      </w:r>
      <w:r>
        <w:rPr>
          <w:noProof/>
        </w:rPr>
        <w:pict>
          <v:group id="Group 5" o:spid="_x0000_s1138" style="position:absolute;margin-left:-146.55pt;margin-top:-51.45pt;width:910.15pt;height:205.35pt;z-index:251650048" coordorigin="1056261,1046887" coordsize="83359,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">
            <v:shape id="Freeform 6" o:spid="_x0000_s1139" style="position:absolute;left:1056821;top:1046887;width:82800;height:18717;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45b4A&#10;AADaAAAADwAAAGRycy9kb3ducmV2LnhtbERPz2uDMBS+D/Y/hFfYrSYOKsUZSynI2qNu7Pwwb+o0&#10;L2Ky1u6vXw6DHT++38VhtZO40uIHxxrSRIEgbp0ZuNPw/lZt9yB8QDY4OSYNd/JwKB8fCsyNu3FN&#10;1yZ0Ioawz1FDH8KcS+nbniz6xM3Ekft0i8UQ4dJJs+AthttJPiuVSYsDx4YeZzr11I7Nt9Wgsi9z&#10;qepq97FrLq/IR5X+pKPWT5v1+AIi0Br+xX/us9EQt8Yr8QbI8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LKOOW+AAAA2gAAAA8AAAAAAAAAAAAAAAAAmAIAAGRycy9kb3ducmV2&#10;LnhtbFBLBQYAAAAABAAEAPUAAACDAwAAAAA=&#10;" path="m4248000,2160000v-456000,-30000,-912000,-60000,-1368000,-360000c2424000,1500000,1992000,660000,1512000,360000,1032000,60000,252000,60000,,e" filled="f" strokecolor="#e36c0a" strokeweight="20pt">
              <v:shadow color="#ccc"/>
              <v:path arrowok="t" o:connecttype="custom" o:connectlocs="8280000,1871718;5613559,1559765;2947119,311953;0,0" o:connectangles="0,0,0,0"/>
            </v:shape>
            <v:shape id="Freeform 7" o:spid="_x0000_s1028" style="position:absolute;left:1070501;top:1046887;width:69120;height:18717;visibility:visible;mso-wrap-style:square;v-text-anchor:top" coordsize="5328000,19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lisQA&#10;AADaAAAADwAAAGRycy9kb3ducmV2LnhtbESPQUsDMRSE74L/ITyhtzbbFq2uTYuIxdaTXcXzY/N2&#10;s3TzsibpduuvN0LB4zAz3zDL9WBb0ZMPjWMF00kGgrh0uuFawefHZnwPIkRkja1jUnCmAOvV9dUS&#10;c+1OvKe+iLVIEA45KjAxdrmUoTRkMUxcR5y8ynmLMUlfS+3xlOC2lbMsu5MWG04LBjt6NlQeiqNV&#10;8LKbv+uf27fFa19138bil9/hTKnRzfD0CCLSEP/Dl/ZWK3iAvyvpB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eZYrEAAAA2gAAAA8AAAAAAAAAAAAAAAAAmAIAAGRycy9k&#10;b3ducmV2LnhtbFBLBQYAAAAABAAEAPUAAACJAwAAAAA=&#10;" path="m1008000,144000l3168000,1512000r936000,360000l5328000,1944000,5328000,,,,1008000,144000xe" filled="f" fillcolor="#f28d2c" strokecolor="#e36c0a">
              <v:shadow color="#ccc"/>
              <v:path arrowok="t" o:connecttype="custom" o:connectlocs="1307676,138646;4109838,1455781;5324108,1802395;6912000,1871718;6912000,0;0,0;1307676,138646" o:connectangles="0,0,0,0,0,0,0"/>
            </v:shape>
            <v:shape id="Freeform 8" o:spid="_x0000_s1029" style="position:absolute;left:1056261;top:1048296;width:83360;height:19982;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bcsMA&#10;AADbAAAADwAAAGRycy9kb3ducmV2LnhtbESPQW/CMAyF70j8h8hIu0E6Dgx1pBWaNm3XlQHazWrc&#10;tKJxqiZA9+/nw6TdbL3n9z7vysn36kZj7AIbeFxloIjrYDt2Br4Ob8stqJiQLfaBycAPRSiL+WyH&#10;uQ13/qRblZySEI45GmhTGnKtY92Sx7gKA7FoTRg9JllHp+2Idwn3vV5n2UZ77FgaWhzopaX6Ul29&#10;AX1ums37KbjKbV9dd3ga+Nh8G/OwmPbPoBJN6d/8d/1hBV/o5RcZQ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1bcsMAAADbAAAADwAAAAAAAAAAAAAAAACYAgAAZHJzL2Rv&#10;d25yZXYueG1sUEsFBgAAAAAEAAQA9QAAAIgDAAAAAA==&#10;" path="m4248000,2160000v-456000,-30000,-912000,-60000,-1368000,-360000c2424000,1500000,1992000,660000,1512000,360000,1032000,60000,252000,60000,,e" filled="f" strokecolor="#e36c0a" strokeweight="1pt">
              <v:shadow color="#ccc"/>
              <v:path arrowok="t" o:connecttype="custom" o:connectlocs="8335958,1998140;5651497,1665117;2967036,333023;0,0" o:connectangles="0,0,0,0"/>
            </v:shape>
            <v:shape id="Freeform 9" o:spid="_x0000_s1030" style="position:absolute;left:1057084;top:1048613;width:81977;height:21521;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6cAA&#10;AADbAAAADwAAAGRycy9kb3ducmV2LnhtbERPTWvCQBC9C/6HZQq96cYeoqTZSCkWezWpSm9DdrIJ&#10;zc6G7Krx37uFQm/zeJ+TbyfbiyuNvnOsYLVMQBDXTndsFHxVH4sNCB+QNfaOScGdPGyL+SzHTLsb&#10;H+haBiNiCPsMFbQhDJmUvm7Jol+6gThyjRsthghHI/WItxhue/mSJKm02HFsaHGg95bqn/JiFchz&#10;06T7kzOl2exMV60HPjbfSj0/TW+vIAJN4V/85/7Ucf4Kfn+JB8j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H+6cAAAADbAAAADwAAAAAAAAAAAAAAAACYAgAAZHJzL2Rvd25y&#10;ZXYueG1sUEsFBgAAAAAEAAQA9QAAAIUDAAAAAA==&#10;" path="m4248000,2160000v-456000,-30000,-912000,-60000,-1368000,-360000c2424000,1500000,1992000,660000,1512000,360000,1032000,60000,252000,60000,,e" filled="f" strokecolor="#e36c0a" strokeweight="1pt">
              <v:shadow color="#ccc"/>
              <v:path arrowok="t" o:connecttype="custom" o:connectlocs="8197784,2152137;5557820,1793448;2917855,358690;0,0" o:connectangles="0,0,0,0"/>
            </v:shape>
            <v:shape id="Freeform 10" o:spid="_x0000_s1031" style="position:absolute;left:1057264;top:1048929;width:81637;height:23360;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Ngnr4A&#10;AADbAAAADwAAAGRycy9kb3ducmV2LnhtbERPS4vCMBC+L/gfwgje1lQPKtUoIopet77wNjTTtNhM&#10;ShO1++/NwoK3+fies1h1thZPan3lWMFomIAgzp2u2Cg4HXffMxA+IGusHZOCX/KwWva+Fphq9+If&#10;embBiBjCPkUFZQhNKqXPS7Loh64hjlzhWoshwtZI3eIrhttajpNkIi1WHBtKbGhTUn7PHlaBvBbF&#10;ZH9xJjOzramO04bPxU2pQb9bz0EE6sJH/O8+6Dh/DH+/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eTYJ6+AAAA2wAAAA8AAAAAAAAAAAAAAAAAmAIAAGRycy9kb3ducmV2&#10;LnhtbFBLBQYAAAAABAAEAPUAAACDAwAAAAA=&#10;" path="m4248000,2160000v-456000,-30000,-912000,-60000,-1368000,-360000c2424000,1500000,1992000,660000,1512000,360000,1032000,60000,252000,60000,,e" filled="f" strokecolor="#e36c0a" strokeweight="1pt">
              <v:shadow color="#ccc"/>
              <v:path arrowok="t" o:connecttype="custom" o:connectlocs="8163694,2335922;5534708,1946602;2905722,389320;0,0" o:connectangles="0,0,0,0"/>
            </v:shape>
            <v:shape id="Freeform 11" o:spid="_x0000_s1032" style="position:absolute;left:1057445;top:1049246;width:80736;height:24899;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BcEA&#10;AADbAAAADwAAAGRycy9kb3ducmV2LnhtbERPTWvCQBC9F/wPywjemk0VYk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fxQX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073646,2489919;5473658,2074933;2873671,414987;0,0" o:connectangles="0,0,0,0"/>
            </v:shape>
            <v:shape id="Freeform 12" o:spid="_x0000_s1033" style="position:absolute;left:1057625;top:1049562;width:80396;height:26589;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dccEA&#10;AADbAAAADwAAAGRycy9kb3ducmV2LnhtbERPTWvCQBC9F/wPywjemk1FYk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2XXH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039556,2658811;5450546,2215676;2861537,443135;0,0" o:connectangles="0,0,0,0"/>
            </v:shape>
            <v:shape id="Freeform 13" o:spid="_x0000_s1034" style="position:absolute;left:1056843;top:1049730;width:81256;height:28426;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46sEA&#10;AADbAAAADwAAAGRycy9kb3ducmV2LnhtbERPTWvCQBC9F/wPywjemk0FY0hdpYhSr422pbchO9mE&#10;ZmdDdmviv+8WCt7m8T5ns5tsJ640+NaxgqckBUFcOd2yUXA5Hx9zED4ga+wck4IbedhtZw8bLLQb&#10;+Y2uZTAihrAvUEETQl9I6auGLPrE9cSRq91gMUQ4GKkHHGO47eQyTTNpseXY0GBP+4aq7/LHKpCf&#10;dZ29fjhTmvxg2vO65/f6S6nFfHp5BhFoCnfxv/uk4/wV/P0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6+Or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125592,2842595;5508876,2368829;2892160,473766;0,0" o:connectangles="0,0,0,0"/>
            </v:shape>
            <v:shape id="Freeform 14" o:spid="_x0000_s1035" style="position:absolute;left:1056863;top:1050046;width:81396;height:30115;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mnb8A&#10;AADbAAAADwAAAGRycy9kb3ducmV2LnhtbERPS4vCMBC+L/gfwgje1lQPXalGEVHW69YX3oZmmhab&#10;SWmy2v33G0HwNh/fcxar3jbiTp2vHSuYjBMQxIXTNRsFx8PucwbCB2SNjWNS8EceVsvBxwIz7R78&#10;Q/c8GBFD2GeooAqhzaT0RUUW/di1xJErXWcxRNgZqTt8xHDbyGmSpNJizbGhwpY2FRW3/NcqkJey&#10;TL/PzuRmtjX14avlU3lVajTs13MQgfrwFr/cex3np/D8JR4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qGadvwAAANsAAAAPAAAAAAAAAAAAAAAAAJgCAABkcnMvZG93bnJl&#10;di54bWxQSwUGAAAAAAQABAD1AAAAhAMAAAAA&#10;" path="m4248000,2160000v-456000,-30000,-912000,-60000,-1368000,-360000c2424000,1500000,1992000,660000,1512000,360000,1032000,60000,252000,60000,,e" filled="f" strokecolor="#e36c0a" strokeweight="1pt">
              <v:shadow color="#ccc"/>
              <v:path arrowok="t" o:connecttype="custom" o:connectlocs="8139628,3011486;5518392,2509572;2897156,501914;0,0" o:connectangles="0,0,0,0"/>
            </v:shape>
            <v:shape id="Freeform 15" o:spid="_x0000_s1036" style="position:absolute;left:1057204;top:1050363;width:80656;height:31804;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Br4A&#10;AADbAAAADwAAAGRycy9kb3ducmV2LnhtbERPS4vCMBC+C/6HMMLeNNWDStcoiyh6tb7Y29BM07LN&#10;pDRRu//eCIK3+fies1h1thZ3an3lWMF4lIAgzp2u2Cg4HbfDOQgfkDXWjknBP3lYLfu9BabaPfhA&#10;9ywYEUPYp6igDKFJpfR5SRb9yDXEkStcazFE2BqpW3zEcFvLSZJMpcWKY0OJDa1Lyv+ym1Ugr0Ux&#10;3V2cycx8Y6rjrOFz8avU16D7+QYRqAsf8du913H+DF6/x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kwwa+AAAA2wAAAA8AAAAAAAAAAAAAAAAAmAIAAGRycy9kb3ducmV2&#10;LnhtbFBLBQYAAAAABAAEAPUAAACDAwAAAAA=&#10;" path="m4248000,2160000v-456000,-30000,-912000,-60000,-1368000,-360000c2424000,1500000,1992000,660000,1512000,360000,1032000,60000,252000,60000,,e" filled="f" strokecolor="#e36c0a" strokeweight="1pt">
              <v:shadow color="#ccc"/>
              <v:path arrowok="t" o:connecttype="custom" o:connectlocs="8065622,3180377;5468218,2650314;2870815,530063;0,0" o:connectangles="0,0,0,0"/>
            </v:shape>
          </v:group>
        </w:pict>
      </w:r>
      <w:r w:rsidRPr="0099745A">
        <w:rPr>
          <w:rFonts w:eastAsia="Arial Unicode MS"/>
          <w:noProof/>
        </w:rPr>
        <w:pict>
          <v:shape id="Text Box 111" o:spid="_x0000_s1137" type="#_x0000_t202" style="position:absolute;margin-left:-197.2pt;margin-top:-63.05pt;width:59.8pt;height:4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" stroked="f">
            <v:textbox>
              <w:txbxContent>
                <w:p w:rsidR="00AD53FD" w:rsidRDefault="00AD53FD"/>
              </w:txbxContent>
            </v:textbox>
          </v:shape>
        </w:pict>
      </w:r>
    </w:p>
    <w:p w:rsidR="008B7C79" w:rsidRPr="003A2CE4" w:rsidRDefault="0099745A" w:rsidP="003A2CE4">
      <w:pPr>
        <w:jc w:val="both"/>
      </w:pPr>
      <w:r>
        <w:rPr>
          <w:noProof/>
        </w:rPr>
        <w:pict>
          <v:shape id="_x0000_s1144" type="#_x0000_t202" style="position:absolute;left:0;text-align:left;margin-left:-19.2pt;margin-top:8.1pt;width:331.65pt;height:132pt;z-index:251671552;mso-width-relative:margin;mso-height-relative:margin" filled="f" stroked="f" strokecolor="#e36c0a [2409]" strokeweight="1.5pt">
            <v:shadow type="perspective" opacity=".5" origin="-.5,-.5" offset="-6pt,-6pt" matrix=".75,,,.75"/>
            <o:extrusion v:ext="view" color="#fabf8f [1945]" on="t"/>
            <v:textbox style="mso-next-textbox:#_x0000_s1144">
              <w:txbxContent>
                <w:p w:rsidR="00312DB8" w:rsidRPr="00C673F9" w:rsidRDefault="00312DB8" w:rsidP="00312DB8">
                  <w:pPr>
                    <w:rPr>
                      <w:rFonts w:ascii="Bookman Old Style" w:hAnsi="Bookman Old Style"/>
                      <w:b/>
                      <w:bCs/>
                      <w:color w:val="E36C0A" w:themeColor="accent6" w:themeShade="BF"/>
                      <w:sz w:val="30"/>
                      <w:szCs w:val="30"/>
                    </w:rPr>
                  </w:pPr>
                  <w:r>
                    <w:rPr>
                      <w:rFonts w:ascii="Bookman Old Style" w:hAnsi="Bookman Old Style"/>
                      <w:b/>
                      <w:bCs/>
                      <w:color w:val="943634" w:themeColor="accent2" w:themeShade="BF"/>
                      <w:sz w:val="28"/>
                      <w:szCs w:val="28"/>
                    </w:rPr>
                    <w:t xml:space="preserve">    </w:t>
                  </w:r>
                  <w:r w:rsidRPr="00C673F9">
                    <w:rPr>
                      <w:rFonts w:ascii="Bookman Old Style" w:hAnsi="Bookman Old Style"/>
                      <w:b/>
                      <w:bCs/>
                      <w:color w:val="943634" w:themeColor="accent2" w:themeShade="BF"/>
                      <w:sz w:val="30"/>
                      <w:szCs w:val="30"/>
                    </w:rPr>
                    <w:t>Enquête trimestrielle</w:t>
                  </w:r>
                  <w:r w:rsidRPr="00C673F9">
                    <w:rPr>
                      <w:rFonts w:ascii="Bookman Old Style" w:hAnsi="Bookman Old Style"/>
                      <w:sz w:val="30"/>
                      <w:szCs w:val="30"/>
                    </w:rPr>
                    <w:t xml:space="preserve"> </w:t>
                  </w:r>
                  <w:r w:rsidRPr="00C673F9">
                    <w:rPr>
                      <w:rFonts w:ascii="Bookman Old Style" w:hAnsi="Bookman Old Style"/>
                      <w:b/>
                      <w:bCs/>
                      <w:color w:val="943634" w:themeColor="accent2" w:themeShade="BF"/>
                      <w:sz w:val="30"/>
                      <w:szCs w:val="30"/>
                    </w:rPr>
                    <w:t>de</w:t>
                  </w:r>
                  <w:r w:rsidRPr="00C673F9">
                    <w:rPr>
                      <w:rFonts w:ascii="Bookman Old Style" w:hAnsi="Bookman Old Style"/>
                      <w:sz w:val="30"/>
                      <w:szCs w:val="30"/>
                    </w:rPr>
                    <w:t xml:space="preserve"> </w:t>
                  </w:r>
                  <w:r w:rsidRPr="00C673F9">
                    <w:rPr>
                      <w:rFonts w:ascii="Bookman Old Style" w:hAnsi="Bookman Old Style"/>
                      <w:b/>
                      <w:bCs/>
                      <w:color w:val="E36C0A" w:themeColor="accent6" w:themeShade="BF"/>
                      <w:sz w:val="30"/>
                      <w:szCs w:val="30"/>
                    </w:rPr>
                    <w:t xml:space="preserve">Conjoncture </w:t>
                  </w:r>
                </w:p>
                <w:p w:rsidR="00312DB8" w:rsidRPr="00586E7E" w:rsidRDefault="00312DB8" w:rsidP="00312DB8">
                  <w:pPr>
                    <w:rPr>
                      <w:rFonts w:ascii="Bookman Old Style" w:hAnsi="Bookman Old Style"/>
                      <w:sz w:val="12"/>
                      <w:szCs w:val="12"/>
                    </w:rPr>
                  </w:pPr>
                </w:p>
                <w:p w:rsidR="00312DB8" w:rsidRPr="00586E7E" w:rsidRDefault="00312DB8" w:rsidP="005974B8">
                  <w:pPr>
                    <w:pStyle w:val="Paragraphedeliste"/>
                    <w:numPr>
                      <w:ilvl w:val="0"/>
                      <w:numId w:val="22"/>
                    </w:numPr>
                    <w:rPr>
                      <w:rFonts w:ascii="Bookman Old Style" w:hAnsi="Bookman Old Style"/>
                      <w:b/>
                      <w:bCs/>
                      <w:color w:val="E36C0A" w:themeColor="accent6" w:themeShade="BF"/>
                      <w:sz w:val="28"/>
                      <w:szCs w:val="28"/>
                    </w:rPr>
                  </w:pPr>
                  <w:r w:rsidRPr="00586E7E">
                    <w:rPr>
                      <w:rFonts w:ascii="Bookman Old Style" w:hAnsi="Bookman Old Style"/>
                      <w:b/>
                      <w:bCs/>
                      <w:color w:val="E36C0A" w:themeColor="accent6" w:themeShade="BF"/>
                      <w:sz w:val="28"/>
                      <w:szCs w:val="28"/>
                    </w:rPr>
                    <w:t>Industrie</w:t>
                  </w:r>
                  <w:r>
                    <w:rPr>
                      <w:rFonts w:ascii="Bookman Old Style" w:hAnsi="Bookman Old Style"/>
                      <w:b/>
                      <w:bCs/>
                      <w:color w:val="E36C0A" w:themeColor="accent6" w:themeShade="BF"/>
                      <w:sz w:val="28"/>
                      <w:szCs w:val="28"/>
                    </w:rPr>
                    <w:t>s minière, manufacturière, énergétique et environnementale</w:t>
                  </w:r>
                </w:p>
                <w:p w:rsidR="00312DB8" w:rsidRPr="00586E7E" w:rsidRDefault="000F71D1" w:rsidP="005974B8">
                  <w:pPr>
                    <w:pStyle w:val="Paragraphedeliste"/>
                    <w:numPr>
                      <w:ilvl w:val="0"/>
                      <w:numId w:val="22"/>
                    </w:numPr>
                    <w:rPr>
                      <w:rFonts w:ascii="Bookman Old Style" w:hAnsi="Bookman Old Style"/>
                      <w:b/>
                      <w:bCs/>
                      <w:color w:val="E36C0A" w:themeColor="accent6" w:themeShade="BF"/>
                      <w:sz w:val="28"/>
                      <w:szCs w:val="28"/>
                    </w:rPr>
                  </w:pPr>
                  <w:r>
                    <w:rPr>
                      <w:rFonts w:ascii="Bookman Old Style" w:hAnsi="Bookman Old Style"/>
                      <w:b/>
                      <w:bCs/>
                      <w:color w:val="E36C0A" w:themeColor="accent6" w:themeShade="BF"/>
                      <w:sz w:val="28"/>
                      <w:szCs w:val="28"/>
                    </w:rPr>
                    <w:t>Construction</w:t>
                  </w:r>
                  <w:r w:rsidR="007226BE">
                    <w:rPr>
                      <w:rFonts w:ascii="Bookman Old Style" w:hAnsi="Bookman Old Style"/>
                      <w:b/>
                      <w:bCs/>
                      <w:color w:val="E36C0A" w:themeColor="accent6" w:themeShade="BF"/>
                      <w:sz w:val="28"/>
                      <w:szCs w:val="28"/>
                    </w:rPr>
                    <w:t xml:space="preserve"> </w:t>
                  </w:r>
                </w:p>
                <w:p w:rsidR="00312DB8" w:rsidRPr="00586E7E" w:rsidRDefault="00312DB8" w:rsidP="005974B8">
                  <w:pPr>
                    <w:pStyle w:val="Paragraphedeliste"/>
                    <w:numPr>
                      <w:ilvl w:val="0"/>
                      <w:numId w:val="22"/>
                    </w:numPr>
                    <w:rPr>
                      <w:rFonts w:ascii="Bookman Old Style" w:hAnsi="Bookman Old Style"/>
                      <w:b/>
                      <w:bCs/>
                      <w:color w:val="E36C0A" w:themeColor="accent6" w:themeShade="BF"/>
                      <w:sz w:val="28"/>
                      <w:szCs w:val="28"/>
                    </w:rPr>
                  </w:pPr>
                  <w:r w:rsidRPr="00586E7E">
                    <w:rPr>
                      <w:rFonts w:ascii="Bookman Old Style" w:hAnsi="Bookman Old Style"/>
                      <w:b/>
                      <w:bCs/>
                      <w:color w:val="E36C0A" w:themeColor="accent6" w:themeShade="BF"/>
                      <w:sz w:val="28"/>
                      <w:szCs w:val="28"/>
                    </w:rPr>
                    <w:t xml:space="preserve">Services marchands non financiers </w:t>
                  </w:r>
                </w:p>
                <w:p w:rsidR="00312DB8" w:rsidRPr="00586E7E" w:rsidRDefault="00312DB8" w:rsidP="005974B8">
                  <w:pPr>
                    <w:pStyle w:val="Paragraphedeliste"/>
                    <w:numPr>
                      <w:ilvl w:val="0"/>
                      <w:numId w:val="22"/>
                    </w:numPr>
                    <w:rPr>
                      <w:rFonts w:ascii="Bookman Old Style" w:hAnsi="Bookman Old Style"/>
                      <w:b/>
                      <w:bCs/>
                      <w:color w:val="E36C0A" w:themeColor="accent6" w:themeShade="BF"/>
                      <w:sz w:val="28"/>
                      <w:szCs w:val="28"/>
                    </w:rPr>
                  </w:pPr>
                  <w:r w:rsidRPr="00586E7E">
                    <w:rPr>
                      <w:rFonts w:ascii="Bookman Old Style" w:hAnsi="Bookman Old Style"/>
                      <w:b/>
                      <w:bCs/>
                      <w:color w:val="E36C0A" w:themeColor="accent6" w:themeShade="BF"/>
                      <w:sz w:val="28"/>
                      <w:szCs w:val="28"/>
                    </w:rPr>
                    <w:t>Commerce de gros</w:t>
                  </w:r>
                </w:p>
              </w:txbxContent>
            </v:textbox>
          </v:shape>
        </w:pict>
      </w:r>
    </w:p>
    <w:p w:rsidR="008B7C79" w:rsidRPr="003A2CE4" w:rsidRDefault="008B7C79" w:rsidP="003A2CE4">
      <w:pPr>
        <w:jc w:val="both"/>
      </w:pPr>
    </w:p>
    <w:p w:rsidR="008B7C79" w:rsidRPr="003A2CE4" w:rsidRDefault="008B7C79" w:rsidP="003A2CE4">
      <w:pPr>
        <w:jc w:val="both"/>
      </w:pPr>
    </w:p>
    <w:p w:rsidR="008B7C79" w:rsidRPr="003A2CE4" w:rsidRDefault="008B7C79" w:rsidP="003A2CE4">
      <w:pPr>
        <w:jc w:val="both"/>
      </w:pPr>
    </w:p>
    <w:p w:rsidR="008B7C79" w:rsidRPr="003A2CE4" w:rsidRDefault="008B7C79" w:rsidP="003A2CE4">
      <w:pPr>
        <w:jc w:val="both"/>
      </w:pPr>
    </w:p>
    <w:p w:rsidR="003A2CE4" w:rsidRDefault="003A2CE4" w:rsidP="003A2CE4">
      <w:pPr>
        <w:spacing w:after="240" w:line="276" w:lineRule="auto"/>
        <w:ind w:right="-168"/>
        <w:jc w:val="both"/>
        <w:rPr>
          <w:rFonts w:eastAsia="Arial Unicode MS"/>
          <w:b/>
          <w:bCs/>
          <w:iCs/>
          <w:color w:val="1F497D"/>
        </w:rPr>
      </w:pPr>
      <w:bookmarkStart w:id="0" w:name="_Ref424139032"/>
    </w:p>
    <w:bookmarkEnd w:id="0"/>
    <w:p w:rsidR="00302E80" w:rsidRDefault="0099745A" w:rsidP="00006861">
      <w:pPr>
        <w:spacing w:after="240" w:line="276" w:lineRule="auto"/>
        <w:ind w:right="-168"/>
        <w:jc w:val="both"/>
        <w:rPr>
          <w:rFonts w:ascii="Trebuchet MS" w:eastAsia="Arial Unicode MS" w:hAnsi="Trebuchet MS"/>
          <w:b/>
          <w:bCs/>
          <w:color w:val="660033"/>
          <w:sz w:val="32"/>
          <w:szCs w:val="32"/>
        </w:rPr>
      </w:pPr>
      <w:r w:rsidRPr="0099745A">
        <w:rPr>
          <w:noProof/>
        </w:rPr>
        <w:pict>
          <v:shape id="Text Box 108" o:spid="_x0000_s1136" type="#_x0000_t202" style="position:absolute;left:0;text-align:left;margin-left:350.65pt;margin-top:26.25pt;width:143.1pt;height:2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" stroked="f">
            <v:textbox>
              <w:txbxContent>
                <w:p w:rsidR="00AD53FD" w:rsidRPr="00305B12" w:rsidRDefault="00EF2312" w:rsidP="00EF2312">
                  <w:pPr>
                    <w:jc w:val="center"/>
                    <w:rPr>
                      <w:rFonts w:ascii="Trebuchet MS" w:hAnsi="Trebuchet MS"/>
                      <w:b/>
                      <w:bCs/>
                      <w:color w:val="660033"/>
                      <w:sz w:val="28"/>
                      <w:szCs w:val="28"/>
                    </w:rPr>
                  </w:pPr>
                  <w:r>
                    <w:rPr>
                      <w:rFonts w:ascii="Trebuchet MS" w:hAnsi="Trebuchet MS"/>
                      <w:b/>
                      <w:bCs/>
                      <w:color w:val="660033"/>
                      <w:sz w:val="28"/>
                      <w:szCs w:val="28"/>
                    </w:rPr>
                    <w:t xml:space="preserve">Mars </w:t>
                  </w:r>
                  <w:r w:rsidR="00AD53FD" w:rsidRPr="00305B12">
                    <w:rPr>
                      <w:rFonts w:ascii="Trebuchet MS" w:hAnsi="Trebuchet MS"/>
                      <w:b/>
                      <w:bCs/>
                      <w:color w:val="660033"/>
                      <w:sz w:val="28"/>
                      <w:szCs w:val="28"/>
                    </w:rPr>
                    <w:t>201</w:t>
                  </w:r>
                  <w:r>
                    <w:rPr>
                      <w:rFonts w:ascii="Trebuchet MS" w:hAnsi="Trebuchet MS"/>
                      <w:b/>
                      <w:bCs/>
                      <w:color w:val="660033"/>
                      <w:sz w:val="28"/>
                      <w:szCs w:val="28"/>
                    </w:rPr>
                    <w:t>6</w:t>
                  </w:r>
                </w:p>
              </w:txbxContent>
            </v:textbox>
          </v:shape>
        </w:pict>
      </w:r>
    </w:p>
    <w:p w:rsidR="00302E80" w:rsidRDefault="0099745A" w:rsidP="00006861">
      <w:pPr>
        <w:spacing w:after="240" w:line="276" w:lineRule="auto"/>
        <w:ind w:right="-168"/>
        <w:jc w:val="both"/>
        <w:rPr>
          <w:rFonts w:ascii="Trebuchet MS" w:eastAsia="Arial Unicode MS" w:hAnsi="Trebuchet MS"/>
          <w:b/>
          <w:bCs/>
          <w:color w:val="660033"/>
          <w:sz w:val="32"/>
          <w:szCs w:val="32"/>
        </w:rPr>
      </w:pPr>
      <w:r w:rsidRPr="0099745A">
        <w:rPr>
          <w:noProof/>
        </w:rPr>
        <w:pict>
          <v:shapetype id="_x0000_t32" coordsize="21600,21600" o:spt="32" o:oned="t" path="m,l21600,21600e" filled="f">
            <v:path arrowok="t" fillok="f" o:connecttype="none"/>
            <o:lock v:ext="edit" shapetype="t"/>
          </v:shapetype>
          <v:shape id="AutoShape 350" o:spid="_x0000_s1135" type="#_x0000_t32" style="position:absolute;left:0;text-align:left;margin-left:13.05pt;margin-top:15.35pt;width:497.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" adj="-3027,-1,-3027" strokecolor="#e36c0a"/>
        </w:pict>
      </w:r>
      <w:r w:rsidR="00BE79F4">
        <w:rPr>
          <w:rFonts w:ascii="Trebuchet MS" w:eastAsia="Arial Unicode MS" w:hAnsi="Trebuchet MS"/>
          <w:b/>
          <w:bCs/>
          <w:color w:val="660033"/>
          <w:sz w:val="32"/>
          <w:szCs w:val="32"/>
        </w:rPr>
        <w:t xml:space="preserve">       </w:t>
      </w:r>
    </w:p>
    <w:p w:rsidR="00644242" w:rsidRPr="00644242" w:rsidRDefault="0099745A" w:rsidP="00644242">
      <w:pPr>
        <w:spacing w:after="240"/>
        <w:ind w:left="360" w:right="-168"/>
        <w:jc w:val="both"/>
        <w:rPr>
          <w:rFonts w:ascii="Trebuchet MS" w:eastAsia="Arial Unicode MS" w:hAnsi="Trebuchet MS"/>
          <w:b/>
          <w:bCs/>
          <w:color w:val="660033"/>
          <w:sz w:val="28"/>
          <w:szCs w:val="28"/>
        </w:rPr>
      </w:pPr>
      <w:r>
        <w:rPr>
          <w:rFonts w:ascii="Trebuchet MS" w:eastAsia="Arial Unicode MS" w:hAnsi="Trebuchet MS"/>
          <w:b/>
          <w:bCs/>
          <w:noProof/>
          <w:color w:val="660033"/>
          <w:sz w:val="28"/>
          <w:szCs w:val="28"/>
        </w:rPr>
        <w:pict>
          <v:shape id="_x0000_s1150" type="#_x0000_t202" style="position:absolute;left:0;text-align:left;margin-left:13.05pt;margin-top:3.65pt;width:462.15pt;height:183.25pt;z-index:251697152" fillcolor="#fbd4b4">
            <v:textbox style="mso-next-textbox:#_x0000_s1150">
              <w:txbxContent>
                <w:p w:rsidR="00644242" w:rsidRPr="00CF5EA6" w:rsidRDefault="00644242" w:rsidP="00644242">
                  <w:pPr>
                    <w:spacing w:after="120"/>
                    <w:jc w:val="both"/>
                    <w:rPr>
                      <w:b/>
                      <w:bCs/>
                      <w:color w:val="C00000"/>
                    </w:rPr>
                  </w:pPr>
                  <w:r>
                    <w:rPr>
                      <w:b/>
                      <w:bCs/>
                      <w:color w:val="C00000"/>
                    </w:rPr>
                    <w:t>D</w:t>
                  </w:r>
                  <w:r w:rsidRPr="00CF5EA6">
                    <w:rPr>
                      <w:b/>
                      <w:bCs/>
                      <w:color w:val="C00000"/>
                    </w:rPr>
                    <w:t>ispositif des enquêtes de conjoncture auprès des entreprises</w:t>
                  </w:r>
                </w:p>
                <w:p w:rsidR="00644242" w:rsidRPr="00157A43" w:rsidRDefault="00644242" w:rsidP="00644242">
                  <w:pPr>
                    <w:spacing w:before="120" w:after="120"/>
                    <w:jc w:val="both"/>
                    <w:rPr>
                      <w:rFonts w:eastAsia="Arial Unicode MS"/>
                      <w:sz w:val="20"/>
                      <w:szCs w:val="20"/>
                    </w:rPr>
                  </w:pPr>
                  <w:r w:rsidRPr="007F4BA9">
                    <w:rPr>
                      <w:rFonts w:eastAsia="Arial Unicode MS"/>
                      <w:sz w:val="20"/>
                      <w:szCs w:val="20"/>
                    </w:rPr>
                    <w:t xml:space="preserve">Dans le cadre de </w:t>
                  </w:r>
                  <w:r>
                    <w:rPr>
                      <w:rFonts w:eastAsia="Arial Unicode MS"/>
                      <w:sz w:val="20"/>
                      <w:szCs w:val="20"/>
                    </w:rPr>
                    <w:t>l</w:t>
                  </w:r>
                  <w:r w:rsidRPr="00FF415B">
                    <w:rPr>
                      <w:rFonts w:eastAsia="Arial Unicode MS"/>
                      <w:sz w:val="20"/>
                      <w:szCs w:val="20"/>
                    </w:rPr>
                    <w:t>a</w:t>
                  </w:r>
                  <w:r w:rsidRPr="007F4BA9">
                    <w:rPr>
                      <w:rFonts w:eastAsia="Arial Unicode MS"/>
                      <w:sz w:val="20"/>
                      <w:szCs w:val="20"/>
                    </w:rPr>
                    <w:t xml:space="preserve"> politique de mise à niveau de son système d’information statistique, et pour mieux répondre aux besoins des entreprises et des utilisateurs de l’information socio-économique au sens le plus large, le HCP a entrepris, à partir du deuxième trimestre 2015, une rénovation majeure de son dispositif d’enquêtes de conjoncture auprès des entreprises</w:t>
                  </w:r>
                  <w:r>
                    <w:rPr>
                      <w:rFonts w:eastAsia="Arial Unicode MS"/>
                      <w:sz w:val="20"/>
                      <w:szCs w:val="20"/>
                    </w:rPr>
                    <w:t xml:space="preserve"> basée principalement sur </w:t>
                  </w:r>
                  <w:r w:rsidRPr="00FF415B">
                    <w:rPr>
                      <w:rFonts w:eastAsia="Arial Unicode MS"/>
                      <w:sz w:val="20"/>
                      <w:szCs w:val="20"/>
                    </w:rPr>
                    <w:t>l’élargissement du champ des enquêtes de conjoncture auprès des entreprises aux secteurs du Commerce de gros et des Services marchands non financiers où l’information conjoncturelle n’existait pas jusqu’à présent. Ainsi, les enquêtes de conjoncture réalisées trimestriellement par le HCP couvrent actuellement les secteurs de l’Industrie extractive, de l’industrie manufacturière, de l’énergie, de l’environnement, de la Construction, du Commerce de gros et des Services marchands non financiers.</w:t>
                  </w:r>
                </w:p>
                <w:p w:rsidR="00644242" w:rsidRDefault="00644242" w:rsidP="000B56CB">
                  <w:pPr>
                    <w:tabs>
                      <w:tab w:val="left" w:pos="0"/>
                    </w:tabs>
                    <w:suppressAutoHyphens/>
                    <w:spacing w:before="120" w:after="120"/>
                    <w:jc w:val="both"/>
                    <w:rPr>
                      <w:rFonts w:eastAsia="Arial Unicode MS"/>
                      <w:sz w:val="20"/>
                      <w:szCs w:val="20"/>
                    </w:rPr>
                  </w:pPr>
                  <w:r>
                    <w:rPr>
                      <w:rFonts w:eastAsia="Arial Unicode MS"/>
                      <w:sz w:val="20"/>
                      <w:szCs w:val="20"/>
                    </w:rPr>
                    <w:t xml:space="preserve">Dans ce contexte, la présente note révèle </w:t>
                  </w:r>
                  <w:r w:rsidRPr="007F4BA9">
                    <w:rPr>
                      <w:rFonts w:eastAsia="Arial Unicode MS"/>
                      <w:sz w:val="20"/>
                      <w:szCs w:val="20"/>
                    </w:rPr>
                    <w:t xml:space="preserve">l’appréciation des chefs d’entreprises, telle qu’elle ressort des enquêtes de conjoncture réalisées par le HCP au titre du </w:t>
                  </w:r>
                  <w:r>
                    <w:rPr>
                      <w:rFonts w:eastAsia="Arial Unicode MS"/>
                      <w:sz w:val="20"/>
                      <w:szCs w:val="20"/>
                    </w:rPr>
                    <w:t xml:space="preserve">1er </w:t>
                  </w:r>
                  <w:r w:rsidRPr="007F4BA9">
                    <w:rPr>
                      <w:rFonts w:eastAsia="Arial Unicode MS"/>
                      <w:sz w:val="20"/>
                      <w:szCs w:val="20"/>
                    </w:rPr>
                    <w:t>trimestre 201</w:t>
                  </w:r>
                  <w:r>
                    <w:rPr>
                      <w:rFonts w:eastAsia="Arial Unicode MS"/>
                      <w:sz w:val="20"/>
                      <w:szCs w:val="20"/>
                    </w:rPr>
                    <w:t xml:space="preserve">6 </w:t>
                  </w:r>
                  <w:r w:rsidRPr="007F4BA9">
                    <w:rPr>
                      <w:rFonts w:eastAsia="Arial Unicode MS"/>
                      <w:sz w:val="20"/>
                      <w:szCs w:val="20"/>
                    </w:rPr>
                    <w:t>auprès des entreprises opérant dans le</w:t>
                  </w:r>
                  <w:r>
                    <w:rPr>
                      <w:rFonts w:eastAsia="Arial Unicode MS"/>
                      <w:sz w:val="20"/>
                      <w:szCs w:val="20"/>
                    </w:rPr>
                    <w:t>sdits secteurs</w:t>
                  </w:r>
                  <w:r w:rsidRPr="007F4BA9">
                    <w:rPr>
                      <w:rFonts w:eastAsia="Arial Unicode MS"/>
                      <w:sz w:val="20"/>
                      <w:szCs w:val="20"/>
                    </w:rPr>
                    <w:t xml:space="preserve">. Cette appréciation porte sur l’évolution de l’activité au cours du </w:t>
                  </w:r>
                  <w:r>
                    <w:rPr>
                      <w:rFonts w:eastAsia="Arial Unicode MS"/>
                      <w:sz w:val="20"/>
                      <w:szCs w:val="20"/>
                    </w:rPr>
                    <w:t>4</w:t>
                  </w:r>
                  <w:r w:rsidRPr="00C81D05">
                    <w:rPr>
                      <w:rFonts w:eastAsia="Arial Unicode MS"/>
                      <w:sz w:val="20"/>
                      <w:szCs w:val="20"/>
                      <w:vertAlign w:val="superscript"/>
                    </w:rPr>
                    <w:t>ème</w:t>
                  </w:r>
                  <w:r>
                    <w:rPr>
                      <w:rFonts w:eastAsia="Arial Unicode MS"/>
                      <w:sz w:val="20"/>
                      <w:szCs w:val="20"/>
                    </w:rPr>
                    <w:t xml:space="preserve"> </w:t>
                  </w:r>
                  <w:r w:rsidRPr="007F4BA9">
                    <w:rPr>
                      <w:rFonts w:eastAsia="Arial Unicode MS"/>
                      <w:sz w:val="20"/>
                      <w:szCs w:val="20"/>
                    </w:rPr>
                    <w:t xml:space="preserve">trimestre et les pronostics pour le </w:t>
                  </w:r>
                  <w:r>
                    <w:rPr>
                      <w:rFonts w:eastAsia="Arial Unicode MS"/>
                      <w:sz w:val="20"/>
                      <w:szCs w:val="20"/>
                    </w:rPr>
                    <w:t xml:space="preserve">1er </w:t>
                  </w:r>
                  <w:r w:rsidRPr="007F4BA9">
                    <w:rPr>
                      <w:rFonts w:eastAsia="Arial Unicode MS"/>
                      <w:sz w:val="20"/>
                      <w:szCs w:val="20"/>
                    </w:rPr>
                    <w:t>trimestre 2015.</w:t>
                  </w:r>
                  <w:r>
                    <w:rPr>
                      <w:rFonts w:eastAsia="Arial Unicode MS"/>
                      <w:sz w:val="20"/>
                      <w:szCs w:val="20"/>
                    </w:rPr>
                    <w:t xml:space="preserve"> </w:t>
                  </w:r>
                </w:p>
              </w:txbxContent>
            </v:textbox>
          </v:shape>
        </w:pict>
      </w: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644242" w:rsidP="00644242">
      <w:pPr>
        <w:spacing w:after="240"/>
        <w:ind w:left="360" w:right="-168"/>
        <w:jc w:val="both"/>
        <w:rPr>
          <w:rFonts w:ascii="Trebuchet MS" w:eastAsia="Arial Unicode MS" w:hAnsi="Trebuchet MS"/>
          <w:b/>
          <w:bCs/>
          <w:color w:val="660033"/>
          <w:sz w:val="28"/>
          <w:szCs w:val="28"/>
        </w:rPr>
      </w:pPr>
    </w:p>
    <w:p w:rsidR="00644242" w:rsidRPr="00644242" w:rsidRDefault="007226BE" w:rsidP="00644242">
      <w:pPr>
        <w:spacing w:after="240"/>
        <w:ind w:left="360" w:right="-168"/>
        <w:jc w:val="both"/>
        <w:rPr>
          <w:rFonts w:ascii="Trebuchet MS" w:eastAsia="Arial Unicode MS" w:hAnsi="Trebuchet MS"/>
          <w:b/>
          <w:bCs/>
          <w:color w:val="660033"/>
          <w:sz w:val="28"/>
          <w:szCs w:val="28"/>
        </w:rPr>
      </w:pPr>
      <w:r>
        <w:rPr>
          <w:rFonts w:ascii="Trebuchet MS" w:eastAsia="Arial Unicode MS" w:hAnsi="Trebuchet MS"/>
          <w:b/>
          <w:bCs/>
          <w:color w:val="660033"/>
          <w:sz w:val="28"/>
          <w:szCs w:val="28"/>
        </w:rPr>
        <w:t xml:space="preserve">      </w:t>
      </w:r>
    </w:p>
    <w:p w:rsidR="003A2CE4" w:rsidRPr="001B0372" w:rsidRDefault="00006861" w:rsidP="00F81A11">
      <w:pPr>
        <w:pStyle w:val="Paragraphedeliste"/>
        <w:numPr>
          <w:ilvl w:val="0"/>
          <w:numId w:val="20"/>
        </w:numPr>
        <w:spacing w:after="240"/>
        <w:ind w:right="-168"/>
        <w:jc w:val="both"/>
        <w:rPr>
          <w:rFonts w:ascii="Trebuchet MS" w:eastAsia="Arial Unicode MS" w:hAnsi="Trebuchet MS"/>
          <w:b/>
          <w:bCs/>
          <w:color w:val="660033"/>
          <w:sz w:val="28"/>
          <w:szCs w:val="28"/>
        </w:rPr>
      </w:pPr>
      <w:r w:rsidRPr="001B0372">
        <w:rPr>
          <w:rFonts w:ascii="Trebuchet MS" w:eastAsia="Arial Unicode MS" w:hAnsi="Trebuchet MS"/>
          <w:b/>
          <w:bCs/>
          <w:color w:val="660033"/>
          <w:sz w:val="28"/>
          <w:szCs w:val="28"/>
        </w:rPr>
        <w:t>Appréciation</w:t>
      </w:r>
      <w:r w:rsidR="00FC6CB3" w:rsidRPr="001B0372">
        <w:rPr>
          <w:rFonts w:ascii="Trebuchet MS" w:eastAsia="Arial Unicode MS" w:hAnsi="Trebuchet MS"/>
          <w:b/>
          <w:bCs/>
          <w:color w:val="660033"/>
          <w:sz w:val="28"/>
          <w:szCs w:val="28"/>
        </w:rPr>
        <w:t>s</w:t>
      </w:r>
      <w:r w:rsidR="00744367" w:rsidRPr="001B0372">
        <w:rPr>
          <w:rFonts w:ascii="Trebuchet MS" w:eastAsia="Arial Unicode MS" w:hAnsi="Trebuchet MS"/>
          <w:b/>
          <w:bCs/>
          <w:color w:val="660033"/>
          <w:sz w:val="28"/>
          <w:szCs w:val="28"/>
        </w:rPr>
        <w:t xml:space="preserve"> </w:t>
      </w:r>
      <w:r w:rsidR="008F3532" w:rsidRPr="001B0372">
        <w:rPr>
          <w:rFonts w:ascii="Trebuchet MS" w:eastAsia="Arial Unicode MS" w:hAnsi="Trebuchet MS"/>
          <w:b/>
          <w:bCs/>
          <w:color w:val="660033"/>
          <w:sz w:val="28"/>
          <w:szCs w:val="28"/>
        </w:rPr>
        <w:t xml:space="preserve">des chefs d’entreprises </w:t>
      </w:r>
      <w:r w:rsidR="00600F6D" w:rsidRPr="001B0372">
        <w:rPr>
          <w:rFonts w:ascii="Trebuchet MS" w:eastAsia="Arial Unicode MS" w:hAnsi="Trebuchet MS"/>
          <w:b/>
          <w:bCs/>
          <w:color w:val="660033"/>
          <w:sz w:val="28"/>
          <w:szCs w:val="28"/>
        </w:rPr>
        <w:t xml:space="preserve">pour le </w:t>
      </w:r>
      <w:r w:rsidR="00EF2312">
        <w:rPr>
          <w:rFonts w:ascii="Trebuchet MS" w:eastAsia="Arial Unicode MS" w:hAnsi="Trebuchet MS"/>
          <w:b/>
          <w:bCs/>
          <w:color w:val="660033"/>
          <w:sz w:val="28"/>
          <w:szCs w:val="28"/>
        </w:rPr>
        <w:t>4</w:t>
      </w:r>
      <w:r w:rsidR="001B0372" w:rsidRPr="001B0372">
        <w:rPr>
          <w:rFonts w:ascii="Trebuchet MS" w:eastAsia="Arial Unicode MS" w:hAnsi="Trebuchet MS"/>
          <w:b/>
          <w:bCs/>
          <w:color w:val="660033"/>
          <w:sz w:val="28"/>
          <w:szCs w:val="28"/>
          <w:vertAlign w:val="superscript"/>
        </w:rPr>
        <w:t>ème</w:t>
      </w:r>
      <w:r w:rsidR="001B0372">
        <w:rPr>
          <w:rFonts w:ascii="Trebuchet MS" w:eastAsia="Arial Unicode MS" w:hAnsi="Trebuchet MS"/>
          <w:b/>
          <w:bCs/>
          <w:color w:val="660033"/>
          <w:sz w:val="28"/>
          <w:szCs w:val="28"/>
        </w:rPr>
        <w:t xml:space="preserve"> </w:t>
      </w:r>
      <w:r w:rsidR="00600F6D" w:rsidRPr="001B0372">
        <w:rPr>
          <w:rFonts w:ascii="Trebuchet MS" w:eastAsia="Arial Unicode MS" w:hAnsi="Trebuchet MS"/>
          <w:b/>
          <w:bCs/>
          <w:color w:val="660033"/>
          <w:sz w:val="28"/>
          <w:szCs w:val="28"/>
        </w:rPr>
        <w:t>trimestre 2015</w:t>
      </w:r>
    </w:p>
    <w:p w:rsidR="00A96487" w:rsidRDefault="00A96487" w:rsidP="003A2CE4">
      <w:pPr>
        <w:spacing w:before="120" w:after="120" w:line="276" w:lineRule="auto"/>
        <w:ind w:firstLine="346"/>
        <w:jc w:val="both"/>
        <w:rPr>
          <w:rFonts w:eastAsia="Arial Unicode MS"/>
        </w:rPr>
        <w:sectPr w:rsidR="00A96487" w:rsidSect="00C67995">
          <w:footerReference w:type="first" r:id="rId10"/>
          <w:type w:val="oddPage"/>
          <w:pgSz w:w="11906" w:h="16838"/>
          <w:pgMar w:top="1134" w:right="1134" w:bottom="1134" w:left="1134" w:header="709" w:footer="272" w:gutter="0"/>
          <w:pgNumType w:start="1"/>
          <w:cols w:space="708"/>
          <w:docGrid w:linePitch="360"/>
        </w:sectPr>
      </w:pPr>
    </w:p>
    <w:p w:rsidR="006153E5" w:rsidRPr="004E5E98" w:rsidRDefault="005974B8" w:rsidP="004E5E98">
      <w:pPr>
        <w:pStyle w:val="Paragraphedeliste"/>
        <w:numPr>
          <w:ilvl w:val="1"/>
          <w:numId w:val="23"/>
        </w:numPr>
        <w:spacing w:after="120"/>
        <w:jc w:val="both"/>
        <w:rPr>
          <w:rFonts w:ascii="Trebuchet MS" w:eastAsia="Arial Unicode MS" w:hAnsi="Trebuchet MS"/>
          <w:b/>
          <w:bCs/>
          <w:color w:val="660033"/>
          <w:sz w:val="28"/>
          <w:szCs w:val="28"/>
        </w:rPr>
      </w:pPr>
      <w:r w:rsidRPr="004E5E98">
        <w:rPr>
          <w:rFonts w:ascii="Trebuchet MS" w:eastAsia="Arial Unicode MS" w:hAnsi="Trebuchet MS"/>
          <w:b/>
          <w:bCs/>
          <w:color w:val="660033"/>
          <w:sz w:val="28"/>
          <w:szCs w:val="28"/>
        </w:rPr>
        <w:lastRenderedPageBreak/>
        <w:t>Secteur de l’</w:t>
      </w:r>
      <w:r w:rsidR="00572FD7" w:rsidRPr="004E5E98">
        <w:rPr>
          <w:rFonts w:ascii="Trebuchet MS" w:eastAsia="Arial Unicode MS" w:hAnsi="Trebuchet MS"/>
          <w:b/>
          <w:bCs/>
          <w:color w:val="660033"/>
          <w:sz w:val="28"/>
          <w:szCs w:val="28"/>
        </w:rPr>
        <w:t>Industrie</w:t>
      </w:r>
    </w:p>
    <w:p w:rsidR="00A96487" w:rsidRDefault="003A2CE4" w:rsidP="006153E5">
      <w:pPr>
        <w:spacing w:after="120" w:line="276" w:lineRule="auto"/>
        <w:jc w:val="both"/>
        <w:rPr>
          <w:rFonts w:eastAsia="Arial Unicode MS"/>
          <w:sz w:val="22"/>
          <w:szCs w:val="22"/>
        </w:rPr>
      </w:pPr>
      <w:r w:rsidRPr="00FF24EF">
        <w:rPr>
          <w:rFonts w:eastAsia="Arial Unicode MS"/>
          <w:sz w:val="22"/>
          <w:szCs w:val="22"/>
        </w:rPr>
        <w:t xml:space="preserve">Au </w:t>
      </w:r>
      <w:r w:rsidR="006153E5">
        <w:rPr>
          <w:rFonts w:eastAsia="Arial Unicode MS"/>
          <w:sz w:val="22"/>
          <w:szCs w:val="22"/>
        </w:rPr>
        <w:t>4</w:t>
      </w:r>
      <w:r w:rsidR="006153E5" w:rsidRPr="006153E5">
        <w:rPr>
          <w:rFonts w:eastAsia="Arial Unicode MS"/>
          <w:sz w:val="22"/>
          <w:szCs w:val="22"/>
          <w:vertAlign w:val="superscript"/>
        </w:rPr>
        <w:t>ème</w:t>
      </w:r>
      <w:r w:rsidR="006153E5">
        <w:rPr>
          <w:rFonts w:eastAsia="Arial Unicode MS"/>
          <w:sz w:val="22"/>
          <w:szCs w:val="22"/>
        </w:rPr>
        <w:t xml:space="preserve"> </w:t>
      </w:r>
      <w:r w:rsidRPr="00FF24EF">
        <w:rPr>
          <w:rFonts w:eastAsia="Arial Unicode MS"/>
          <w:sz w:val="22"/>
          <w:szCs w:val="22"/>
        </w:rPr>
        <w:t>trimestre 2015, la production</w:t>
      </w:r>
      <w:r w:rsidR="00744367">
        <w:rPr>
          <w:rFonts w:eastAsia="Arial Unicode MS"/>
          <w:sz w:val="22"/>
          <w:szCs w:val="22"/>
        </w:rPr>
        <w:t xml:space="preserve"> </w:t>
      </w:r>
      <w:r w:rsidR="00D00354" w:rsidRPr="00801153">
        <w:rPr>
          <w:rFonts w:eastAsia="Arial Unicode MS"/>
          <w:b/>
          <w:bCs/>
          <w:color w:val="660033"/>
          <w:sz w:val="22"/>
          <w:szCs w:val="22"/>
        </w:rPr>
        <w:t>industrielle</w:t>
      </w:r>
      <w:r w:rsidR="00801153">
        <w:rPr>
          <w:rFonts w:eastAsia="Arial Unicode MS"/>
          <w:b/>
          <w:bCs/>
          <w:color w:val="660033"/>
          <w:sz w:val="22"/>
          <w:szCs w:val="22"/>
        </w:rPr>
        <w:t xml:space="preserve"> manufacturière </w:t>
      </w:r>
      <w:r w:rsidRPr="00FF24EF">
        <w:rPr>
          <w:rFonts w:eastAsia="Arial Unicode MS"/>
          <w:sz w:val="22"/>
          <w:szCs w:val="22"/>
        </w:rPr>
        <w:t xml:space="preserve">aurait </w:t>
      </w:r>
      <w:r w:rsidR="009D5321" w:rsidRPr="00801153">
        <w:rPr>
          <w:rFonts w:eastAsia="Arial Unicode MS"/>
          <w:sz w:val="22"/>
          <w:szCs w:val="22"/>
        </w:rPr>
        <w:t>connu</w:t>
      </w:r>
      <w:r w:rsidR="002A7221">
        <w:rPr>
          <w:rFonts w:eastAsia="Arial Unicode MS"/>
          <w:sz w:val="22"/>
          <w:szCs w:val="22"/>
        </w:rPr>
        <w:t xml:space="preserve">, </w:t>
      </w:r>
      <w:r w:rsidR="00744367" w:rsidRPr="00801153">
        <w:rPr>
          <w:rFonts w:eastAsia="Arial Unicode MS"/>
          <w:sz w:val="22"/>
          <w:szCs w:val="22"/>
        </w:rPr>
        <w:t xml:space="preserve">selon </w:t>
      </w:r>
      <w:r w:rsidR="00744367">
        <w:rPr>
          <w:rFonts w:eastAsia="Arial Unicode MS"/>
          <w:sz w:val="22"/>
          <w:szCs w:val="22"/>
        </w:rPr>
        <w:t>4</w:t>
      </w:r>
      <w:r w:rsidR="00EF2312">
        <w:rPr>
          <w:rFonts w:eastAsia="Arial Unicode MS"/>
          <w:sz w:val="22"/>
          <w:szCs w:val="22"/>
        </w:rPr>
        <w:t>4</w:t>
      </w:r>
      <w:r w:rsidR="00744367" w:rsidRPr="00801153">
        <w:rPr>
          <w:rFonts w:eastAsia="Arial Unicode MS"/>
          <w:sz w:val="22"/>
          <w:szCs w:val="22"/>
        </w:rPr>
        <w:t>%</w:t>
      </w:r>
      <w:r w:rsidR="00744367">
        <w:rPr>
          <w:rFonts w:eastAsia="Arial Unicode MS"/>
          <w:sz w:val="22"/>
          <w:szCs w:val="22"/>
        </w:rPr>
        <w:t xml:space="preserve"> </w:t>
      </w:r>
      <w:r w:rsidR="00744367" w:rsidRPr="00801153">
        <w:rPr>
          <w:rFonts w:eastAsia="Arial Unicode MS"/>
          <w:sz w:val="22"/>
          <w:szCs w:val="22"/>
        </w:rPr>
        <w:t xml:space="preserve">des patrons une </w:t>
      </w:r>
      <w:r w:rsidR="00EF2312">
        <w:rPr>
          <w:rFonts w:eastAsia="Arial Unicode MS"/>
          <w:sz w:val="22"/>
          <w:szCs w:val="22"/>
        </w:rPr>
        <w:t>hausse</w:t>
      </w:r>
      <w:r w:rsidR="00744367" w:rsidRPr="00801153">
        <w:rPr>
          <w:rFonts w:eastAsia="Arial Unicode MS"/>
          <w:sz w:val="22"/>
          <w:szCs w:val="22"/>
        </w:rPr>
        <w:t xml:space="preserve"> </w:t>
      </w:r>
      <w:r w:rsidR="00744367">
        <w:rPr>
          <w:rFonts w:eastAsia="Arial Unicode MS"/>
          <w:sz w:val="22"/>
          <w:szCs w:val="22"/>
        </w:rPr>
        <w:t xml:space="preserve">et, </w:t>
      </w:r>
      <w:r w:rsidR="00801153" w:rsidRPr="00801153">
        <w:rPr>
          <w:rFonts w:eastAsia="Arial Unicode MS"/>
          <w:sz w:val="22"/>
          <w:szCs w:val="22"/>
        </w:rPr>
        <w:t xml:space="preserve">selon </w:t>
      </w:r>
      <w:r w:rsidR="006B36B6">
        <w:rPr>
          <w:rFonts w:eastAsia="Arial Unicode MS"/>
          <w:sz w:val="22"/>
          <w:szCs w:val="22"/>
        </w:rPr>
        <w:t>24</w:t>
      </w:r>
      <w:r w:rsidR="00801153" w:rsidRPr="00801153">
        <w:rPr>
          <w:rFonts w:eastAsia="Arial Unicode MS"/>
          <w:sz w:val="22"/>
          <w:szCs w:val="22"/>
        </w:rPr>
        <w:t>%</w:t>
      </w:r>
      <w:r w:rsidR="002A7221">
        <w:rPr>
          <w:rFonts w:eastAsia="Arial Unicode MS"/>
          <w:sz w:val="22"/>
          <w:szCs w:val="22"/>
        </w:rPr>
        <w:t xml:space="preserve">, </w:t>
      </w:r>
      <w:r w:rsidR="00744367" w:rsidRPr="00801153">
        <w:rPr>
          <w:rFonts w:eastAsia="Arial Unicode MS"/>
          <w:sz w:val="22"/>
          <w:szCs w:val="22"/>
        </w:rPr>
        <w:t>plutôt</w:t>
      </w:r>
      <w:r w:rsidR="00744367">
        <w:rPr>
          <w:rFonts w:eastAsia="Arial Unicode MS"/>
          <w:sz w:val="22"/>
          <w:szCs w:val="22"/>
        </w:rPr>
        <w:t xml:space="preserve">, une </w:t>
      </w:r>
      <w:r w:rsidR="00EF2312">
        <w:rPr>
          <w:rFonts w:eastAsia="Arial Unicode MS"/>
          <w:sz w:val="22"/>
          <w:szCs w:val="22"/>
        </w:rPr>
        <w:t>baisse</w:t>
      </w:r>
      <w:r w:rsidRPr="00801153">
        <w:rPr>
          <w:rFonts w:eastAsia="Arial Unicode MS"/>
          <w:sz w:val="22"/>
          <w:szCs w:val="22"/>
        </w:rPr>
        <w:t>.</w:t>
      </w:r>
      <w:r w:rsidR="00744367">
        <w:rPr>
          <w:rFonts w:eastAsia="Arial Unicode MS"/>
          <w:sz w:val="22"/>
          <w:szCs w:val="22"/>
        </w:rPr>
        <w:t xml:space="preserve"> </w:t>
      </w:r>
      <w:r w:rsidR="006153E5">
        <w:rPr>
          <w:rFonts w:eastAsia="Arial Unicode MS"/>
          <w:sz w:val="22"/>
          <w:szCs w:val="22"/>
        </w:rPr>
        <w:t>C</w:t>
      </w:r>
      <w:r w:rsidR="00A1572C">
        <w:rPr>
          <w:rFonts w:eastAsia="Arial Unicode MS"/>
          <w:sz w:val="22"/>
          <w:szCs w:val="22"/>
        </w:rPr>
        <w:t>ette</w:t>
      </w:r>
      <w:r w:rsidR="006B36B6">
        <w:rPr>
          <w:rFonts w:eastAsia="Arial Unicode MS"/>
          <w:sz w:val="22"/>
          <w:szCs w:val="22"/>
        </w:rPr>
        <w:t xml:space="preserve"> </w:t>
      </w:r>
      <w:r w:rsidR="004E59A5">
        <w:rPr>
          <w:rFonts w:eastAsia="Arial Unicode MS"/>
          <w:sz w:val="22"/>
          <w:szCs w:val="22"/>
        </w:rPr>
        <w:t>hausse</w:t>
      </w:r>
      <w:r w:rsidR="00744367">
        <w:rPr>
          <w:rFonts w:eastAsia="Arial Unicode MS"/>
          <w:sz w:val="22"/>
          <w:szCs w:val="22"/>
        </w:rPr>
        <w:t xml:space="preserve"> </w:t>
      </w:r>
      <w:r w:rsidRPr="00801153">
        <w:rPr>
          <w:rFonts w:eastAsia="Arial Unicode MS"/>
          <w:sz w:val="22"/>
          <w:szCs w:val="22"/>
        </w:rPr>
        <w:t>aurait</w:t>
      </w:r>
      <w:r w:rsidR="006153E5">
        <w:rPr>
          <w:rFonts w:eastAsia="Arial Unicode MS"/>
          <w:sz w:val="22"/>
          <w:szCs w:val="22"/>
        </w:rPr>
        <w:t xml:space="preserve">, au total, </w:t>
      </w:r>
      <w:r w:rsidR="009D5321" w:rsidRPr="00801153">
        <w:rPr>
          <w:rFonts w:eastAsia="Arial Unicode MS"/>
          <w:sz w:val="22"/>
          <w:szCs w:val="22"/>
        </w:rPr>
        <w:t>été</w:t>
      </w:r>
      <w:r w:rsidR="00A96487">
        <w:rPr>
          <w:rFonts w:eastAsia="Arial Unicode MS"/>
          <w:sz w:val="22"/>
          <w:szCs w:val="22"/>
        </w:rPr>
        <w:t xml:space="preserve"> </w:t>
      </w:r>
      <w:r w:rsidR="006153E5">
        <w:rPr>
          <w:rFonts w:eastAsia="Arial Unicode MS"/>
          <w:sz w:val="22"/>
          <w:szCs w:val="22"/>
        </w:rPr>
        <w:t xml:space="preserve">le résultat d’une </w:t>
      </w:r>
      <w:r w:rsidR="004E59A5">
        <w:rPr>
          <w:rFonts w:eastAsia="Arial Unicode MS"/>
          <w:sz w:val="22"/>
          <w:szCs w:val="22"/>
        </w:rPr>
        <w:t>augmentation</w:t>
      </w:r>
      <w:r w:rsidR="00744367">
        <w:rPr>
          <w:rFonts w:eastAsia="Arial Unicode MS"/>
          <w:sz w:val="22"/>
          <w:szCs w:val="22"/>
        </w:rPr>
        <w:t xml:space="preserve"> </w:t>
      </w:r>
      <w:r w:rsidRPr="00FF24EF">
        <w:rPr>
          <w:rFonts w:eastAsia="Arial Unicode MS"/>
          <w:sz w:val="22"/>
          <w:szCs w:val="22"/>
        </w:rPr>
        <w:t xml:space="preserve">de la production </w:t>
      </w:r>
      <w:r w:rsidR="006153E5">
        <w:rPr>
          <w:rFonts w:eastAsia="Arial Unicode MS"/>
          <w:sz w:val="22"/>
          <w:szCs w:val="22"/>
        </w:rPr>
        <w:t xml:space="preserve">principalement </w:t>
      </w:r>
      <w:r w:rsidRPr="00FF24EF">
        <w:rPr>
          <w:rFonts w:eastAsia="Arial Unicode MS"/>
          <w:sz w:val="22"/>
          <w:szCs w:val="22"/>
        </w:rPr>
        <w:t xml:space="preserve">dans les branches </w:t>
      </w:r>
      <w:r w:rsidR="00302E80">
        <w:rPr>
          <w:rFonts w:eastAsia="Arial Unicode MS"/>
          <w:sz w:val="22"/>
          <w:szCs w:val="22"/>
        </w:rPr>
        <w:t>de</w:t>
      </w:r>
      <w:r w:rsidR="004E59A5">
        <w:rPr>
          <w:rFonts w:eastAsia="Arial Unicode MS"/>
          <w:sz w:val="22"/>
          <w:szCs w:val="22"/>
        </w:rPr>
        <w:t>s</w:t>
      </w:r>
      <w:r w:rsidR="00302E80">
        <w:rPr>
          <w:rFonts w:eastAsia="Arial Unicode MS"/>
          <w:sz w:val="22"/>
          <w:szCs w:val="22"/>
        </w:rPr>
        <w:t xml:space="preserve"> </w:t>
      </w:r>
      <w:r w:rsidRPr="00FF24EF">
        <w:rPr>
          <w:rFonts w:eastAsia="Arial Unicode MS"/>
          <w:sz w:val="22"/>
          <w:szCs w:val="22"/>
        </w:rPr>
        <w:t>«</w:t>
      </w:r>
      <w:r w:rsidR="004E59A5" w:rsidRPr="004E59A5">
        <w:rPr>
          <w:rFonts w:eastAsia="Arial Unicode MS"/>
          <w:sz w:val="22"/>
          <w:szCs w:val="22"/>
        </w:rPr>
        <w:t>Industries alimentaires</w:t>
      </w:r>
      <w:r w:rsidR="00006861">
        <w:rPr>
          <w:rFonts w:eastAsia="Arial Unicode MS"/>
          <w:sz w:val="22"/>
          <w:szCs w:val="22"/>
        </w:rPr>
        <w:t>»</w:t>
      </w:r>
      <w:r w:rsidR="006B36B6">
        <w:rPr>
          <w:rFonts w:eastAsia="Arial Unicode MS"/>
          <w:sz w:val="22"/>
          <w:szCs w:val="22"/>
        </w:rPr>
        <w:t xml:space="preserve">, </w:t>
      </w:r>
      <w:r w:rsidR="00895AA3">
        <w:rPr>
          <w:rFonts w:eastAsia="Arial Unicode MS"/>
          <w:sz w:val="22"/>
          <w:szCs w:val="22"/>
        </w:rPr>
        <w:t xml:space="preserve">et </w:t>
      </w:r>
      <w:r w:rsidRPr="00FF24EF">
        <w:rPr>
          <w:rFonts w:eastAsia="Arial Unicode MS"/>
          <w:sz w:val="22"/>
          <w:szCs w:val="22"/>
        </w:rPr>
        <w:t>de</w:t>
      </w:r>
      <w:r w:rsidR="00881864">
        <w:rPr>
          <w:rFonts w:eastAsia="Arial Unicode MS"/>
          <w:sz w:val="22"/>
          <w:szCs w:val="22"/>
        </w:rPr>
        <w:t xml:space="preserve"> </w:t>
      </w:r>
      <w:r w:rsidR="006153E5">
        <w:rPr>
          <w:rFonts w:eastAsia="Arial Unicode MS"/>
          <w:sz w:val="22"/>
          <w:szCs w:val="22"/>
        </w:rPr>
        <w:t>l’</w:t>
      </w:r>
      <w:r w:rsidRPr="00FF24EF">
        <w:rPr>
          <w:rFonts w:eastAsia="Arial Unicode MS"/>
          <w:sz w:val="22"/>
          <w:szCs w:val="22"/>
        </w:rPr>
        <w:t>«</w:t>
      </w:r>
      <w:r w:rsidR="004E59A5" w:rsidRPr="004E59A5">
        <w:rPr>
          <w:rFonts w:eastAsia="Arial Unicode MS"/>
          <w:sz w:val="22"/>
          <w:szCs w:val="22"/>
        </w:rPr>
        <w:t>Industrie automobile</w:t>
      </w:r>
      <w:r w:rsidRPr="00FF24EF">
        <w:rPr>
          <w:rFonts w:eastAsia="Arial Unicode MS"/>
          <w:sz w:val="22"/>
          <w:szCs w:val="22"/>
        </w:rPr>
        <w:t>».</w:t>
      </w:r>
    </w:p>
    <w:p w:rsidR="00283E97" w:rsidRDefault="00283E97" w:rsidP="00280A14">
      <w:pPr>
        <w:spacing w:after="120" w:line="276" w:lineRule="auto"/>
        <w:jc w:val="both"/>
        <w:rPr>
          <w:rFonts w:eastAsia="Arial Unicode MS"/>
          <w:sz w:val="22"/>
          <w:szCs w:val="22"/>
        </w:rPr>
      </w:pPr>
      <w:r>
        <w:rPr>
          <w:rFonts w:eastAsia="Arial Unicode MS"/>
          <w:sz w:val="22"/>
          <w:szCs w:val="22"/>
        </w:rPr>
        <w:t>D’un autre côté, l</w:t>
      </w:r>
      <w:r w:rsidRPr="00FF24EF">
        <w:rPr>
          <w:rFonts w:eastAsia="Arial Unicode MS"/>
          <w:sz w:val="22"/>
          <w:szCs w:val="22"/>
        </w:rPr>
        <w:t xml:space="preserve">es carnets de commandes </w:t>
      </w:r>
      <w:r>
        <w:rPr>
          <w:rFonts w:eastAsia="Arial Unicode MS"/>
          <w:sz w:val="22"/>
          <w:szCs w:val="22"/>
        </w:rPr>
        <w:t xml:space="preserve">du secteur manufacturier </w:t>
      </w:r>
      <w:r w:rsidRPr="00FF24EF">
        <w:rPr>
          <w:rFonts w:eastAsia="Arial Unicode MS"/>
          <w:sz w:val="22"/>
          <w:szCs w:val="22"/>
        </w:rPr>
        <w:t xml:space="preserve">ont été jugés d’un niveau normal par </w:t>
      </w:r>
      <w:r w:rsidR="00280A14">
        <w:rPr>
          <w:rFonts w:eastAsia="Arial Unicode MS"/>
          <w:sz w:val="22"/>
          <w:szCs w:val="22"/>
        </w:rPr>
        <w:t xml:space="preserve">plus des deux tiers </w:t>
      </w:r>
      <w:r>
        <w:rPr>
          <w:rFonts w:eastAsia="Arial Unicode MS"/>
          <w:sz w:val="22"/>
          <w:szCs w:val="22"/>
        </w:rPr>
        <w:t>(68%) des chefs d’entreprises et</w:t>
      </w:r>
      <w:r w:rsidRPr="00FF24EF">
        <w:rPr>
          <w:rFonts w:eastAsia="Arial Unicode MS"/>
          <w:sz w:val="22"/>
          <w:szCs w:val="22"/>
        </w:rPr>
        <w:t xml:space="preserve"> peu garni</w:t>
      </w:r>
      <w:r>
        <w:rPr>
          <w:rFonts w:eastAsia="Arial Unicode MS"/>
          <w:sz w:val="22"/>
          <w:szCs w:val="22"/>
        </w:rPr>
        <w:t>s</w:t>
      </w:r>
      <w:r w:rsidRPr="00FF24EF">
        <w:rPr>
          <w:rFonts w:eastAsia="Arial Unicode MS"/>
          <w:sz w:val="22"/>
          <w:szCs w:val="22"/>
        </w:rPr>
        <w:t xml:space="preserve"> par </w:t>
      </w:r>
      <w:r>
        <w:rPr>
          <w:rFonts w:eastAsia="Arial Unicode MS"/>
          <w:sz w:val="22"/>
          <w:szCs w:val="22"/>
        </w:rPr>
        <w:t>23%.</w:t>
      </w:r>
    </w:p>
    <w:p w:rsidR="00283E97" w:rsidRPr="00CE3972" w:rsidRDefault="00283E97" w:rsidP="00E72DEE">
      <w:pPr>
        <w:spacing w:after="120" w:line="276" w:lineRule="auto"/>
        <w:jc w:val="both"/>
        <w:rPr>
          <w:rFonts w:eastAsia="Arial Unicode MS"/>
          <w:sz w:val="22"/>
          <w:szCs w:val="22"/>
        </w:rPr>
      </w:pPr>
      <w:r w:rsidRPr="00801153">
        <w:rPr>
          <w:rFonts w:eastAsia="Arial Unicode MS"/>
          <w:sz w:val="22"/>
          <w:szCs w:val="22"/>
        </w:rPr>
        <w:t>Quant à</w:t>
      </w:r>
      <w:r>
        <w:rPr>
          <w:rFonts w:eastAsia="Arial Unicode MS"/>
          <w:sz w:val="22"/>
          <w:szCs w:val="22"/>
        </w:rPr>
        <w:t xml:space="preserve"> </w:t>
      </w:r>
      <w:r w:rsidRPr="00FF24EF">
        <w:rPr>
          <w:rFonts w:eastAsia="Arial Unicode MS"/>
          <w:sz w:val="22"/>
          <w:szCs w:val="22"/>
        </w:rPr>
        <w:t>l’emp</w:t>
      </w:r>
      <w:r>
        <w:rPr>
          <w:rFonts w:eastAsia="Arial Unicode MS"/>
          <w:sz w:val="22"/>
          <w:szCs w:val="22"/>
        </w:rPr>
        <w:t xml:space="preserve">loi, il aurait connu, selon la moitié des patrons, un </w:t>
      </w:r>
      <w:r w:rsidR="00E72DEE">
        <w:rPr>
          <w:rFonts w:eastAsia="Arial Unicode MS"/>
          <w:sz w:val="22"/>
          <w:szCs w:val="22"/>
        </w:rPr>
        <w:t xml:space="preserve">accroissement d’effectif </w:t>
      </w:r>
      <w:r w:rsidRPr="00801153">
        <w:rPr>
          <w:rFonts w:eastAsia="Arial Unicode MS"/>
          <w:sz w:val="22"/>
          <w:szCs w:val="22"/>
        </w:rPr>
        <w:t>et</w:t>
      </w:r>
      <w:r>
        <w:rPr>
          <w:rFonts w:eastAsia="Arial Unicode MS"/>
          <w:sz w:val="22"/>
          <w:szCs w:val="22"/>
        </w:rPr>
        <w:t xml:space="preserve">, </w:t>
      </w:r>
      <w:r w:rsidRPr="00801153">
        <w:rPr>
          <w:rFonts w:eastAsia="Arial Unicode MS"/>
          <w:sz w:val="22"/>
          <w:szCs w:val="22"/>
        </w:rPr>
        <w:t xml:space="preserve">selon </w:t>
      </w:r>
      <w:r>
        <w:rPr>
          <w:rFonts w:eastAsia="Arial Unicode MS"/>
          <w:sz w:val="22"/>
          <w:szCs w:val="22"/>
        </w:rPr>
        <w:t>21</w:t>
      </w:r>
      <w:r w:rsidRPr="00801153">
        <w:rPr>
          <w:rFonts w:eastAsia="Arial Unicode MS"/>
          <w:sz w:val="22"/>
          <w:szCs w:val="22"/>
        </w:rPr>
        <w:t>%</w:t>
      </w:r>
      <w:r>
        <w:rPr>
          <w:rFonts w:eastAsia="Arial Unicode MS"/>
          <w:sz w:val="22"/>
          <w:szCs w:val="22"/>
        </w:rPr>
        <w:t xml:space="preserve">, </w:t>
      </w:r>
      <w:r w:rsidR="00E72DEE">
        <w:rPr>
          <w:rFonts w:eastAsia="Arial Unicode MS"/>
          <w:sz w:val="22"/>
          <w:szCs w:val="22"/>
        </w:rPr>
        <w:t xml:space="preserve">plutôt, </w:t>
      </w:r>
      <w:r w:rsidRPr="00801153">
        <w:rPr>
          <w:rFonts w:eastAsia="Arial Unicode MS"/>
          <w:sz w:val="22"/>
          <w:szCs w:val="22"/>
        </w:rPr>
        <w:t xml:space="preserve">une </w:t>
      </w:r>
      <w:r w:rsidR="00E72DEE">
        <w:rPr>
          <w:rFonts w:eastAsia="Arial Unicode MS"/>
          <w:sz w:val="22"/>
          <w:szCs w:val="22"/>
        </w:rPr>
        <w:t>réduction.</w:t>
      </w:r>
      <w:r w:rsidRPr="00801153">
        <w:rPr>
          <w:rFonts w:eastAsia="Arial Unicode MS"/>
          <w:sz w:val="22"/>
          <w:szCs w:val="22"/>
        </w:rPr>
        <w:t xml:space="preserve"> </w:t>
      </w:r>
      <w:r w:rsidRPr="00FF24EF">
        <w:rPr>
          <w:rFonts w:eastAsia="Arial Unicode MS"/>
          <w:sz w:val="22"/>
          <w:szCs w:val="22"/>
        </w:rPr>
        <w:t xml:space="preserve">Dans ce contexte, </w:t>
      </w:r>
      <w:r w:rsidRPr="00CE3972">
        <w:rPr>
          <w:rFonts w:eastAsia="Arial Unicode MS"/>
          <w:sz w:val="22"/>
          <w:szCs w:val="22"/>
        </w:rPr>
        <w:t xml:space="preserve">le taux d’utilisation de la capacité productive (TUC) se serait établi à </w:t>
      </w:r>
      <w:r>
        <w:rPr>
          <w:rFonts w:eastAsia="Arial Unicode MS"/>
          <w:sz w:val="22"/>
          <w:szCs w:val="22"/>
        </w:rPr>
        <w:t>75</w:t>
      </w:r>
      <w:r w:rsidRPr="00CE3972">
        <w:rPr>
          <w:rFonts w:eastAsia="Arial Unicode MS"/>
          <w:sz w:val="22"/>
          <w:szCs w:val="22"/>
        </w:rPr>
        <w:t xml:space="preserve">% au </w:t>
      </w:r>
      <w:r w:rsidR="00E72DEE">
        <w:rPr>
          <w:rFonts w:eastAsia="Arial Unicode MS"/>
          <w:sz w:val="22"/>
          <w:szCs w:val="22"/>
        </w:rPr>
        <w:t>4</w:t>
      </w:r>
      <w:r w:rsidR="00E72DEE" w:rsidRPr="00E72DEE">
        <w:rPr>
          <w:rFonts w:eastAsia="Arial Unicode MS"/>
          <w:sz w:val="22"/>
          <w:szCs w:val="22"/>
          <w:vertAlign w:val="superscript"/>
        </w:rPr>
        <w:t>ème</w:t>
      </w:r>
      <w:r w:rsidR="00E72DEE">
        <w:rPr>
          <w:rFonts w:eastAsia="Arial Unicode MS"/>
          <w:sz w:val="22"/>
          <w:szCs w:val="22"/>
        </w:rPr>
        <w:t xml:space="preserve"> </w:t>
      </w:r>
      <w:r w:rsidRPr="00CE3972">
        <w:rPr>
          <w:rFonts w:eastAsia="Arial Unicode MS"/>
          <w:sz w:val="22"/>
          <w:szCs w:val="22"/>
        </w:rPr>
        <w:t xml:space="preserve">trimestre 2015. </w:t>
      </w:r>
    </w:p>
    <w:p w:rsidR="00A96487" w:rsidRDefault="00A96487" w:rsidP="00A96487">
      <w:pPr>
        <w:spacing w:after="120" w:line="276" w:lineRule="auto"/>
        <w:jc w:val="both"/>
        <w:rPr>
          <w:rFonts w:eastAsia="Arial Unicode MS"/>
          <w:sz w:val="22"/>
          <w:szCs w:val="22"/>
        </w:rPr>
        <w:sectPr w:rsidR="00A96487" w:rsidSect="00A96487">
          <w:type w:val="continuous"/>
          <w:pgSz w:w="11906" w:h="16838"/>
          <w:pgMar w:top="1134" w:right="1134" w:bottom="1134" w:left="1134" w:header="708" w:footer="275" w:gutter="0"/>
          <w:pgNumType w:start="1"/>
          <w:cols w:num="2" w:space="708"/>
          <w:titlePg/>
          <w:docGrid w:linePitch="360"/>
        </w:sectPr>
      </w:pPr>
      <w:r w:rsidRPr="00A96487">
        <w:rPr>
          <w:rFonts w:eastAsia="Arial Unicode MS"/>
          <w:noProof/>
          <w:sz w:val="22"/>
          <w:szCs w:val="22"/>
        </w:rPr>
        <w:lastRenderedPageBreak/>
        <w:drawing>
          <wp:inline distT="0" distB="0" distL="0" distR="0">
            <wp:extent cx="3438525" cy="3457575"/>
            <wp:effectExtent l="0" t="0" r="0" b="0"/>
            <wp:docPr id="8" name="Obje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162300"/>
                      <a:chOff x="0" y="0"/>
                      <a:chExt cx="4572000" cy="3162300"/>
                    </a:xfrm>
                  </a:grpSpPr>
                  <a:grpSp>
                    <a:nvGrpSpPr>
                      <a:cNvPr id="23" name="Groupe 22"/>
                      <a:cNvGrpSpPr/>
                    </a:nvGrpSpPr>
                    <a:grpSpPr>
                      <a:xfrm>
                        <a:off x="0" y="0"/>
                        <a:ext cx="4572000" cy="3162300"/>
                        <a:chOff x="0" y="0"/>
                        <a:chExt cx="4572000" cy="3162300"/>
                      </a:xfrm>
                    </a:grpSpPr>
                    <a:graphicFrame>
                      <a:nvGraphicFramePr>
                        <a:cNvPr id="3" name="Graphique 2"/>
                        <a:cNvGraphicFramePr/>
                      </a:nvGraphicFramePr>
                      <a:graphic>
                        <a:graphicData uri="http://schemas.openxmlformats.org/drawingml/2006/chart">
                          <c:chart xmlns:c="http://schemas.openxmlformats.org/drawingml/2006/chart" xmlns:r="http://schemas.openxmlformats.org/officeDocument/2006/relationships" r:id="rId11"/>
                        </a:graphicData>
                      </a:graphic>
                      <a:xfrm>
                        <a:off x="0" y="419100"/>
                        <a:ext cx="4572000" cy="2743200"/>
                      </a:xfrm>
                    </a:graphicFrame>
                    <a:sp>
                      <a:nvSpPr>
                        <a:cNvPr id="13" name="ZoneTexte 12"/>
                        <a:cNvSpPr txBox="1"/>
                      </a:nvSpPr>
                      <a:spPr>
                        <a:xfrm>
                          <a:off x="304800" y="0"/>
                          <a:ext cx="3784600" cy="457200"/>
                        </a:xfrm>
                        <a:prstGeom prst="rect">
                          <a:avLst/>
                        </a:prstGeom>
                        <a:solidFill>
                          <a:schemeClr val="lt1"/>
                        </a:solid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rtl="0" eaLnBrk="1" fontAlgn="auto" latinLnBrk="0" hangingPunct="1">
                              <a:lnSpc>
                                <a:spcPct val="100000"/>
                              </a:lnSpc>
                              <a:spcBef>
                                <a:spcPts val="0"/>
                              </a:spcBef>
                              <a:spcAft>
                                <a:spcPts val="0"/>
                              </a:spcAft>
                              <a:buClrTx/>
                              <a:buSzTx/>
                              <a:buFontTx/>
                              <a:buNone/>
                              <a:tabLst/>
                              <a:defRPr/>
                            </a:pPr>
                            <a:r>
                              <a:rPr lang="fr-FR" sz="1100" b="1" i="0" baseline="0">
                                <a:solidFill>
                                  <a:schemeClr val="dk1"/>
                                </a:solidFill>
                                <a:latin typeface="+mn-lt"/>
                                <a:ea typeface="+mn-ea"/>
                                <a:cs typeface="+mn-cs"/>
                              </a:rPr>
                              <a:t>Opinion des entreprises dans l'industrie manufacturière, proportion en % </a:t>
                            </a:r>
                            <a:endParaRPr lang="fr-FR"/>
                          </a:p>
                          <a:p>
                            <a:pPr algn="ct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483758" w:rsidRDefault="004E2DD7">
      <w:pPr>
        <w:rPr>
          <w:rFonts w:eastAsia="Arial Unicode MS"/>
          <w:sz w:val="22"/>
          <w:szCs w:val="22"/>
        </w:rPr>
      </w:pPr>
      <w:r>
        <w:rPr>
          <w:rFonts w:eastAsia="Arial Unicode MS"/>
          <w:noProof/>
          <w:sz w:val="22"/>
          <w:szCs w:val="22"/>
        </w:rPr>
        <w:lastRenderedPageBreak/>
        <w:drawing>
          <wp:anchor distT="0" distB="0" distL="0" distR="0" simplePos="0" relativeHeight="251666432" behindDoc="0" locked="0" layoutInCell="1" allowOverlap="1">
            <wp:simplePos x="0" y="0"/>
            <wp:positionH relativeFrom="column">
              <wp:posOffset>3291205</wp:posOffset>
            </wp:positionH>
            <wp:positionV relativeFrom="paragraph">
              <wp:posOffset>65405</wp:posOffset>
            </wp:positionV>
            <wp:extent cx="3000375" cy="2714625"/>
            <wp:effectExtent l="0" t="0" r="0" b="0"/>
            <wp:wrapSquare wrapText="bothSides"/>
            <wp:docPr id="19" name="Obje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060700"/>
                      <a:chOff x="0" y="0"/>
                      <a:chExt cx="4572000" cy="3060700"/>
                    </a:xfrm>
                  </a:grpSpPr>
                  <a:grpSp>
                    <a:nvGrpSpPr>
                      <a:cNvPr id="16" name="Groupe 15"/>
                      <a:cNvGrpSpPr/>
                    </a:nvGrpSpPr>
                    <a:grpSpPr>
                      <a:xfrm>
                        <a:off x="0" y="0"/>
                        <a:ext cx="4572000" cy="3060700"/>
                        <a:chOff x="0" y="0"/>
                        <a:chExt cx="4572000" cy="3060700"/>
                      </a:xfrm>
                    </a:grpSpPr>
                    <a:graphicFrame>
                      <a:nvGraphicFramePr>
                        <a:cNvPr id="5" name="Graphique 4"/>
                        <a:cNvGraphicFramePr/>
                      </a:nvGraphicFramePr>
                      <a:graphic>
                        <a:graphicData uri="http://schemas.openxmlformats.org/drawingml/2006/chart">
                          <c:chart xmlns:c="http://schemas.openxmlformats.org/drawingml/2006/chart" xmlns:r="http://schemas.openxmlformats.org/officeDocument/2006/relationships" r:id="rId12"/>
                        </a:graphicData>
                      </a:graphic>
                      <a:xfrm>
                        <a:off x="0" y="317500"/>
                        <a:ext cx="4572000" cy="2743200"/>
                      </a:xfrm>
                    </a:graphicFrame>
                    <a:sp>
                      <a:nvSpPr>
                        <a:cNvPr id="15" name="ZoneTexte 14"/>
                        <a:cNvSpPr txBox="1"/>
                      </a:nvSpPr>
                      <a:spPr>
                        <a:xfrm>
                          <a:off x="355600" y="0"/>
                          <a:ext cx="3619500" cy="558800"/>
                        </a:xfrm>
                        <a:prstGeom prst="rect">
                          <a:avLst/>
                        </a:prstGeom>
                        <a:no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fr-FR" sz="1100" b="1" i="0" baseline="0"/>
                              <a:t>Opinion des entreprises dans l'industrie extractive, proportion en % </a:t>
                            </a: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anchor>
        </w:drawing>
      </w:r>
    </w:p>
    <w:p w:rsidR="00483758" w:rsidRDefault="00483758" w:rsidP="00E72DEE">
      <w:pPr>
        <w:spacing w:after="120" w:line="276" w:lineRule="auto"/>
        <w:ind w:left="-284"/>
        <w:jc w:val="both"/>
        <w:rPr>
          <w:rFonts w:eastAsia="Arial Unicode MS"/>
          <w:sz w:val="22"/>
          <w:szCs w:val="22"/>
        </w:rPr>
      </w:pPr>
      <w:r>
        <w:rPr>
          <w:rFonts w:eastAsia="Arial Unicode MS"/>
          <w:sz w:val="22"/>
          <w:szCs w:val="22"/>
        </w:rPr>
        <w:t xml:space="preserve">S’agissant du secteur des </w:t>
      </w:r>
      <w:r w:rsidRPr="00280A14">
        <w:rPr>
          <w:rFonts w:eastAsia="Arial Unicode MS"/>
          <w:b/>
          <w:bCs/>
          <w:color w:val="660033"/>
          <w:sz w:val="22"/>
          <w:szCs w:val="22"/>
        </w:rPr>
        <w:t>mines</w:t>
      </w:r>
      <w:r>
        <w:rPr>
          <w:rFonts w:eastAsia="Arial Unicode MS"/>
          <w:sz w:val="22"/>
          <w:szCs w:val="22"/>
        </w:rPr>
        <w:t xml:space="preserve">, la production aurait affiché, selon la majorité des chefs d’entreprises une baisse </w:t>
      </w:r>
      <w:r w:rsidR="00E72DEE">
        <w:rPr>
          <w:rFonts w:eastAsia="Arial Unicode MS"/>
          <w:sz w:val="22"/>
          <w:szCs w:val="22"/>
        </w:rPr>
        <w:t xml:space="preserve">expliquée </w:t>
      </w:r>
      <w:r>
        <w:rPr>
          <w:rFonts w:eastAsia="Arial Unicode MS"/>
          <w:sz w:val="22"/>
          <w:szCs w:val="22"/>
        </w:rPr>
        <w:t xml:space="preserve">principalement </w:t>
      </w:r>
      <w:r w:rsidR="00E72DEE">
        <w:rPr>
          <w:rFonts w:eastAsia="Arial Unicode MS"/>
          <w:sz w:val="22"/>
          <w:szCs w:val="22"/>
        </w:rPr>
        <w:t>par u</w:t>
      </w:r>
      <w:r>
        <w:rPr>
          <w:rFonts w:eastAsia="Arial Unicode MS"/>
          <w:sz w:val="22"/>
          <w:szCs w:val="22"/>
        </w:rPr>
        <w:t xml:space="preserve">ne </w:t>
      </w:r>
      <w:r w:rsidR="00E72DEE">
        <w:rPr>
          <w:rFonts w:eastAsia="Arial Unicode MS"/>
          <w:sz w:val="22"/>
          <w:szCs w:val="22"/>
        </w:rPr>
        <w:t xml:space="preserve">réduction </w:t>
      </w:r>
      <w:r>
        <w:rPr>
          <w:rFonts w:eastAsia="Arial Unicode MS"/>
          <w:sz w:val="22"/>
          <w:szCs w:val="22"/>
        </w:rPr>
        <w:t xml:space="preserve">de la production de la branche des  « Autres industries </w:t>
      </w:r>
      <w:r w:rsidR="008B1E64">
        <w:rPr>
          <w:rFonts w:eastAsia="Arial Unicode MS"/>
          <w:sz w:val="22"/>
          <w:szCs w:val="22"/>
        </w:rPr>
        <w:t>extractives »  dominée par l</w:t>
      </w:r>
      <w:r w:rsidR="00E72DEE">
        <w:rPr>
          <w:rFonts w:eastAsia="Arial Unicode MS"/>
          <w:sz w:val="22"/>
          <w:szCs w:val="22"/>
        </w:rPr>
        <w:t xml:space="preserve">es activités des </w:t>
      </w:r>
      <w:r w:rsidR="008B1E64">
        <w:rPr>
          <w:rFonts w:eastAsia="Arial Unicode MS"/>
          <w:sz w:val="22"/>
          <w:szCs w:val="22"/>
        </w:rPr>
        <w:t>phosphates</w:t>
      </w:r>
      <w:r>
        <w:rPr>
          <w:rFonts w:eastAsia="Arial Unicode MS"/>
          <w:sz w:val="22"/>
          <w:szCs w:val="22"/>
        </w:rPr>
        <w:t>.</w:t>
      </w:r>
    </w:p>
    <w:p w:rsidR="00AB24B6" w:rsidRDefault="00AB24B6" w:rsidP="006153E5">
      <w:pPr>
        <w:spacing w:after="120" w:line="276" w:lineRule="auto"/>
        <w:ind w:left="-284"/>
        <w:jc w:val="both"/>
        <w:rPr>
          <w:rFonts w:eastAsia="Arial Unicode MS"/>
          <w:sz w:val="22"/>
          <w:szCs w:val="22"/>
        </w:rPr>
      </w:pPr>
      <w:r w:rsidRPr="00A13AFA">
        <w:rPr>
          <w:rFonts w:eastAsia="Arial Unicode MS"/>
          <w:sz w:val="22"/>
          <w:szCs w:val="22"/>
        </w:rPr>
        <w:t>La situation des carnets de commande</w:t>
      </w:r>
      <w:r w:rsidR="00405781">
        <w:rPr>
          <w:rFonts w:eastAsia="Arial Unicode MS"/>
          <w:sz w:val="22"/>
          <w:szCs w:val="22"/>
        </w:rPr>
        <w:t>s</w:t>
      </w:r>
      <w:r w:rsidRPr="00A13AFA">
        <w:rPr>
          <w:rFonts w:eastAsia="Arial Unicode MS"/>
          <w:sz w:val="22"/>
          <w:szCs w:val="22"/>
        </w:rPr>
        <w:t xml:space="preserve"> a été, par ailleurs, jugée d’un niveau normal par la plupart des chefs d’entreprises de ce secteur.</w:t>
      </w:r>
      <w:r w:rsidRPr="00FF24EF">
        <w:rPr>
          <w:rFonts w:eastAsia="Arial Unicode MS"/>
          <w:sz w:val="22"/>
          <w:szCs w:val="22"/>
        </w:rPr>
        <w:t xml:space="preserve"> L’emploi, de son côté, aurait connu une stabilité selon </w:t>
      </w:r>
      <w:r w:rsidRPr="004249F6">
        <w:rPr>
          <w:rFonts w:eastAsia="Arial Unicode MS"/>
          <w:sz w:val="22"/>
          <w:szCs w:val="22"/>
        </w:rPr>
        <w:t xml:space="preserve">la </w:t>
      </w:r>
      <w:r w:rsidRPr="00AB24B6">
        <w:rPr>
          <w:rFonts w:eastAsia="Arial Unicode MS"/>
          <w:sz w:val="22"/>
          <w:szCs w:val="22"/>
        </w:rPr>
        <w:t>quasi-totalité des patrons</w:t>
      </w:r>
      <w:r w:rsidRPr="00FF24EF">
        <w:rPr>
          <w:rFonts w:eastAsia="Arial Unicode MS"/>
          <w:sz w:val="22"/>
          <w:szCs w:val="22"/>
        </w:rPr>
        <w:t xml:space="preserve">. Pour ce qui </w:t>
      </w:r>
      <w:r w:rsidRPr="00602C7C">
        <w:rPr>
          <w:rFonts w:eastAsia="Arial Unicode MS"/>
          <w:sz w:val="22"/>
          <w:szCs w:val="22"/>
        </w:rPr>
        <w:t xml:space="preserve">est du TUC, il se serait établi, dans  ce secteur, à </w:t>
      </w:r>
      <w:r w:rsidR="005B5B99">
        <w:rPr>
          <w:rFonts w:eastAsia="Arial Unicode MS"/>
          <w:sz w:val="22"/>
          <w:szCs w:val="22"/>
        </w:rPr>
        <w:t>8</w:t>
      </w:r>
      <w:r w:rsidR="00405781">
        <w:rPr>
          <w:rFonts w:eastAsia="Arial Unicode MS"/>
          <w:sz w:val="22"/>
          <w:szCs w:val="22"/>
        </w:rPr>
        <w:t>6</w:t>
      </w:r>
      <w:r w:rsidRPr="00602C7C">
        <w:rPr>
          <w:rFonts w:eastAsia="Arial Unicode MS"/>
          <w:sz w:val="22"/>
          <w:szCs w:val="22"/>
        </w:rPr>
        <w:t>%</w:t>
      </w:r>
      <w:r w:rsidR="00DE26C3">
        <w:rPr>
          <w:rFonts w:eastAsia="Arial Unicode MS"/>
          <w:sz w:val="22"/>
          <w:szCs w:val="22"/>
        </w:rPr>
        <w:t>,</w:t>
      </w:r>
      <w:r w:rsidR="00744367">
        <w:rPr>
          <w:rFonts w:eastAsia="Arial Unicode MS"/>
          <w:sz w:val="22"/>
          <w:szCs w:val="22"/>
        </w:rPr>
        <w:t xml:space="preserve"> </w:t>
      </w:r>
      <w:r w:rsidRPr="00801153">
        <w:rPr>
          <w:rFonts w:eastAsia="Arial Unicode MS"/>
          <w:sz w:val="22"/>
          <w:szCs w:val="22"/>
        </w:rPr>
        <w:t xml:space="preserve">au </w:t>
      </w:r>
      <w:r w:rsidR="006153E5">
        <w:rPr>
          <w:rFonts w:eastAsia="Arial Unicode MS"/>
          <w:sz w:val="22"/>
          <w:szCs w:val="22"/>
        </w:rPr>
        <w:t>4</w:t>
      </w:r>
      <w:r w:rsidR="006153E5" w:rsidRPr="006153E5">
        <w:rPr>
          <w:rFonts w:eastAsia="Arial Unicode MS"/>
          <w:sz w:val="22"/>
          <w:szCs w:val="22"/>
          <w:vertAlign w:val="superscript"/>
        </w:rPr>
        <w:t>ème</w:t>
      </w:r>
      <w:r w:rsidR="006153E5">
        <w:rPr>
          <w:rFonts w:eastAsia="Arial Unicode MS"/>
          <w:sz w:val="22"/>
          <w:szCs w:val="22"/>
        </w:rPr>
        <w:t xml:space="preserve"> </w:t>
      </w:r>
      <w:r w:rsidR="00405781">
        <w:rPr>
          <w:rFonts w:eastAsia="Arial Unicode MS"/>
          <w:sz w:val="22"/>
          <w:szCs w:val="22"/>
        </w:rPr>
        <w:t xml:space="preserve">trimestre </w:t>
      </w:r>
      <w:r w:rsidRPr="00AB24B6">
        <w:rPr>
          <w:rFonts w:eastAsia="Arial Unicode MS"/>
          <w:sz w:val="22"/>
          <w:szCs w:val="22"/>
        </w:rPr>
        <w:t>2015</w:t>
      </w:r>
      <w:r w:rsidRPr="00602C7C">
        <w:rPr>
          <w:rFonts w:eastAsia="Arial Unicode MS"/>
          <w:sz w:val="22"/>
          <w:szCs w:val="22"/>
        </w:rPr>
        <w:t>.</w:t>
      </w:r>
    </w:p>
    <w:p w:rsidR="00A96487" w:rsidRDefault="00A96487" w:rsidP="007D2263">
      <w:pPr>
        <w:spacing w:after="120" w:line="276" w:lineRule="auto"/>
        <w:jc w:val="both"/>
        <w:rPr>
          <w:rFonts w:eastAsia="Arial Unicode MS"/>
          <w:sz w:val="12"/>
          <w:szCs w:val="12"/>
        </w:rPr>
        <w:sectPr w:rsidR="00A96487" w:rsidSect="00A96487">
          <w:type w:val="continuous"/>
          <w:pgSz w:w="11906" w:h="16838"/>
          <w:pgMar w:top="1258" w:right="1417" w:bottom="1258" w:left="1417" w:header="708" w:footer="275" w:gutter="0"/>
          <w:pgNumType w:start="1"/>
          <w:cols w:space="708"/>
          <w:titlePg/>
          <w:docGrid w:linePitch="360"/>
        </w:sectPr>
      </w:pPr>
    </w:p>
    <w:p w:rsidR="00A96487" w:rsidRDefault="00A96487" w:rsidP="007D2263">
      <w:pPr>
        <w:spacing w:after="120" w:line="276" w:lineRule="auto"/>
        <w:jc w:val="both"/>
        <w:rPr>
          <w:rFonts w:eastAsia="Arial Unicode MS"/>
          <w:sz w:val="12"/>
          <w:szCs w:val="12"/>
        </w:rPr>
        <w:sectPr w:rsidR="00A96487" w:rsidSect="00A96487">
          <w:type w:val="continuous"/>
          <w:pgSz w:w="11906" w:h="16838"/>
          <w:pgMar w:top="1258" w:right="1417" w:bottom="1258" w:left="1417" w:header="708" w:footer="275" w:gutter="0"/>
          <w:pgNumType w:start="1"/>
          <w:cols w:num="2" w:space="708"/>
          <w:titlePg/>
          <w:docGrid w:linePitch="360"/>
        </w:sectPr>
      </w:pPr>
    </w:p>
    <w:p w:rsidR="00A96487" w:rsidRDefault="00A96487" w:rsidP="000F71D1">
      <w:pPr>
        <w:spacing w:after="120" w:line="276" w:lineRule="auto"/>
        <w:ind w:left="-284"/>
        <w:jc w:val="both"/>
        <w:rPr>
          <w:rFonts w:eastAsia="Arial Unicode MS"/>
          <w:sz w:val="22"/>
          <w:szCs w:val="22"/>
        </w:rPr>
      </w:pPr>
      <w:r>
        <w:rPr>
          <w:rFonts w:eastAsia="Arial Unicode MS"/>
          <w:sz w:val="22"/>
          <w:szCs w:val="22"/>
        </w:rPr>
        <w:t xml:space="preserve">Quant au secteur de </w:t>
      </w:r>
      <w:r w:rsidRPr="00280A14">
        <w:rPr>
          <w:rFonts w:eastAsia="Arial Unicode MS"/>
          <w:b/>
          <w:bCs/>
          <w:color w:val="660033"/>
          <w:sz w:val="22"/>
          <w:szCs w:val="22"/>
        </w:rPr>
        <w:t>l’industrie énergétique</w:t>
      </w:r>
      <w:r w:rsidRPr="008B1E64">
        <w:rPr>
          <w:rFonts w:eastAsia="Arial Unicode MS"/>
          <w:sz w:val="22"/>
          <w:szCs w:val="22"/>
        </w:rPr>
        <w:t xml:space="preserve">, </w:t>
      </w:r>
      <w:r w:rsidRPr="004915DF">
        <w:rPr>
          <w:rFonts w:eastAsia="Arial Unicode MS"/>
          <w:sz w:val="22"/>
          <w:szCs w:val="22"/>
        </w:rPr>
        <w:t>la production aurait connu</w:t>
      </w:r>
      <w:r w:rsidR="00E72DEE">
        <w:rPr>
          <w:rFonts w:eastAsia="Arial Unicode MS"/>
          <w:sz w:val="22"/>
          <w:szCs w:val="22"/>
        </w:rPr>
        <w:t>, selon la majorité des chefs d’entrepr</w:t>
      </w:r>
      <w:r w:rsidR="000F71D1">
        <w:rPr>
          <w:rFonts w:eastAsia="Arial Unicode MS"/>
          <w:sz w:val="22"/>
          <w:szCs w:val="22"/>
        </w:rPr>
        <w:t>ises</w:t>
      </w:r>
      <w:r w:rsidR="00E72DEE">
        <w:rPr>
          <w:rFonts w:eastAsia="Arial Unicode MS"/>
          <w:sz w:val="22"/>
          <w:szCs w:val="22"/>
        </w:rPr>
        <w:t xml:space="preserve">, </w:t>
      </w:r>
      <w:r>
        <w:rPr>
          <w:rFonts w:eastAsia="Arial Unicode MS"/>
          <w:sz w:val="22"/>
          <w:szCs w:val="22"/>
        </w:rPr>
        <w:t xml:space="preserve"> une forte baisse</w:t>
      </w:r>
      <w:r w:rsidR="00E72DEE">
        <w:rPr>
          <w:rFonts w:eastAsia="Arial Unicode MS"/>
          <w:sz w:val="22"/>
          <w:szCs w:val="22"/>
        </w:rPr>
        <w:t xml:space="preserve"> </w:t>
      </w:r>
      <w:r>
        <w:rPr>
          <w:rFonts w:eastAsia="Arial Unicode MS"/>
          <w:sz w:val="22"/>
          <w:szCs w:val="22"/>
        </w:rPr>
        <w:t>d</w:t>
      </w:r>
      <w:r w:rsidR="00E72DEE">
        <w:rPr>
          <w:rFonts w:eastAsia="Arial Unicode MS"/>
          <w:sz w:val="22"/>
          <w:szCs w:val="22"/>
        </w:rPr>
        <w:t xml:space="preserve">ue, principalement,  </w:t>
      </w:r>
      <w:r>
        <w:rPr>
          <w:rFonts w:eastAsia="Arial Unicode MS"/>
          <w:sz w:val="22"/>
          <w:szCs w:val="22"/>
        </w:rPr>
        <w:t xml:space="preserve">à une diminution </w:t>
      </w:r>
      <w:r w:rsidRPr="004915DF">
        <w:rPr>
          <w:rFonts w:eastAsia="Arial Unicode MS"/>
          <w:sz w:val="22"/>
          <w:szCs w:val="22"/>
        </w:rPr>
        <w:t xml:space="preserve">de la « Production et distribution d’électricité, de gaz, de vapeur et d’air conditionné». </w:t>
      </w:r>
    </w:p>
    <w:p w:rsidR="00A96487" w:rsidRDefault="00A96487" w:rsidP="000F71D1">
      <w:pPr>
        <w:spacing w:after="120" w:line="276" w:lineRule="auto"/>
        <w:ind w:left="-284"/>
        <w:jc w:val="both"/>
        <w:rPr>
          <w:rFonts w:eastAsia="Arial Unicode MS"/>
          <w:sz w:val="22"/>
          <w:szCs w:val="22"/>
        </w:rPr>
      </w:pPr>
      <w:r>
        <w:rPr>
          <w:rFonts w:eastAsia="Arial Unicode MS"/>
          <w:sz w:val="22"/>
          <w:szCs w:val="22"/>
        </w:rPr>
        <w:t xml:space="preserve">En ce qui concerne le secteur de </w:t>
      </w:r>
      <w:r w:rsidRPr="00280A14">
        <w:rPr>
          <w:rFonts w:eastAsia="Arial Unicode MS"/>
          <w:b/>
          <w:bCs/>
          <w:color w:val="660033"/>
          <w:sz w:val="22"/>
          <w:szCs w:val="22"/>
        </w:rPr>
        <w:t>l’industrie environnementale</w:t>
      </w:r>
      <w:r w:rsidRPr="004915DF">
        <w:rPr>
          <w:rFonts w:eastAsia="Arial Unicode MS"/>
          <w:sz w:val="22"/>
          <w:szCs w:val="22"/>
        </w:rPr>
        <w:t>, la production aurait connu</w:t>
      </w:r>
      <w:r>
        <w:rPr>
          <w:rFonts w:eastAsia="Arial Unicode MS"/>
          <w:sz w:val="22"/>
          <w:szCs w:val="22"/>
        </w:rPr>
        <w:t xml:space="preserve">, </w:t>
      </w:r>
      <w:r w:rsidR="00E72DEE">
        <w:rPr>
          <w:rFonts w:eastAsia="Arial Unicode MS"/>
          <w:sz w:val="22"/>
          <w:szCs w:val="22"/>
        </w:rPr>
        <w:t xml:space="preserve">en revanche et </w:t>
      </w:r>
      <w:r>
        <w:rPr>
          <w:rFonts w:eastAsia="Arial Unicode MS"/>
          <w:sz w:val="22"/>
          <w:szCs w:val="22"/>
        </w:rPr>
        <w:t xml:space="preserve">selon la majorité des chefs d’entreprises, </w:t>
      </w:r>
      <w:r w:rsidRPr="004915DF">
        <w:rPr>
          <w:rFonts w:eastAsia="Arial Unicode MS"/>
          <w:sz w:val="22"/>
          <w:szCs w:val="22"/>
        </w:rPr>
        <w:t>une</w:t>
      </w:r>
      <w:r>
        <w:rPr>
          <w:rFonts w:eastAsia="Arial Unicode MS"/>
          <w:sz w:val="22"/>
          <w:szCs w:val="22"/>
        </w:rPr>
        <w:t xml:space="preserve"> augmentation </w:t>
      </w:r>
      <w:r w:rsidRPr="00801153">
        <w:rPr>
          <w:rFonts w:eastAsia="Arial Unicode MS"/>
          <w:sz w:val="22"/>
          <w:szCs w:val="22"/>
        </w:rPr>
        <w:t>imputable</w:t>
      </w:r>
      <w:r w:rsidRPr="004915DF">
        <w:rPr>
          <w:rFonts w:eastAsia="Arial Unicode MS"/>
          <w:sz w:val="22"/>
          <w:szCs w:val="22"/>
        </w:rPr>
        <w:t xml:space="preserve"> à un</w:t>
      </w:r>
      <w:r w:rsidR="00E72DEE">
        <w:rPr>
          <w:rFonts w:eastAsia="Arial Unicode MS"/>
          <w:sz w:val="22"/>
          <w:szCs w:val="22"/>
        </w:rPr>
        <w:t xml:space="preserve"> accroissement d’activité dans la branche du </w:t>
      </w:r>
      <w:r w:rsidRPr="004915DF">
        <w:rPr>
          <w:rFonts w:eastAsia="Arial Unicode MS"/>
          <w:sz w:val="22"/>
          <w:szCs w:val="22"/>
        </w:rPr>
        <w:t>«</w:t>
      </w:r>
      <w:r>
        <w:rPr>
          <w:rFonts w:eastAsia="Arial Unicode MS"/>
          <w:sz w:val="22"/>
          <w:szCs w:val="22"/>
        </w:rPr>
        <w:t>Captage, traitement et distribution d’eau</w:t>
      </w:r>
      <w:r w:rsidRPr="004915DF">
        <w:rPr>
          <w:rFonts w:eastAsia="Arial Unicode MS"/>
          <w:sz w:val="22"/>
          <w:szCs w:val="22"/>
        </w:rPr>
        <w:t>»</w:t>
      </w:r>
      <w:r>
        <w:rPr>
          <w:rFonts w:eastAsia="Arial Unicode MS"/>
          <w:sz w:val="22"/>
          <w:szCs w:val="22"/>
        </w:rPr>
        <w:t xml:space="preserve">. </w:t>
      </w:r>
    </w:p>
    <w:p w:rsidR="00A96487" w:rsidRDefault="00A96487" w:rsidP="008B1E64">
      <w:pPr>
        <w:spacing w:after="120" w:line="276" w:lineRule="auto"/>
        <w:ind w:left="-284"/>
        <w:jc w:val="both"/>
        <w:rPr>
          <w:rFonts w:eastAsia="Arial Unicode MS"/>
          <w:sz w:val="22"/>
          <w:szCs w:val="22"/>
        </w:rPr>
      </w:pPr>
      <w:r>
        <w:rPr>
          <w:rFonts w:eastAsia="Arial Unicode MS"/>
          <w:sz w:val="22"/>
          <w:szCs w:val="22"/>
        </w:rPr>
        <w:t xml:space="preserve">Les carnets de commandes ont été jugés d’un niveau normal par la quasi-totalité des chefs d’entreprises des deux secteurs </w:t>
      </w:r>
      <w:r w:rsidRPr="00B60ED6">
        <w:rPr>
          <w:rFonts w:eastAsia="Arial Unicode MS"/>
          <w:sz w:val="22"/>
          <w:szCs w:val="22"/>
        </w:rPr>
        <w:t>énergétique et environnementale</w:t>
      </w:r>
      <w:r>
        <w:rPr>
          <w:rFonts w:eastAsia="Arial Unicode MS"/>
          <w:sz w:val="22"/>
          <w:szCs w:val="22"/>
        </w:rPr>
        <w:t xml:space="preserve">. Quant à l’emploi, il aurait connu une baisse d’après la majorité des patrons du secteur énergétique et une stagnation selon la quasi-totalité des entrepreneurs du secteur environnemental. </w:t>
      </w:r>
      <w:r w:rsidRPr="00801153">
        <w:rPr>
          <w:rFonts w:eastAsia="Arial Unicode MS"/>
          <w:sz w:val="22"/>
          <w:szCs w:val="22"/>
        </w:rPr>
        <w:t>Dans ces conditions, le TUC</w:t>
      </w:r>
      <w:r>
        <w:rPr>
          <w:rFonts w:eastAsia="Arial Unicode MS"/>
          <w:sz w:val="22"/>
          <w:szCs w:val="22"/>
        </w:rPr>
        <w:t xml:space="preserve"> se serait établi à 87% au quatrième trimestre 2015 pour le secteur énergétique et à 83% pour l’industrie environnementale.</w:t>
      </w:r>
    </w:p>
    <w:p w:rsidR="00A96487" w:rsidRDefault="00A96487" w:rsidP="00A96487">
      <w:pPr>
        <w:spacing w:after="120" w:line="276" w:lineRule="auto"/>
        <w:jc w:val="both"/>
        <w:rPr>
          <w:rFonts w:eastAsia="Arial Unicode MS"/>
          <w:sz w:val="22"/>
          <w:szCs w:val="22"/>
        </w:rPr>
        <w:sectPr w:rsidR="00A96487" w:rsidSect="00A96487">
          <w:type w:val="continuous"/>
          <w:pgSz w:w="11906" w:h="16838"/>
          <w:pgMar w:top="1258" w:right="1417" w:bottom="1258" w:left="1417" w:header="708" w:footer="275" w:gutter="0"/>
          <w:pgNumType w:start="1"/>
          <w:cols w:space="708"/>
          <w:titlePg/>
          <w:docGrid w:linePitch="360"/>
        </w:sectPr>
      </w:pPr>
    </w:p>
    <w:p w:rsidR="00A96487" w:rsidRDefault="00A96487" w:rsidP="00A96487">
      <w:pPr>
        <w:spacing w:after="120" w:line="276" w:lineRule="auto"/>
        <w:jc w:val="both"/>
        <w:rPr>
          <w:rFonts w:eastAsia="Arial Unicode MS"/>
          <w:sz w:val="22"/>
          <w:szCs w:val="22"/>
        </w:rPr>
      </w:pPr>
      <w:r w:rsidRPr="00A96487">
        <w:rPr>
          <w:rFonts w:eastAsia="Arial Unicode MS"/>
          <w:noProof/>
          <w:sz w:val="22"/>
          <w:szCs w:val="22"/>
        </w:rPr>
        <w:lastRenderedPageBreak/>
        <w:drawing>
          <wp:inline distT="0" distB="0" distL="0" distR="0">
            <wp:extent cx="2981325" cy="2800350"/>
            <wp:effectExtent l="19050" t="0" r="0" b="0"/>
            <wp:docPr id="14" name="Obje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022600"/>
                      <a:chOff x="0" y="0"/>
                      <a:chExt cx="4572000" cy="3022600"/>
                    </a:xfrm>
                  </a:grpSpPr>
                  <a:grpSp>
                    <a:nvGrpSpPr>
                      <a:cNvPr id="18" name="Groupe 17"/>
                      <a:cNvGrpSpPr/>
                    </a:nvGrpSpPr>
                    <a:grpSpPr>
                      <a:xfrm>
                        <a:off x="0" y="0"/>
                        <a:ext cx="4572000" cy="3022600"/>
                        <a:chOff x="0" y="0"/>
                        <a:chExt cx="4572000" cy="3022600"/>
                      </a:xfrm>
                    </a:grpSpPr>
                    <a:graphicFrame>
                      <a:nvGraphicFramePr>
                        <a:cNvPr id="6" name="Graphique 5"/>
                        <a:cNvGraphicFramePr/>
                      </a:nvGraphicFramePr>
                      <a:graphic>
                        <a:graphicData uri="http://schemas.openxmlformats.org/drawingml/2006/chart">
                          <c:chart xmlns:c="http://schemas.openxmlformats.org/drawingml/2006/chart" xmlns:r="http://schemas.openxmlformats.org/officeDocument/2006/relationships" r:id="rId13"/>
                        </a:graphicData>
                      </a:graphic>
                      <a:xfrm>
                        <a:off x="0" y="279400"/>
                        <a:ext cx="4572000" cy="2743200"/>
                      </a:xfrm>
                    </a:graphicFrame>
                    <a:sp>
                      <a:nvSpPr>
                        <a:cNvPr id="17" name="ZoneTexte 16"/>
                        <a:cNvSpPr txBox="1"/>
                      </a:nvSpPr>
                      <a:spPr>
                        <a:xfrm>
                          <a:off x="152400" y="0"/>
                          <a:ext cx="3822700" cy="469900"/>
                        </a:xfrm>
                        <a:prstGeom prst="rect">
                          <a:avLst/>
                        </a:prstGeom>
                        <a:no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fr-FR" sz="1100" b="1" i="0" baseline="0"/>
                              <a:t>Opinion des entreprises dans l'industrie énergétique, proportion en %</a:t>
                            </a: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A96487" w:rsidRDefault="00A96487" w:rsidP="00144168">
      <w:pPr>
        <w:spacing w:after="120" w:line="276" w:lineRule="auto"/>
        <w:jc w:val="both"/>
        <w:rPr>
          <w:rFonts w:eastAsia="Arial Unicode MS"/>
          <w:sz w:val="22"/>
          <w:szCs w:val="22"/>
        </w:rPr>
        <w:sectPr w:rsidR="00A96487" w:rsidSect="00A96487">
          <w:type w:val="continuous"/>
          <w:pgSz w:w="11906" w:h="16838"/>
          <w:pgMar w:top="1258" w:right="1417" w:bottom="1258" w:left="1417" w:header="708" w:footer="275" w:gutter="0"/>
          <w:pgNumType w:start="1"/>
          <w:cols w:num="2" w:space="708"/>
          <w:titlePg/>
          <w:docGrid w:linePitch="360"/>
        </w:sectPr>
      </w:pPr>
      <w:r w:rsidRPr="00A96487">
        <w:rPr>
          <w:rFonts w:eastAsia="Arial Unicode MS"/>
          <w:noProof/>
          <w:sz w:val="22"/>
          <w:szCs w:val="22"/>
        </w:rPr>
        <w:lastRenderedPageBreak/>
        <w:drawing>
          <wp:inline distT="0" distB="0" distL="0" distR="0">
            <wp:extent cx="2619375" cy="2800350"/>
            <wp:effectExtent l="19050" t="0" r="0" b="0"/>
            <wp:docPr id="10" name="Obje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3022600"/>
                      <a:chOff x="0" y="0"/>
                      <a:chExt cx="4572000" cy="3022600"/>
                    </a:xfrm>
                  </a:grpSpPr>
                  <a:grpSp>
                    <a:nvGrpSpPr>
                      <a:cNvPr id="20" name="Groupe 19"/>
                      <a:cNvGrpSpPr/>
                    </a:nvGrpSpPr>
                    <a:grpSpPr>
                      <a:xfrm>
                        <a:off x="0" y="0"/>
                        <a:ext cx="4572000" cy="3022600"/>
                        <a:chOff x="0" y="0"/>
                        <a:chExt cx="4572000" cy="3022600"/>
                      </a:xfrm>
                    </a:grpSpPr>
                    <a:graphicFrame>
                      <a:nvGraphicFramePr>
                        <a:cNvPr id="7" name="Graphique 6"/>
                        <a:cNvGraphicFramePr/>
                      </a:nvGraphicFramePr>
                      <a:graphic>
                        <a:graphicData uri="http://schemas.openxmlformats.org/drawingml/2006/chart">
                          <c:chart xmlns:c="http://schemas.openxmlformats.org/drawingml/2006/chart" xmlns:r="http://schemas.openxmlformats.org/officeDocument/2006/relationships" r:id="rId14"/>
                        </a:graphicData>
                      </a:graphic>
                      <a:xfrm>
                        <a:off x="0" y="279400"/>
                        <a:ext cx="4572000" cy="2743200"/>
                      </a:xfrm>
                    </a:graphicFrame>
                    <a:sp>
                      <a:nvSpPr>
                        <a:cNvPr id="19" name="ZoneTexte 18"/>
                        <a:cNvSpPr txBox="1"/>
                      </a:nvSpPr>
                      <a:spPr>
                        <a:xfrm>
                          <a:off x="101600" y="0"/>
                          <a:ext cx="3975100" cy="482600"/>
                        </a:xfrm>
                        <a:prstGeom prst="rect">
                          <a:avLst/>
                        </a:prstGeom>
                        <a:noFill/>
                        <a:ln w="9525" cmpd="sng">
                          <a:no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marL="0" marR="0" indent="0" algn="ctr" defTabSz="914400" rtl="0" eaLnBrk="1" fontAlgn="auto" latinLnBrk="0" hangingPunct="1">
                              <a:lnSpc>
                                <a:spcPct val="100000"/>
                              </a:lnSpc>
                              <a:spcBef>
                                <a:spcPts val="0"/>
                              </a:spcBef>
                              <a:spcAft>
                                <a:spcPts val="0"/>
                              </a:spcAft>
                              <a:buClrTx/>
                              <a:buSzTx/>
                              <a:buFontTx/>
                              <a:buNone/>
                              <a:tabLst/>
                              <a:defRPr/>
                            </a:pPr>
                            <a:r>
                              <a:rPr lang="fr-FR" sz="1100" b="1" i="0" baseline="0">
                                <a:solidFill>
                                  <a:schemeClr val="dk1"/>
                                </a:solidFill>
                                <a:latin typeface="+mn-lt"/>
                                <a:ea typeface="+mn-ea"/>
                                <a:cs typeface="+mn-cs"/>
                              </a:rPr>
                              <a:t>Opinion des entreprises dans l'industrie environnementale, proportion en % </a:t>
                            </a:r>
                            <a:endParaRPr lang="fr-FR"/>
                          </a:p>
                          <a:p>
                            <a:pPr algn="ct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A96487" w:rsidRDefault="00A96487" w:rsidP="007F4BA9">
      <w:pPr>
        <w:spacing w:line="276" w:lineRule="auto"/>
        <w:ind w:right="170"/>
        <w:jc w:val="both"/>
        <w:rPr>
          <w:rFonts w:eastAsia="Arial Unicode MS"/>
          <w:sz w:val="22"/>
          <w:szCs w:val="22"/>
        </w:rPr>
        <w:sectPr w:rsidR="00A96487" w:rsidSect="00A96487">
          <w:type w:val="continuous"/>
          <w:pgSz w:w="11906" w:h="16838"/>
          <w:pgMar w:top="1258" w:right="1417" w:bottom="1258" w:left="1417" w:header="708" w:footer="275" w:gutter="0"/>
          <w:pgNumType w:start="1"/>
          <w:cols w:space="708"/>
          <w:titlePg/>
          <w:docGrid w:linePitch="360"/>
        </w:sectPr>
      </w:pPr>
    </w:p>
    <w:p w:rsidR="00572FD7" w:rsidRDefault="00280A14" w:rsidP="00280A14">
      <w:pPr>
        <w:jc w:val="both"/>
        <w:rPr>
          <w:rFonts w:ascii="Book Antiqua" w:eastAsia="Arial Unicode MS" w:hAnsi="Book Antiqua"/>
          <w:sz w:val="22"/>
          <w:szCs w:val="22"/>
        </w:rPr>
      </w:pPr>
      <w:r w:rsidRPr="00280A14">
        <w:rPr>
          <w:rFonts w:eastAsia="Arial Unicode MS"/>
          <w:sz w:val="22"/>
          <w:szCs w:val="22"/>
        </w:rPr>
        <w:lastRenderedPageBreak/>
        <w:t>Il convient de noter, enfin, que la plupart des entreprises relevant des secteurs de l’industrie manufacturière, extractive, énergétique et environnementale auraient réalisé des dépenses d’investissement en 2015 consacrées, principalement, au remplacement d’une partie des équipements et à l’extension de l’activité</w:t>
      </w:r>
      <w:r>
        <w:rPr>
          <w:rFonts w:eastAsia="Arial Unicode MS"/>
          <w:sz w:val="22"/>
          <w:szCs w:val="22"/>
        </w:rPr>
        <w:t>.</w:t>
      </w:r>
      <w:r w:rsidR="00572FD7">
        <w:rPr>
          <w:rFonts w:ascii="Book Antiqua" w:eastAsia="Arial Unicode MS" w:hAnsi="Book Antiqua"/>
          <w:sz w:val="22"/>
          <w:szCs w:val="22"/>
        </w:rPr>
        <w:br w:type="page"/>
      </w:r>
    </w:p>
    <w:p w:rsidR="00572FD7" w:rsidRPr="00572FD7" w:rsidRDefault="00711A4F" w:rsidP="000F71D1">
      <w:pPr>
        <w:pStyle w:val="Paragraphedeliste"/>
        <w:numPr>
          <w:ilvl w:val="1"/>
          <w:numId w:val="23"/>
        </w:numPr>
        <w:spacing w:after="120"/>
        <w:jc w:val="both"/>
        <w:rPr>
          <w:rFonts w:ascii="Trebuchet MS" w:eastAsia="Arial Unicode MS" w:hAnsi="Trebuchet MS"/>
          <w:b/>
          <w:bCs/>
          <w:color w:val="660033"/>
          <w:sz w:val="28"/>
          <w:szCs w:val="28"/>
        </w:rPr>
      </w:pPr>
      <w:r>
        <w:rPr>
          <w:rFonts w:ascii="Trebuchet MS" w:eastAsia="Arial Unicode MS" w:hAnsi="Trebuchet MS"/>
          <w:b/>
          <w:bCs/>
          <w:noProof/>
          <w:color w:val="660033"/>
          <w:sz w:val="28"/>
          <w:szCs w:val="28"/>
          <w:lang w:eastAsia="fr-FR"/>
        </w:rPr>
        <w:lastRenderedPageBreak/>
        <w:drawing>
          <wp:anchor distT="0" distB="0" distL="114300" distR="114300" simplePos="0" relativeHeight="251668480" behindDoc="0" locked="0" layoutInCell="1" allowOverlap="1">
            <wp:simplePos x="0" y="0"/>
            <wp:positionH relativeFrom="margin">
              <wp:posOffset>2986405</wp:posOffset>
            </wp:positionH>
            <wp:positionV relativeFrom="margin">
              <wp:posOffset>86995</wp:posOffset>
            </wp:positionV>
            <wp:extent cx="3209925" cy="2914650"/>
            <wp:effectExtent l="0" t="0" r="0" b="0"/>
            <wp:wrapSquare wrapText="bothSides"/>
            <wp:docPr id="2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572FD7" w:rsidRPr="00572FD7">
        <w:rPr>
          <w:rFonts w:ascii="Trebuchet MS" w:eastAsia="Arial Unicode MS" w:hAnsi="Trebuchet MS"/>
          <w:b/>
          <w:bCs/>
          <w:color w:val="660033"/>
          <w:sz w:val="28"/>
          <w:szCs w:val="28"/>
        </w:rPr>
        <w:t>Secteur d</w:t>
      </w:r>
      <w:r w:rsidR="000F71D1">
        <w:rPr>
          <w:rFonts w:ascii="Trebuchet MS" w:eastAsia="Arial Unicode MS" w:hAnsi="Trebuchet MS"/>
          <w:b/>
          <w:bCs/>
          <w:color w:val="660033"/>
          <w:sz w:val="28"/>
          <w:szCs w:val="28"/>
        </w:rPr>
        <w:t>e la Construction</w:t>
      </w:r>
    </w:p>
    <w:p w:rsidR="00B75A67" w:rsidRPr="002F3FB3" w:rsidRDefault="00C55FD3" w:rsidP="000F71D1">
      <w:pPr>
        <w:spacing w:after="120" w:line="276" w:lineRule="auto"/>
        <w:ind w:left="-284"/>
        <w:jc w:val="both"/>
        <w:rPr>
          <w:rFonts w:eastAsia="Arial Unicode MS"/>
          <w:sz w:val="22"/>
          <w:szCs w:val="22"/>
        </w:rPr>
      </w:pPr>
      <w:r>
        <w:rPr>
          <w:rFonts w:eastAsia="Arial Unicode MS"/>
          <w:sz w:val="22"/>
          <w:szCs w:val="22"/>
        </w:rPr>
        <w:t>L</w:t>
      </w:r>
      <w:r w:rsidR="00B75A67" w:rsidRPr="002F3FB3">
        <w:rPr>
          <w:rFonts w:eastAsia="Arial Unicode MS"/>
          <w:sz w:val="22"/>
          <w:szCs w:val="22"/>
        </w:rPr>
        <w:t xml:space="preserve">’activité du secteur de la construction aurait connu,  </w:t>
      </w:r>
      <w:r>
        <w:rPr>
          <w:rFonts w:eastAsia="Arial Unicode MS"/>
          <w:sz w:val="22"/>
          <w:szCs w:val="22"/>
        </w:rPr>
        <w:t>au</w:t>
      </w:r>
      <w:r w:rsidRPr="002F3FB3">
        <w:rPr>
          <w:rFonts w:eastAsia="Arial Unicode MS"/>
          <w:sz w:val="22"/>
          <w:szCs w:val="22"/>
        </w:rPr>
        <w:t xml:space="preserve"> 4</w:t>
      </w:r>
      <w:r w:rsidRPr="002F3FB3">
        <w:rPr>
          <w:rFonts w:eastAsia="Arial Unicode MS"/>
          <w:sz w:val="22"/>
          <w:szCs w:val="22"/>
          <w:vertAlign w:val="superscript"/>
        </w:rPr>
        <w:t>ème</w:t>
      </w:r>
      <w:r>
        <w:rPr>
          <w:rFonts w:eastAsia="Arial Unicode MS"/>
          <w:sz w:val="22"/>
          <w:szCs w:val="22"/>
        </w:rPr>
        <w:t xml:space="preserve"> trimestre 2015, une hausse </w:t>
      </w:r>
      <w:r w:rsidR="00B75A67" w:rsidRPr="002F3FB3">
        <w:rPr>
          <w:rFonts w:eastAsia="Arial Unicode MS"/>
          <w:sz w:val="22"/>
          <w:szCs w:val="22"/>
        </w:rPr>
        <w:t>sel</w:t>
      </w:r>
      <w:r w:rsidR="00B51A49">
        <w:rPr>
          <w:rFonts w:eastAsia="Arial Unicode MS"/>
          <w:sz w:val="22"/>
          <w:szCs w:val="22"/>
        </w:rPr>
        <w:t xml:space="preserve">on 35% des patrons interviewés, </w:t>
      </w:r>
      <w:r w:rsidRPr="002F3FB3">
        <w:rPr>
          <w:rFonts w:eastAsia="Arial Unicode MS"/>
          <w:sz w:val="22"/>
          <w:szCs w:val="22"/>
        </w:rPr>
        <w:t xml:space="preserve">une stabilité </w:t>
      </w:r>
      <w:r w:rsidR="00B75A67" w:rsidRPr="002F3FB3">
        <w:rPr>
          <w:rFonts w:eastAsia="Arial Unicode MS"/>
          <w:sz w:val="22"/>
          <w:szCs w:val="22"/>
        </w:rPr>
        <w:t>selon 46% et selon 19% une baisse. Ce</w:t>
      </w:r>
      <w:r>
        <w:rPr>
          <w:rFonts w:eastAsia="Arial Unicode MS"/>
          <w:sz w:val="22"/>
          <w:szCs w:val="22"/>
        </w:rPr>
        <w:t xml:space="preserve">tte tendance à la hausse </w:t>
      </w:r>
      <w:r w:rsidR="00B75A67" w:rsidRPr="002F3FB3">
        <w:rPr>
          <w:rFonts w:eastAsia="Arial Unicode MS"/>
          <w:sz w:val="22"/>
          <w:szCs w:val="22"/>
        </w:rPr>
        <w:t>aurait été principalement le résultat d’un</w:t>
      </w:r>
      <w:r>
        <w:rPr>
          <w:rFonts w:eastAsia="Arial Unicode MS"/>
          <w:sz w:val="22"/>
          <w:szCs w:val="22"/>
        </w:rPr>
        <w:t xml:space="preserve"> </w:t>
      </w:r>
      <w:r w:rsidRPr="002F3FB3">
        <w:rPr>
          <w:rFonts w:eastAsia="Arial Unicode MS"/>
          <w:sz w:val="22"/>
          <w:szCs w:val="22"/>
        </w:rPr>
        <w:t>accroissement</w:t>
      </w:r>
      <w:r w:rsidR="00B75A67" w:rsidRPr="002F3FB3">
        <w:rPr>
          <w:rFonts w:eastAsia="Arial Unicode MS"/>
          <w:sz w:val="22"/>
          <w:szCs w:val="22"/>
        </w:rPr>
        <w:t xml:space="preserve"> d’activité </w:t>
      </w:r>
      <w:r>
        <w:rPr>
          <w:rFonts w:eastAsia="Arial Unicode MS"/>
          <w:sz w:val="22"/>
          <w:szCs w:val="22"/>
        </w:rPr>
        <w:t xml:space="preserve">à la fois </w:t>
      </w:r>
      <w:r w:rsidR="00B75A67" w:rsidRPr="002F3FB3">
        <w:rPr>
          <w:rFonts w:eastAsia="Arial Unicode MS"/>
          <w:sz w:val="22"/>
          <w:szCs w:val="22"/>
        </w:rPr>
        <w:t>dans l’ «Installation électrique» et dans la «Construction de routes et autoroutes», alors que  dans la «Construction de réseaux pour fluides» et « Autres travaux d'installation», l’activité a</w:t>
      </w:r>
      <w:r w:rsidR="000F71D1">
        <w:rPr>
          <w:rFonts w:eastAsia="Arial Unicode MS"/>
          <w:sz w:val="22"/>
          <w:szCs w:val="22"/>
        </w:rPr>
        <w:t>urait connu, plutôt, une baisse</w:t>
      </w:r>
      <w:r w:rsidR="00B75A67" w:rsidRPr="002F3FB3">
        <w:rPr>
          <w:rFonts w:eastAsia="Arial Unicode MS"/>
          <w:sz w:val="22"/>
          <w:szCs w:val="22"/>
        </w:rPr>
        <w:t>.</w:t>
      </w:r>
    </w:p>
    <w:p w:rsidR="00B75A67" w:rsidRPr="002F3FB3" w:rsidRDefault="00B75A67" w:rsidP="002F3FB3">
      <w:pPr>
        <w:spacing w:after="120" w:line="276" w:lineRule="auto"/>
        <w:ind w:left="-284"/>
        <w:jc w:val="both"/>
        <w:rPr>
          <w:rFonts w:eastAsia="Arial Unicode MS"/>
          <w:sz w:val="22"/>
          <w:szCs w:val="22"/>
        </w:rPr>
      </w:pPr>
    </w:p>
    <w:p w:rsidR="00B75A67" w:rsidRPr="002F3FB3" w:rsidRDefault="00B75A67" w:rsidP="00C55FD3">
      <w:pPr>
        <w:spacing w:after="120" w:line="276" w:lineRule="auto"/>
        <w:ind w:left="-284"/>
        <w:jc w:val="both"/>
        <w:rPr>
          <w:rFonts w:eastAsia="Arial Unicode MS"/>
          <w:sz w:val="22"/>
          <w:szCs w:val="22"/>
        </w:rPr>
      </w:pPr>
      <w:r w:rsidRPr="002F3FB3">
        <w:rPr>
          <w:rFonts w:eastAsia="Arial Unicode MS"/>
          <w:sz w:val="22"/>
          <w:szCs w:val="22"/>
        </w:rPr>
        <w:t xml:space="preserve">La situation des carnets de commande a été jugée d’un niveau normal par 40% des patrons </w:t>
      </w:r>
      <w:r w:rsidR="00C55FD3">
        <w:rPr>
          <w:rFonts w:eastAsia="Arial Unicode MS"/>
          <w:sz w:val="22"/>
          <w:szCs w:val="22"/>
        </w:rPr>
        <w:t xml:space="preserve">du secteur </w:t>
      </w:r>
      <w:r w:rsidRPr="002F3FB3">
        <w:rPr>
          <w:rFonts w:eastAsia="Arial Unicode MS"/>
          <w:sz w:val="22"/>
          <w:szCs w:val="22"/>
        </w:rPr>
        <w:t xml:space="preserve">et peu garnie par 39%. </w:t>
      </w:r>
    </w:p>
    <w:p w:rsidR="00B75A67" w:rsidRPr="002F3FB3" w:rsidRDefault="00B75A67" w:rsidP="002F3FB3">
      <w:pPr>
        <w:spacing w:after="120" w:line="276" w:lineRule="auto"/>
        <w:ind w:left="-284"/>
        <w:jc w:val="both"/>
        <w:rPr>
          <w:rFonts w:eastAsia="Arial Unicode MS"/>
          <w:sz w:val="22"/>
          <w:szCs w:val="22"/>
        </w:rPr>
      </w:pPr>
      <w:r w:rsidRPr="002F3FB3">
        <w:rPr>
          <w:rFonts w:eastAsia="Arial Unicode MS"/>
          <w:sz w:val="22"/>
          <w:szCs w:val="22"/>
        </w:rPr>
        <w:t xml:space="preserve">Quant à l’emploi, une stabilité aurait été exprimée selon 57% des patrons. Dans ce contexte, le taux d’utilisation de la capacité productive (TUC) se serait établi à 66% au 4ème trimestre 2015. </w:t>
      </w:r>
    </w:p>
    <w:p w:rsidR="00B75A67" w:rsidRPr="002F3FB3" w:rsidRDefault="00B75A67" w:rsidP="002F3FB3">
      <w:pPr>
        <w:spacing w:after="120" w:line="276" w:lineRule="auto"/>
        <w:ind w:left="-284"/>
        <w:jc w:val="both"/>
        <w:rPr>
          <w:rFonts w:eastAsia="Arial Unicode MS"/>
          <w:sz w:val="22"/>
          <w:szCs w:val="22"/>
        </w:rPr>
      </w:pPr>
      <w:r w:rsidRPr="002F3FB3">
        <w:rPr>
          <w:rFonts w:eastAsia="Arial Unicode MS"/>
          <w:sz w:val="22"/>
          <w:szCs w:val="22"/>
        </w:rPr>
        <w:t>Notons, enfin, que plus des trois quarts des chefs d’entreprises (77%) auraient réalisé des dépenses d’investissement en 2015 destinées, principalement, au remplacement d’une partie du matériel.</w:t>
      </w:r>
    </w:p>
    <w:p w:rsidR="00711A4F" w:rsidRDefault="0099745A" w:rsidP="00D90AE7">
      <w:pPr>
        <w:rPr>
          <w:rFonts w:ascii="Trebuchet MS" w:eastAsia="Arial Unicode MS" w:hAnsi="Trebuchet MS"/>
          <w:b/>
          <w:bCs/>
          <w:color w:val="660033"/>
          <w:sz w:val="32"/>
          <w:szCs w:val="32"/>
        </w:rPr>
      </w:pPr>
      <w:r w:rsidRPr="0099745A">
        <w:rPr>
          <w:rFonts w:eastAsia="Arial Unicode MS"/>
          <w:noProof/>
        </w:rPr>
        <w:pict>
          <v:shape id="_x0000_s1147" type="#_x0000_t202" style="position:absolute;margin-left:-197.2pt;margin-top:-63.05pt;width:59.8pt;height:4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" stroked="f">
            <v:textbox style="mso-next-textbox:#_x0000_s1147">
              <w:txbxContent>
                <w:p w:rsidR="00711A4F" w:rsidRDefault="00711A4F"/>
              </w:txbxContent>
            </v:textbox>
          </v:shape>
        </w:pict>
      </w:r>
    </w:p>
    <w:p w:rsidR="00711A4F" w:rsidRPr="00711A4F" w:rsidRDefault="00711A4F" w:rsidP="004E5E98">
      <w:pPr>
        <w:pStyle w:val="Paragraphedeliste"/>
        <w:numPr>
          <w:ilvl w:val="1"/>
          <w:numId w:val="23"/>
        </w:numPr>
        <w:spacing w:after="120"/>
        <w:jc w:val="both"/>
        <w:rPr>
          <w:rFonts w:ascii="Trebuchet MS" w:eastAsia="Arial Unicode MS" w:hAnsi="Trebuchet MS"/>
          <w:b/>
          <w:bCs/>
          <w:color w:val="660033"/>
          <w:sz w:val="28"/>
          <w:szCs w:val="28"/>
        </w:rPr>
      </w:pPr>
      <w:r w:rsidRPr="00711A4F">
        <w:rPr>
          <w:rFonts w:ascii="Trebuchet MS" w:eastAsia="Arial Unicode MS" w:hAnsi="Trebuchet MS"/>
          <w:b/>
          <w:bCs/>
          <w:color w:val="660033"/>
          <w:sz w:val="28"/>
          <w:szCs w:val="28"/>
        </w:rPr>
        <w:t>Secteur des Services marchands non financiers</w:t>
      </w:r>
    </w:p>
    <w:p w:rsidR="00711A4F" w:rsidRPr="00711A4F" w:rsidRDefault="00711A4F" w:rsidP="00711A4F">
      <w:pPr>
        <w:spacing w:before="120" w:after="120" w:line="276" w:lineRule="auto"/>
        <w:jc w:val="both"/>
        <w:rPr>
          <w:rFonts w:eastAsia="Arial Unicode MS"/>
          <w:sz w:val="14"/>
          <w:szCs w:val="14"/>
        </w:rPr>
        <w:sectPr w:rsidR="00711A4F" w:rsidRPr="00711A4F" w:rsidSect="005C13D7">
          <w:footerReference w:type="default" r:id="rId16"/>
          <w:footerReference w:type="first" r:id="rId17"/>
          <w:type w:val="continuous"/>
          <w:pgSz w:w="11906" w:h="16838"/>
          <w:pgMar w:top="1258" w:right="1417" w:bottom="1258" w:left="1417" w:header="708" w:footer="275" w:gutter="0"/>
          <w:pgNumType w:start="1"/>
          <w:cols w:space="708"/>
          <w:titlePg/>
          <w:docGrid w:linePitch="360"/>
        </w:sectPr>
      </w:pPr>
    </w:p>
    <w:p w:rsidR="00711A4F" w:rsidRPr="004E5E98" w:rsidRDefault="004E5E98" w:rsidP="004E5E98">
      <w:pPr>
        <w:spacing w:after="120" w:line="276" w:lineRule="auto"/>
        <w:ind w:left="-284"/>
        <w:jc w:val="both"/>
        <w:rPr>
          <w:rFonts w:eastAsia="Arial Unicode MS"/>
          <w:sz w:val="22"/>
          <w:szCs w:val="22"/>
        </w:rPr>
      </w:pPr>
      <w:r>
        <w:rPr>
          <w:rFonts w:eastAsia="Arial Unicode MS"/>
          <w:noProof/>
          <w:sz w:val="22"/>
          <w:szCs w:val="22"/>
        </w:rPr>
        <w:lastRenderedPageBreak/>
        <w:drawing>
          <wp:anchor distT="0" distB="0" distL="114300" distR="114300" simplePos="0" relativeHeight="251685888" behindDoc="0" locked="0" layoutInCell="1" allowOverlap="1">
            <wp:simplePos x="0" y="0"/>
            <wp:positionH relativeFrom="margin">
              <wp:posOffset>2986405</wp:posOffset>
            </wp:positionH>
            <wp:positionV relativeFrom="margin">
              <wp:posOffset>4582160</wp:posOffset>
            </wp:positionV>
            <wp:extent cx="3086100" cy="3381375"/>
            <wp:effectExtent l="0" t="0" r="0" b="0"/>
            <wp:wrapSquare wrapText="bothSides"/>
            <wp:docPr id="2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711A4F">
        <w:rPr>
          <w:rFonts w:eastAsia="Arial Unicode MS"/>
          <w:sz w:val="22"/>
          <w:szCs w:val="22"/>
        </w:rPr>
        <w:t>Au 4ème trimestre 2015</w:t>
      </w:r>
      <w:r w:rsidR="00711A4F" w:rsidRPr="00FF24EF">
        <w:rPr>
          <w:rFonts w:eastAsia="Arial Unicode MS"/>
          <w:sz w:val="22"/>
          <w:szCs w:val="22"/>
        </w:rPr>
        <w:t xml:space="preserve">, </w:t>
      </w:r>
      <w:r w:rsidR="00711A4F" w:rsidRPr="004E5E98">
        <w:rPr>
          <w:rFonts w:eastAsia="Arial Unicode MS"/>
          <w:sz w:val="22"/>
          <w:szCs w:val="22"/>
        </w:rPr>
        <w:t xml:space="preserve">l’activité globale du secteur des services marchands non financiers aurait connu, selon 50% des patrons, une diminution et, selon 33%, plutôt, une augmentation. </w:t>
      </w:r>
    </w:p>
    <w:p w:rsidR="00711A4F" w:rsidRPr="004E5E98" w:rsidRDefault="00711A4F" w:rsidP="004E5E98">
      <w:pPr>
        <w:spacing w:after="120" w:line="276" w:lineRule="auto"/>
        <w:ind w:left="-284"/>
        <w:jc w:val="both"/>
        <w:rPr>
          <w:rFonts w:eastAsia="Arial Unicode MS"/>
          <w:sz w:val="22"/>
          <w:szCs w:val="22"/>
        </w:rPr>
      </w:pPr>
      <w:r w:rsidRPr="004E5E98">
        <w:rPr>
          <w:rFonts w:eastAsia="Arial Unicode MS"/>
          <w:sz w:val="22"/>
          <w:szCs w:val="22"/>
        </w:rPr>
        <w:t xml:space="preserve">Cette baisse aurait résulté principalement du recul d'activités dans les « Télécommunications » et l'« Hébergement »,  alors que la hausse serait due à l’amélioration d’activité constatée principalement dans le « Transport aérien ».  </w:t>
      </w:r>
    </w:p>
    <w:p w:rsidR="00711A4F" w:rsidRPr="004E5E98" w:rsidRDefault="00711A4F" w:rsidP="004E5E98">
      <w:pPr>
        <w:spacing w:after="120" w:line="276" w:lineRule="auto"/>
        <w:ind w:left="-284"/>
        <w:jc w:val="both"/>
        <w:rPr>
          <w:rFonts w:eastAsia="Arial Unicode MS"/>
          <w:sz w:val="22"/>
          <w:szCs w:val="22"/>
        </w:rPr>
      </w:pPr>
      <w:r>
        <w:rPr>
          <w:rFonts w:eastAsia="Arial Unicode MS"/>
          <w:sz w:val="22"/>
          <w:szCs w:val="22"/>
        </w:rPr>
        <w:t>Par ailleurs, l</w:t>
      </w:r>
      <w:r w:rsidRPr="004E5E98">
        <w:rPr>
          <w:rFonts w:eastAsia="Arial Unicode MS"/>
          <w:sz w:val="22"/>
          <w:szCs w:val="22"/>
        </w:rPr>
        <w:t xml:space="preserve">es carnets de commande du secteur ont été jugés d’un niveau normal par 65% des patrons et inférieur à la normale par 18%. </w:t>
      </w:r>
    </w:p>
    <w:p w:rsidR="00711A4F" w:rsidRPr="004E5E98" w:rsidRDefault="00711A4F" w:rsidP="004E5E98">
      <w:pPr>
        <w:spacing w:after="120" w:line="276" w:lineRule="auto"/>
        <w:ind w:left="-284"/>
        <w:jc w:val="both"/>
        <w:rPr>
          <w:rFonts w:eastAsia="Arial Unicode MS"/>
          <w:sz w:val="22"/>
          <w:szCs w:val="22"/>
        </w:rPr>
      </w:pPr>
    </w:p>
    <w:p w:rsidR="00711A4F" w:rsidRPr="004E5E98" w:rsidRDefault="00711A4F" w:rsidP="004E5E98">
      <w:pPr>
        <w:spacing w:after="120" w:line="276" w:lineRule="auto"/>
        <w:ind w:left="-284"/>
        <w:jc w:val="both"/>
        <w:rPr>
          <w:rFonts w:eastAsia="Arial Unicode MS"/>
          <w:sz w:val="22"/>
          <w:szCs w:val="22"/>
        </w:rPr>
      </w:pPr>
      <w:r w:rsidRPr="004E5E98">
        <w:rPr>
          <w:rFonts w:eastAsia="Arial Unicode MS"/>
          <w:sz w:val="22"/>
          <w:szCs w:val="22"/>
        </w:rPr>
        <w:t xml:space="preserve">Concernant l’emploi, il aurait connu une stabilité, selon les trois quarts des chefs d’entreprises.  </w:t>
      </w:r>
    </w:p>
    <w:p w:rsidR="00711A4F" w:rsidRPr="004E5E98" w:rsidRDefault="00711A4F" w:rsidP="004E5E98">
      <w:pPr>
        <w:spacing w:after="120" w:line="276" w:lineRule="auto"/>
        <w:ind w:left="-284"/>
        <w:jc w:val="both"/>
        <w:rPr>
          <w:rFonts w:eastAsia="Arial Unicode MS"/>
          <w:sz w:val="22"/>
          <w:szCs w:val="22"/>
        </w:rPr>
      </w:pPr>
      <w:r w:rsidRPr="004E5E98">
        <w:rPr>
          <w:rFonts w:eastAsia="Arial Unicode MS"/>
          <w:sz w:val="22"/>
          <w:szCs w:val="22"/>
        </w:rPr>
        <w:t xml:space="preserve">Dans ce contexte, le taux d’utilisation de la capacité des prestations (TUC) aurait marquée une hausse de 2 points, en passant de 81% au 3ème trimestre 2015 à  83% au 4ème trimestre 2015. </w:t>
      </w:r>
    </w:p>
    <w:p w:rsidR="00711A4F" w:rsidRPr="006111BC" w:rsidRDefault="00711A4F" w:rsidP="00F42795">
      <w:pPr>
        <w:spacing w:line="276" w:lineRule="auto"/>
        <w:jc w:val="both"/>
        <w:rPr>
          <w:rFonts w:asciiTheme="majorBidi" w:hAnsiTheme="majorBidi" w:cstheme="majorBidi"/>
        </w:rPr>
      </w:pPr>
    </w:p>
    <w:p w:rsidR="00711A4F" w:rsidRDefault="00711A4F" w:rsidP="004E5E98">
      <w:pPr>
        <w:spacing w:after="120" w:line="276" w:lineRule="auto"/>
        <w:ind w:left="-284"/>
        <w:jc w:val="both"/>
        <w:rPr>
          <w:rFonts w:asciiTheme="majorBidi" w:hAnsiTheme="majorBidi" w:cstheme="majorBidi"/>
        </w:rPr>
      </w:pPr>
      <w:r w:rsidRPr="004E5E98">
        <w:rPr>
          <w:rFonts w:eastAsia="Arial Unicode MS"/>
          <w:sz w:val="22"/>
          <w:szCs w:val="22"/>
        </w:rPr>
        <w:t xml:space="preserve">Il convient de noter, enfin, que la majorité des entreprises du secteur des services marchands non financiers auraient réalisé en 2015 des investissements touchant, particulièrement, le remplacement d’une partie du matériel et l’extension d’activité. </w:t>
      </w:r>
    </w:p>
    <w:p w:rsidR="00711A4F" w:rsidRPr="00711A4F" w:rsidRDefault="00711A4F" w:rsidP="004E5E98">
      <w:pPr>
        <w:pStyle w:val="Paragraphedeliste"/>
        <w:numPr>
          <w:ilvl w:val="1"/>
          <w:numId w:val="23"/>
        </w:numPr>
        <w:spacing w:after="120"/>
        <w:jc w:val="both"/>
        <w:rPr>
          <w:rFonts w:ascii="Trebuchet MS" w:eastAsia="Arial Unicode MS" w:hAnsi="Trebuchet MS"/>
          <w:b/>
          <w:bCs/>
          <w:color w:val="660033"/>
          <w:sz w:val="28"/>
          <w:szCs w:val="28"/>
        </w:rPr>
      </w:pPr>
      <w:r w:rsidRPr="00711A4F">
        <w:rPr>
          <w:rFonts w:ascii="Trebuchet MS" w:eastAsia="Arial Unicode MS" w:hAnsi="Trebuchet MS"/>
          <w:b/>
          <w:bCs/>
          <w:color w:val="660033"/>
          <w:sz w:val="28"/>
          <w:szCs w:val="28"/>
        </w:rPr>
        <w:lastRenderedPageBreak/>
        <w:t>Secteur du Commerce de gros</w:t>
      </w:r>
    </w:p>
    <w:p w:rsidR="00711A4F" w:rsidRPr="00370FB9" w:rsidRDefault="00711A4F" w:rsidP="00711A4F">
      <w:pPr>
        <w:pStyle w:val="Paragraphedeliste"/>
        <w:spacing w:after="240"/>
        <w:ind w:right="-1"/>
        <w:jc w:val="both"/>
        <w:rPr>
          <w:rFonts w:ascii="Trebuchet MS" w:eastAsia="Arial Unicode MS" w:hAnsi="Trebuchet MS"/>
          <w:b/>
          <w:bCs/>
          <w:color w:val="660033"/>
          <w:sz w:val="10"/>
          <w:szCs w:val="10"/>
        </w:rPr>
      </w:pPr>
    </w:p>
    <w:p w:rsidR="00711A4F" w:rsidRDefault="00711A4F" w:rsidP="00127090">
      <w:pPr>
        <w:spacing w:after="120" w:line="320" w:lineRule="exact"/>
        <w:jc w:val="both"/>
        <w:rPr>
          <w:rFonts w:eastAsia="Arial Unicode MS"/>
          <w:sz w:val="22"/>
          <w:szCs w:val="22"/>
        </w:rPr>
      </w:pPr>
      <w:r>
        <w:rPr>
          <w:rFonts w:eastAsia="Arial Unicode MS"/>
          <w:noProof/>
          <w:sz w:val="22"/>
          <w:szCs w:val="22"/>
        </w:rPr>
        <w:drawing>
          <wp:anchor distT="0" distB="0" distL="114300" distR="114300" simplePos="0" relativeHeight="251687936" behindDoc="0" locked="0" layoutInCell="1" allowOverlap="1">
            <wp:simplePos x="0" y="0"/>
            <wp:positionH relativeFrom="margin">
              <wp:posOffset>2643505</wp:posOffset>
            </wp:positionH>
            <wp:positionV relativeFrom="margin">
              <wp:posOffset>610870</wp:posOffset>
            </wp:positionV>
            <wp:extent cx="3219450" cy="2752725"/>
            <wp:effectExtent l="0" t="0" r="0" b="0"/>
            <wp:wrapSquare wrapText="bothSides"/>
            <wp:docPr id="30"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C55FD3">
        <w:rPr>
          <w:rFonts w:eastAsia="Arial Unicode MS"/>
          <w:sz w:val="22"/>
          <w:szCs w:val="22"/>
        </w:rPr>
        <w:t>L</w:t>
      </w:r>
      <w:r>
        <w:rPr>
          <w:rFonts w:eastAsia="Arial Unicode MS"/>
          <w:sz w:val="22"/>
          <w:szCs w:val="22"/>
        </w:rPr>
        <w:t>es ventes</w:t>
      </w:r>
      <w:r>
        <w:rPr>
          <w:rFonts w:eastAsia="Arial Unicode MS"/>
          <w:b/>
          <w:bCs/>
          <w:color w:val="660033"/>
          <w:sz w:val="22"/>
          <w:szCs w:val="22"/>
        </w:rPr>
        <w:t xml:space="preserve"> </w:t>
      </w:r>
      <w:r w:rsidRPr="002378A7">
        <w:rPr>
          <w:rFonts w:eastAsia="Arial Unicode MS"/>
          <w:sz w:val="22"/>
          <w:szCs w:val="22"/>
        </w:rPr>
        <w:t>sur le marché local</w:t>
      </w:r>
      <w:r>
        <w:rPr>
          <w:rFonts w:eastAsia="Arial Unicode MS"/>
          <w:b/>
          <w:bCs/>
          <w:color w:val="660033"/>
          <w:sz w:val="22"/>
          <w:szCs w:val="22"/>
        </w:rPr>
        <w:t>, dans</w:t>
      </w:r>
      <w:r w:rsidR="00C55FD3">
        <w:rPr>
          <w:rFonts w:eastAsia="Arial Unicode MS"/>
          <w:b/>
          <w:bCs/>
          <w:color w:val="660033"/>
          <w:sz w:val="22"/>
          <w:szCs w:val="22"/>
        </w:rPr>
        <w:t xml:space="preserve"> le secteur du Commerce de gros </w:t>
      </w:r>
      <w:r w:rsidRPr="00FF24EF">
        <w:rPr>
          <w:rFonts w:eastAsia="Arial Unicode MS"/>
          <w:sz w:val="22"/>
          <w:szCs w:val="22"/>
        </w:rPr>
        <w:t>aurai</w:t>
      </w:r>
      <w:r>
        <w:rPr>
          <w:rFonts w:eastAsia="Arial Unicode MS"/>
          <w:sz w:val="22"/>
          <w:szCs w:val="22"/>
        </w:rPr>
        <w:t>en</w:t>
      </w:r>
      <w:r w:rsidRPr="00FF24EF">
        <w:rPr>
          <w:rFonts w:eastAsia="Arial Unicode MS"/>
          <w:sz w:val="22"/>
          <w:szCs w:val="22"/>
        </w:rPr>
        <w:t xml:space="preserve">t </w:t>
      </w:r>
      <w:r w:rsidRPr="00801153">
        <w:rPr>
          <w:rFonts w:eastAsia="Arial Unicode MS"/>
          <w:sz w:val="22"/>
          <w:szCs w:val="22"/>
        </w:rPr>
        <w:t>connu</w:t>
      </w:r>
      <w:r>
        <w:rPr>
          <w:rFonts w:eastAsia="Arial Unicode MS"/>
          <w:sz w:val="22"/>
          <w:szCs w:val="22"/>
        </w:rPr>
        <w:t xml:space="preserve">, </w:t>
      </w:r>
      <w:r w:rsidR="00127090">
        <w:rPr>
          <w:rFonts w:eastAsia="Arial Unicode MS"/>
          <w:sz w:val="22"/>
          <w:szCs w:val="22"/>
        </w:rPr>
        <w:t>a</w:t>
      </w:r>
      <w:r w:rsidR="00C55FD3" w:rsidRPr="00FF24EF">
        <w:rPr>
          <w:rFonts w:eastAsia="Arial Unicode MS"/>
          <w:sz w:val="22"/>
          <w:szCs w:val="22"/>
        </w:rPr>
        <w:t xml:space="preserve">u </w:t>
      </w:r>
      <w:r w:rsidR="00C55FD3">
        <w:rPr>
          <w:rFonts w:eastAsia="Arial Unicode MS"/>
          <w:sz w:val="22"/>
          <w:szCs w:val="22"/>
        </w:rPr>
        <w:t>4</w:t>
      </w:r>
      <w:r w:rsidR="00C55FD3" w:rsidRPr="005974B8">
        <w:rPr>
          <w:rFonts w:eastAsia="Arial Unicode MS"/>
          <w:sz w:val="22"/>
          <w:szCs w:val="22"/>
          <w:vertAlign w:val="superscript"/>
        </w:rPr>
        <w:t>ème</w:t>
      </w:r>
      <w:r w:rsidR="00C55FD3">
        <w:rPr>
          <w:rFonts w:eastAsia="Arial Unicode MS"/>
          <w:sz w:val="22"/>
          <w:szCs w:val="22"/>
        </w:rPr>
        <w:t xml:space="preserve"> </w:t>
      </w:r>
      <w:r w:rsidR="00C55FD3" w:rsidRPr="00FF24EF">
        <w:rPr>
          <w:rFonts w:eastAsia="Arial Unicode MS"/>
          <w:sz w:val="22"/>
          <w:szCs w:val="22"/>
        </w:rPr>
        <w:t xml:space="preserve">trimestre 2015, </w:t>
      </w:r>
      <w:r w:rsidR="00127090" w:rsidRPr="00801153">
        <w:rPr>
          <w:rFonts w:eastAsia="Arial Unicode MS"/>
          <w:sz w:val="22"/>
          <w:szCs w:val="22"/>
        </w:rPr>
        <w:t xml:space="preserve">une </w:t>
      </w:r>
      <w:r w:rsidR="00127090">
        <w:rPr>
          <w:rFonts w:eastAsia="Arial Unicode MS"/>
          <w:sz w:val="22"/>
          <w:szCs w:val="22"/>
        </w:rPr>
        <w:t xml:space="preserve"> </w:t>
      </w:r>
      <w:r w:rsidR="00127090" w:rsidRPr="00801153">
        <w:rPr>
          <w:rFonts w:eastAsia="Arial Unicode MS"/>
          <w:sz w:val="22"/>
          <w:szCs w:val="22"/>
        </w:rPr>
        <w:t>baisse</w:t>
      </w:r>
      <w:r w:rsidR="00127090">
        <w:rPr>
          <w:rFonts w:eastAsia="Arial Unicode MS"/>
          <w:sz w:val="22"/>
          <w:szCs w:val="22"/>
        </w:rPr>
        <w:t xml:space="preserve"> </w:t>
      </w:r>
      <w:r w:rsidRPr="00801153">
        <w:rPr>
          <w:rFonts w:eastAsia="Arial Unicode MS"/>
          <w:sz w:val="22"/>
          <w:szCs w:val="22"/>
        </w:rPr>
        <w:t xml:space="preserve">selon </w:t>
      </w:r>
      <w:r>
        <w:rPr>
          <w:rFonts w:eastAsia="Arial Unicode MS"/>
          <w:sz w:val="22"/>
          <w:szCs w:val="22"/>
        </w:rPr>
        <w:t>39</w:t>
      </w:r>
      <w:r w:rsidRPr="00801153">
        <w:rPr>
          <w:rFonts w:eastAsia="Arial Unicode MS"/>
          <w:sz w:val="22"/>
          <w:szCs w:val="22"/>
        </w:rPr>
        <w:t>% des patrons</w:t>
      </w:r>
      <w:r w:rsidR="00127090">
        <w:rPr>
          <w:rFonts w:eastAsia="Arial Unicode MS"/>
          <w:sz w:val="22"/>
          <w:szCs w:val="22"/>
        </w:rPr>
        <w:t xml:space="preserve"> </w:t>
      </w:r>
      <w:r>
        <w:rPr>
          <w:rFonts w:eastAsia="Arial Unicode MS"/>
          <w:sz w:val="22"/>
          <w:szCs w:val="22"/>
        </w:rPr>
        <w:t>et</w:t>
      </w:r>
      <w:r w:rsidR="00127090">
        <w:rPr>
          <w:rFonts w:eastAsia="Arial Unicode MS"/>
          <w:sz w:val="22"/>
          <w:szCs w:val="22"/>
        </w:rPr>
        <w:t xml:space="preserve"> une hausse </w:t>
      </w:r>
      <w:r w:rsidRPr="00801153">
        <w:rPr>
          <w:rFonts w:eastAsia="Arial Unicode MS"/>
          <w:sz w:val="22"/>
          <w:szCs w:val="22"/>
        </w:rPr>
        <w:t xml:space="preserve">selon </w:t>
      </w:r>
      <w:r>
        <w:rPr>
          <w:rFonts w:eastAsia="Arial Unicode MS"/>
          <w:sz w:val="22"/>
          <w:szCs w:val="22"/>
        </w:rPr>
        <w:t>28</w:t>
      </w:r>
      <w:r w:rsidRPr="00801153">
        <w:rPr>
          <w:rFonts w:eastAsia="Arial Unicode MS"/>
          <w:sz w:val="22"/>
          <w:szCs w:val="22"/>
        </w:rPr>
        <w:t>%.</w:t>
      </w:r>
      <w:r w:rsidRPr="00FF24EF">
        <w:rPr>
          <w:rFonts w:eastAsia="Arial Unicode MS"/>
          <w:sz w:val="22"/>
          <w:szCs w:val="22"/>
        </w:rPr>
        <w:t xml:space="preserve"> </w:t>
      </w:r>
    </w:p>
    <w:p w:rsidR="00711A4F" w:rsidRDefault="00711A4F" w:rsidP="00127090">
      <w:pPr>
        <w:spacing w:after="120" w:line="320" w:lineRule="exact"/>
        <w:jc w:val="both"/>
        <w:rPr>
          <w:rFonts w:eastAsia="Arial Unicode MS"/>
          <w:sz w:val="22"/>
          <w:szCs w:val="22"/>
        </w:rPr>
      </w:pPr>
      <w:r>
        <w:rPr>
          <w:rFonts w:eastAsia="Arial Unicode MS"/>
          <w:sz w:val="22"/>
          <w:szCs w:val="22"/>
        </w:rPr>
        <w:t xml:space="preserve">Cette </w:t>
      </w:r>
      <w:r w:rsidR="00127090">
        <w:rPr>
          <w:rFonts w:eastAsia="Arial Unicode MS"/>
          <w:sz w:val="22"/>
          <w:szCs w:val="22"/>
        </w:rPr>
        <w:t xml:space="preserve">tendance à la </w:t>
      </w:r>
      <w:r>
        <w:rPr>
          <w:rFonts w:eastAsia="Arial Unicode MS"/>
          <w:sz w:val="22"/>
          <w:szCs w:val="22"/>
        </w:rPr>
        <w:t>baisse</w:t>
      </w:r>
      <w:r w:rsidRPr="00FF24EF">
        <w:rPr>
          <w:rFonts w:eastAsia="Arial Unicode MS"/>
          <w:sz w:val="22"/>
          <w:szCs w:val="22"/>
        </w:rPr>
        <w:t xml:space="preserve"> </w:t>
      </w:r>
      <w:r w:rsidRPr="00801153">
        <w:rPr>
          <w:rFonts w:eastAsia="Arial Unicode MS"/>
          <w:sz w:val="22"/>
          <w:szCs w:val="22"/>
        </w:rPr>
        <w:t xml:space="preserve">aurait été attribuable principalement à </w:t>
      </w:r>
      <w:r>
        <w:rPr>
          <w:rFonts w:eastAsia="Arial Unicode MS"/>
          <w:sz w:val="22"/>
          <w:szCs w:val="22"/>
        </w:rPr>
        <w:t xml:space="preserve">une diminution des ventes dans </w:t>
      </w:r>
      <w:r w:rsidRPr="00FF24EF">
        <w:rPr>
          <w:rFonts w:eastAsia="Arial Unicode MS"/>
          <w:sz w:val="22"/>
          <w:szCs w:val="22"/>
        </w:rPr>
        <w:t>le</w:t>
      </w:r>
      <w:r>
        <w:rPr>
          <w:rFonts w:eastAsia="Arial Unicode MS"/>
          <w:sz w:val="22"/>
          <w:szCs w:val="22"/>
        </w:rPr>
        <w:t xml:space="preserve"> </w:t>
      </w:r>
      <w:r w:rsidRPr="00FF24EF">
        <w:rPr>
          <w:rFonts w:eastAsia="Arial Unicode MS"/>
          <w:sz w:val="22"/>
          <w:szCs w:val="22"/>
        </w:rPr>
        <w:t>«</w:t>
      </w:r>
      <w:r w:rsidRPr="00C11AE8">
        <w:rPr>
          <w:rFonts w:eastAsia="Arial Unicode MS"/>
          <w:sz w:val="22"/>
          <w:szCs w:val="22"/>
        </w:rPr>
        <w:t>Commerce de gros d'équipements de l'information et de la communication</w:t>
      </w:r>
      <w:r>
        <w:rPr>
          <w:rFonts w:eastAsia="Arial Unicode MS"/>
          <w:sz w:val="22"/>
          <w:szCs w:val="22"/>
        </w:rPr>
        <w:t>» et</w:t>
      </w:r>
      <w:r w:rsidRPr="00FF24EF">
        <w:rPr>
          <w:rFonts w:eastAsia="Arial Unicode MS"/>
          <w:sz w:val="22"/>
          <w:szCs w:val="22"/>
        </w:rPr>
        <w:t xml:space="preserve"> </w:t>
      </w:r>
      <w:r w:rsidR="000F71D1">
        <w:rPr>
          <w:rFonts w:eastAsia="Arial Unicode MS"/>
          <w:sz w:val="22"/>
          <w:szCs w:val="22"/>
        </w:rPr>
        <w:t xml:space="preserve">dans </w:t>
      </w:r>
      <w:r>
        <w:rPr>
          <w:rFonts w:eastAsia="Arial Unicode MS"/>
          <w:sz w:val="22"/>
          <w:szCs w:val="22"/>
        </w:rPr>
        <w:t>l</w:t>
      </w:r>
      <w:r w:rsidRPr="00FF24EF">
        <w:rPr>
          <w:rFonts w:eastAsia="Arial Unicode MS"/>
          <w:sz w:val="22"/>
          <w:szCs w:val="22"/>
        </w:rPr>
        <w:t>e</w:t>
      </w:r>
      <w:r>
        <w:rPr>
          <w:rFonts w:eastAsia="Arial Unicode MS"/>
          <w:sz w:val="22"/>
          <w:szCs w:val="22"/>
        </w:rPr>
        <w:t xml:space="preserve">s   </w:t>
      </w:r>
      <w:r w:rsidRPr="00FF24EF">
        <w:rPr>
          <w:rFonts w:eastAsia="Arial Unicode MS"/>
          <w:sz w:val="22"/>
          <w:szCs w:val="22"/>
        </w:rPr>
        <w:t>«</w:t>
      </w:r>
      <w:r>
        <w:rPr>
          <w:rFonts w:eastAsia="Arial Unicode MS"/>
          <w:sz w:val="22"/>
          <w:szCs w:val="22"/>
        </w:rPr>
        <w:t>Autres commerce de gros spécialisés</w:t>
      </w:r>
      <w:r w:rsidRPr="00FF24EF">
        <w:rPr>
          <w:rFonts w:eastAsia="Arial Unicode MS"/>
          <w:sz w:val="22"/>
          <w:szCs w:val="22"/>
        </w:rPr>
        <w:t>»</w:t>
      </w:r>
      <w:r>
        <w:rPr>
          <w:rFonts w:eastAsia="Arial Unicode MS"/>
          <w:sz w:val="22"/>
          <w:szCs w:val="22"/>
        </w:rPr>
        <w:t xml:space="preserve"> </w:t>
      </w:r>
    </w:p>
    <w:p w:rsidR="00711A4F" w:rsidRDefault="00711A4F" w:rsidP="00711A4F">
      <w:pPr>
        <w:spacing w:after="240" w:line="320" w:lineRule="exact"/>
        <w:jc w:val="both"/>
        <w:rPr>
          <w:rFonts w:eastAsia="Arial Unicode MS"/>
          <w:sz w:val="22"/>
          <w:szCs w:val="22"/>
        </w:rPr>
      </w:pPr>
      <w:r w:rsidRPr="00801153">
        <w:rPr>
          <w:rFonts w:eastAsia="Arial Unicode MS"/>
          <w:sz w:val="22"/>
          <w:szCs w:val="22"/>
        </w:rPr>
        <w:t>Quant à</w:t>
      </w:r>
      <w:r>
        <w:rPr>
          <w:rFonts w:eastAsia="Arial Unicode MS"/>
          <w:sz w:val="22"/>
          <w:szCs w:val="22"/>
        </w:rPr>
        <w:t xml:space="preserve"> </w:t>
      </w:r>
      <w:r w:rsidRPr="00FF24EF">
        <w:rPr>
          <w:rFonts w:eastAsia="Arial Unicode MS"/>
          <w:sz w:val="22"/>
          <w:szCs w:val="22"/>
        </w:rPr>
        <w:t>l’emp</w:t>
      </w:r>
      <w:r>
        <w:rPr>
          <w:rFonts w:eastAsia="Arial Unicode MS"/>
          <w:sz w:val="22"/>
          <w:szCs w:val="22"/>
        </w:rPr>
        <w:t>loi, il aurait connu, selon 80% des chef</w:t>
      </w:r>
      <w:r w:rsidR="00127090">
        <w:rPr>
          <w:rFonts w:eastAsia="Arial Unicode MS"/>
          <w:sz w:val="22"/>
          <w:szCs w:val="22"/>
        </w:rPr>
        <w:t xml:space="preserve">s d’entreprises, une stabilité </w:t>
      </w:r>
      <w:r>
        <w:rPr>
          <w:rFonts w:eastAsia="Arial Unicode MS"/>
          <w:sz w:val="22"/>
          <w:szCs w:val="22"/>
        </w:rPr>
        <w:t xml:space="preserve">et </w:t>
      </w:r>
      <w:r w:rsidRPr="00801153">
        <w:rPr>
          <w:rFonts w:eastAsia="Arial Unicode MS"/>
          <w:sz w:val="22"/>
          <w:szCs w:val="22"/>
        </w:rPr>
        <w:t xml:space="preserve">selon </w:t>
      </w:r>
      <w:r>
        <w:rPr>
          <w:rFonts w:eastAsia="Arial Unicode MS"/>
          <w:sz w:val="22"/>
          <w:szCs w:val="22"/>
        </w:rPr>
        <w:t>10</w:t>
      </w:r>
      <w:r w:rsidRPr="00801153">
        <w:rPr>
          <w:rFonts w:eastAsia="Arial Unicode MS"/>
          <w:sz w:val="22"/>
          <w:szCs w:val="22"/>
        </w:rPr>
        <w:t>%</w:t>
      </w:r>
      <w:r>
        <w:rPr>
          <w:rFonts w:eastAsia="Arial Unicode MS"/>
          <w:sz w:val="22"/>
          <w:szCs w:val="22"/>
        </w:rPr>
        <w:t xml:space="preserve">, </w:t>
      </w:r>
      <w:r w:rsidRPr="00801153">
        <w:rPr>
          <w:rFonts w:eastAsia="Arial Unicode MS"/>
          <w:sz w:val="22"/>
          <w:szCs w:val="22"/>
        </w:rPr>
        <w:t xml:space="preserve">une </w:t>
      </w:r>
      <w:r>
        <w:rPr>
          <w:rFonts w:eastAsia="Arial Unicode MS"/>
          <w:sz w:val="22"/>
          <w:szCs w:val="22"/>
        </w:rPr>
        <w:t>hausse</w:t>
      </w:r>
      <w:r w:rsidRPr="00801153">
        <w:rPr>
          <w:rFonts w:eastAsia="Arial Unicode MS"/>
          <w:sz w:val="22"/>
          <w:szCs w:val="22"/>
        </w:rPr>
        <w:t xml:space="preserve">. </w:t>
      </w:r>
    </w:p>
    <w:p w:rsidR="00711A4F" w:rsidRDefault="00711A4F" w:rsidP="00711A4F">
      <w:pPr>
        <w:spacing w:line="276" w:lineRule="auto"/>
        <w:ind w:right="170"/>
        <w:jc w:val="both"/>
        <w:rPr>
          <w:rFonts w:eastAsia="Arial Unicode MS"/>
          <w:sz w:val="22"/>
          <w:szCs w:val="22"/>
        </w:rPr>
      </w:pPr>
      <w:r>
        <w:rPr>
          <w:rFonts w:eastAsia="Arial Unicode MS"/>
          <w:sz w:val="22"/>
          <w:szCs w:val="22"/>
        </w:rPr>
        <w:t xml:space="preserve">Par ailleurs, les grossistes estiment que, compte tenu de la saison, leurs stocks se seraient situés à un niveau normal selon 50% d’entre eux, alors que seuls 11% jugent leur niveau supérieur à la normale. </w:t>
      </w:r>
    </w:p>
    <w:p w:rsidR="00711A4F" w:rsidRDefault="00711A4F" w:rsidP="00711A4F">
      <w:pPr>
        <w:spacing w:line="276" w:lineRule="auto"/>
        <w:ind w:right="170"/>
        <w:jc w:val="both"/>
        <w:rPr>
          <w:rFonts w:eastAsia="Arial Unicode MS"/>
          <w:sz w:val="22"/>
          <w:szCs w:val="22"/>
        </w:rPr>
      </w:pPr>
    </w:p>
    <w:p w:rsidR="00711A4F" w:rsidRDefault="00711A4F" w:rsidP="00711A4F">
      <w:pPr>
        <w:spacing w:line="276" w:lineRule="auto"/>
        <w:ind w:right="170"/>
        <w:jc w:val="both"/>
        <w:rPr>
          <w:rFonts w:eastAsia="Arial Unicode MS"/>
          <w:sz w:val="22"/>
          <w:szCs w:val="22"/>
        </w:rPr>
      </w:pPr>
      <w:r>
        <w:rPr>
          <w:rFonts w:eastAsia="Arial Unicode MS"/>
          <w:sz w:val="22"/>
          <w:szCs w:val="22"/>
        </w:rPr>
        <w:t xml:space="preserve">La tendance observée des prix de ventes dans le secteur révèle, selon 68% des chefs d’entreprises, une stabilité, qui </w:t>
      </w:r>
      <w:r w:rsidRPr="00F75DAA">
        <w:rPr>
          <w:rFonts w:eastAsia="Arial Unicode MS"/>
          <w:color w:val="000000"/>
          <w:sz w:val="22"/>
          <w:szCs w:val="22"/>
        </w:rPr>
        <w:t xml:space="preserve">aurait </w:t>
      </w:r>
      <w:r w:rsidRPr="00801153">
        <w:rPr>
          <w:rFonts w:eastAsia="Arial Unicode MS"/>
          <w:color w:val="000000"/>
          <w:sz w:val="22"/>
          <w:szCs w:val="22"/>
        </w:rPr>
        <w:t>été principalement</w:t>
      </w:r>
      <w:r>
        <w:rPr>
          <w:rFonts w:eastAsia="Arial Unicode MS"/>
          <w:color w:val="000000"/>
          <w:sz w:val="22"/>
          <w:szCs w:val="22"/>
        </w:rPr>
        <w:t xml:space="preserve"> </w:t>
      </w:r>
      <w:r>
        <w:rPr>
          <w:rFonts w:eastAsia="Arial Unicode MS"/>
          <w:sz w:val="22"/>
          <w:szCs w:val="22"/>
        </w:rPr>
        <w:t>enregistrée au niveau du</w:t>
      </w:r>
      <w:r w:rsidRPr="00B35644">
        <w:t xml:space="preserve"> </w:t>
      </w:r>
      <w:r>
        <w:rPr>
          <w:rFonts w:eastAsia="Arial Unicode MS"/>
          <w:sz w:val="22"/>
          <w:szCs w:val="22"/>
        </w:rPr>
        <w:t>«</w:t>
      </w:r>
      <w:r w:rsidRPr="00281B8A">
        <w:rPr>
          <w:rFonts w:eastAsia="Arial Unicode MS"/>
          <w:color w:val="000000"/>
          <w:sz w:val="22"/>
          <w:szCs w:val="22"/>
        </w:rPr>
        <w:t>Commerce de gros d'autres équipements industriels</w:t>
      </w:r>
      <w:r>
        <w:rPr>
          <w:rFonts w:eastAsia="Arial Unicode MS"/>
          <w:sz w:val="22"/>
          <w:szCs w:val="22"/>
        </w:rPr>
        <w:t xml:space="preserve">» et des </w:t>
      </w:r>
      <w:r w:rsidRPr="00B35644">
        <w:t xml:space="preserve"> </w:t>
      </w:r>
      <w:r w:rsidRPr="00B47A39">
        <w:rPr>
          <w:rFonts w:eastAsia="Arial Unicode MS"/>
          <w:sz w:val="22"/>
          <w:szCs w:val="22"/>
        </w:rPr>
        <w:t>«</w:t>
      </w:r>
      <w:r w:rsidRPr="00281B8A">
        <w:rPr>
          <w:rFonts w:eastAsia="Arial Unicode MS"/>
          <w:sz w:val="22"/>
          <w:szCs w:val="22"/>
        </w:rPr>
        <w:t>Autres commerces de gros spécialisés</w:t>
      </w:r>
      <w:r>
        <w:rPr>
          <w:rFonts w:eastAsia="Arial Unicode MS"/>
          <w:sz w:val="22"/>
          <w:szCs w:val="22"/>
        </w:rPr>
        <w:t>»</w:t>
      </w:r>
      <w:r>
        <w:rPr>
          <w:rFonts w:eastAsia="Arial Unicode MS"/>
          <w:color w:val="000000"/>
          <w:sz w:val="22"/>
          <w:szCs w:val="22"/>
        </w:rPr>
        <w:t xml:space="preserve">; alors qu'une </w:t>
      </w:r>
      <w:r>
        <w:rPr>
          <w:rFonts w:eastAsia="Arial Unicode MS"/>
          <w:sz w:val="22"/>
          <w:szCs w:val="22"/>
        </w:rPr>
        <w:t xml:space="preserve">baisse aurait été enregistrée dans le </w:t>
      </w:r>
      <w:r w:rsidRPr="00B47A39">
        <w:rPr>
          <w:rFonts w:eastAsia="Arial Unicode MS"/>
          <w:sz w:val="22"/>
          <w:szCs w:val="22"/>
        </w:rPr>
        <w:t>« </w:t>
      </w:r>
      <w:r w:rsidRPr="006123C5">
        <w:rPr>
          <w:rFonts w:eastAsia="Arial Unicode MS"/>
          <w:sz w:val="22"/>
          <w:szCs w:val="22"/>
        </w:rPr>
        <w:t>Commerce de gros de biens domestique</w:t>
      </w:r>
      <w:r>
        <w:rPr>
          <w:rFonts w:eastAsia="Arial Unicode MS"/>
          <w:sz w:val="22"/>
          <w:szCs w:val="22"/>
        </w:rPr>
        <w:t>s </w:t>
      </w:r>
      <w:r w:rsidRPr="00B47A39">
        <w:rPr>
          <w:rFonts w:eastAsia="Arial Unicode MS"/>
          <w:sz w:val="22"/>
          <w:szCs w:val="22"/>
        </w:rPr>
        <w:t>»</w:t>
      </w:r>
      <w:r>
        <w:rPr>
          <w:rFonts w:eastAsia="Arial Unicode MS"/>
          <w:sz w:val="22"/>
          <w:szCs w:val="22"/>
        </w:rPr>
        <w:t xml:space="preserve">.  </w:t>
      </w:r>
    </w:p>
    <w:p w:rsidR="00711A4F" w:rsidRDefault="00711A4F" w:rsidP="00711A4F">
      <w:pPr>
        <w:spacing w:line="276" w:lineRule="auto"/>
        <w:ind w:right="170"/>
        <w:jc w:val="both"/>
        <w:rPr>
          <w:rFonts w:eastAsia="Arial Unicode MS"/>
          <w:sz w:val="22"/>
          <w:szCs w:val="22"/>
        </w:rPr>
      </w:pPr>
    </w:p>
    <w:p w:rsidR="00127090" w:rsidRDefault="00127090">
      <w:pPr>
        <w:rPr>
          <w:rFonts w:ascii="Trebuchet MS" w:eastAsia="Arial Unicode MS" w:hAnsi="Trebuchet MS"/>
          <w:b/>
          <w:bCs/>
          <w:color w:val="660033"/>
          <w:sz w:val="28"/>
          <w:szCs w:val="28"/>
        </w:rPr>
      </w:pPr>
      <w:r>
        <w:rPr>
          <w:rFonts w:ascii="Trebuchet MS" w:eastAsia="Arial Unicode MS" w:hAnsi="Trebuchet MS"/>
          <w:b/>
          <w:bCs/>
          <w:color w:val="660033"/>
          <w:sz w:val="28"/>
          <w:szCs w:val="28"/>
        </w:rPr>
        <w:br w:type="page"/>
      </w:r>
    </w:p>
    <w:p w:rsidR="002E1737" w:rsidRDefault="002E1737" w:rsidP="00F81A11">
      <w:pPr>
        <w:pStyle w:val="Paragraphedeliste"/>
        <w:numPr>
          <w:ilvl w:val="0"/>
          <w:numId w:val="20"/>
        </w:numPr>
        <w:spacing w:after="240"/>
        <w:ind w:right="-168"/>
        <w:jc w:val="both"/>
        <w:rPr>
          <w:rFonts w:ascii="Trebuchet MS" w:eastAsia="Arial Unicode MS" w:hAnsi="Trebuchet MS"/>
          <w:b/>
          <w:bCs/>
          <w:color w:val="660033"/>
          <w:sz w:val="28"/>
          <w:szCs w:val="28"/>
        </w:rPr>
      </w:pPr>
      <w:r w:rsidRPr="001B0372">
        <w:rPr>
          <w:rFonts w:ascii="Trebuchet MS" w:eastAsia="Arial Unicode MS" w:hAnsi="Trebuchet MS"/>
          <w:b/>
          <w:bCs/>
          <w:color w:val="660033"/>
          <w:sz w:val="28"/>
          <w:szCs w:val="28"/>
        </w:rPr>
        <w:lastRenderedPageBreak/>
        <w:t xml:space="preserve">Anticipations </w:t>
      </w:r>
      <w:r w:rsidR="008F3532" w:rsidRPr="001B0372">
        <w:rPr>
          <w:rFonts w:ascii="Trebuchet MS" w:eastAsia="Arial Unicode MS" w:hAnsi="Trebuchet MS"/>
          <w:b/>
          <w:bCs/>
          <w:color w:val="660033"/>
          <w:sz w:val="28"/>
          <w:szCs w:val="28"/>
        </w:rPr>
        <w:t xml:space="preserve">des chefs d’entreprises </w:t>
      </w:r>
      <w:r w:rsidRPr="001B0372">
        <w:rPr>
          <w:rFonts w:ascii="Trebuchet MS" w:eastAsia="Arial Unicode MS" w:hAnsi="Trebuchet MS"/>
          <w:b/>
          <w:bCs/>
          <w:color w:val="660033"/>
          <w:sz w:val="28"/>
          <w:szCs w:val="28"/>
        </w:rPr>
        <w:t xml:space="preserve">pour le </w:t>
      </w:r>
      <w:r w:rsidR="00CE3CEA">
        <w:rPr>
          <w:rFonts w:ascii="Trebuchet MS" w:eastAsia="Arial Unicode MS" w:hAnsi="Trebuchet MS"/>
          <w:b/>
          <w:bCs/>
          <w:color w:val="660033"/>
          <w:sz w:val="28"/>
          <w:szCs w:val="28"/>
        </w:rPr>
        <w:t>1</w:t>
      </w:r>
      <w:r w:rsidR="00CE3CEA" w:rsidRPr="00F81A11">
        <w:rPr>
          <w:rFonts w:ascii="Trebuchet MS" w:eastAsia="Arial Unicode MS" w:hAnsi="Trebuchet MS"/>
          <w:b/>
          <w:bCs/>
          <w:color w:val="660033"/>
          <w:sz w:val="28"/>
          <w:szCs w:val="28"/>
        </w:rPr>
        <w:t>er</w:t>
      </w:r>
      <w:r w:rsidR="00744367" w:rsidRPr="001B0372">
        <w:rPr>
          <w:rFonts w:ascii="Trebuchet MS" w:eastAsia="Arial Unicode MS" w:hAnsi="Trebuchet MS"/>
          <w:b/>
          <w:bCs/>
          <w:color w:val="660033"/>
          <w:sz w:val="28"/>
          <w:szCs w:val="28"/>
        </w:rPr>
        <w:t xml:space="preserve"> </w:t>
      </w:r>
      <w:r w:rsidRPr="001B0372">
        <w:rPr>
          <w:rFonts w:ascii="Trebuchet MS" w:eastAsia="Arial Unicode MS" w:hAnsi="Trebuchet MS"/>
          <w:b/>
          <w:bCs/>
          <w:color w:val="660033"/>
          <w:sz w:val="28"/>
          <w:szCs w:val="28"/>
        </w:rPr>
        <w:t>trimestre 201</w:t>
      </w:r>
      <w:r w:rsidR="00CE3CEA">
        <w:rPr>
          <w:rFonts w:ascii="Trebuchet MS" w:eastAsia="Arial Unicode MS" w:hAnsi="Trebuchet MS"/>
          <w:b/>
          <w:bCs/>
          <w:color w:val="660033"/>
          <w:sz w:val="28"/>
          <w:szCs w:val="28"/>
        </w:rPr>
        <w:t>6</w:t>
      </w:r>
    </w:p>
    <w:p w:rsidR="00F81A11" w:rsidRPr="00127090" w:rsidRDefault="00F81A11" w:rsidP="00F81A11">
      <w:pPr>
        <w:pStyle w:val="Paragraphedeliste"/>
        <w:spacing w:after="240"/>
        <w:ind w:right="-168"/>
        <w:jc w:val="both"/>
        <w:rPr>
          <w:rFonts w:ascii="Trebuchet MS" w:eastAsia="Arial Unicode MS" w:hAnsi="Trebuchet MS"/>
          <w:b/>
          <w:bCs/>
          <w:color w:val="660033"/>
          <w:sz w:val="4"/>
          <w:szCs w:val="4"/>
        </w:rPr>
      </w:pPr>
    </w:p>
    <w:p w:rsidR="00F81A11" w:rsidRPr="00857BEE" w:rsidRDefault="0033375A" w:rsidP="00857BEE">
      <w:pPr>
        <w:pStyle w:val="Paragraphedeliste"/>
        <w:numPr>
          <w:ilvl w:val="1"/>
          <w:numId w:val="24"/>
        </w:numPr>
        <w:spacing w:after="120"/>
        <w:jc w:val="both"/>
        <w:rPr>
          <w:rFonts w:ascii="Trebuchet MS" w:eastAsia="Arial Unicode MS" w:hAnsi="Trebuchet MS"/>
          <w:b/>
          <w:bCs/>
          <w:color w:val="660033"/>
          <w:sz w:val="28"/>
          <w:szCs w:val="28"/>
        </w:rPr>
      </w:pPr>
      <w:r w:rsidRPr="00857BEE">
        <w:rPr>
          <w:rFonts w:ascii="Trebuchet MS" w:eastAsia="Arial Unicode MS" w:hAnsi="Trebuchet MS"/>
          <w:b/>
          <w:bCs/>
          <w:color w:val="660033"/>
          <w:sz w:val="28"/>
          <w:szCs w:val="28"/>
        </w:rPr>
        <w:t>Secteur de l’</w:t>
      </w:r>
      <w:r w:rsidR="00F81A11" w:rsidRPr="00857BEE">
        <w:rPr>
          <w:rFonts w:ascii="Trebuchet MS" w:eastAsia="Arial Unicode MS" w:hAnsi="Trebuchet MS"/>
          <w:b/>
          <w:bCs/>
          <w:color w:val="660033"/>
          <w:sz w:val="28"/>
          <w:szCs w:val="28"/>
        </w:rPr>
        <w:t>Industrie</w:t>
      </w:r>
    </w:p>
    <w:p w:rsidR="00312DB8" w:rsidRDefault="00704699" w:rsidP="0078191E">
      <w:pPr>
        <w:spacing w:after="120" w:line="300" w:lineRule="exact"/>
        <w:jc w:val="both"/>
        <w:rPr>
          <w:rFonts w:eastAsia="Arial Unicode MS"/>
          <w:sz w:val="22"/>
          <w:szCs w:val="22"/>
        </w:rPr>
      </w:pPr>
      <w:r w:rsidRPr="00FF24EF">
        <w:rPr>
          <w:rFonts w:eastAsia="Arial Unicode MS"/>
          <w:sz w:val="22"/>
          <w:szCs w:val="22"/>
        </w:rPr>
        <w:t xml:space="preserve">La production </w:t>
      </w:r>
      <w:r w:rsidRPr="000E5893">
        <w:rPr>
          <w:rFonts w:eastAsia="Arial Unicode MS"/>
          <w:b/>
          <w:bCs/>
          <w:color w:val="660033"/>
          <w:sz w:val="22"/>
          <w:szCs w:val="22"/>
        </w:rPr>
        <w:t>industrielle</w:t>
      </w:r>
      <w:r w:rsidR="00744367">
        <w:rPr>
          <w:rFonts w:eastAsia="Arial Unicode MS"/>
          <w:b/>
          <w:bCs/>
          <w:color w:val="660033"/>
          <w:sz w:val="22"/>
          <w:szCs w:val="22"/>
        </w:rPr>
        <w:t xml:space="preserve"> </w:t>
      </w:r>
      <w:r w:rsidR="00583A84" w:rsidRPr="00583A84">
        <w:rPr>
          <w:rFonts w:eastAsia="Arial Unicode MS"/>
          <w:b/>
          <w:bCs/>
          <w:color w:val="660033"/>
          <w:sz w:val="22"/>
          <w:szCs w:val="22"/>
        </w:rPr>
        <w:t>manufacturière</w:t>
      </w:r>
      <w:r w:rsidR="00744367">
        <w:rPr>
          <w:rFonts w:eastAsia="Arial Unicode MS"/>
          <w:b/>
          <w:bCs/>
          <w:color w:val="660033"/>
          <w:sz w:val="22"/>
          <w:szCs w:val="22"/>
        </w:rPr>
        <w:t xml:space="preserve"> </w:t>
      </w:r>
      <w:r w:rsidR="00F75DAA">
        <w:rPr>
          <w:rFonts w:eastAsia="Arial Unicode MS"/>
          <w:sz w:val="22"/>
          <w:szCs w:val="22"/>
        </w:rPr>
        <w:t>anticipée</w:t>
      </w:r>
      <w:r w:rsidRPr="00FF24EF">
        <w:rPr>
          <w:rFonts w:eastAsia="Arial Unicode MS"/>
          <w:sz w:val="22"/>
          <w:szCs w:val="22"/>
        </w:rPr>
        <w:t xml:space="preserve"> pour le </w:t>
      </w:r>
      <w:r w:rsidR="0036616B">
        <w:rPr>
          <w:rFonts w:eastAsia="Arial Unicode MS"/>
          <w:sz w:val="22"/>
          <w:szCs w:val="22"/>
        </w:rPr>
        <w:t>1</w:t>
      </w:r>
      <w:r w:rsidR="0036616B">
        <w:rPr>
          <w:rFonts w:eastAsia="Arial Unicode MS"/>
          <w:sz w:val="22"/>
          <w:szCs w:val="22"/>
          <w:vertAlign w:val="superscript"/>
        </w:rPr>
        <w:t>er</w:t>
      </w:r>
      <w:r w:rsidR="00744367">
        <w:rPr>
          <w:rFonts w:eastAsia="Arial Unicode MS"/>
          <w:sz w:val="22"/>
          <w:szCs w:val="22"/>
        </w:rPr>
        <w:t xml:space="preserve"> tri</w:t>
      </w:r>
      <w:r w:rsidR="001724B1">
        <w:rPr>
          <w:rFonts w:eastAsia="Arial Unicode MS"/>
          <w:sz w:val="22"/>
          <w:szCs w:val="22"/>
        </w:rPr>
        <w:t>mestre 201</w:t>
      </w:r>
      <w:r w:rsidR="0036616B">
        <w:rPr>
          <w:rFonts w:eastAsia="Arial Unicode MS"/>
          <w:sz w:val="22"/>
          <w:szCs w:val="22"/>
        </w:rPr>
        <w:t>6</w:t>
      </w:r>
      <w:r w:rsidR="001724B1">
        <w:rPr>
          <w:rFonts w:eastAsia="Arial Unicode MS"/>
          <w:sz w:val="22"/>
          <w:szCs w:val="22"/>
        </w:rPr>
        <w:t xml:space="preserve"> devrait connaî</w:t>
      </w:r>
      <w:r w:rsidRPr="00FF24EF">
        <w:rPr>
          <w:rFonts w:eastAsia="Arial Unicode MS"/>
          <w:sz w:val="22"/>
          <w:szCs w:val="22"/>
        </w:rPr>
        <w:t>tre</w:t>
      </w:r>
      <w:r w:rsidR="00B81D2D">
        <w:rPr>
          <w:rFonts w:eastAsia="Arial Unicode MS"/>
          <w:sz w:val="22"/>
          <w:szCs w:val="22"/>
        </w:rPr>
        <w:t xml:space="preserve">, </w:t>
      </w:r>
      <w:r w:rsidR="00B81D2D" w:rsidRPr="00FF24EF">
        <w:rPr>
          <w:rFonts w:eastAsia="Arial Unicode MS"/>
          <w:sz w:val="22"/>
          <w:szCs w:val="22"/>
        </w:rPr>
        <w:t>selon 4</w:t>
      </w:r>
      <w:r w:rsidR="0036616B">
        <w:rPr>
          <w:rFonts w:eastAsia="Arial Unicode MS"/>
          <w:sz w:val="22"/>
          <w:szCs w:val="22"/>
        </w:rPr>
        <w:t>4</w:t>
      </w:r>
      <w:r w:rsidR="00B81D2D" w:rsidRPr="00FF24EF">
        <w:rPr>
          <w:rFonts w:eastAsia="Arial Unicode MS"/>
          <w:sz w:val="22"/>
          <w:szCs w:val="22"/>
        </w:rPr>
        <w:t>% des chefs d’entreprises</w:t>
      </w:r>
      <w:r w:rsidR="00B81D2D">
        <w:rPr>
          <w:rFonts w:eastAsia="Arial Unicode MS"/>
          <w:sz w:val="22"/>
          <w:szCs w:val="22"/>
        </w:rPr>
        <w:t xml:space="preserve">, </w:t>
      </w:r>
      <w:r w:rsidR="00B81D2D" w:rsidRPr="00FF24EF">
        <w:rPr>
          <w:rFonts w:eastAsia="Arial Unicode MS"/>
          <w:sz w:val="22"/>
          <w:szCs w:val="22"/>
        </w:rPr>
        <w:t>une hausse</w:t>
      </w:r>
      <w:r w:rsidR="00744367">
        <w:rPr>
          <w:rFonts w:eastAsia="Arial Unicode MS"/>
          <w:sz w:val="22"/>
          <w:szCs w:val="22"/>
        </w:rPr>
        <w:t xml:space="preserve"> </w:t>
      </w:r>
      <w:r w:rsidR="00B81D2D" w:rsidRPr="00FF24EF">
        <w:rPr>
          <w:rFonts w:eastAsia="Arial Unicode MS"/>
          <w:sz w:val="22"/>
          <w:szCs w:val="22"/>
        </w:rPr>
        <w:t>et</w:t>
      </w:r>
      <w:r w:rsidR="00B81D2D">
        <w:rPr>
          <w:rFonts w:eastAsia="Arial Unicode MS"/>
          <w:sz w:val="22"/>
          <w:szCs w:val="22"/>
        </w:rPr>
        <w:t>, s</w:t>
      </w:r>
      <w:r w:rsidR="00B81D2D" w:rsidRPr="00FF24EF">
        <w:rPr>
          <w:rFonts w:eastAsia="Arial Unicode MS"/>
          <w:sz w:val="22"/>
          <w:szCs w:val="22"/>
        </w:rPr>
        <w:t xml:space="preserve">elon </w:t>
      </w:r>
      <w:r w:rsidR="0036616B">
        <w:rPr>
          <w:rFonts w:eastAsia="Arial Unicode MS"/>
          <w:sz w:val="22"/>
          <w:szCs w:val="22"/>
        </w:rPr>
        <w:t>37</w:t>
      </w:r>
      <w:r w:rsidR="00B81D2D" w:rsidRPr="00FF24EF">
        <w:rPr>
          <w:rFonts w:eastAsia="Arial Unicode MS"/>
          <w:sz w:val="22"/>
          <w:szCs w:val="22"/>
        </w:rPr>
        <w:t>%</w:t>
      </w:r>
      <w:r w:rsidR="00B81D2D">
        <w:rPr>
          <w:rFonts w:eastAsia="Arial Unicode MS"/>
          <w:sz w:val="22"/>
          <w:szCs w:val="22"/>
        </w:rPr>
        <w:t xml:space="preserve">, </w:t>
      </w:r>
      <w:r w:rsidRPr="00FF24EF">
        <w:rPr>
          <w:rFonts w:eastAsia="Arial Unicode MS"/>
          <w:sz w:val="22"/>
          <w:szCs w:val="22"/>
        </w:rPr>
        <w:t xml:space="preserve">une </w:t>
      </w:r>
      <w:r w:rsidR="0036616B">
        <w:rPr>
          <w:rFonts w:eastAsia="Arial Unicode MS"/>
          <w:sz w:val="22"/>
          <w:szCs w:val="22"/>
        </w:rPr>
        <w:t>stabilité</w:t>
      </w:r>
      <w:r w:rsidRPr="00FF24EF">
        <w:rPr>
          <w:rFonts w:eastAsia="Arial Unicode MS"/>
          <w:sz w:val="22"/>
          <w:szCs w:val="22"/>
        </w:rPr>
        <w:t xml:space="preserve">. </w:t>
      </w:r>
    </w:p>
    <w:p w:rsidR="00312DB8" w:rsidRDefault="00711A4F" w:rsidP="0078191E">
      <w:pPr>
        <w:spacing w:after="120" w:line="300" w:lineRule="exact"/>
        <w:jc w:val="both"/>
        <w:rPr>
          <w:rFonts w:eastAsia="Arial Unicode MS"/>
          <w:sz w:val="22"/>
          <w:szCs w:val="22"/>
        </w:rPr>
      </w:pPr>
      <w:r>
        <w:rPr>
          <w:rFonts w:eastAsia="Arial Unicode MS"/>
          <w:noProof/>
          <w:sz w:val="22"/>
          <w:szCs w:val="22"/>
        </w:rPr>
        <w:drawing>
          <wp:anchor distT="0" distB="0" distL="0" distR="0" simplePos="0" relativeHeight="251665408" behindDoc="0" locked="0" layoutInCell="1" allowOverlap="1">
            <wp:simplePos x="0" y="0"/>
            <wp:positionH relativeFrom="column">
              <wp:posOffset>2481580</wp:posOffset>
            </wp:positionH>
            <wp:positionV relativeFrom="paragraph">
              <wp:posOffset>88265</wp:posOffset>
            </wp:positionV>
            <wp:extent cx="3362325" cy="4124325"/>
            <wp:effectExtent l="0" t="0" r="0" b="0"/>
            <wp:wrapSquare wrapText="bothSides"/>
            <wp:docPr id="31" name="Objet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49800" cy="3721100"/>
                      <a:chOff x="0" y="0"/>
                      <a:chExt cx="4749800" cy="3721100"/>
                    </a:xfrm>
                  </a:grpSpPr>
                  <a:grpSp>
                    <a:nvGrpSpPr>
                      <a:cNvPr id="24" name="Groupe 23"/>
                      <a:cNvGrpSpPr/>
                    </a:nvGrpSpPr>
                    <a:grpSpPr>
                      <a:xfrm>
                        <a:off x="0" y="0"/>
                        <a:ext cx="4749800" cy="3721100"/>
                        <a:chOff x="0" y="0"/>
                        <a:chExt cx="4749800" cy="3721100"/>
                      </a:xfrm>
                    </a:grpSpPr>
                    <a:graphicFrame>
                      <a:nvGraphicFramePr>
                        <a:cNvPr id="9" name="Graphique 8"/>
                        <a:cNvGraphicFramePr/>
                      </a:nvGraphicFramePr>
                      <a:graphic>
                        <a:graphicData uri="http://schemas.openxmlformats.org/drawingml/2006/chart">
                          <c:chart xmlns:c="http://schemas.openxmlformats.org/drawingml/2006/chart" xmlns:r="http://schemas.openxmlformats.org/officeDocument/2006/relationships" r:id="rId20"/>
                        </a:graphicData>
                      </a:graphic>
                      <a:xfrm>
                        <a:off x="0" y="304800"/>
                        <a:ext cx="4749800" cy="3416300"/>
                      </a:xfrm>
                    </a:graphicFrame>
                    <a:sp>
                      <a:nvSpPr>
                        <a:cNvPr id="21" name="ZoneTexte 20"/>
                        <a:cNvSpPr txBox="1"/>
                      </a:nvSpPr>
                      <a:spPr>
                        <a:xfrm>
                          <a:off x="152400" y="0"/>
                          <a:ext cx="3848100" cy="444500"/>
                        </a:xfrm>
                        <a:prstGeom prst="rect">
                          <a:avLst/>
                        </a:prstGeom>
                        <a:no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rtl="0" fontAlgn="base"/>
                            <a:r>
                              <a:rPr lang="fr-FR" sz="1100" b="1" i="0" baseline="0">
                                <a:solidFill>
                                  <a:schemeClr val="dk1"/>
                                </a:solidFill>
                                <a:latin typeface="+mn-lt"/>
                                <a:ea typeface="+mn-ea"/>
                                <a:cs typeface="+mn-cs"/>
                              </a:rPr>
                              <a:t>Anticipations des entreprises industrielles sur la production </a:t>
                            </a:r>
                          </a:p>
                          <a:p>
                            <a:pPr algn="ctr" rtl="0"/>
                            <a:r>
                              <a:rPr lang="fr-FR" sz="1100" b="1" i="0" baseline="0">
                                <a:solidFill>
                                  <a:schemeClr val="dk1"/>
                                </a:solidFill>
                                <a:latin typeface="+mn-lt"/>
                                <a:ea typeface="+mn-ea"/>
                                <a:cs typeface="+mn-cs"/>
                              </a:rPr>
                              <a:t>(proportion en %)  </a:t>
                            </a:r>
                            <a:endParaRPr lang="fr-FR"/>
                          </a:p>
                          <a:p>
                            <a:pPr algn="ctr"/>
                            <a:endParaRPr lang="fr-FR" sz="1100"/>
                          </a:p>
                        </a:txBody>
                        <a:useSpRect/>
                      </a:txSp>
                      <a:style>
                        <a:lnRef idx="0">
                          <a:scrgbClr r="0" g="0" b="0"/>
                        </a:lnRef>
                        <a:fillRef idx="0">
                          <a:scrgbClr r="0" g="0" b="0"/>
                        </a:fillRef>
                        <a:effectRef idx="0">
                          <a:scrgbClr r="0" g="0" b="0"/>
                        </a:effectRef>
                        <a:fontRef idx="minor">
                          <a:schemeClr val="dk1"/>
                        </a:fontRef>
                      </a:style>
                    </a:sp>
                  </a:grpSp>
                </lc:lockedCanvas>
              </a:graphicData>
            </a:graphic>
          </wp:anchor>
        </w:drawing>
      </w:r>
      <w:r w:rsidR="00704699" w:rsidRPr="00FF24EF">
        <w:rPr>
          <w:rFonts w:eastAsia="Arial Unicode MS"/>
          <w:sz w:val="22"/>
          <w:szCs w:val="22"/>
        </w:rPr>
        <w:t xml:space="preserve">Cette </w:t>
      </w:r>
      <w:r w:rsidR="00B36EC4">
        <w:rPr>
          <w:rFonts w:eastAsia="Arial Unicode MS"/>
          <w:sz w:val="22"/>
          <w:szCs w:val="22"/>
        </w:rPr>
        <w:t xml:space="preserve">légère </w:t>
      </w:r>
      <w:r w:rsidR="009C4073">
        <w:rPr>
          <w:rFonts w:eastAsia="Arial Unicode MS"/>
          <w:sz w:val="22"/>
          <w:szCs w:val="22"/>
        </w:rPr>
        <w:t xml:space="preserve">embellie </w:t>
      </w:r>
      <w:r w:rsidR="00704699" w:rsidRPr="00FF24EF">
        <w:rPr>
          <w:rFonts w:eastAsia="Arial Unicode MS"/>
          <w:sz w:val="22"/>
          <w:szCs w:val="22"/>
        </w:rPr>
        <w:t xml:space="preserve">concernerait, principalement, les activités </w:t>
      </w:r>
      <w:r w:rsidR="00B36EC4">
        <w:rPr>
          <w:rFonts w:eastAsia="Arial Unicode MS"/>
          <w:sz w:val="22"/>
          <w:szCs w:val="22"/>
        </w:rPr>
        <w:t>de l’</w:t>
      </w:r>
      <w:r w:rsidR="00B36EC4" w:rsidRPr="00FF24EF">
        <w:rPr>
          <w:rFonts w:eastAsia="Arial Unicode MS"/>
          <w:sz w:val="22"/>
          <w:szCs w:val="22"/>
        </w:rPr>
        <w:t>« </w:t>
      </w:r>
      <w:r w:rsidR="00B36EC4">
        <w:rPr>
          <w:rFonts w:eastAsia="Arial Unicode MS"/>
          <w:sz w:val="22"/>
          <w:szCs w:val="22"/>
        </w:rPr>
        <w:t xml:space="preserve">Industrie chimique» </w:t>
      </w:r>
      <w:r w:rsidR="0036616B">
        <w:rPr>
          <w:rFonts w:eastAsia="Arial Unicode MS"/>
          <w:sz w:val="22"/>
          <w:szCs w:val="22"/>
        </w:rPr>
        <w:t xml:space="preserve">et celles des </w:t>
      </w:r>
      <w:r w:rsidR="00704699" w:rsidRPr="00FF24EF">
        <w:rPr>
          <w:rFonts w:eastAsia="Arial Unicode MS"/>
          <w:sz w:val="22"/>
          <w:szCs w:val="22"/>
        </w:rPr>
        <w:t>« </w:t>
      </w:r>
      <w:r w:rsidR="0036616B">
        <w:rPr>
          <w:rFonts w:eastAsia="Arial Unicode MS"/>
          <w:sz w:val="22"/>
          <w:szCs w:val="22"/>
        </w:rPr>
        <w:t>Industries alimentaires</w:t>
      </w:r>
      <w:r w:rsidR="00FC6CB3">
        <w:rPr>
          <w:rFonts w:eastAsia="Arial Unicode MS"/>
          <w:sz w:val="22"/>
          <w:szCs w:val="22"/>
        </w:rPr>
        <w:t>»</w:t>
      </w:r>
      <w:r w:rsidR="00704699" w:rsidRPr="00FF24EF">
        <w:rPr>
          <w:rFonts w:eastAsia="Arial Unicode MS"/>
          <w:sz w:val="22"/>
          <w:szCs w:val="22"/>
        </w:rPr>
        <w:t xml:space="preserve">. </w:t>
      </w:r>
    </w:p>
    <w:p w:rsidR="002E1737" w:rsidRDefault="00704699" w:rsidP="0078191E">
      <w:pPr>
        <w:spacing w:after="120" w:line="300" w:lineRule="exact"/>
        <w:jc w:val="both"/>
        <w:rPr>
          <w:rFonts w:eastAsia="Arial Unicode MS"/>
          <w:sz w:val="22"/>
          <w:szCs w:val="22"/>
        </w:rPr>
      </w:pPr>
      <w:r w:rsidRPr="00FF24EF">
        <w:rPr>
          <w:rFonts w:eastAsia="Arial Unicode MS"/>
          <w:sz w:val="22"/>
          <w:szCs w:val="22"/>
        </w:rPr>
        <w:t xml:space="preserve">Quant à l’emploi, </w:t>
      </w:r>
      <w:r w:rsidR="0078191E">
        <w:rPr>
          <w:rFonts w:eastAsia="Arial Unicode MS"/>
          <w:sz w:val="22"/>
          <w:szCs w:val="22"/>
        </w:rPr>
        <w:t>4</w:t>
      </w:r>
      <w:r w:rsidR="0036616B">
        <w:rPr>
          <w:rFonts w:eastAsia="Arial Unicode MS"/>
          <w:sz w:val="22"/>
          <w:szCs w:val="22"/>
        </w:rPr>
        <w:t>4</w:t>
      </w:r>
      <w:r w:rsidRPr="00FF24EF">
        <w:rPr>
          <w:rFonts w:eastAsia="Arial Unicode MS"/>
          <w:sz w:val="22"/>
          <w:szCs w:val="22"/>
        </w:rPr>
        <w:t xml:space="preserve">% des chefs d’entreprises prévoient une </w:t>
      </w:r>
      <w:r w:rsidR="0078191E">
        <w:rPr>
          <w:rFonts w:eastAsia="Arial Unicode MS"/>
          <w:sz w:val="22"/>
          <w:szCs w:val="22"/>
        </w:rPr>
        <w:t>stabilité</w:t>
      </w:r>
      <w:r w:rsidRPr="00FF24EF">
        <w:rPr>
          <w:rFonts w:eastAsia="Arial Unicode MS"/>
          <w:sz w:val="22"/>
          <w:szCs w:val="22"/>
        </w:rPr>
        <w:t xml:space="preserve"> des effectifs et </w:t>
      </w:r>
      <w:r w:rsidR="0078191E">
        <w:rPr>
          <w:rFonts w:eastAsia="Arial Unicode MS"/>
          <w:sz w:val="22"/>
          <w:szCs w:val="22"/>
        </w:rPr>
        <w:t>34</w:t>
      </w:r>
      <w:r w:rsidRPr="00FF24EF">
        <w:rPr>
          <w:rFonts w:eastAsia="Arial Unicode MS"/>
          <w:sz w:val="22"/>
          <w:szCs w:val="22"/>
        </w:rPr>
        <w:t xml:space="preserve">% une </w:t>
      </w:r>
      <w:r w:rsidR="0078191E">
        <w:rPr>
          <w:rFonts w:eastAsia="Arial Unicode MS"/>
          <w:sz w:val="22"/>
          <w:szCs w:val="22"/>
        </w:rPr>
        <w:t>augmentation</w:t>
      </w:r>
      <w:r w:rsidRPr="00FF24EF">
        <w:rPr>
          <w:rFonts w:eastAsia="Arial Unicode MS"/>
          <w:sz w:val="22"/>
          <w:szCs w:val="22"/>
        </w:rPr>
        <w:t xml:space="preserve"> pour le </w:t>
      </w:r>
      <w:r w:rsidR="0078191E">
        <w:rPr>
          <w:rFonts w:eastAsia="Arial Unicode MS"/>
          <w:sz w:val="22"/>
          <w:szCs w:val="22"/>
        </w:rPr>
        <w:t>1</w:t>
      </w:r>
      <w:r w:rsidR="0078191E">
        <w:rPr>
          <w:rFonts w:eastAsia="Arial Unicode MS"/>
          <w:sz w:val="22"/>
          <w:szCs w:val="22"/>
          <w:vertAlign w:val="superscript"/>
        </w:rPr>
        <w:t>er</w:t>
      </w:r>
      <w:r w:rsidRPr="00FF24EF">
        <w:rPr>
          <w:rFonts w:eastAsia="Arial Unicode MS"/>
          <w:sz w:val="22"/>
          <w:szCs w:val="22"/>
        </w:rPr>
        <w:t xml:space="preserve"> trimestre 201</w:t>
      </w:r>
      <w:r w:rsidR="0078191E">
        <w:rPr>
          <w:rFonts w:eastAsia="Arial Unicode MS"/>
          <w:sz w:val="22"/>
          <w:szCs w:val="22"/>
        </w:rPr>
        <w:t>6</w:t>
      </w:r>
      <w:r w:rsidRPr="00FF24EF">
        <w:rPr>
          <w:rFonts w:eastAsia="Arial Unicode MS"/>
          <w:sz w:val="22"/>
          <w:szCs w:val="22"/>
        </w:rPr>
        <w:t>.</w:t>
      </w:r>
    </w:p>
    <w:p w:rsidR="00DC0356" w:rsidRDefault="00FF3112" w:rsidP="00312DB8">
      <w:pPr>
        <w:spacing w:after="120" w:line="300" w:lineRule="exact"/>
        <w:jc w:val="both"/>
        <w:rPr>
          <w:rFonts w:eastAsia="Arial Unicode MS"/>
          <w:sz w:val="22"/>
          <w:szCs w:val="22"/>
        </w:rPr>
      </w:pPr>
      <w:r>
        <w:rPr>
          <w:rFonts w:eastAsia="Arial Unicode MS"/>
          <w:sz w:val="22"/>
          <w:szCs w:val="22"/>
        </w:rPr>
        <w:t xml:space="preserve">Dans </w:t>
      </w:r>
      <w:r w:rsidRPr="00FF24EF">
        <w:rPr>
          <w:rFonts w:eastAsia="Arial Unicode MS"/>
          <w:sz w:val="22"/>
          <w:szCs w:val="22"/>
        </w:rPr>
        <w:t xml:space="preserve">le secteur de </w:t>
      </w:r>
      <w:r w:rsidRPr="000E5893">
        <w:rPr>
          <w:rFonts w:eastAsia="Arial Unicode MS"/>
          <w:b/>
          <w:bCs/>
          <w:color w:val="660033"/>
          <w:sz w:val="22"/>
          <w:szCs w:val="22"/>
        </w:rPr>
        <w:t>l’industrie extractive</w:t>
      </w:r>
      <w:r>
        <w:rPr>
          <w:rFonts w:eastAsia="Arial Unicode MS"/>
          <w:b/>
          <w:bCs/>
          <w:color w:val="660033"/>
          <w:sz w:val="22"/>
          <w:szCs w:val="22"/>
        </w:rPr>
        <w:t>,</w:t>
      </w:r>
      <w:r w:rsidR="00744367">
        <w:rPr>
          <w:rFonts w:eastAsia="Arial Unicode MS"/>
          <w:b/>
          <w:bCs/>
          <w:color w:val="660033"/>
          <w:sz w:val="22"/>
          <w:szCs w:val="22"/>
        </w:rPr>
        <w:t xml:space="preserve"> </w:t>
      </w:r>
      <w:r>
        <w:rPr>
          <w:rFonts w:eastAsia="Arial Unicode MS"/>
          <w:sz w:val="22"/>
          <w:szCs w:val="22"/>
        </w:rPr>
        <w:t>l</w:t>
      </w:r>
      <w:r w:rsidR="00704699" w:rsidRPr="00FF24EF">
        <w:rPr>
          <w:rFonts w:eastAsia="Arial Unicode MS"/>
          <w:sz w:val="22"/>
          <w:szCs w:val="22"/>
        </w:rPr>
        <w:t xml:space="preserve">es anticipations pour le </w:t>
      </w:r>
      <w:r w:rsidR="0078191E">
        <w:rPr>
          <w:rFonts w:eastAsia="Arial Unicode MS"/>
          <w:sz w:val="22"/>
          <w:szCs w:val="22"/>
        </w:rPr>
        <w:t>1</w:t>
      </w:r>
      <w:r w:rsidR="0078191E">
        <w:rPr>
          <w:rFonts w:eastAsia="Arial Unicode MS"/>
          <w:sz w:val="22"/>
          <w:szCs w:val="22"/>
          <w:vertAlign w:val="superscript"/>
        </w:rPr>
        <w:t>er</w:t>
      </w:r>
      <w:r w:rsidR="009C4073">
        <w:rPr>
          <w:rFonts w:eastAsia="Arial Unicode MS"/>
          <w:sz w:val="22"/>
          <w:szCs w:val="22"/>
        </w:rPr>
        <w:t xml:space="preserve"> </w:t>
      </w:r>
      <w:r w:rsidR="00704699" w:rsidRPr="00FF24EF">
        <w:rPr>
          <w:rFonts w:eastAsia="Arial Unicode MS"/>
          <w:sz w:val="22"/>
          <w:szCs w:val="22"/>
        </w:rPr>
        <w:t>trimestre 201</w:t>
      </w:r>
      <w:r w:rsidR="0078191E">
        <w:rPr>
          <w:rFonts w:eastAsia="Arial Unicode MS"/>
          <w:sz w:val="22"/>
          <w:szCs w:val="22"/>
        </w:rPr>
        <w:t>6</w:t>
      </w:r>
      <w:r w:rsidR="00704699" w:rsidRPr="00FF24EF">
        <w:rPr>
          <w:rFonts w:eastAsia="Arial Unicode MS"/>
          <w:sz w:val="22"/>
          <w:szCs w:val="22"/>
        </w:rPr>
        <w:t xml:space="preserve"> affichent, selon la majorité des patrons, une </w:t>
      </w:r>
      <w:r w:rsidR="0078191E">
        <w:rPr>
          <w:rFonts w:eastAsia="Arial Unicode MS"/>
          <w:sz w:val="22"/>
          <w:szCs w:val="22"/>
        </w:rPr>
        <w:t>augmentation</w:t>
      </w:r>
      <w:r w:rsidR="00704699" w:rsidRPr="00FF24EF">
        <w:rPr>
          <w:rFonts w:eastAsia="Arial Unicode MS"/>
          <w:sz w:val="22"/>
          <w:szCs w:val="22"/>
        </w:rPr>
        <w:t xml:space="preserve"> de la production</w:t>
      </w:r>
      <w:r w:rsidR="004B411A">
        <w:rPr>
          <w:rFonts w:eastAsia="Arial Unicode MS"/>
          <w:sz w:val="22"/>
          <w:szCs w:val="22"/>
        </w:rPr>
        <w:t>,</w:t>
      </w:r>
      <w:r w:rsidR="00744367">
        <w:rPr>
          <w:rFonts w:eastAsia="Arial Unicode MS"/>
          <w:sz w:val="22"/>
          <w:szCs w:val="22"/>
        </w:rPr>
        <w:t xml:space="preserve"> </w:t>
      </w:r>
      <w:r w:rsidR="00801153" w:rsidRPr="00801153">
        <w:rPr>
          <w:rFonts w:eastAsia="Arial Unicode MS"/>
          <w:sz w:val="22"/>
          <w:szCs w:val="22"/>
        </w:rPr>
        <w:t>imputable</w:t>
      </w:r>
      <w:r w:rsidR="000E5893">
        <w:rPr>
          <w:rFonts w:eastAsia="Arial Unicode MS"/>
          <w:sz w:val="22"/>
          <w:szCs w:val="22"/>
        </w:rPr>
        <w:t xml:space="preserve"> à</w:t>
      </w:r>
      <w:r w:rsidR="00704699" w:rsidRPr="00FF24EF">
        <w:rPr>
          <w:rFonts w:eastAsia="Arial Unicode MS"/>
          <w:sz w:val="22"/>
          <w:szCs w:val="22"/>
        </w:rPr>
        <w:t xml:space="preserve"> une </w:t>
      </w:r>
      <w:r w:rsidR="0078191E">
        <w:rPr>
          <w:rFonts w:eastAsia="Arial Unicode MS"/>
          <w:sz w:val="22"/>
          <w:szCs w:val="22"/>
        </w:rPr>
        <w:t>hausse</w:t>
      </w:r>
      <w:r w:rsidR="00704699" w:rsidRPr="00FF24EF">
        <w:rPr>
          <w:rFonts w:eastAsia="Arial Unicode MS"/>
          <w:sz w:val="22"/>
          <w:szCs w:val="22"/>
        </w:rPr>
        <w:t xml:space="preserve"> de la production dans les « </w:t>
      </w:r>
      <w:r w:rsidR="00684DA3">
        <w:rPr>
          <w:rFonts w:eastAsia="Arial Unicode MS"/>
          <w:sz w:val="22"/>
          <w:szCs w:val="22"/>
        </w:rPr>
        <w:t>Autres industries extractives».</w:t>
      </w:r>
      <w:r w:rsidR="009C4073">
        <w:rPr>
          <w:rFonts w:eastAsia="Arial Unicode MS"/>
          <w:sz w:val="22"/>
          <w:szCs w:val="22"/>
        </w:rPr>
        <w:t xml:space="preserve"> </w:t>
      </w:r>
      <w:r w:rsidR="00186F4B">
        <w:rPr>
          <w:rFonts w:eastAsia="Arial Unicode MS"/>
          <w:sz w:val="22"/>
          <w:szCs w:val="22"/>
        </w:rPr>
        <w:t xml:space="preserve">Au </w:t>
      </w:r>
      <w:r w:rsidR="00312DB8">
        <w:rPr>
          <w:rFonts w:eastAsia="Arial Unicode MS"/>
          <w:sz w:val="22"/>
          <w:szCs w:val="22"/>
        </w:rPr>
        <w:t xml:space="preserve">niveau </w:t>
      </w:r>
      <w:r w:rsidR="00186F4B">
        <w:rPr>
          <w:rFonts w:eastAsia="Arial Unicode MS"/>
          <w:sz w:val="22"/>
          <w:szCs w:val="22"/>
        </w:rPr>
        <w:t xml:space="preserve">des effectifs employés, </w:t>
      </w:r>
      <w:r w:rsidR="00312DB8">
        <w:rPr>
          <w:rFonts w:eastAsia="Arial Unicode MS"/>
          <w:sz w:val="22"/>
          <w:szCs w:val="22"/>
        </w:rPr>
        <w:t xml:space="preserve">presque la majorité des </w:t>
      </w:r>
      <w:r w:rsidR="00186F4B">
        <w:rPr>
          <w:rFonts w:eastAsia="Arial Unicode MS"/>
          <w:sz w:val="22"/>
          <w:szCs w:val="22"/>
        </w:rPr>
        <w:t>patrons anticipent une stabilité.</w:t>
      </w:r>
    </w:p>
    <w:p w:rsidR="00312DB8" w:rsidRDefault="004B411A" w:rsidP="00312DB8">
      <w:pPr>
        <w:spacing w:after="120" w:line="300" w:lineRule="exact"/>
        <w:jc w:val="both"/>
        <w:rPr>
          <w:rFonts w:eastAsia="Arial Unicode MS"/>
          <w:sz w:val="22"/>
          <w:szCs w:val="22"/>
        </w:rPr>
      </w:pPr>
      <w:r w:rsidRPr="00801153">
        <w:rPr>
          <w:rFonts w:eastAsia="Arial Unicode MS"/>
          <w:sz w:val="22"/>
          <w:szCs w:val="22"/>
        </w:rPr>
        <w:t>S’agissant de</w:t>
      </w:r>
      <w:r w:rsidR="00744367">
        <w:rPr>
          <w:rFonts w:eastAsia="Arial Unicode MS"/>
          <w:sz w:val="22"/>
          <w:szCs w:val="22"/>
        </w:rPr>
        <w:t xml:space="preserve"> </w:t>
      </w:r>
      <w:r w:rsidR="00A01DE9" w:rsidRPr="007E71EE">
        <w:rPr>
          <w:rFonts w:eastAsia="Arial Unicode MS"/>
          <w:b/>
          <w:bCs/>
          <w:color w:val="660033"/>
          <w:sz w:val="22"/>
          <w:szCs w:val="22"/>
        </w:rPr>
        <w:t>l’industrie</w:t>
      </w:r>
      <w:r w:rsidR="00676B69" w:rsidRPr="007E71EE">
        <w:rPr>
          <w:rFonts w:eastAsia="Arial Unicode MS"/>
          <w:b/>
          <w:bCs/>
          <w:color w:val="660033"/>
          <w:sz w:val="22"/>
          <w:szCs w:val="22"/>
        </w:rPr>
        <w:t xml:space="preserve"> énergétique</w:t>
      </w:r>
      <w:r w:rsidR="000B6C46" w:rsidRPr="007E71EE">
        <w:rPr>
          <w:rFonts w:eastAsia="Arial Unicode MS"/>
          <w:b/>
          <w:bCs/>
          <w:color w:val="660033"/>
          <w:sz w:val="22"/>
          <w:szCs w:val="22"/>
        </w:rPr>
        <w:t>,</w:t>
      </w:r>
      <w:r w:rsidR="00744367">
        <w:rPr>
          <w:rFonts w:eastAsia="Arial Unicode MS"/>
          <w:b/>
          <w:bCs/>
          <w:color w:val="660033"/>
          <w:sz w:val="22"/>
          <w:szCs w:val="22"/>
        </w:rPr>
        <w:t xml:space="preserve"> </w:t>
      </w:r>
      <w:r w:rsidR="00676B69" w:rsidRPr="007E71EE">
        <w:rPr>
          <w:rFonts w:eastAsia="Arial Unicode MS"/>
          <w:sz w:val="22"/>
          <w:szCs w:val="22"/>
        </w:rPr>
        <w:t xml:space="preserve">et selon </w:t>
      </w:r>
      <w:r w:rsidR="00D119CB">
        <w:rPr>
          <w:rFonts w:eastAsia="Arial Unicode MS"/>
          <w:sz w:val="22"/>
          <w:szCs w:val="22"/>
        </w:rPr>
        <w:t>73%</w:t>
      </w:r>
      <w:r w:rsidR="00676B69" w:rsidRPr="007E71EE">
        <w:rPr>
          <w:rFonts w:eastAsia="Arial Unicode MS"/>
          <w:sz w:val="22"/>
          <w:szCs w:val="22"/>
        </w:rPr>
        <w:t xml:space="preserve"> des chefs d’entreprises</w:t>
      </w:r>
      <w:r>
        <w:rPr>
          <w:rFonts w:eastAsia="Arial Unicode MS"/>
          <w:sz w:val="22"/>
          <w:szCs w:val="22"/>
        </w:rPr>
        <w:t>,</w:t>
      </w:r>
      <w:r w:rsidR="00744367">
        <w:rPr>
          <w:rFonts w:eastAsia="Arial Unicode MS"/>
          <w:sz w:val="22"/>
          <w:szCs w:val="22"/>
        </w:rPr>
        <w:t xml:space="preserve"> </w:t>
      </w:r>
      <w:r w:rsidR="00676B69" w:rsidRPr="007E71EE">
        <w:rPr>
          <w:rFonts w:eastAsia="Arial Unicode MS"/>
          <w:sz w:val="22"/>
          <w:szCs w:val="22"/>
        </w:rPr>
        <w:t xml:space="preserve">la production connaîtrait </w:t>
      </w:r>
      <w:r w:rsidR="002E1737" w:rsidRPr="007E71EE">
        <w:rPr>
          <w:rFonts w:eastAsia="Arial Unicode MS"/>
          <w:sz w:val="22"/>
          <w:szCs w:val="22"/>
        </w:rPr>
        <w:t xml:space="preserve">une </w:t>
      </w:r>
      <w:r w:rsidR="00186F4B">
        <w:rPr>
          <w:rFonts w:eastAsia="Arial Unicode MS"/>
          <w:sz w:val="22"/>
          <w:szCs w:val="22"/>
        </w:rPr>
        <w:t>diminution</w:t>
      </w:r>
      <w:r>
        <w:rPr>
          <w:rFonts w:eastAsia="Arial Unicode MS"/>
          <w:sz w:val="22"/>
          <w:szCs w:val="22"/>
        </w:rPr>
        <w:t xml:space="preserve">, </w:t>
      </w:r>
      <w:r w:rsidR="00186F4B">
        <w:rPr>
          <w:rFonts w:eastAsia="Arial Unicode MS"/>
          <w:sz w:val="22"/>
          <w:szCs w:val="22"/>
        </w:rPr>
        <w:t>due à</w:t>
      </w:r>
      <w:r w:rsidR="00744367">
        <w:rPr>
          <w:rFonts w:eastAsia="Arial Unicode MS"/>
          <w:sz w:val="22"/>
          <w:szCs w:val="22"/>
        </w:rPr>
        <w:t xml:space="preserve"> </w:t>
      </w:r>
      <w:r w:rsidR="00A7438D" w:rsidRPr="007E71EE">
        <w:rPr>
          <w:rFonts w:eastAsia="Arial Unicode MS"/>
          <w:sz w:val="22"/>
          <w:szCs w:val="22"/>
        </w:rPr>
        <w:t xml:space="preserve">une </w:t>
      </w:r>
      <w:r w:rsidR="00186F4B">
        <w:rPr>
          <w:rFonts w:eastAsia="Arial Unicode MS"/>
          <w:sz w:val="22"/>
          <w:szCs w:val="22"/>
        </w:rPr>
        <w:t>baisse</w:t>
      </w:r>
      <w:r w:rsidR="00A7438D" w:rsidRPr="007E71EE">
        <w:rPr>
          <w:rFonts w:eastAsia="Arial Unicode MS"/>
          <w:sz w:val="22"/>
          <w:szCs w:val="22"/>
        </w:rPr>
        <w:t xml:space="preserve"> de la </w:t>
      </w:r>
      <w:r w:rsidR="00DB4906" w:rsidRPr="007E71EE">
        <w:rPr>
          <w:rFonts w:eastAsia="Arial Unicode MS"/>
          <w:sz w:val="22"/>
          <w:szCs w:val="22"/>
        </w:rPr>
        <w:t xml:space="preserve">« Production et distribution d’électricité, de gaz, de vapeur et d’air conditionné». </w:t>
      </w:r>
      <w:r w:rsidR="00435B96" w:rsidRPr="007E71EE">
        <w:rPr>
          <w:rFonts w:eastAsia="Arial Unicode MS"/>
          <w:sz w:val="22"/>
          <w:szCs w:val="22"/>
        </w:rPr>
        <w:t xml:space="preserve">Pour </w:t>
      </w:r>
      <w:r w:rsidR="00435B96" w:rsidRPr="007E71EE">
        <w:rPr>
          <w:rFonts w:eastAsia="Arial Unicode MS"/>
          <w:b/>
          <w:bCs/>
          <w:color w:val="660033"/>
          <w:sz w:val="22"/>
          <w:szCs w:val="22"/>
        </w:rPr>
        <w:t>l’industrie environnementale,</w:t>
      </w:r>
      <w:r w:rsidR="001308D6">
        <w:rPr>
          <w:rFonts w:eastAsia="Arial Unicode MS"/>
          <w:b/>
          <w:bCs/>
          <w:color w:val="660033"/>
          <w:sz w:val="22"/>
          <w:szCs w:val="22"/>
        </w:rPr>
        <w:t xml:space="preserve"> </w:t>
      </w:r>
      <w:r w:rsidR="009C7AAE">
        <w:rPr>
          <w:rFonts w:eastAsia="Arial Unicode MS"/>
          <w:sz w:val="22"/>
          <w:szCs w:val="22"/>
        </w:rPr>
        <w:t>92</w:t>
      </w:r>
      <w:r w:rsidR="00186F4B">
        <w:rPr>
          <w:rFonts w:eastAsia="Arial Unicode MS"/>
          <w:sz w:val="22"/>
          <w:szCs w:val="22"/>
        </w:rPr>
        <w:t>%</w:t>
      </w:r>
      <w:r w:rsidR="00DB4906" w:rsidRPr="007E71EE">
        <w:rPr>
          <w:rFonts w:eastAsia="Arial Unicode MS"/>
          <w:sz w:val="22"/>
          <w:szCs w:val="22"/>
        </w:rPr>
        <w:t xml:space="preserve"> des industriels prévoient</w:t>
      </w:r>
      <w:r w:rsidR="00312DB8">
        <w:rPr>
          <w:rFonts w:eastAsia="Arial Unicode MS"/>
          <w:sz w:val="22"/>
          <w:szCs w:val="22"/>
        </w:rPr>
        <w:t xml:space="preserve"> </w:t>
      </w:r>
      <w:r w:rsidR="00186F4B">
        <w:rPr>
          <w:rFonts w:eastAsia="Arial Unicode MS"/>
          <w:sz w:val="22"/>
          <w:szCs w:val="22"/>
        </w:rPr>
        <w:t xml:space="preserve">une </w:t>
      </w:r>
      <w:r w:rsidR="00D119CB">
        <w:rPr>
          <w:rFonts w:eastAsia="Arial Unicode MS"/>
          <w:sz w:val="22"/>
          <w:szCs w:val="22"/>
        </w:rPr>
        <w:t>stabilité</w:t>
      </w:r>
      <w:r w:rsidR="00DB4906" w:rsidRPr="007E71EE">
        <w:rPr>
          <w:rFonts w:eastAsia="Arial Unicode MS"/>
          <w:sz w:val="22"/>
          <w:szCs w:val="22"/>
        </w:rPr>
        <w:t xml:space="preserve"> de la production</w:t>
      </w:r>
      <w:r>
        <w:rPr>
          <w:rFonts w:eastAsia="Arial Unicode MS"/>
          <w:sz w:val="22"/>
          <w:szCs w:val="22"/>
        </w:rPr>
        <w:t>,</w:t>
      </w:r>
      <w:r w:rsidR="001308D6">
        <w:rPr>
          <w:rFonts w:eastAsia="Arial Unicode MS"/>
          <w:sz w:val="22"/>
          <w:szCs w:val="22"/>
        </w:rPr>
        <w:t xml:space="preserve"> </w:t>
      </w:r>
      <w:r w:rsidRPr="00801153">
        <w:rPr>
          <w:rFonts w:eastAsia="Arial Unicode MS"/>
          <w:sz w:val="22"/>
          <w:szCs w:val="22"/>
        </w:rPr>
        <w:t>notamment</w:t>
      </w:r>
      <w:r w:rsidR="009D7D48">
        <w:rPr>
          <w:rFonts w:eastAsia="Arial Unicode MS"/>
          <w:sz w:val="22"/>
          <w:szCs w:val="22"/>
        </w:rPr>
        <w:t xml:space="preserve">, </w:t>
      </w:r>
      <w:r w:rsidRPr="00801153">
        <w:rPr>
          <w:rFonts w:eastAsia="Arial Unicode MS"/>
          <w:sz w:val="22"/>
          <w:szCs w:val="22"/>
        </w:rPr>
        <w:t>dans le</w:t>
      </w:r>
      <w:r w:rsidR="00B81D2D">
        <w:rPr>
          <w:rFonts w:eastAsia="Arial Unicode MS"/>
          <w:sz w:val="22"/>
          <w:szCs w:val="22"/>
        </w:rPr>
        <w:t xml:space="preserve">s activités du </w:t>
      </w:r>
      <w:r w:rsidR="000B6C46" w:rsidRPr="007E71EE">
        <w:rPr>
          <w:rFonts w:eastAsia="Arial Unicode MS"/>
          <w:sz w:val="22"/>
          <w:szCs w:val="22"/>
        </w:rPr>
        <w:t>«</w:t>
      </w:r>
      <w:r w:rsidR="00FF3112">
        <w:rPr>
          <w:rFonts w:eastAsia="Arial Unicode MS"/>
          <w:sz w:val="22"/>
          <w:szCs w:val="22"/>
        </w:rPr>
        <w:t>Captage, traitement et distribution d’eau</w:t>
      </w:r>
      <w:r w:rsidR="000B6C46" w:rsidRPr="007E71EE">
        <w:rPr>
          <w:rFonts w:eastAsia="Arial Unicode MS"/>
          <w:sz w:val="22"/>
          <w:szCs w:val="22"/>
        </w:rPr>
        <w:t>».</w:t>
      </w:r>
    </w:p>
    <w:p w:rsidR="00F75DAA" w:rsidRDefault="00186F4B" w:rsidP="00312DB8">
      <w:pPr>
        <w:spacing w:after="120" w:line="300" w:lineRule="exact"/>
        <w:jc w:val="both"/>
        <w:rPr>
          <w:rFonts w:eastAsia="Arial Unicode MS"/>
          <w:sz w:val="22"/>
          <w:szCs w:val="22"/>
        </w:rPr>
      </w:pPr>
      <w:r>
        <w:rPr>
          <w:rFonts w:eastAsia="Arial Unicode MS"/>
          <w:sz w:val="22"/>
          <w:szCs w:val="22"/>
        </w:rPr>
        <w:t xml:space="preserve">Quant à l’emploi, </w:t>
      </w:r>
      <w:r w:rsidR="00D119CB">
        <w:rPr>
          <w:rFonts w:eastAsia="Arial Unicode MS"/>
          <w:sz w:val="22"/>
          <w:szCs w:val="22"/>
        </w:rPr>
        <w:t>8</w:t>
      </w:r>
      <w:r w:rsidR="00EE2598">
        <w:rPr>
          <w:rFonts w:eastAsia="Arial Unicode MS"/>
          <w:sz w:val="22"/>
          <w:szCs w:val="22"/>
        </w:rPr>
        <w:t>1</w:t>
      </w:r>
      <w:r>
        <w:rPr>
          <w:rFonts w:eastAsia="Arial Unicode MS"/>
          <w:sz w:val="22"/>
          <w:szCs w:val="22"/>
        </w:rPr>
        <w:t>% des patrons prévoient une baisse des effectifs dans le secteur énergétique</w:t>
      </w:r>
      <w:r w:rsidR="001308D6">
        <w:rPr>
          <w:rFonts w:eastAsia="Arial Unicode MS"/>
          <w:sz w:val="22"/>
          <w:szCs w:val="22"/>
        </w:rPr>
        <w:t xml:space="preserve">, </w:t>
      </w:r>
      <w:r>
        <w:rPr>
          <w:rFonts w:eastAsia="Arial Unicode MS"/>
          <w:sz w:val="22"/>
          <w:szCs w:val="22"/>
        </w:rPr>
        <w:t>alors que</w:t>
      </w:r>
      <w:r w:rsidR="00D119CB">
        <w:rPr>
          <w:rFonts w:eastAsia="Arial Unicode MS"/>
          <w:sz w:val="22"/>
          <w:szCs w:val="22"/>
        </w:rPr>
        <w:t xml:space="preserve"> presque</w:t>
      </w:r>
      <w:r>
        <w:rPr>
          <w:rFonts w:eastAsia="Arial Unicode MS"/>
          <w:sz w:val="22"/>
          <w:szCs w:val="22"/>
        </w:rPr>
        <w:t xml:space="preserve"> la totalité de ceux du secteur de l’industrie environnementale anticipent</w:t>
      </w:r>
      <w:r w:rsidR="001308D6">
        <w:rPr>
          <w:rFonts w:eastAsia="Arial Unicode MS"/>
          <w:sz w:val="22"/>
          <w:szCs w:val="22"/>
        </w:rPr>
        <w:t xml:space="preserve">, plutôt, </w:t>
      </w:r>
      <w:r>
        <w:rPr>
          <w:rFonts w:eastAsia="Arial Unicode MS"/>
          <w:sz w:val="22"/>
          <w:szCs w:val="22"/>
        </w:rPr>
        <w:t xml:space="preserve">une </w:t>
      </w:r>
      <w:r w:rsidR="00D119CB">
        <w:rPr>
          <w:rFonts w:eastAsia="Arial Unicode MS"/>
          <w:sz w:val="22"/>
          <w:szCs w:val="22"/>
        </w:rPr>
        <w:t>stabilité</w:t>
      </w:r>
      <w:r>
        <w:rPr>
          <w:rFonts w:eastAsia="Arial Unicode MS"/>
          <w:sz w:val="22"/>
          <w:szCs w:val="22"/>
        </w:rPr>
        <w:t xml:space="preserve"> de ces effectifs</w:t>
      </w:r>
      <w:r w:rsidR="00C5491F">
        <w:rPr>
          <w:rFonts w:eastAsia="Arial Unicode MS"/>
          <w:sz w:val="22"/>
          <w:szCs w:val="22"/>
        </w:rPr>
        <w:t>.</w:t>
      </w:r>
    </w:p>
    <w:p w:rsidR="00F81A11" w:rsidRPr="00F81A11" w:rsidRDefault="0033375A" w:rsidP="000F71D1">
      <w:pPr>
        <w:pStyle w:val="Paragraphedeliste"/>
        <w:numPr>
          <w:ilvl w:val="1"/>
          <w:numId w:val="24"/>
        </w:numPr>
        <w:spacing w:after="120"/>
        <w:jc w:val="both"/>
        <w:rPr>
          <w:rFonts w:ascii="Trebuchet MS" w:eastAsia="Arial Unicode MS" w:hAnsi="Trebuchet MS"/>
          <w:b/>
          <w:bCs/>
          <w:color w:val="660033"/>
          <w:sz w:val="28"/>
          <w:szCs w:val="28"/>
        </w:rPr>
      </w:pPr>
      <w:r>
        <w:rPr>
          <w:rFonts w:ascii="Trebuchet MS" w:eastAsia="Arial Unicode MS" w:hAnsi="Trebuchet MS"/>
          <w:b/>
          <w:bCs/>
          <w:color w:val="660033"/>
          <w:sz w:val="28"/>
          <w:szCs w:val="28"/>
        </w:rPr>
        <w:t>Secteur d</w:t>
      </w:r>
      <w:r w:rsidR="000F71D1">
        <w:rPr>
          <w:rFonts w:ascii="Trebuchet MS" w:eastAsia="Arial Unicode MS" w:hAnsi="Trebuchet MS"/>
          <w:b/>
          <w:bCs/>
          <w:color w:val="660033"/>
          <w:sz w:val="28"/>
          <w:szCs w:val="28"/>
        </w:rPr>
        <w:t>e la Constr</w:t>
      </w:r>
      <w:r>
        <w:rPr>
          <w:rFonts w:ascii="Trebuchet MS" w:eastAsia="Arial Unicode MS" w:hAnsi="Trebuchet MS"/>
          <w:b/>
          <w:bCs/>
          <w:color w:val="660033"/>
          <w:sz w:val="28"/>
          <w:szCs w:val="28"/>
        </w:rPr>
        <w:t>u</w:t>
      </w:r>
      <w:r w:rsidR="000F71D1">
        <w:rPr>
          <w:rFonts w:ascii="Trebuchet MS" w:eastAsia="Arial Unicode MS" w:hAnsi="Trebuchet MS"/>
          <w:b/>
          <w:bCs/>
          <w:color w:val="660033"/>
          <w:sz w:val="28"/>
          <w:szCs w:val="28"/>
        </w:rPr>
        <w:t>ction</w:t>
      </w:r>
    </w:p>
    <w:p w:rsidR="00312DB8" w:rsidRDefault="00127090" w:rsidP="00A64291">
      <w:pPr>
        <w:spacing w:after="120" w:line="300" w:lineRule="exact"/>
        <w:jc w:val="both"/>
        <w:rPr>
          <w:rFonts w:eastAsia="Arial Unicode MS"/>
          <w:sz w:val="22"/>
          <w:szCs w:val="22"/>
        </w:rPr>
      </w:pPr>
      <w:r>
        <w:rPr>
          <w:rFonts w:eastAsia="Arial Unicode MS"/>
          <w:sz w:val="22"/>
          <w:szCs w:val="22"/>
        </w:rPr>
        <w:t>L</w:t>
      </w:r>
      <w:r w:rsidRPr="00801153">
        <w:rPr>
          <w:rFonts w:eastAsia="Arial Unicode MS"/>
          <w:sz w:val="22"/>
          <w:szCs w:val="22"/>
        </w:rPr>
        <w:t>es anticipations avancées</w:t>
      </w:r>
      <w:r w:rsidRPr="002E1737">
        <w:rPr>
          <w:rFonts w:eastAsia="Arial Unicode MS"/>
          <w:sz w:val="22"/>
          <w:szCs w:val="22"/>
        </w:rPr>
        <w:t xml:space="preserve"> </w:t>
      </w:r>
      <w:r w:rsidR="00F81A11">
        <w:rPr>
          <w:rFonts w:eastAsia="Arial Unicode MS"/>
          <w:noProof/>
          <w:sz w:val="22"/>
          <w:szCs w:val="22"/>
        </w:rPr>
        <w:drawing>
          <wp:anchor distT="0" distB="0" distL="114300" distR="114300" simplePos="0" relativeHeight="251689984" behindDoc="0" locked="0" layoutInCell="1" allowOverlap="1">
            <wp:simplePos x="0" y="0"/>
            <wp:positionH relativeFrom="margin">
              <wp:posOffset>2805430</wp:posOffset>
            </wp:positionH>
            <wp:positionV relativeFrom="margin">
              <wp:posOffset>6697345</wp:posOffset>
            </wp:positionV>
            <wp:extent cx="3152775" cy="2409825"/>
            <wp:effectExtent l="0" t="0" r="0" b="0"/>
            <wp:wrapSquare wrapText="bothSides"/>
            <wp:docPr id="35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312DB8" w:rsidRPr="002E1737">
        <w:rPr>
          <w:rFonts w:eastAsia="Arial Unicode MS"/>
          <w:sz w:val="22"/>
          <w:szCs w:val="22"/>
        </w:rPr>
        <w:t xml:space="preserve">pour le </w:t>
      </w:r>
      <w:r w:rsidR="00312DB8">
        <w:rPr>
          <w:rFonts w:eastAsia="Arial Unicode MS"/>
          <w:sz w:val="22"/>
          <w:szCs w:val="22"/>
        </w:rPr>
        <w:t>premier trimestre 2016, font ressortir, globalement,</w:t>
      </w:r>
      <w:r w:rsidR="00312DB8" w:rsidRPr="00583A84">
        <w:rPr>
          <w:rFonts w:eastAsia="Arial Unicode MS"/>
          <w:sz w:val="22"/>
          <w:szCs w:val="22"/>
        </w:rPr>
        <w:t xml:space="preserve"> </w:t>
      </w:r>
      <w:r w:rsidR="00312DB8" w:rsidRPr="002E1737">
        <w:rPr>
          <w:rFonts w:eastAsia="Arial Unicode MS"/>
          <w:sz w:val="22"/>
          <w:szCs w:val="22"/>
        </w:rPr>
        <w:t xml:space="preserve">une </w:t>
      </w:r>
      <w:r w:rsidR="00312DB8">
        <w:rPr>
          <w:rFonts w:eastAsia="Arial Unicode MS"/>
          <w:sz w:val="22"/>
          <w:szCs w:val="22"/>
        </w:rPr>
        <w:t>quasi-stabilité de l’</w:t>
      </w:r>
      <w:r w:rsidR="00312DB8" w:rsidRPr="002E1737">
        <w:rPr>
          <w:rFonts w:eastAsia="Arial Unicode MS"/>
          <w:sz w:val="22"/>
          <w:szCs w:val="22"/>
        </w:rPr>
        <w:t>activité</w:t>
      </w:r>
      <w:r w:rsidR="00312DB8">
        <w:rPr>
          <w:rFonts w:eastAsia="Arial Unicode MS"/>
          <w:sz w:val="22"/>
          <w:szCs w:val="22"/>
        </w:rPr>
        <w:t>.</w:t>
      </w:r>
      <w:r w:rsidR="00312DB8" w:rsidRPr="00AC4619">
        <w:rPr>
          <w:rFonts w:eastAsia="Arial Unicode MS"/>
          <w:sz w:val="22"/>
          <w:szCs w:val="22"/>
        </w:rPr>
        <w:t xml:space="preserve"> </w:t>
      </w:r>
      <w:r>
        <w:rPr>
          <w:rFonts w:eastAsia="Arial Unicode MS"/>
          <w:sz w:val="22"/>
          <w:szCs w:val="22"/>
        </w:rPr>
        <w:t xml:space="preserve">Cette </w:t>
      </w:r>
      <w:r w:rsidR="00312DB8">
        <w:rPr>
          <w:rFonts w:eastAsia="Arial Unicode MS"/>
          <w:sz w:val="22"/>
          <w:szCs w:val="22"/>
        </w:rPr>
        <w:t>stabilité</w:t>
      </w:r>
      <w:r>
        <w:rPr>
          <w:rFonts w:eastAsia="Arial Unicode MS"/>
          <w:sz w:val="22"/>
          <w:szCs w:val="22"/>
        </w:rPr>
        <w:t xml:space="preserve">, </w:t>
      </w:r>
      <w:r w:rsidR="00312DB8">
        <w:rPr>
          <w:rFonts w:eastAsia="Arial Unicode MS"/>
          <w:sz w:val="22"/>
          <w:szCs w:val="22"/>
        </w:rPr>
        <w:t>pronostiquée par les chefs d’entreprises</w:t>
      </w:r>
      <w:r>
        <w:rPr>
          <w:rFonts w:eastAsia="Arial Unicode MS"/>
          <w:sz w:val="22"/>
          <w:szCs w:val="22"/>
        </w:rPr>
        <w:t xml:space="preserve">, </w:t>
      </w:r>
      <w:r w:rsidR="00312DB8" w:rsidRPr="002E1737">
        <w:rPr>
          <w:rFonts w:eastAsia="Arial Unicode MS"/>
          <w:sz w:val="22"/>
          <w:szCs w:val="22"/>
        </w:rPr>
        <w:t>résulterait de l’effet conjugué de la hausse d’activité prévue au niveau</w:t>
      </w:r>
      <w:r w:rsidR="00312DB8" w:rsidRPr="00AC4619">
        <w:rPr>
          <w:rFonts w:eastAsia="Arial Unicode MS"/>
          <w:sz w:val="22"/>
          <w:szCs w:val="22"/>
        </w:rPr>
        <w:t xml:space="preserve"> </w:t>
      </w:r>
      <w:r w:rsidR="00312DB8">
        <w:rPr>
          <w:rFonts w:eastAsia="Arial Unicode MS"/>
          <w:sz w:val="22"/>
          <w:szCs w:val="22"/>
        </w:rPr>
        <w:t xml:space="preserve">des </w:t>
      </w:r>
      <w:r w:rsidR="00312DB8" w:rsidRPr="002E1737">
        <w:rPr>
          <w:rFonts w:eastAsia="Arial Unicode MS"/>
          <w:sz w:val="22"/>
          <w:szCs w:val="22"/>
        </w:rPr>
        <w:t>activités d</w:t>
      </w:r>
      <w:r w:rsidR="00312DB8">
        <w:rPr>
          <w:rFonts w:eastAsia="Arial Unicode MS"/>
          <w:sz w:val="22"/>
          <w:szCs w:val="22"/>
        </w:rPr>
        <w:t>e « </w:t>
      </w:r>
      <w:r w:rsidR="00312DB8" w:rsidRPr="002E1737">
        <w:rPr>
          <w:rFonts w:eastAsia="Arial Unicode MS"/>
          <w:sz w:val="22"/>
          <w:szCs w:val="22"/>
        </w:rPr>
        <w:t>Construction de Bâtiments</w:t>
      </w:r>
      <w:r w:rsidR="00312DB8">
        <w:rPr>
          <w:rFonts w:eastAsia="Arial Unicode MS"/>
          <w:sz w:val="22"/>
          <w:szCs w:val="22"/>
        </w:rPr>
        <w:t> »</w:t>
      </w:r>
      <w:r w:rsidR="00312DB8" w:rsidRPr="002E1737">
        <w:rPr>
          <w:rFonts w:eastAsia="Arial Unicode MS"/>
          <w:sz w:val="22"/>
          <w:szCs w:val="22"/>
        </w:rPr>
        <w:t xml:space="preserve"> et de la </w:t>
      </w:r>
      <w:r w:rsidR="00312DB8">
        <w:rPr>
          <w:rFonts w:eastAsia="Arial Unicode MS"/>
          <w:sz w:val="22"/>
          <w:szCs w:val="22"/>
        </w:rPr>
        <w:t>baisse</w:t>
      </w:r>
      <w:r w:rsidR="00312DB8" w:rsidRPr="00157A43">
        <w:rPr>
          <w:rFonts w:eastAsia="Arial Unicode MS"/>
          <w:sz w:val="22"/>
          <w:szCs w:val="22"/>
        </w:rPr>
        <w:t xml:space="preserve"> </w:t>
      </w:r>
      <w:r w:rsidR="00312DB8" w:rsidRPr="002E1737">
        <w:rPr>
          <w:rFonts w:eastAsia="Arial Unicode MS"/>
          <w:sz w:val="22"/>
          <w:szCs w:val="22"/>
        </w:rPr>
        <w:t>des activités d</w:t>
      </w:r>
      <w:r w:rsidR="00312DB8">
        <w:rPr>
          <w:rFonts w:eastAsia="Arial Unicode MS"/>
          <w:sz w:val="22"/>
          <w:szCs w:val="22"/>
        </w:rPr>
        <w:t xml:space="preserve">u </w:t>
      </w:r>
      <w:r w:rsidR="00312DB8" w:rsidRPr="002E1737">
        <w:rPr>
          <w:rFonts w:eastAsia="Arial Unicode MS"/>
          <w:sz w:val="22"/>
          <w:szCs w:val="22"/>
        </w:rPr>
        <w:t>«Génie Civil»</w:t>
      </w:r>
      <w:r>
        <w:rPr>
          <w:rFonts w:eastAsia="Arial Unicode MS"/>
          <w:sz w:val="22"/>
          <w:szCs w:val="22"/>
        </w:rPr>
        <w:t xml:space="preserve">, et </w:t>
      </w:r>
      <w:r w:rsidR="00312DB8" w:rsidRPr="00157A43">
        <w:rPr>
          <w:rFonts w:eastAsia="Arial Unicode MS"/>
          <w:sz w:val="22"/>
          <w:szCs w:val="22"/>
        </w:rPr>
        <w:t xml:space="preserve">serait accompagnée par une </w:t>
      </w:r>
      <w:r w:rsidR="00312DB8">
        <w:rPr>
          <w:rFonts w:eastAsia="Arial Unicode MS"/>
          <w:sz w:val="22"/>
          <w:szCs w:val="22"/>
        </w:rPr>
        <w:t>quasi-</w:t>
      </w:r>
      <w:r w:rsidR="00312DB8" w:rsidRPr="00157A43">
        <w:rPr>
          <w:rFonts w:eastAsia="Arial Unicode MS"/>
          <w:sz w:val="22"/>
          <w:szCs w:val="22"/>
        </w:rPr>
        <w:t xml:space="preserve">stabilité des effectifs employés </w:t>
      </w:r>
      <w:r>
        <w:rPr>
          <w:rFonts w:eastAsia="Arial Unicode MS"/>
          <w:sz w:val="22"/>
          <w:szCs w:val="22"/>
        </w:rPr>
        <w:t xml:space="preserve">et ce, selon </w:t>
      </w:r>
      <w:r w:rsidR="00312DB8">
        <w:rPr>
          <w:rFonts w:eastAsia="Arial Unicode MS"/>
          <w:sz w:val="22"/>
          <w:szCs w:val="22"/>
        </w:rPr>
        <w:t>57%</w:t>
      </w:r>
      <w:r w:rsidR="00312DB8" w:rsidRPr="00157A43">
        <w:rPr>
          <w:rFonts w:eastAsia="Arial Unicode MS"/>
          <w:sz w:val="22"/>
          <w:szCs w:val="22"/>
        </w:rPr>
        <w:t xml:space="preserve"> des chefs d’entreprises.</w:t>
      </w:r>
    </w:p>
    <w:p w:rsidR="005B18F9" w:rsidRDefault="005B18F9" w:rsidP="00312DB8">
      <w:pPr>
        <w:spacing w:after="120" w:line="300" w:lineRule="exact"/>
        <w:jc w:val="both"/>
        <w:rPr>
          <w:rFonts w:eastAsia="Arial Unicode MS"/>
          <w:sz w:val="22"/>
          <w:szCs w:val="22"/>
        </w:rPr>
      </w:pPr>
    </w:p>
    <w:p w:rsidR="005B18F9" w:rsidRPr="005B18F9" w:rsidRDefault="0033375A" w:rsidP="00857BEE">
      <w:pPr>
        <w:pStyle w:val="Paragraphedeliste"/>
        <w:numPr>
          <w:ilvl w:val="1"/>
          <w:numId w:val="24"/>
        </w:numPr>
        <w:spacing w:after="120"/>
        <w:jc w:val="both"/>
        <w:rPr>
          <w:rFonts w:ascii="Trebuchet MS" w:eastAsia="Arial Unicode MS" w:hAnsi="Trebuchet MS"/>
          <w:b/>
          <w:bCs/>
          <w:color w:val="660033"/>
          <w:sz w:val="28"/>
          <w:szCs w:val="28"/>
        </w:rPr>
      </w:pPr>
      <w:r>
        <w:rPr>
          <w:rFonts w:ascii="Trebuchet MS" w:eastAsia="Arial Unicode MS" w:hAnsi="Trebuchet MS"/>
          <w:b/>
          <w:bCs/>
          <w:color w:val="660033"/>
          <w:sz w:val="28"/>
          <w:szCs w:val="28"/>
        </w:rPr>
        <w:t xml:space="preserve">Secteur des </w:t>
      </w:r>
      <w:r w:rsidR="005B18F9" w:rsidRPr="005B18F9">
        <w:rPr>
          <w:rFonts w:ascii="Trebuchet MS" w:eastAsia="Arial Unicode MS" w:hAnsi="Trebuchet MS"/>
          <w:b/>
          <w:bCs/>
          <w:color w:val="660033"/>
          <w:sz w:val="28"/>
          <w:szCs w:val="28"/>
        </w:rPr>
        <w:t>Services marchands non financiers</w:t>
      </w:r>
    </w:p>
    <w:p w:rsidR="005B18F9" w:rsidRDefault="005B18F9" w:rsidP="005B18F9">
      <w:pPr>
        <w:spacing w:after="200" w:line="276" w:lineRule="auto"/>
        <w:jc w:val="both"/>
        <w:rPr>
          <w:rFonts w:asciiTheme="majorBidi" w:hAnsiTheme="majorBidi" w:cstheme="majorBidi"/>
        </w:rPr>
      </w:pPr>
      <w:r>
        <w:rPr>
          <w:rFonts w:asciiTheme="majorBidi" w:hAnsiTheme="majorBidi" w:cstheme="majorBidi"/>
          <w:noProof/>
        </w:rPr>
        <w:drawing>
          <wp:anchor distT="0" distB="0" distL="114300" distR="114300" simplePos="0" relativeHeight="251692032" behindDoc="0" locked="0" layoutInCell="1" allowOverlap="1">
            <wp:simplePos x="0" y="0"/>
            <wp:positionH relativeFrom="margin">
              <wp:posOffset>3262630</wp:posOffset>
            </wp:positionH>
            <wp:positionV relativeFrom="margin">
              <wp:posOffset>1106170</wp:posOffset>
            </wp:positionV>
            <wp:extent cx="2743200" cy="2352675"/>
            <wp:effectExtent l="19050" t="0" r="19050" b="0"/>
            <wp:wrapSquare wrapText="bothSides"/>
            <wp:docPr id="35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6111BC">
        <w:rPr>
          <w:rFonts w:asciiTheme="majorBidi" w:hAnsiTheme="majorBidi" w:cstheme="majorBidi"/>
        </w:rPr>
        <w:t xml:space="preserve">Pour les </w:t>
      </w:r>
      <w:r>
        <w:rPr>
          <w:rFonts w:asciiTheme="majorBidi" w:hAnsiTheme="majorBidi" w:cstheme="majorBidi"/>
        </w:rPr>
        <w:t xml:space="preserve">pronostics </w:t>
      </w:r>
      <w:r w:rsidRPr="006111BC">
        <w:rPr>
          <w:rFonts w:asciiTheme="majorBidi" w:hAnsiTheme="majorBidi" w:cstheme="majorBidi"/>
        </w:rPr>
        <w:t xml:space="preserve">du </w:t>
      </w:r>
      <w:r>
        <w:rPr>
          <w:rFonts w:asciiTheme="majorBidi" w:hAnsiTheme="majorBidi" w:cstheme="majorBidi"/>
        </w:rPr>
        <w:t>1</w:t>
      </w:r>
      <w:r w:rsidRPr="00F46A14">
        <w:rPr>
          <w:rFonts w:asciiTheme="majorBidi" w:hAnsiTheme="majorBidi" w:cstheme="majorBidi"/>
          <w:vertAlign w:val="superscript"/>
        </w:rPr>
        <w:t>er</w:t>
      </w:r>
      <w:r>
        <w:rPr>
          <w:rFonts w:asciiTheme="majorBidi" w:hAnsiTheme="majorBidi" w:cstheme="majorBidi"/>
        </w:rPr>
        <w:t xml:space="preserve"> </w:t>
      </w:r>
      <w:r w:rsidRPr="006111BC">
        <w:rPr>
          <w:rFonts w:asciiTheme="majorBidi" w:hAnsiTheme="majorBidi" w:cstheme="majorBidi"/>
        </w:rPr>
        <w:t>trimestre 201</w:t>
      </w:r>
      <w:r>
        <w:rPr>
          <w:rFonts w:asciiTheme="majorBidi" w:hAnsiTheme="majorBidi" w:cstheme="majorBidi"/>
        </w:rPr>
        <w:t>6</w:t>
      </w:r>
      <w:r w:rsidRPr="006111BC">
        <w:rPr>
          <w:rFonts w:asciiTheme="majorBidi" w:hAnsiTheme="majorBidi" w:cstheme="majorBidi"/>
        </w:rPr>
        <w:t xml:space="preserve">, </w:t>
      </w:r>
      <w:r>
        <w:rPr>
          <w:rFonts w:asciiTheme="majorBidi" w:hAnsiTheme="majorBidi" w:cstheme="majorBidi"/>
        </w:rPr>
        <w:t>la moitié des</w:t>
      </w:r>
      <w:r w:rsidRPr="006111BC">
        <w:rPr>
          <w:rFonts w:asciiTheme="majorBidi" w:hAnsiTheme="majorBidi" w:cstheme="majorBidi"/>
        </w:rPr>
        <w:t xml:space="preserve"> entreprises </w:t>
      </w:r>
      <w:r>
        <w:rPr>
          <w:rFonts w:asciiTheme="majorBidi" w:hAnsiTheme="majorBidi" w:cstheme="majorBidi"/>
        </w:rPr>
        <w:t xml:space="preserve">opérant dans le secteur des </w:t>
      </w:r>
      <w:r w:rsidRPr="005E2D5D">
        <w:rPr>
          <w:rFonts w:eastAsia="Arial Unicode MS"/>
          <w:b/>
          <w:bCs/>
          <w:color w:val="660033"/>
          <w:sz w:val="22"/>
          <w:szCs w:val="22"/>
        </w:rPr>
        <w:t>services</w:t>
      </w:r>
      <w:r>
        <w:rPr>
          <w:rFonts w:eastAsia="Arial Unicode MS"/>
          <w:b/>
          <w:bCs/>
          <w:color w:val="660033"/>
          <w:sz w:val="22"/>
          <w:szCs w:val="22"/>
        </w:rPr>
        <w:t xml:space="preserve"> marchands non financiers</w:t>
      </w:r>
      <w:r w:rsidRPr="006111BC">
        <w:rPr>
          <w:rFonts w:asciiTheme="majorBidi" w:hAnsiTheme="majorBidi" w:cstheme="majorBidi"/>
        </w:rPr>
        <w:t xml:space="preserve"> s’attendent à une </w:t>
      </w:r>
      <w:r>
        <w:rPr>
          <w:rFonts w:asciiTheme="majorBidi" w:hAnsiTheme="majorBidi" w:cstheme="majorBidi"/>
        </w:rPr>
        <w:t>stagnation</w:t>
      </w:r>
      <w:r w:rsidRPr="006111BC">
        <w:rPr>
          <w:rFonts w:asciiTheme="majorBidi" w:hAnsiTheme="majorBidi" w:cstheme="majorBidi"/>
        </w:rPr>
        <w:t xml:space="preserve"> de l’activité globale</w:t>
      </w:r>
      <w:r>
        <w:rPr>
          <w:rFonts w:asciiTheme="majorBidi" w:hAnsiTheme="majorBidi" w:cstheme="majorBidi"/>
        </w:rPr>
        <w:t xml:space="preserve">. </w:t>
      </w:r>
    </w:p>
    <w:p w:rsidR="005B18F9" w:rsidRDefault="005B18F9" w:rsidP="005B18F9">
      <w:pPr>
        <w:spacing w:after="200" w:line="276" w:lineRule="auto"/>
        <w:jc w:val="both"/>
        <w:rPr>
          <w:rFonts w:asciiTheme="majorBidi" w:eastAsia="Arial Unicode MS" w:hAnsiTheme="majorBidi" w:cstheme="majorBidi"/>
        </w:rPr>
      </w:pPr>
      <w:r w:rsidRPr="00792859">
        <w:rPr>
          <w:rFonts w:asciiTheme="majorBidi" w:eastAsia="Arial Unicode MS" w:hAnsiTheme="majorBidi" w:cstheme="majorBidi"/>
        </w:rPr>
        <w:t xml:space="preserve">Quant à l’emploi, </w:t>
      </w:r>
      <w:r>
        <w:rPr>
          <w:rFonts w:asciiTheme="majorBidi" w:eastAsia="Arial Unicode MS" w:hAnsiTheme="majorBidi" w:cstheme="majorBidi"/>
        </w:rPr>
        <w:t>la majorité d</w:t>
      </w:r>
      <w:r w:rsidRPr="00792859">
        <w:rPr>
          <w:rFonts w:asciiTheme="majorBidi" w:eastAsia="Arial Unicode MS" w:hAnsiTheme="majorBidi" w:cstheme="majorBidi"/>
        </w:rPr>
        <w:t xml:space="preserve">es chefs d’entreprises prévoient une </w:t>
      </w:r>
      <w:r>
        <w:rPr>
          <w:rFonts w:asciiTheme="majorBidi" w:eastAsia="Arial Unicode MS" w:hAnsiTheme="majorBidi" w:cstheme="majorBidi"/>
        </w:rPr>
        <w:t xml:space="preserve">stabilité de leurs </w:t>
      </w:r>
      <w:r w:rsidRPr="00792859">
        <w:rPr>
          <w:rFonts w:asciiTheme="majorBidi" w:eastAsia="Arial Unicode MS" w:hAnsiTheme="majorBidi" w:cstheme="majorBidi"/>
        </w:rPr>
        <w:t>effectifs</w:t>
      </w:r>
      <w:r>
        <w:rPr>
          <w:rFonts w:asciiTheme="majorBidi" w:eastAsia="Arial Unicode MS" w:hAnsiTheme="majorBidi" w:cstheme="majorBidi"/>
        </w:rPr>
        <w:t xml:space="preserve"> </w:t>
      </w:r>
      <w:r w:rsidRPr="00792859">
        <w:rPr>
          <w:rFonts w:asciiTheme="majorBidi" w:eastAsia="Arial Unicode MS" w:hAnsiTheme="majorBidi" w:cstheme="majorBidi"/>
        </w:rPr>
        <w:t xml:space="preserve">pour le </w:t>
      </w:r>
      <w:r>
        <w:rPr>
          <w:rFonts w:asciiTheme="majorBidi" w:eastAsia="Arial Unicode MS" w:hAnsiTheme="majorBidi" w:cstheme="majorBidi"/>
        </w:rPr>
        <w:t>1</w:t>
      </w:r>
      <w:r w:rsidRPr="003D60A4">
        <w:rPr>
          <w:rFonts w:asciiTheme="majorBidi" w:eastAsia="Arial Unicode MS" w:hAnsiTheme="majorBidi" w:cstheme="majorBidi"/>
          <w:vertAlign w:val="superscript"/>
        </w:rPr>
        <w:t>er</w:t>
      </w:r>
      <w:r>
        <w:rPr>
          <w:rFonts w:asciiTheme="majorBidi" w:eastAsia="Arial Unicode MS" w:hAnsiTheme="majorBidi" w:cstheme="majorBidi"/>
        </w:rPr>
        <w:t xml:space="preserve"> </w:t>
      </w:r>
      <w:r w:rsidRPr="00792859">
        <w:rPr>
          <w:rFonts w:asciiTheme="majorBidi" w:eastAsia="Arial Unicode MS" w:hAnsiTheme="majorBidi" w:cstheme="majorBidi"/>
        </w:rPr>
        <w:t>trimestre 201</w:t>
      </w:r>
      <w:r>
        <w:rPr>
          <w:rFonts w:asciiTheme="majorBidi" w:eastAsia="Arial Unicode MS" w:hAnsiTheme="majorBidi" w:cstheme="majorBidi"/>
        </w:rPr>
        <w:t xml:space="preserve">6. </w:t>
      </w:r>
    </w:p>
    <w:p w:rsidR="005B18F9" w:rsidRDefault="005B18F9" w:rsidP="005B18F9">
      <w:pPr>
        <w:spacing w:after="200" w:line="276" w:lineRule="auto"/>
        <w:jc w:val="both"/>
        <w:rPr>
          <w:rFonts w:asciiTheme="majorBidi" w:eastAsia="Arial Unicode MS" w:hAnsiTheme="majorBidi" w:cstheme="majorBidi"/>
        </w:rPr>
      </w:pPr>
    </w:p>
    <w:p w:rsidR="00F81A11" w:rsidRDefault="00F81A11" w:rsidP="00312DB8">
      <w:pPr>
        <w:spacing w:after="120" w:line="300" w:lineRule="exact"/>
        <w:jc w:val="both"/>
        <w:rPr>
          <w:rFonts w:eastAsia="Arial Unicode MS"/>
          <w:sz w:val="22"/>
          <w:szCs w:val="22"/>
        </w:rPr>
      </w:pPr>
    </w:p>
    <w:p w:rsidR="005B18F9" w:rsidRDefault="005B18F9" w:rsidP="00312DB8">
      <w:pPr>
        <w:spacing w:after="120" w:line="300" w:lineRule="exact"/>
        <w:jc w:val="both"/>
        <w:rPr>
          <w:rFonts w:eastAsia="Arial Unicode MS"/>
          <w:sz w:val="22"/>
          <w:szCs w:val="22"/>
        </w:rPr>
      </w:pPr>
    </w:p>
    <w:p w:rsidR="00127090" w:rsidRDefault="00127090" w:rsidP="00312DB8">
      <w:pPr>
        <w:spacing w:after="120" w:line="300" w:lineRule="exact"/>
        <w:jc w:val="both"/>
        <w:rPr>
          <w:rFonts w:eastAsia="Arial Unicode MS"/>
          <w:sz w:val="22"/>
          <w:szCs w:val="22"/>
        </w:rPr>
      </w:pPr>
    </w:p>
    <w:p w:rsidR="00127090" w:rsidRDefault="00127090" w:rsidP="00312DB8">
      <w:pPr>
        <w:spacing w:after="120" w:line="300" w:lineRule="exact"/>
        <w:jc w:val="both"/>
        <w:rPr>
          <w:rFonts w:eastAsia="Arial Unicode MS"/>
          <w:sz w:val="22"/>
          <w:szCs w:val="22"/>
        </w:rPr>
      </w:pPr>
    </w:p>
    <w:p w:rsidR="00127090" w:rsidRDefault="00127090" w:rsidP="00312DB8">
      <w:pPr>
        <w:spacing w:after="120" w:line="300" w:lineRule="exact"/>
        <w:jc w:val="both"/>
        <w:rPr>
          <w:rFonts w:eastAsia="Arial Unicode MS"/>
          <w:sz w:val="22"/>
          <w:szCs w:val="22"/>
        </w:rPr>
      </w:pPr>
    </w:p>
    <w:p w:rsidR="005B18F9" w:rsidRPr="005B18F9" w:rsidRDefault="0033375A" w:rsidP="00857BEE">
      <w:pPr>
        <w:pStyle w:val="Paragraphedeliste"/>
        <w:numPr>
          <w:ilvl w:val="1"/>
          <w:numId w:val="24"/>
        </w:numPr>
        <w:spacing w:after="120"/>
        <w:jc w:val="both"/>
        <w:rPr>
          <w:rFonts w:ascii="Trebuchet MS" w:eastAsia="Arial Unicode MS" w:hAnsi="Trebuchet MS"/>
          <w:b/>
          <w:bCs/>
          <w:color w:val="660033"/>
          <w:sz w:val="28"/>
          <w:szCs w:val="28"/>
        </w:rPr>
      </w:pPr>
      <w:r>
        <w:rPr>
          <w:rFonts w:ascii="Trebuchet MS" w:eastAsia="Arial Unicode MS" w:hAnsi="Trebuchet MS"/>
          <w:b/>
          <w:bCs/>
          <w:color w:val="660033"/>
          <w:sz w:val="28"/>
          <w:szCs w:val="28"/>
        </w:rPr>
        <w:t xml:space="preserve">Secteur du </w:t>
      </w:r>
      <w:r w:rsidR="005B18F9" w:rsidRPr="005B18F9">
        <w:rPr>
          <w:rFonts w:ascii="Trebuchet MS" w:eastAsia="Arial Unicode MS" w:hAnsi="Trebuchet MS"/>
          <w:b/>
          <w:bCs/>
          <w:color w:val="660033"/>
          <w:sz w:val="28"/>
          <w:szCs w:val="28"/>
        </w:rPr>
        <w:t>Commerce de gros</w:t>
      </w:r>
    </w:p>
    <w:p w:rsidR="005B18F9" w:rsidRDefault="005B18F9" w:rsidP="005B18F9">
      <w:pPr>
        <w:spacing w:after="120" w:line="300" w:lineRule="exact"/>
        <w:ind w:left="-284"/>
        <w:jc w:val="both"/>
        <w:rPr>
          <w:rFonts w:eastAsia="Arial Unicode MS"/>
          <w:sz w:val="22"/>
          <w:szCs w:val="22"/>
        </w:rPr>
      </w:pPr>
      <w:r>
        <w:rPr>
          <w:rFonts w:eastAsia="Arial Unicode MS"/>
          <w:noProof/>
          <w:sz w:val="22"/>
          <w:szCs w:val="22"/>
        </w:rPr>
        <w:drawing>
          <wp:anchor distT="0" distB="0" distL="114300" distR="114300" simplePos="0" relativeHeight="251696128" behindDoc="0" locked="0" layoutInCell="1" allowOverlap="1">
            <wp:simplePos x="0" y="0"/>
            <wp:positionH relativeFrom="margin">
              <wp:posOffset>3053080</wp:posOffset>
            </wp:positionH>
            <wp:positionV relativeFrom="margin">
              <wp:posOffset>4373245</wp:posOffset>
            </wp:positionV>
            <wp:extent cx="3276600" cy="2495550"/>
            <wp:effectExtent l="0" t="0" r="0" b="0"/>
            <wp:wrapSquare wrapText="bothSides"/>
            <wp:docPr id="36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eastAsia="Arial Unicode MS"/>
          <w:sz w:val="22"/>
          <w:szCs w:val="22"/>
        </w:rPr>
        <w:t xml:space="preserve">Les anticipations des grossistes </w:t>
      </w:r>
      <w:r w:rsidRPr="00FF24EF">
        <w:rPr>
          <w:rFonts w:eastAsia="Arial Unicode MS"/>
          <w:sz w:val="22"/>
          <w:szCs w:val="22"/>
        </w:rPr>
        <w:t xml:space="preserve">pour le </w:t>
      </w:r>
      <w:r>
        <w:rPr>
          <w:rFonts w:eastAsia="Arial Unicode MS"/>
          <w:sz w:val="22"/>
          <w:szCs w:val="22"/>
        </w:rPr>
        <w:t xml:space="preserve">1er </w:t>
      </w:r>
      <w:r w:rsidRPr="00FF24EF">
        <w:rPr>
          <w:rFonts w:eastAsia="Arial Unicode MS"/>
          <w:sz w:val="22"/>
          <w:szCs w:val="22"/>
        </w:rPr>
        <w:t>t</w:t>
      </w:r>
      <w:r>
        <w:rPr>
          <w:rFonts w:eastAsia="Arial Unicode MS"/>
          <w:sz w:val="22"/>
          <w:szCs w:val="22"/>
        </w:rPr>
        <w:t xml:space="preserve">rimestre 2016 révèlent, selon 55% d'entre- eux, une hausse du volume global des ventes </w:t>
      </w:r>
      <w:r w:rsidRPr="00FF24EF">
        <w:rPr>
          <w:rFonts w:eastAsia="Arial Unicode MS"/>
          <w:sz w:val="22"/>
          <w:szCs w:val="22"/>
        </w:rPr>
        <w:t>et</w:t>
      </w:r>
      <w:r>
        <w:rPr>
          <w:rFonts w:eastAsia="Arial Unicode MS"/>
          <w:sz w:val="22"/>
          <w:szCs w:val="22"/>
        </w:rPr>
        <w:t>, s</w:t>
      </w:r>
      <w:r w:rsidRPr="00FF24EF">
        <w:rPr>
          <w:rFonts w:eastAsia="Arial Unicode MS"/>
          <w:sz w:val="22"/>
          <w:szCs w:val="22"/>
        </w:rPr>
        <w:t xml:space="preserve">elon </w:t>
      </w:r>
      <w:r>
        <w:rPr>
          <w:rFonts w:eastAsia="Arial Unicode MS"/>
          <w:sz w:val="22"/>
          <w:szCs w:val="22"/>
        </w:rPr>
        <w:t>14</w:t>
      </w:r>
      <w:r w:rsidRPr="00FF24EF">
        <w:rPr>
          <w:rFonts w:eastAsia="Arial Unicode MS"/>
          <w:sz w:val="22"/>
          <w:szCs w:val="22"/>
        </w:rPr>
        <w:t>%</w:t>
      </w:r>
      <w:r>
        <w:rPr>
          <w:rFonts w:eastAsia="Arial Unicode MS"/>
          <w:sz w:val="22"/>
          <w:szCs w:val="22"/>
        </w:rPr>
        <w:t xml:space="preserve">, plutôt, </w:t>
      </w:r>
      <w:r w:rsidRPr="00FF24EF">
        <w:rPr>
          <w:rFonts w:eastAsia="Arial Unicode MS"/>
          <w:sz w:val="22"/>
          <w:szCs w:val="22"/>
        </w:rPr>
        <w:t xml:space="preserve">une baisse. </w:t>
      </w:r>
    </w:p>
    <w:p w:rsidR="005B18F9" w:rsidRDefault="005B18F9" w:rsidP="005B18F9">
      <w:pPr>
        <w:spacing w:after="120" w:line="300" w:lineRule="exact"/>
        <w:ind w:left="-284"/>
        <w:jc w:val="both"/>
        <w:rPr>
          <w:rFonts w:eastAsia="Arial Unicode MS"/>
          <w:sz w:val="22"/>
          <w:szCs w:val="22"/>
        </w:rPr>
      </w:pPr>
      <w:r w:rsidRPr="00FF24EF">
        <w:rPr>
          <w:rFonts w:eastAsia="Arial Unicode MS"/>
          <w:sz w:val="22"/>
          <w:szCs w:val="22"/>
        </w:rPr>
        <w:t xml:space="preserve">Cette amélioration concernerait, principalement, les activités </w:t>
      </w:r>
      <w:r>
        <w:rPr>
          <w:rFonts w:eastAsia="Arial Unicode MS"/>
          <w:sz w:val="22"/>
          <w:szCs w:val="22"/>
        </w:rPr>
        <w:t xml:space="preserve">des </w:t>
      </w:r>
      <w:r w:rsidRPr="00FF24EF">
        <w:rPr>
          <w:rFonts w:eastAsia="Arial Unicode MS"/>
          <w:sz w:val="22"/>
          <w:szCs w:val="22"/>
        </w:rPr>
        <w:t>« </w:t>
      </w:r>
      <w:r w:rsidRPr="00346865">
        <w:rPr>
          <w:color w:val="000000"/>
        </w:rPr>
        <w:t>Autres commerces de gros spécialisés</w:t>
      </w:r>
      <w:r>
        <w:rPr>
          <w:rFonts w:eastAsia="Arial Unicode MS"/>
          <w:sz w:val="22"/>
          <w:szCs w:val="22"/>
        </w:rPr>
        <w:t xml:space="preserve">», du </w:t>
      </w:r>
      <w:r w:rsidRPr="00FF24EF">
        <w:rPr>
          <w:rFonts w:eastAsia="Arial Unicode MS"/>
          <w:sz w:val="22"/>
          <w:szCs w:val="22"/>
        </w:rPr>
        <w:t>« </w:t>
      </w:r>
      <w:r w:rsidRPr="00346865">
        <w:rPr>
          <w:color w:val="000000"/>
        </w:rPr>
        <w:t>Commerce de gros d'autres équipements industriels</w:t>
      </w:r>
      <w:r>
        <w:rPr>
          <w:rFonts w:eastAsia="Arial Unicode MS"/>
          <w:sz w:val="22"/>
          <w:szCs w:val="22"/>
        </w:rPr>
        <w:t>»</w:t>
      </w:r>
      <w:r w:rsidRPr="00FF24EF">
        <w:rPr>
          <w:rFonts w:eastAsia="Arial Unicode MS"/>
          <w:sz w:val="22"/>
          <w:szCs w:val="22"/>
        </w:rPr>
        <w:t xml:space="preserve"> </w:t>
      </w:r>
      <w:r>
        <w:rPr>
          <w:rFonts w:eastAsia="Arial Unicode MS"/>
          <w:sz w:val="22"/>
          <w:szCs w:val="22"/>
        </w:rPr>
        <w:t>et du</w:t>
      </w:r>
      <w:r w:rsidRPr="00460863">
        <w:rPr>
          <w:rFonts w:eastAsia="Arial Unicode MS"/>
          <w:sz w:val="22"/>
          <w:szCs w:val="22"/>
        </w:rPr>
        <w:t xml:space="preserve"> </w:t>
      </w:r>
      <w:r w:rsidRPr="00FF24EF">
        <w:rPr>
          <w:rFonts w:eastAsia="Arial Unicode MS"/>
          <w:sz w:val="22"/>
          <w:szCs w:val="22"/>
        </w:rPr>
        <w:t>« </w:t>
      </w:r>
      <w:r w:rsidRPr="00460863">
        <w:rPr>
          <w:rFonts w:eastAsia="Arial Unicode MS"/>
          <w:sz w:val="22"/>
          <w:szCs w:val="22"/>
        </w:rPr>
        <w:t>Commerce de gros de biens domestiques</w:t>
      </w:r>
      <w:r>
        <w:rPr>
          <w:rFonts w:eastAsia="Arial Unicode MS"/>
          <w:sz w:val="22"/>
          <w:szCs w:val="22"/>
        </w:rPr>
        <w:t>»</w:t>
      </w:r>
      <w:r w:rsidRPr="00FF24EF">
        <w:rPr>
          <w:rFonts w:eastAsia="Arial Unicode MS"/>
          <w:sz w:val="22"/>
          <w:szCs w:val="22"/>
        </w:rPr>
        <w:t>.</w:t>
      </w:r>
    </w:p>
    <w:p w:rsidR="005B18F9" w:rsidRDefault="005B18F9" w:rsidP="005B18F9">
      <w:pPr>
        <w:spacing w:after="120" w:line="300" w:lineRule="exact"/>
        <w:ind w:left="-284"/>
        <w:jc w:val="both"/>
        <w:rPr>
          <w:rFonts w:eastAsia="Arial Unicode MS"/>
          <w:sz w:val="22"/>
          <w:szCs w:val="22"/>
        </w:rPr>
      </w:pPr>
      <w:r w:rsidRPr="00FF24EF">
        <w:rPr>
          <w:rFonts w:eastAsia="Arial Unicode MS"/>
          <w:sz w:val="22"/>
          <w:szCs w:val="22"/>
        </w:rPr>
        <w:t xml:space="preserve">Quant à l’emploi, </w:t>
      </w:r>
      <w:r>
        <w:rPr>
          <w:rFonts w:eastAsia="Arial Unicode MS"/>
          <w:sz w:val="22"/>
          <w:szCs w:val="22"/>
        </w:rPr>
        <w:t>57</w:t>
      </w:r>
      <w:r w:rsidRPr="00FF24EF">
        <w:rPr>
          <w:rFonts w:eastAsia="Arial Unicode MS"/>
          <w:sz w:val="22"/>
          <w:szCs w:val="22"/>
        </w:rPr>
        <w:t xml:space="preserve">% des chefs d’entreprises prévoient une </w:t>
      </w:r>
      <w:r>
        <w:rPr>
          <w:rFonts w:eastAsia="Arial Unicode MS"/>
          <w:sz w:val="22"/>
          <w:szCs w:val="22"/>
        </w:rPr>
        <w:t>stagnation</w:t>
      </w:r>
      <w:r w:rsidRPr="00FF24EF">
        <w:rPr>
          <w:rFonts w:eastAsia="Arial Unicode MS"/>
          <w:sz w:val="22"/>
          <w:szCs w:val="22"/>
        </w:rPr>
        <w:t xml:space="preserve"> des effectifs et </w:t>
      </w:r>
      <w:r>
        <w:rPr>
          <w:rFonts w:eastAsia="Arial Unicode MS"/>
          <w:sz w:val="22"/>
          <w:szCs w:val="22"/>
        </w:rPr>
        <w:t>31</w:t>
      </w:r>
      <w:r w:rsidRPr="00FF24EF">
        <w:rPr>
          <w:rFonts w:eastAsia="Arial Unicode MS"/>
          <w:sz w:val="22"/>
          <w:szCs w:val="22"/>
        </w:rPr>
        <w:t xml:space="preserve">% une </w:t>
      </w:r>
      <w:r>
        <w:rPr>
          <w:rFonts w:eastAsia="Arial Unicode MS"/>
          <w:sz w:val="22"/>
          <w:szCs w:val="22"/>
        </w:rPr>
        <w:t>hausse.</w:t>
      </w:r>
    </w:p>
    <w:p w:rsidR="005B18F9" w:rsidRDefault="005B18F9" w:rsidP="005B18F9">
      <w:pPr>
        <w:spacing w:after="120" w:line="300" w:lineRule="exact"/>
        <w:ind w:left="-284"/>
        <w:jc w:val="both"/>
        <w:rPr>
          <w:rFonts w:eastAsia="Arial Unicode MS"/>
          <w:sz w:val="22"/>
          <w:szCs w:val="22"/>
        </w:rPr>
      </w:pPr>
      <w:r>
        <w:rPr>
          <w:rFonts w:eastAsia="Arial Unicode MS"/>
          <w:sz w:val="22"/>
          <w:szCs w:val="22"/>
        </w:rPr>
        <w:t xml:space="preserve">Les commandes à passer </w:t>
      </w:r>
      <w:r w:rsidRPr="00FF24EF">
        <w:rPr>
          <w:rFonts w:eastAsia="Arial Unicode MS"/>
          <w:sz w:val="22"/>
          <w:szCs w:val="22"/>
        </w:rPr>
        <w:t xml:space="preserve">pour le </w:t>
      </w:r>
      <w:r>
        <w:rPr>
          <w:rFonts w:eastAsia="Arial Unicode MS"/>
          <w:sz w:val="22"/>
          <w:szCs w:val="22"/>
        </w:rPr>
        <w:t xml:space="preserve">1er trimestre 2016 seraient d’un niveau normal selon 71% des chefs d’entreprises et inférieur à la normale selon 18% d’entre eux. </w:t>
      </w:r>
    </w:p>
    <w:p w:rsidR="005B18F9" w:rsidRDefault="005B18F9" w:rsidP="005B18F9">
      <w:pPr>
        <w:spacing w:after="120" w:line="300" w:lineRule="exact"/>
        <w:ind w:left="-284"/>
        <w:jc w:val="both"/>
        <w:rPr>
          <w:rFonts w:eastAsia="Arial Unicode MS"/>
          <w:sz w:val="22"/>
          <w:szCs w:val="22"/>
        </w:rPr>
      </w:pPr>
      <w:r>
        <w:rPr>
          <w:rFonts w:eastAsia="Arial Unicode MS"/>
          <w:sz w:val="22"/>
          <w:szCs w:val="22"/>
        </w:rPr>
        <w:t>Pour sa part, la tendance prévue des prix de ventes dans le secteur, s’orienterait vers la stabilité selon 72% des grossistes et une baisse d’après 21% d’entre eux.</w:t>
      </w:r>
    </w:p>
    <w:p w:rsidR="005B18F9" w:rsidRDefault="005B18F9" w:rsidP="005B18F9">
      <w:pPr>
        <w:spacing w:after="120" w:line="300" w:lineRule="exact"/>
        <w:ind w:left="-284"/>
        <w:jc w:val="both"/>
        <w:rPr>
          <w:rFonts w:eastAsia="Arial Unicode MS"/>
          <w:sz w:val="22"/>
          <w:szCs w:val="22"/>
        </w:rPr>
      </w:pPr>
    </w:p>
    <w:p w:rsidR="005B18F9" w:rsidRDefault="005B18F9" w:rsidP="005B18F9">
      <w:pPr>
        <w:spacing w:after="120" w:line="300" w:lineRule="exact"/>
        <w:ind w:left="-284"/>
        <w:jc w:val="both"/>
        <w:rPr>
          <w:rFonts w:eastAsia="Arial Unicode MS"/>
          <w:sz w:val="22"/>
          <w:szCs w:val="22"/>
        </w:rPr>
      </w:pPr>
    </w:p>
    <w:p w:rsidR="005B18F9" w:rsidRDefault="005B18F9" w:rsidP="005B18F9">
      <w:pPr>
        <w:spacing w:after="120" w:line="300" w:lineRule="exact"/>
        <w:ind w:left="-284"/>
        <w:jc w:val="both"/>
        <w:rPr>
          <w:rFonts w:eastAsia="Arial Unicode MS"/>
          <w:sz w:val="22"/>
          <w:szCs w:val="22"/>
        </w:rPr>
      </w:pPr>
    </w:p>
    <w:sectPr w:rsidR="005B18F9" w:rsidSect="00D42230">
      <w:footerReference w:type="default" r:id="rId24"/>
      <w:footerReference w:type="first" r:id="rId25"/>
      <w:type w:val="continuous"/>
      <w:pgSz w:w="11906" w:h="16838"/>
      <w:pgMar w:top="1258" w:right="1417" w:bottom="1258" w:left="1417" w:header="708" w:footer="27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9CD" w:rsidRDefault="003B69CD">
      <w:r>
        <w:separator/>
      </w:r>
    </w:p>
  </w:endnote>
  <w:endnote w:type="continuationSeparator" w:id="1">
    <w:p w:rsidR="003B69CD" w:rsidRDefault="003B69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FD" w:rsidRDefault="0099745A">
    <w:pPr>
      <w:pStyle w:val="Pieddepage"/>
      <w:jc w:val="center"/>
    </w:pPr>
    <w:r>
      <w:fldChar w:fldCharType="begin"/>
    </w:r>
    <w:r w:rsidR="00C23B5E">
      <w:instrText xml:space="preserve"> PAGE   \* MERGEFORMAT </w:instrText>
    </w:r>
    <w:r>
      <w:fldChar w:fldCharType="separate"/>
    </w:r>
    <w:r w:rsidR="000A6293">
      <w:rPr>
        <w:noProof/>
      </w:rPr>
      <w:t>1</w:t>
    </w:r>
    <w:r>
      <w:rPr>
        <w:noProof/>
      </w:rPr>
      <w:fldChar w:fldCharType="end"/>
    </w:r>
  </w:p>
  <w:p w:rsidR="00AD53FD" w:rsidRDefault="00AD53F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4F" w:rsidRDefault="00711A4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4F" w:rsidRDefault="0099745A">
    <w:pPr>
      <w:pStyle w:val="Pieddepage"/>
      <w:jc w:val="center"/>
    </w:pPr>
    <w:fldSimple w:instr=" PAGE   \* MERGEFORMAT ">
      <w:r w:rsidR="00711A4F">
        <w:rPr>
          <w:noProof/>
        </w:rPr>
        <w:t>1</w:t>
      </w:r>
    </w:fldSimple>
  </w:p>
  <w:p w:rsidR="00711A4F" w:rsidRDefault="00711A4F">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D7" w:rsidRPr="007E64AF" w:rsidRDefault="00572FD7" w:rsidP="007E64AF">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D7" w:rsidRDefault="0099745A">
    <w:pPr>
      <w:pStyle w:val="Pieddepage"/>
      <w:jc w:val="center"/>
    </w:pPr>
    <w:fldSimple w:instr=" PAGE   \* MERGEFORMAT ">
      <w:r w:rsidR="00572FD7">
        <w:rPr>
          <w:noProof/>
        </w:rPr>
        <w:t>1</w:t>
      </w:r>
    </w:fldSimple>
  </w:p>
  <w:p w:rsidR="00572FD7" w:rsidRDefault="00572F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9CD" w:rsidRDefault="003B69CD">
      <w:r>
        <w:separator/>
      </w:r>
    </w:p>
  </w:footnote>
  <w:footnote w:type="continuationSeparator" w:id="1">
    <w:p w:rsidR="003B69CD" w:rsidRDefault="003B6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pt;height:10.85pt" o:bullet="t">
        <v:imagedata r:id="rId1" o:title="mso164"/>
      </v:shape>
    </w:pict>
  </w:numPicBullet>
  <w:abstractNum w:abstractNumId="0">
    <w:nsid w:val="0D826D30"/>
    <w:multiLevelType w:val="hybridMultilevel"/>
    <w:tmpl w:val="75D62D98"/>
    <w:lvl w:ilvl="0" w:tplc="64B289A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32988"/>
    <w:multiLevelType w:val="hybridMultilevel"/>
    <w:tmpl w:val="7A581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2D3C6D"/>
    <w:multiLevelType w:val="multilevel"/>
    <w:tmpl w:val="D8DE499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48F6636"/>
    <w:multiLevelType w:val="hybridMultilevel"/>
    <w:tmpl w:val="2BACCC2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F93836"/>
    <w:multiLevelType w:val="hybridMultilevel"/>
    <w:tmpl w:val="47AE5F22"/>
    <w:lvl w:ilvl="0" w:tplc="9E384520">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25698F"/>
    <w:multiLevelType w:val="hybridMultilevel"/>
    <w:tmpl w:val="520E5C48"/>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7">
    <w:nsid w:val="30D816DB"/>
    <w:multiLevelType w:val="hybridMultilevel"/>
    <w:tmpl w:val="178CD26E"/>
    <w:lvl w:ilvl="0" w:tplc="DD045B70">
      <w:start w:val="1"/>
      <w:numFmt w:val="decimal"/>
      <w:lvlText w:val="%1."/>
      <w:lvlJc w:val="left"/>
      <w:pPr>
        <w:ind w:left="720" w:hanging="360"/>
      </w:pPr>
      <w:rPr>
        <w:rFonts w:hint="default"/>
        <w:color w:val="C0000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AB6D70"/>
    <w:multiLevelType w:val="hybridMultilevel"/>
    <w:tmpl w:val="680C239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D077F0"/>
    <w:multiLevelType w:val="hybridMultilevel"/>
    <w:tmpl w:val="FC9ED812"/>
    <w:lvl w:ilvl="0" w:tplc="DD045B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B1F57B4"/>
    <w:multiLevelType w:val="hybridMultilevel"/>
    <w:tmpl w:val="C73010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DB61D09"/>
    <w:multiLevelType w:val="hybridMultilevel"/>
    <w:tmpl w:val="50CE411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E9E7929"/>
    <w:multiLevelType w:val="hybridMultilevel"/>
    <w:tmpl w:val="F68AA546"/>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3">
    <w:nsid w:val="3ECF5722"/>
    <w:multiLevelType w:val="hybridMultilevel"/>
    <w:tmpl w:val="06704A08"/>
    <w:lvl w:ilvl="0" w:tplc="C9622FC2">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FCF2A7D"/>
    <w:multiLevelType w:val="hybridMultilevel"/>
    <w:tmpl w:val="56B23EB2"/>
    <w:lvl w:ilvl="0" w:tplc="5D6C4B84">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101777C"/>
    <w:multiLevelType w:val="multilevel"/>
    <w:tmpl w:val="50E27D9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42EB060C"/>
    <w:multiLevelType w:val="hybridMultilevel"/>
    <w:tmpl w:val="4C1ADF4E"/>
    <w:lvl w:ilvl="0" w:tplc="040C0013">
      <w:start w:val="1"/>
      <w:numFmt w:val="upperRoman"/>
      <w:lvlText w:val="%1."/>
      <w:lvlJc w:val="right"/>
      <w:pPr>
        <w:ind w:left="928" w:hanging="360"/>
      </w:pPr>
    </w:lvl>
    <w:lvl w:ilvl="1" w:tplc="040C0019" w:tentative="1">
      <w:start w:val="1"/>
      <w:numFmt w:val="lowerLetter"/>
      <w:lvlText w:val="%2."/>
      <w:lvlJc w:val="left"/>
      <w:pPr>
        <w:ind w:left="1648" w:hanging="360"/>
      </w:pPr>
      <w:rPr>
        <w:rFonts w:cs="Times New Roman"/>
      </w:rPr>
    </w:lvl>
    <w:lvl w:ilvl="2" w:tplc="040C001B" w:tentative="1">
      <w:start w:val="1"/>
      <w:numFmt w:val="lowerRoman"/>
      <w:lvlText w:val="%3."/>
      <w:lvlJc w:val="right"/>
      <w:pPr>
        <w:ind w:left="2368" w:hanging="180"/>
      </w:pPr>
      <w:rPr>
        <w:rFonts w:cs="Times New Roman"/>
      </w:rPr>
    </w:lvl>
    <w:lvl w:ilvl="3" w:tplc="040C000F" w:tentative="1">
      <w:start w:val="1"/>
      <w:numFmt w:val="decimal"/>
      <w:lvlText w:val="%4."/>
      <w:lvlJc w:val="left"/>
      <w:pPr>
        <w:ind w:left="3088" w:hanging="360"/>
      </w:pPr>
      <w:rPr>
        <w:rFonts w:cs="Times New Roman"/>
      </w:rPr>
    </w:lvl>
    <w:lvl w:ilvl="4" w:tplc="040C0019" w:tentative="1">
      <w:start w:val="1"/>
      <w:numFmt w:val="lowerLetter"/>
      <w:lvlText w:val="%5."/>
      <w:lvlJc w:val="left"/>
      <w:pPr>
        <w:ind w:left="3808" w:hanging="360"/>
      </w:pPr>
      <w:rPr>
        <w:rFonts w:cs="Times New Roman"/>
      </w:rPr>
    </w:lvl>
    <w:lvl w:ilvl="5" w:tplc="040C001B" w:tentative="1">
      <w:start w:val="1"/>
      <w:numFmt w:val="lowerRoman"/>
      <w:lvlText w:val="%6."/>
      <w:lvlJc w:val="right"/>
      <w:pPr>
        <w:ind w:left="4528" w:hanging="180"/>
      </w:pPr>
      <w:rPr>
        <w:rFonts w:cs="Times New Roman"/>
      </w:rPr>
    </w:lvl>
    <w:lvl w:ilvl="6" w:tplc="040C000F" w:tentative="1">
      <w:start w:val="1"/>
      <w:numFmt w:val="decimal"/>
      <w:lvlText w:val="%7."/>
      <w:lvlJc w:val="left"/>
      <w:pPr>
        <w:ind w:left="5248" w:hanging="360"/>
      </w:pPr>
      <w:rPr>
        <w:rFonts w:cs="Times New Roman"/>
      </w:rPr>
    </w:lvl>
    <w:lvl w:ilvl="7" w:tplc="040C0019" w:tentative="1">
      <w:start w:val="1"/>
      <w:numFmt w:val="lowerLetter"/>
      <w:lvlText w:val="%8."/>
      <w:lvlJc w:val="left"/>
      <w:pPr>
        <w:ind w:left="5968" w:hanging="360"/>
      </w:pPr>
      <w:rPr>
        <w:rFonts w:cs="Times New Roman"/>
      </w:rPr>
    </w:lvl>
    <w:lvl w:ilvl="8" w:tplc="040C001B" w:tentative="1">
      <w:start w:val="1"/>
      <w:numFmt w:val="lowerRoman"/>
      <w:lvlText w:val="%9."/>
      <w:lvlJc w:val="right"/>
      <w:pPr>
        <w:ind w:left="6688" w:hanging="180"/>
      </w:pPr>
      <w:rPr>
        <w:rFonts w:cs="Times New Roman"/>
      </w:rPr>
    </w:lvl>
  </w:abstractNum>
  <w:abstractNum w:abstractNumId="17">
    <w:nsid w:val="4D35388E"/>
    <w:multiLevelType w:val="hybridMultilevel"/>
    <w:tmpl w:val="E3549FF2"/>
    <w:lvl w:ilvl="0" w:tplc="05FE1CA8">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B70CC0"/>
    <w:multiLevelType w:val="hybridMultilevel"/>
    <w:tmpl w:val="B980DA58"/>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58BE3432"/>
    <w:multiLevelType w:val="hybridMultilevel"/>
    <w:tmpl w:val="3DFC6EF4"/>
    <w:lvl w:ilvl="0" w:tplc="5D6C4B84">
      <w:start w:val="1"/>
      <w:numFmt w:val="decimal"/>
      <w:lvlText w:val="%1."/>
      <w:lvlJc w:val="left"/>
      <w:pPr>
        <w:ind w:left="720" w:hanging="360"/>
      </w:pPr>
      <w:rPr>
        <w:rFonts w:hint="default"/>
        <w:color w:val="C0000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785373F"/>
    <w:multiLevelType w:val="hybridMultilevel"/>
    <w:tmpl w:val="7B68C818"/>
    <w:lvl w:ilvl="0" w:tplc="BF2696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7CEE025C"/>
    <w:multiLevelType w:val="hybridMultilevel"/>
    <w:tmpl w:val="6672A4E8"/>
    <w:lvl w:ilvl="0" w:tplc="A23EBBE6">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1"/>
  </w:num>
  <w:num w:numId="4">
    <w:abstractNumId w:val="4"/>
  </w:num>
  <w:num w:numId="5">
    <w:abstractNumId w:val="22"/>
  </w:num>
  <w:num w:numId="6">
    <w:abstractNumId w:val="16"/>
  </w:num>
  <w:num w:numId="7">
    <w:abstractNumId w:val="6"/>
  </w:num>
  <w:num w:numId="8">
    <w:abstractNumId w:val="13"/>
  </w:num>
  <w:num w:numId="9">
    <w:abstractNumId w:val="23"/>
  </w:num>
  <w:num w:numId="10">
    <w:abstractNumId w:val="17"/>
  </w:num>
  <w:num w:numId="11">
    <w:abstractNumId w:val="5"/>
  </w:num>
  <w:num w:numId="12">
    <w:abstractNumId w:val="12"/>
  </w:num>
  <w:num w:numId="13">
    <w:abstractNumId w:val="20"/>
  </w:num>
  <w:num w:numId="14">
    <w:abstractNumId w:val="18"/>
  </w:num>
  <w:num w:numId="15">
    <w:abstractNumId w:val="8"/>
  </w:num>
  <w:num w:numId="16">
    <w:abstractNumId w:val="19"/>
  </w:num>
  <w:num w:numId="17">
    <w:abstractNumId w:val="10"/>
  </w:num>
  <w:num w:numId="18">
    <w:abstractNumId w:val="1"/>
  </w:num>
  <w:num w:numId="19">
    <w:abstractNumId w:val="14"/>
  </w:num>
  <w:num w:numId="20">
    <w:abstractNumId w:val="7"/>
  </w:num>
  <w:num w:numId="21">
    <w:abstractNumId w:val="9"/>
  </w:num>
  <w:num w:numId="22">
    <w:abstractNumId w:val="11"/>
  </w:num>
  <w:num w:numId="23">
    <w:abstractNumId w:val="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stylePaneFormatFilter w:val="3F01"/>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B7C79"/>
    <w:rsid w:val="00006861"/>
    <w:rsid w:val="00006DD3"/>
    <w:rsid w:val="00014315"/>
    <w:rsid w:val="000275EF"/>
    <w:rsid w:val="00031605"/>
    <w:rsid w:val="0003329C"/>
    <w:rsid w:val="00053F91"/>
    <w:rsid w:val="000554EE"/>
    <w:rsid w:val="00074098"/>
    <w:rsid w:val="0007624B"/>
    <w:rsid w:val="00084B71"/>
    <w:rsid w:val="00086874"/>
    <w:rsid w:val="000A6293"/>
    <w:rsid w:val="000B2A3E"/>
    <w:rsid w:val="000B56CB"/>
    <w:rsid w:val="000B5B84"/>
    <w:rsid w:val="000B6C46"/>
    <w:rsid w:val="000D4A9A"/>
    <w:rsid w:val="000E1335"/>
    <w:rsid w:val="000E5893"/>
    <w:rsid w:val="000E76B0"/>
    <w:rsid w:val="000F6813"/>
    <w:rsid w:val="000F71D1"/>
    <w:rsid w:val="00100AF5"/>
    <w:rsid w:val="0010285F"/>
    <w:rsid w:val="00123B0E"/>
    <w:rsid w:val="001245E1"/>
    <w:rsid w:val="00127090"/>
    <w:rsid w:val="001308D6"/>
    <w:rsid w:val="00131EDC"/>
    <w:rsid w:val="00135176"/>
    <w:rsid w:val="00137652"/>
    <w:rsid w:val="0014114C"/>
    <w:rsid w:val="00144168"/>
    <w:rsid w:val="00157A43"/>
    <w:rsid w:val="00164075"/>
    <w:rsid w:val="0017017D"/>
    <w:rsid w:val="001724B1"/>
    <w:rsid w:val="00180B63"/>
    <w:rsid w:val="00186F4B"/>
    <w:rsid w:val="00193033"/>
    <w:rsid w:val="00196035"/>
    <w:rsid w:val="001A1553"/>
    <w:rsid w:val="001A2AA6"/>
    <w:rsid w:val="001B0372"/>
    <w:rsid w:val="001B3EBA"/>
    <w:rsid w:val="001B5764"/>
    <w:rsid w:val="001C3920"/>
    <w:rsid w:val="001D6519"/>
    <w:rsid w:val="001D69A9"/>
    <w:rsid w:val="001F2033"/>
    <w:rsid w:val="001F6BEB"/>
    <w:rsid w:val="00203FD6"/>
    <w:rsid w:val="00206659"/>
    <w:rsid w:val="00215236"/>
    <w:rsid w:val="002164FB"/>
    <w:rsid w:val="0022299E"/>
    <w:rsid w:val="00233459"/>
    <w:rsid w:val="00236B5B"/>
    <w:rsid w:val="00256291"/>
    <w:rsid w:val="00257C74"/>
    <w:rsid w:val="00264A09"/>
    <w:rsid w:val="00265A87"/>
    <w:rsid w:val="002668FE"/>
    <w:rsid w:val="00280A14"/>
    <w:rsid w:val="00283E97"/>
    <w:rsid w:val="00286F23"/>
    <w:rsid w:val="00290BF8"/>
    <w:rsid w:val="002A7221"/>
    <w:rsid w:val="002D38C3"/>
    <w:rsid w:val="002D3BD2"/>
    <w:rsid w:val="002E1737"/>
    <w:rsid w:val="002E750F"/>
    <w:rsid w:val="002F3FB3"/>
    <w:rsid w:val="002F5C54"/>
    <w:rsid w:val="003027A9"/>
    <w:rsid w:val="00302E80"/>
    <w:rsid w:val="00305B12"/>
    <w:rsid w:val="0030605C"/>
    <w:rsid w:val="00307146"/>
    <w:rsid w:val="003121A0"/>
    <w:rsid w:val="00312DB8"/>
    <w:rsid w:val="00313123"/>
    <w:rsid w:val="00314191"/>
    <w:rsid w:val="0033375A"/>
    <w:rsid w:val="00351D4C"/>
    <w:rsid w:val="00365978"/>
    <w:rsid w:val="0036616B"/>
    <w:rsid w:val="0039671A"/>
    <w:rsid w:val="003A2CE4"/>
    <w:rsid w:val="003B5F82"/>
    <w:rsid w:val="003B69CD"/>
    <w:rsid w:val="003B7C9A"/>
    <w:rsid w:val="003C1B70"/>
    <w:rsid w:val="003D0B92"/>
    <w:rsid w:val="003D68CD"/>
    <w:rsid w:val="003E208A"/>
    <w:rsid w:val="003E4FE1"/>
    <w:rsid w:val="003F28EA"/>
    <w:rsid w:val="003F7BFE"/>
    <w:rsid w:val="00405781"/>
    <w:rsid w:val="004249F6"/>
    <w:rsid w:val="00431972"/>
    <w:rsid w:val="00434088"/>
    <w:rsid w:val="00435B96"/>
    <w:rsid w:val="00436AE5"/>
    <w:rsid w:val="0044331A"/>
    <w:rsid w:val="00446DB7"/>
    <w:rsid w:val="00456E49"/>
    <w:rsid w:val="004659F5"/>
    <w:rsid w:val="00470F06"/>
    <w:rsid w:val="00480B1C"/>
    <w:rsid w:val="00483758"/>
    <w:rsid w:val="00484898"/>
    <w:rsid w:val="00484E8D"/>
    <w:rsid w:val="004915DF"/>
    <w:rsid w:val="00491F4E"/>
    <w:rsid w:val="004A2AD5"/>
    <w:rsid w:val="004A7EF1"/>
    <w:rsid w:val="004B411A"/>
    <w:rsid w:val="004C7838"/>
    <w:rsid w:val="004D4CBB"/>
    <w:rsid w:val="004E20CC"/>
    <w:rsid w:val="004E2DD7"/>
    <w:rsid w:val="004E59A5"/>
    <w:rsid w:val="004E5E98"/>
    <w:rsid w:val="004F3556"/>
    <w:rsid w:val="00502528"/>
    <w:rsid w:val="00505AD5"/>
    <w:rsid w:val="00513024"/>
    <w:rsid w:val="00514D14"/>
    <w:rsid w:val="00530796"/>
    <w:rsid w:val="005337B6"/>
    <w:rsid w:val="00537897"/>
    <w:rsid w:val="00541C46"/>
    <w:rsid w:val="00544B7F"/>
    <w:rsid w:val="00550444"/>
    <w:rsid w:val="00557213"/>
    <w:rsid w:val="00572FD7"/>
    <w:rsid w:val="00577644"/>
    <w:rsid w:val="00581492"/>
    <w:rsid w:val="00583A84"/>
    <w:rsid w:val="00584197"/>
    <w:rsid w:val="005850FD"/>
    <w:rsid w:val="0059090F"/>
    <w:rsid w:val="00594250"/>
    <w:rsid w:val="00594D60"/>
    <w:rsid w:val="00596EA4"/>
    <w:rsid w:val="005974B8"/>
    <w:rsid w:val="005A0189"/>
    <w:rsid w:val="005A1DC0"/>
    <w:rsid w:val="005A3690"/>
    <w:rsid w:val="005B18F9"/>
    <w:rsid w:val="005B48EA"/>
    <w:rsid w:val="005B5B99"/>
    <w:rsid w:val="005C3B99"/>
    <w:rsid w:val="005D0DC1"/>
    <w:rsid w:val="00600F6D"/>
    <w:rsid w:val="00602C7C"/>
    <w:rsid w:val="006056E5"/>
    <w:rsid w:val="00612B0E"/>
    <w:rsid w:val="006153E5"/>
    <w:rsid w:val="00630E13"/>
    <w:rsid w:val="00631531"/>
    <w:rsid w:val="006420C4"/>
    <w:rsid w:val="00644242"/>
    <w:rsid w:val="006451A0"/>
    <w:rsid w:val="00646311"/>
    <w:rsid w:val="00647EFB"/>
    <w:rsid w:val="00652D75"/>
    <w:rsid w:val="00653F59"/>
    <w:rsid w:val="00667ECC"/>
    <w:rsid w:val="006707C0"/>
    <w:rsid w:val="00676B69"/>
    <w:rsid w:val="00684DA3"/>
    <w:rsid w:val="00690102"/>
    <w:rsid w:val="00695538"/>
    <w:rsid w:val="00695704"/>
    <w:rsid w:val="006A4B0F"/>
    <w:rsid w:val="006B36B6"/>
    <w:rsid w:val="006C4536"/>
    <w:rsid w:val="006D08D3"/>
    <w:rsid w:val="006E5679"/>
    <w:rsid w:val="006F499A"/>
    <w:rsid w:val="00704699"/>
    <w:rsid w:val="00711A4F"/>
    <w:rsid w:val="00720AA5"/>
    <w:rsid w:val="00722358"/>
    <w:rsid w:val="007226BE"/>
    <w:rsid w:val="007320F2"/>
    <w:rsid w:val="00733C13"/>
    <w:rsid w:val="00737135"/>
    <w:rsid w:val="00744367"/>
    <w:rsid w:val="0075402B"/>
    <w:rsid w:val="0076370A"/>
    <w:rsid w:val="0078191E"/>
    <w:rsid w:val="00790B01"/>
    <w:rsid w:val="007B3FA3"/>
    <w:rsid w:val="007C305A"/>
    <w:rsid w:val="007D09FF"/>
    <w:rsid w:val="007D2263"/>
    <w:rsid w:val="007D442B"/>
    <w:rsid w:val="007E1420"/>
    <w:rsid w:val="007E64AF"/>
    <w:rsid w:val="007E6E12"/>
    <w:rsid w:val="007E71EE"/>
    <w:rsid w:val="007F0825"/>
    <w:rsid w:val="007F4784"/>
    <w:rsid w:val="007F4BA9"/>
    <w:rsid w:val="00801153"/>
    <w:rsid w:val="00804FEE"/>
    <w:rsid w:val="00810D7F"/>
    <w:rsid w:val="00845DD1"/>
    <w:rsid w:val="008516D2"/>
    <w:rsid w:val="00851A2C"/>
    <w:rsid w:val="00857BEE"/>
    <w:rsid w:val="0086123F"/>
    <w:rsid w:val="0086177A"/>
    <w:rsid w:val="00866410"/>
    <w:rsid w:val="00871F9A"/>
    <w:rsid w:val="008758DE"/>
    <w:rsid w:val="00881864"/>
    <w:rsid w:val="00893F31"/>
    <w:rsid w:val="00894A15"/>
    <w:rsid w:val="00895AA3"/>
    <w:rsid w:val="008B0453"/>
    <w:rsid w:val="008B1E64"/>
    <w:rsid w:val="008B7C79"/>
    <w:rsid w:val="008C6873"/>
    <w:rsid w:val="008D767F"/>
    <w:rsid w:val="008E0B9D"/>
    <w:rsid w:val="008F3532"/>
    <w:rsid w:val="009031FE"/>
    <w:rsid w:val="00906EB8"/>
    <w:rsid w:val="009102EE"/>
    <w:rsid w:val="0092724E"/>
    <w:rsid w:val="00931126"/>
    <w:rsid w:val="00946792"/>
    <w:rsid w:val="0095483F"/>
    <w:rsid w:val="009801E4"/>
    <w:rsid w:val="00982ADB"/>
    <w:rsid w:val="00983318"/>
    <w:rsid w:val="00986F74"/>
    <w:rsid w:val="009929AA"/>
    <w:rsid w:val="0099745A"/>
    <w:rsid w:val="009975E3"/>
    <w:rsid w:val="009A3DCF"/>
    <w:rsid w:val="009A3EBE"/>
    <w:rsid w:val="009A431C"/>
    <w:rsid w:val="009B2B2B"/>
    <w:rsid w:val="009C4073"/>
    <w:rsid w:val="009C52D4"/>
    <w:rsid w:val="009C7AAE"/>
    <w:rsid w:val="009D02F2"/>
    <w:rsid w:val="009D5321"/>
    <w:rsid w:val="009D7D48"/>
    <w:rsid w:val="009E4E74"/>
    <w:rsid w:val="009E7A1B"/>
    <w:rsid w:val="009F4C75"/>
    <w:rsid w:val="00A01DE9"/>
    <w:rsid w:val="00A03537"/>
    <w:rsid w:val="00A12866"/>
    <w:rsid w:val="00A13AFA"/>
    <w:rsid w:val="00A1430C"/>
    <w:rsid w:val="00A1572C"/>
    <w:rsid w:val="00A16299"/>
    <w:rsid w:val="00A24A06"/>
    <w:rsid w:val="00A354B7"/>
    <w:rsid w:val="00A36B5E"/>
    <w:rsid w:val="00A529E0"/>
    <w:rsid w:val="00A5393D"/>
    <w:rsid w:val="00A614FE"/>
    <w:rsid w:val="00A64291"/>
    <w:rsid w:val="00A66323"/>
    <w:rsid w:val="00A666E5"/>
    <w:rsid w:val="00A7081D"/>
    <w:rsid w:val="00A7438D"/>
    <w:rsid w:val="00A834E9"/>
    <w:rsid w:val="00A85D85"/>
    <w:rsid w:val="00A92176"/>
    <w:rsid w:val="00A96487"/>
    <w:rsid w:val="00AA53CC"/>
    <w:rsid w:val="00AA5C47"/>
    <w:rsid w:val="00AB0858"/>
    <w:rsid w:val="00AB24B6"/>
    <w:rsid w:val="00AB5150"/>
    <w:rsid w:val="00AB635B"/>
    <w:rsid w:val="00AC26A5"/>
    <w:rsid w:val="00AC3EF4"/>
    <w:rsid w:val="00AC7561"/>
    <w:rsid w:val="00AD53FD"/>
    <w:rsid w:val="00AD56E7"/>
    <w:rsid w:val="00AE4467"/>
    <w:rsid w:val="00AF04E7"/>
    <w:rsid w:val="00B065DA"/>
    <w:rsid w:val="00B10250"/>
    <w:rsid w:val="00B35B39"/>
    <w:rsid w:val="00B36EC4"/>
    <w:rsid w:val="00B43C5F"/>
    <w:rsid w:val="00B51A49"/>
    <w:rsid w:val="00B55AAA"/>
    <w:rsid w:val="00B607B2"/>
    <w:rsid w:val="00B60B52"/>
    <w:rsid w:val="00B60ED6"/>
    <w:rsid w:val="00B63D70"/>
    <w:rsid w:val="00B6520F"/>
    <w:rsid w:val="00B70238"/>
    <w:rsid w:val="00B7412A"/>
    <w:rsid w:val="00B75A67"/>
    <w:rsid w:val="00B77653"/>
    <w:rsid w:val="00B81D2D"/>
    <w:rsid w:val="00B9066A"/>
    <w:rsid w:val="00BB2982"/>
    <w:rsid w:val="00BC2E39"/>
    <w:rsid w:val="00BE79F4"/>
    <w:rsid w:val="00C14DCE"/>
    <w:rsid w:val="00C23B5E"/>
    <w:rsid w:val="00C26145"/>
    <w:rsid w:val="00C42507"/>
    <w:rsid w:val="00C466D1"/>
    <w:rsid w:val="00C5491F"/>
    <w:rsid w:val="00C55FD3"/>
    <w:rsid w:val="00C67995"/>
    <w:rsid w:val="00C827BD"/>
    <w:rsid w:val="00CA2006"/>
    <w:rsid w:val="00CA2232"/>
    <w:rsid w:val="00CB19A6"/>
    <w:rsid w:val="00CB3A44"/>
    <w:rsid w:val="00CD6E99"/>
    <w:rsid w:val="00CE3972"/>
    <w:rsid w:val="00CE3CEA"/>
    <w:rsid w:val="00CE5918"/>
    <w:rsid w:val="00CE7B4D"/>
    <w:rsid w:val="00CF3217"/>
    <w:rsid w:val="00CF5EA6"/>
    <w:rsid w:val="00CF6F9D"/>
    <w:rsid w:val="00D00354"/>
    <w:rsid w:val="00D04431"/>
    <w:rsid w:val="00D119CB"/>
    <w:rsid w:val="00D135EC"/>
    <w:rsid w:val="00D30B74"/>
    <w:rsid w:val="00D3407E"/>
    <w:rsid w:val="00D34498"/>
    <w:rsid w:val="00D407AA"/>
    <w:rsid w:val="00D42230"/>
    <w:rsid w:val="00D4334A"/>
    <w:rsid w:val="00D54458"/>
    <w:rsid w:val="00D626C6"/>
    <w:rsid w:val="00D676A7"/>
    <w:rsid w:val="00D75067"/>
    <w:rsid w:val="00D80FF6"/>
    <w:rsid w:val="00DA3F98"/>
    <w:rsid w:val="00DB2CCF"/>
    <w:rsid w:val="00DB4906"/>
    <w:rsid w:val="00DC0356"/>
    <w:rsid w:val="00DD1D7B"/>
    <w:rsid w:val="00DE26C3"/>
    <w:rsid w:val="00E052C6"/>
    <w:rsid w:val="00E3569D"/>
    <w:rsid w:val="00E50B24"/>
    <w:rsid w:val="00E57CE0"/>
    <w:rsid w:val="00E62E93"/>
    <w:rsid w:val="00E630BD"/>
    <w:rsid w:val="00E663F9"/>
    <w:rsid w:val="00E6770C"/>
    <w:rsid w:val="00E72DEE"/>
    <w:rsid w:val="00E9575F"/>
    <w:rsid w:val="00EA36AD"/>
    <w:rsid w:val="00EA7121"/>
    <w:rsid w:val="00EB42FB"/>
    <w:rsid w:val="00EB537F"/>
    <w:rsid w:val="00EB5AC5"/>
    <w:rsid w:val="00EC1447"/>
    <w:rsid w:val="00ED07CB"/>
    <w:rsid w:val="00ED1662"/>
    <w:rsid w:val="00ED1E7B"/>
    <w:rsid w:val="00EE1DDB"/>
    <w:rsid w:val="00EE2598"/>
    <w:rsid w:val="00EF0241"/>
    <w:rsid w:val="00EF16E4"/>
    <w:rsid w:val="00EF2312"/>
    <w:rsid w:val="00F0227C"/>
    <w:rsid w:val="00F10EDE"/>
    <w:rsid w:val="00F31D0B"/>
    <w:rsid w:val="00F37DE1"/>
    <w:rsid w:val="00F4704E"/>
    <w:rsid w:val="00F511E9"/>
    <w:rsid w:val="00F62091"/>
    <w:rsid w:val="00F66099"/>
    <w:rsid w:val="00F75DAA"/>
    <w:rsid w:val="00F81A11"/>
    <w:rsid w:val="00F82293"/>
    <w:rsid w:val="00FC1BEE"/>
    <w:rsid w:val="00FC20C3"/>
    <w:rsid w:val="00FC2F77"/>
    <w:rsid w:val="00FC38F3"/>
    <w:rsid w:val="00FC5115"/>
    <w:rsid w:val="00FC6CB3"/>
    <w:rsid w:val="00FD0726"/>
    <w:rsid w:val="00FD079F"/>
    <w:rsid w:val="00FD2048"/>
    <w:rsid w:val="00FE18C9"/>
    <w:rsid w:val="00FF24EF"/>
    <w:rsid w:val="00FF3112"/>
    <w:rsid w:val="00FF3DF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2" type="connector" idref="#AutoShape 3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79"/>
    <w:rPr>
      <w:sz w:val="24"/>
      <w:szCs w:val="24"/>
    </w:rPr>
  </w:style>
  <w:style w:type="paragraph" w:styleId="Titre1">
    <w:name w:val="heading 1"/>
    <w:basedOn w:val="Normal"/>
    <w:next w:val="Normal"/>
    <w:link w:val="Titre1Car"/>
    <w:qFormat/>
    <w:rsid w:val="008B7C79"/>
    <w:pPr>
      <w:keepNext/>
      <w:spacing w:after="120"/>
      <w:jc w:val="center"/>
      <w:outlineLvl w:val="0"/>
    </w:pPr>
    <w:rPr>
      <w:b/>
      <w:sz w:val="22"/>
    </w:rPr>
  </w:style>
  <w:style w:type="paragraph" w:styleId="Titre2">
    <w:name w:val="heading 2"/>
    <w:basedOn w:val="Normal"/>
    <w:next w:val="Normal"/>
    <w:link w:val="Titre2Car"/>
    <w:qFormat/>
    <w:rsid w:val="008B7C79"/>
    <w:pPr>
      <w:keepNext/>
      <w:jc w:val="both"/>
      <w:outlineLvl w:val="1"/>
    </w:pPr>
    <w:rPr>
      <w:b/>
      <w:sz w:val="22"/>
    </w:rPr>
  </w:style>
  <w:style w:type="paragraph" w:styleId="Titre3">
    <w:name w:val="heading 3"/>
    <w:basedOn w:val="Normal"/>
    <w:next w:val="Normal"/>
    <w:link w:val="Titre3Car"/>
    <w:qFormat/>
    <w:rsid w:val="008B7C79"/>
    <w:pPr>
      <w:keepNext/>
      <w:spacing w:after="120"/>
      <w:jc w:val="center"/>
      <w:outlineLvl w:val="2"/>
    </w:pPr>
    <w:rPr>
      <w:b/>
      <w:bCs/>
      <w:sz w:val="18"/>
      <w:szCs w:val="16"/>
    </w:rPr>
  </w:style>
  <w:style w:type="paragraph" w:styleId="Titre4">
    <w:name w:val="heading 4"/>
    <w:basedOn w:val="Normal"/>
    <w:next w:val="Normal"/>
    <w:link w:val="Titre4Car"/>
    <w:qFormat/>
    <w:rsid w:val="008B7C79"/>
    <w:pPr>
      <w:keepNext/>
      <w:spacing w:after="120"/>
      <w:jc w:val="center"/>
      <w:outlineLvl w:val="3"/>
    </w:pPr>
    <w:rPr>
      <w:b/>
      <w:bCs/>
      <w:sz w:val="20"/>
      <w:szCs w:val="20"/>
    </w:rPr>
  </w:style>
  <w:style w:type="paragraph" w:styleId="Titre5">
    <w:name w:val="heading 5"/>
    <w:basedOn w:val="Normal"/>
    <w:next w:val="Normal"/>
    <w:link w:val="Titre5Car"/>
    <w:qFormat/>
    <w:rsid w:val="008B7C79"/>
    <w:pPr>
      <w:keepNext/>
      <w:outlineLvl w:val="4"/>
    </w:pPr>
    <w:rPr>
      <w:b/>
      <w:bCs/>
      <w:sz w:val="16"/>
      <w:szCs w:val="16"/>
    </w:rPr>
  </w:style>
  <w:style w:type="paragraph" w:styleId="Titre6">
    <w:name w:val="heading 6"/>
    <w:basedOn w:val="Normal"/>
    <w:next w:val="Normal"/>
    <w:link w:val="Titre6Car"/>
    <w:qFormat/>
    <w:rsid w:val="008B7C79"/>
    <w:pPr>
      <w:keepNext/>
      <w:outlineLvl w:val="5"/>
    </w:pPr>
    <w:rPr>
      <w:b/>
      <w:bCs/>
      <w:sz w:val="20"/>
      <w:szCs w:val="20"/>
    </w:rPr>
  </w:style>
  <w:style w:type="paragraph" w:styleId="Titre7">
    <w:name w:val="heading 7"/>
    <w:basedOn w:val="Normal"/>
    <w:next w:val="Normal"/>
    <w:link w:val="Titre7Car"/>
    <w:qFormat/>
    <w:rsid w:val="008B7C79"/>
    <w:pPr>
      <w:keepNext/>
      <w:jc w:val="both"/>
      <w:outlineLvl w:val="6"/>
    </w:pPr>
    <w:rPr>
      <w:b/>
      <w:bCs/>
      <w:szCs w:val="28"/>
    </w:rPr>
  </w:style>
  <w:style w:type="paragraph" w:styleId="Titre8">
    <w:name w:val="heading 8"/>
    <w:basedOn w:val="Normal"/>
    <w:next w:val="Normal"/>
    <w:link w:val="Titre8Car"/>
    <w:qFormat/>
    <w:rsid w:val="008B7C79"/>
    <w:pPr>
      <w:keepNext/>
      <w:outlineLvl w:val="7"/>
    </w:pPr>
    <w:rPr>
      <w:b/>
      <w:bCs/>
      <w:sz w:val="18"/>
      <w:szCs w:val="18"/>
      <w:lang w:val="en-GB"/>
    </w:rPr>
  </w:style>
  <w:style w:type="paragraph" w:styleId="Titre9">
    <w:name w:val="heading 9"/>
    <w:basedOn w:val="Normal"/>
    <w:next w:val="Normal"/>
    <w:link w:val="Titre9Car"/>
    <w:qFormat/>
    <w:rsid w:val="008B7C79"/>
    <w:pPr>
      <w:keepNext/>
      <w:jc w:val="center"/>
      <w:outlineLvl w:val="8"/>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8B7C79"/>
    <w:rPr>
      <w:b/>
      <w:sz w:val="22"/>
      <w:szCs w:val="24"/>
      <w:lang w:val="fr-FR" w:eastAsia="fr-FR" w:bidi="ar-SA"/>
    </w:rPr>
  </w:style>
  <w:style w:type="character" w:customStyle="1" w:styleId="Titre2Car">
    <w:name w:val="Titre 2 Car"/>
    <w:basedOn w:val="Policepardfaut"/>
    <w:link w:val="Titre2"/>
    <w:semiHidden/>
    <w:rsid w:val="008B7C79"/>
    <w:rPr>
      <w:b/>
      <w:sz w:val="22"/>
      <w:szCs w:val="24"/>
      <w:lang w:val="fr-FR" w:eastAsia="fr-FR" w:bidi="ar-SA"/>
    </w:rPr>
  </w:style>
  <w:style w:type="character" w:customStyle="1" w:styleId="Titre3Car">
    <w:name w:val="Titre 3 Car"/>
    <w:basedOn w:val="Policepardfaut"/>
    <w:link w:val="Titre3"/>
    <w:semiHidden/>
    <w:rsid w:val="008B7C79"/>
    <w:rPr>
      <w:b/>
      <w:bCs/>
      <w:sz w:val="18"/>
      <w:szCs w:val="16"/>
      <w:lang w:val="fr-FR" w:eastAsia="fr-FR" w:bidi="ar-SA"/>
    </w:rPr>
  </w:style>
  <w:style w:type="character" w:customStyle="1" w:styleId="Titre4Car">
    <w:name w:val="Titre 4 Car"/>
    <w:basedOn w:val="Policepardfaut"/>
    <w:link w:val="Titre4"/>
    <w:semiHidden/>
    <w:locked/>
    <w:rsid w:val="008B7C79"/>
    <w:rPr>
      <w:b/>
      <w:bCs/>
      <w:lang w:val="fr-FR" w:eastAsia="fr-FR" w:bidi="ar-SA"/>
    </w:rPr>
  </w:style>
  <w:style w:type="character" w:customStyle="1" w:styleId="Titre5Car">
    <w:name w:val="Titre 5 Car"/>
    <w:basedOn w:val="Policepardfaut"/>
    <w:link w:val="Titre5"/>
    <w:semiHidden/>
    <w:locked/>
    <w:rsid w:val="008B7C79"/>
    <w:rPr>
      <w:b/>
      <w:bCs/>
      <w:sz w:val="16"/>
      <w:szCs w:val="16"/>
      <w:lang w:val="fr-FR" w:eastAsia="fr-FR" w:bidi="ar-SA"/>
    </w:rPr>
  </w:style>
  <w:style w:type="character" w:customStyle="1" w:styleId="Titre6Car">
    <w:name w:val="Titre 6 Car"/>
    <w:basedOn w:val="Policepardfaut"/>
    <w:link w:val="Titre6"/>
    <w:semiHidden/>
    <w:locked/>
    <w:rsid w:val="008B7C79"/>
    <w:rPr>
      <w:b/>
      <w:bCs/>
      <w:lang w:val="fr-FR" w:eastAsia="fr-FR" w:bidi="ar-SA"/>
    </w:rPr>
  </w:style>
  <w:style w:type="character" w:customStyle="1" w:styleId="Titre7Car">
    <w:name w:val="Titre 7 Car"/>
    <w:basedOn w:val="Policepardfaut"/>
    <w:link w:val="Titre7"/>
    <w:semiHidden/>
    <w:locked/>
    <w:rsid w:val="008B7C79"/>
    <w:rPr>
      <w:b/>
      <w:bCs/>
      <w:sz w:val="24"/>
      <w:szCs w:val="28"/>
      <w:lang w:val="fr-FR" w:eastAsia="fr-FR" w:bidi="ar-SA"/>
    </w:rPr>
  </w:style>
  <w:style w:type="character" w:customStyle="1" w:styleId="Titre8Car">
    <w:name w:val="Titre 8 Car"/>
    <w:basedOn w:val="Policepardfaut"/>
    <w:link w:val="Titre8"/>
    <w:semiHidden/>
    <w:locked/>
    <w:rsid w:val="008B7C79"/>
    <w:rPr>
      <w:b/>
      <w:bCs/>
      <w:sz w:val="18"/>
      <w:szCs w:val="18"/>
      <w:lang w:val="en-GB" w:eastAsia="fr-FR" w:bidi="ar-SA"/>
    </w:rPr>
  </w:style>
  <w:style w:type="character" w:customStyle="1" w:styleId="Titre9Car">
    <w:name w:val="Titre 9 Car"/>
    <w:basedOn w:val="Policepardfaut"/>
    <w:link w:val="Titre9"/>
    <w:semiHidden/>
    <w:locked/>
    <w:rsid w:val="008B7C79"/>
    <w:rPr>
      <w:b/>
      <w:bCs/>
      <w:sz w:val="16"/>
      <w:szCs w:val="16"/>
      <w:lang w:val="fr-FR" w:eastAsia="fr-FR" w:bidi="ar-SA"/>
    </w:rPr>
  </w:style>
  <w:style w:type="paragraph" w:styleId="NormalWeb">
    <w:name w:val="Normal (Web)"/>
    <w:basedOn w:val="Normal"/>
    <w:rsid w:val="008B7C79"/>
    <w:pPr>
      <w:spacing w:before="100" w:beforeAutospacing="1" w:after="100" w:afterAutospacing="1"/>
    </w:pPr>
  </w:style>
  <w:style w:type="paragraph" w:styleId="Corpsdetexte">
    <w:name w:val="Body Text"/>
    <w:basedOn w:val="Normal"/>
    <w:link w:val="CorpsdetexteCar"/>
    <w:rsid w:val="008B7C79"/>
    <w:pPr>
      <w:jc w:val="both"/>
    </w:pPr>
  </w:style>
  <w:style w:type="character" w:customStyle="1" w:styleId="CorpsdetexteCar">
    <w:name w:val="Corps de texte Car"/>
    <w:basedOn w:val="Policepardfaut"/>
    <w:link w:val="Corpsdetexte"/>
    <w:semiHidden/>
    <w:rsid w:val="008B7C79"/>
    <w:rPr>
      <w:sz w:val="24"/>
      <w:szCs w:val="24"/>
      <w:lang w:val="fr-FR" w:eastAsia="fr-FR" w:bidi="ar-SA"/>
    </w:rPr>
  </w:style>
  <w:style w:type="character" w:styleId="Numrodepage">
    <w:name w:val="page number"/>
    <w:basedOn w:val="Policepardfaut"/>
    <w:rsid w:val="008B7C79"/>
  </w:style>
  <w:style w:type="paragraph" w:styleId="Pieddepage">
    <w:name w:val="footer"/>
    <w:basedOn w:val="Normal"/>
    <w:link w:val="PieddepageCar"/>
    <w:uiPriority w:val="99"/>
    <w:rsid w:val="008B7C79"/>
    <w:pPr>
      <w:tabs>
        <w:tab w:val="center" w:pos="4536"/>
        <w:tab w:val="right" w:pos="9072"/>
      </w:tabs>
    </w:pPr>
  </w:style>
  <w:style w:type="character" w:customStyle="1" w:styleId="PieddepageCar">
    <w:name w:val="Pied de page Car"/>
    <w:basedOn w:val="Policepardfaut"/>
    <w:link w:val="Pieddepage"/>
    <w:uiPriority w:val="99"/>
    <w:rsid w:val="008B7C79"/>
    <w:rPr>
      <w:sz w:val="24"/>
      <w:szCs w:val="24"/>
      <w:lang w:val="fr-FR" w:eastAsia="fr-FR" w:bidi="ar-SA"/>
    </w:rPr>
  </w:style>
  <w:style w:type="paragraph" w:styleId="Titre">
    <w:name w:val="Title"/>
    <w:basedOn w:val="Normal"/>
    <w:link w:val="TitreCar"/>
    <w:qFormat/>
    <w:rsid w:val="008B7C79"/>
    <w:pPr>
      <w:jc w:val="center"/>
    </w:pPr>
    <w:rPr>
      <w:b/>
      <w:bCs/>
      <w:szCs w:val="28"/>
    </w:rPr>
  </w:style>
  <w:style w:type="character" w:customStyle="1" w:styleId="TitreCar">
    <w:name w:val="Titre Car"/>
    <w:basedOn w:val="Policepardfaut"/>
    <w:link w:val="Titre"/>
    <w:rsid w:val="008B7C79"/>
    <w:rPr>
      <w:b/>
      <w:bCs/>
      <w:sz w:val="24"/>
      <w:szCs w:val="28"/>
      <w:lang w:val="fr-FR" w:eastAsia="fr-FR" w:bidi="ar-SA"/>
    </w:rPr>
  </w:style>
  <w:style w:type="paragraph" w:styleId="Corpsdetexte2">
    <w:name w:val="Body Text 2"/>
    <w:basedOn w:val="Normal"/>
    <w:link w:val="Corpsdetexte2Car"/>
    <w:rsid w:val="008B7C79"/>
    <w:pPr>
      <w:spacing w:after="120" w:line="480" w:lineRule="auto"/>
    </w:pPr>
  </w:style>
  <w:style w:type="character" w:customStyle="1" w:styleId="Corpsdetexte2Car">
    <w:name w:val="Corps de texte 2 Car"/>
    <w:basedOn w:val="Policepardfaut"/>
    <w:link w:val="Corpsdetexte2"/>
    <w:semiHidden/>
    <w:locked/>
    <w:rsid w:val="008B7C79"/>
    <w:rPr>
      <w:sz w:val="24"/>
      <w:szCs w:val="24"/>
      <w:lang w:val="fr-FR" w:eastAsia="fr-FR" w:bidi="ar-SA"/>
    </w:rPr>
  </w:style>
  <w:style w:type="paragraph" w:styleId="Paragraphedeliste">
    <w:name w:val="List Paragraph"/>
    <w:basedOn w:val="Normal"/>
    <w:uiPriority w:val="34"/>
    <w:qFormat/>
    <w:rsid w:val="008B7C79"/>
    <w:pPr>
      <w:spacing w:after="200" w:line="276" w:lineRule="auto"/>
      <w:ind w:left="720"/>
      <w:contextualSpacing/>
    </w:pPr>
    <w:rPr>
      <w:rFonts w:ascii="Calibri" w:eastAsia="Calibri" w:hAnsi="Calibri" w:cs="Arial"/>
      <w:sz w:val="22"/>
      <w:szCs w:val="22"/>
      <w:lang w:eastAsia="en-US"/>
    </w:rPr>
  </w:style>
  <w:style w:type="paragraph" w:styleId="Notedebasdepage">
    <w:name w:val="footnote text"/>
    <w:basedOn w:val="Normal"/>
    <w:link w:val="NotedebasdepageCar"/>
    <w:semiHidden/>
    <w:rsid w:val="008B7C79"/>
    <w:rPr>
      <w:sz w:val="20"/>
      <w:szCs w:val="20"/>
    </w:rPr>
  </w:style>
  <w:style w:type="character" w:customStyle="1" w:styleId="NotedebasdepageCar">
    <w:name w:val="Note de bas de page Car"/>
    <w:basedOn w:val="Policepardfaut"/>
    <w:link w:val="Notedebasdepage"/>
    <w:semiHidden/>
    <w:locked/>
    <w:rsid w:val="008B7C79"/>
    <w:rPr>
      <w:lang w:val="fr-FR" w:eastAsia="fr-FR" w:bidi="ar-SA"/>
    </w:rPr>
  </w:style>
  <w:style w:type="character" w:styleId="Appelnotedebasdep">
    <w:name w:val="footnote reference"/>
    <w:basedOn w:val="Policepardfaut"/>
    <w:semiHidden/>
    <w:rsid w:val="008B7C79"/>
    <w:rPr>
      <w:vertAlign w:val="superscript"/>
    </w:rPr>
  </w:style>
  <w:style w:type="paragraph" w:styleId="En-tte">
    <w:name w:val="header"/>
    <w:basedOn w:val="Normal"/>
    <w:link w:val="En-tteCar"/>
    <w:rsid w:val="008B7C79"/>
    <w:pPr>
      <w:tabs>
        <w:tab w:val="center" w:pos="4536"/>
        <w:tab w:val="right" w:pos="9072"/>
      </w:tabs>
    </w:pPr>
  </w:style>
  <w:style w:type="character" w:customStyle="1" w:styleId="En-tteCar">
    <w:name w:val="En-tête Car"/>
    <w:basedOn w:val="Policepardfaut"/>
    <w:link w:val="En-tte"/>
    <w:semiHidden/>
    <w:rsid w:val="008B7C79"/>
    <w:rPr>
      <w:sz w:val="24"/>
      <w:szCs w:val="24"/>
      <w:lang w:val="fr-FR" w:eastAsia="fr-FR" w:bidi="ar-SA"/>
    </w:rPr>
  </w:style>
  <w:style w:type="character" w:customStyle="1" w:styleId="hps">
    <w:name w:val="hps"/>
    <w:basedOn w:val="Policepardfaut"/>
    <w:rsid w:val="008B7C79"/>
  </w:style>
  <w:style w:type="character" w:customStyle="1" w:styleId="hpsatn">
    <w:name w:val="hps atn"/>
    <w:basedOn w:val="Policepardfaut"/>
    <w:rsid w:val="008B7C79"/>
  </w:style>
  <w:style w:type="character" w:customStyle="1" w:styleId="hpsalt-edited">
    <w:name w:val="hps alt-edited"/>
    <w:basedOn w:val="Policepardfaut"/>
    <w:rsid w:val="008B7C79"/>
  </w:style>
  <w:style w:type="character" w:styleId="Accentuation">
    <w:name w:val="Emphasis"/>
    <w:basedOn w:val="Policepardfaut"/>
    <w:qFormat/>
    <w:rsid w:val="008B7C79"/>
    <w:rPr>
      <w:rFonts w:cs="Times New Roman"/>
      <w:i/>
      <w:iCs/>
    </w:rPr>
  </w:style>
  <w:style w:type="paragraph" w:customStyle="1" w:styleId="spip">
    <w:name w:val="spip"/>
    <w:basedOn w:val="Normal"/>
    <w:rsid w:val="008B7C79"/>
    <w:pPr>
      <w:spacing w:before="100" w:beforeAutospacing="1" w:after="100" w:afterAutospacing="1"/>
    </w:pPr>
  </w:style>
  <w:style w:type="paragraph" w:styleId="Textedebulles">
    <w:name w:val="Balloon Text"/>
    <w:basedOn w:val="Normal"/>
    <w:link w:val="TextedebullesCar"/>
    <w:semiHidden/>
    <w:rsid w:val="008B7C79"/>
    <w:rPr>
      <w:rFonts w:ascii="Tahoma" w:hAnsi="Tahoma" w:cs="Tahoma"/>
      <w:sz w:val="16"/>
      <w:szCs w:val="16"/>
    </w:rPr>
  </w:style>
  <w:style w:type="character" w:customStyle="1" w:styleId="TextedebullesCar">
    <w:name w:val="Texte de bulles Car"/>
    <w:basedOn w:val="Policepardfaut"/>
    <w:link w:val="Textedebulles"/>
    <w:semiHidden/>
    <w:rsid w:val="008B7C79"/>
    <w:rPr>
      <w:rFonts w:ascii="Tahoma" w:hAnsi="Tahoma" w:cs="Tahoma"/>
      <w:sz w:val="16"/>
      <w:szCs w:val="16"/>
      <w:lang w:val="fr-FR" w:eastAsia="fr-FR" w:bidi="ar-SA"/>
    </w:rPr>
  </w:style>
  <w:style w:type="character" w:customStyle="1" w:styleId="longtext">
    <w:name w:val="long_text"/>
    <w:basedOn w:val="Policepardfaut"/>
    <w:rsid w:val="008B7C79"/>
  </w:style>
  <w:style w:type="character" w:customStyle="1" w:styleId="atn">
    <w:name w:val="atn"/>
    <w:basedOn w:val="Policepardfaut"/>
    <w:rsid w:val="008B7C79"/>
  </w:style>
  <w:style w:type="character" w:customStyle="1" w:styleId="gt-icon-text">
    <w:name w:val="gt-icon-text"/>
    <w:basedOn w:val="Policepardfaut"/>
    <w:rsid w:val="008B7C79"/>
  </w:style>
  <w:style w:type="character" w:customStyle="1" w:styleId="shorttext">
    <w:name w:val="short_text"/>
    <w:basedOn w:val="Policepardfaut"/>
    <w:rsid w:val="008B7C79"/>
  </w:style>
  <w:style w:type="character" w:styleId="Lienhypertexte">
    <w:name w:val="Hyperlink"/>
    <w:basedOn w:val="Policepardfaut"/>
    <w:rsid w:val="008B7C79"/>
    <w:rPr>
      <w:color w:val="0066FF"/>
      <w:u w:val="single"/>
    </w:rPr>
  </w:style>
  <w:style w:type="paragraph" w:customStyle="1" w:styleId="Default">
    <w:name w:val="Default"/>
    <w:rsid w:val="008B7C79"/>
    <w:pPr>
      <w:autoSpaceDE w:val="0"/>
      <w:autoSpaceDN w:val="0"/>
      <w:adjustRightInd w:val="0"/>
    </w:pPr>
    <w:rPr>
      <w:color w:val="000000"/>
      <w:sz w:val="24"/>
      <w:szCs w:val="24"/>
    </w:rPr>
  </w:style>
  <w:style w:type="character" w:customStyle="1" w:styleId="TitleChar">
    <w:name w:val="Title Char"/>
    <w:basedOn w:val="Policepardfaut"/>
    <w:locked/>
    <w:rsid w:val="008B7C79"/>
    <w:rPr>
      <w:rFonts w:cs="Times New Roman"/>
      <w:b/>
      <w:bCs/>
      <w:sz w:val="28"/>
      <w:szCs w:val="28"/>
      <w:lang w:val="fr-FR" w:eastAsia="fr-FR" w:bidi="ar-SA"/>
    </w:rPr>
  </w:style>
  <w:style w:type="character" w:customStyle="1" w:styleId="TitleChar1">
    <w:name w:val="Title Char1"/>
    <w:basedOn w:val="Policepardfaut"/>
    <w:locked/>
    <w:rsid w:val="008B7C79"/>
    <w:rPr>
      <w:rFonts w:cs="Times New Roman"/>
      <w:b/>
      <w:bCs/>
      <w:sz w:val="28"/>
      <w:szCs w:val="28"/>
      <w:lang w:val="fr-FR" w:eastAsia="fr-FR" w:bidi="ar-SA"/>
    </w:rPr>
  </w:style>
  <w:style w:type="paragraph" w:customStyle="1" w:styleId="Paragraphedeliste1">
    <w:name w:val="Paragraphe de liste1"/>
    <w:basedOn w:val="Normal"/>
    <w:rsid w:val="008B7C79"/>
    <w:pPr>
      <w:spacing w:after="200" w:line="276" w:lineRule="auto"/>
      <w:ind w:left="720"/>
    </w:pPr>
    <w:rPr>
      <w:rFonts w:ascii="Calibri" w:hAnsi="Calibri" w:cs="Arial"/>
      <w:sz w:val="22"/>
      <w:szCs w:val="22"/>
      <w:lang w:eastAsia="en-US"/>
    </w:rPr>
  </w:style>
  <w:style w:type="character" w:customStyle="1" w:styleId="Emphaseintense1">
    <w:name w:val="Emphase intense1"/>
    <w:basedOn w:val="Policepardfaut"/>
    <w:rsid w:val="008B7C79"/>
    <w:rPr>
      <w:rFonts w:cs="Times New Roman"/>
      <w:b/>
      <w:bCs/>
      <w:i/>
      <w:iCs/>
      <w:color w:val="4F81BD"/>
    </w:rPr>
  </w:style>
  <w:style w:type="paragraph" w:styleId="Retraitcorpsdetexte2">
    <w:name w:val="Body Text Indent 2"/>
    <w:basedOn w:val="Normal"/>
    <w:link w:val="Retraitcorpsdetexte2Car"/>
    <w:unhideWhenUsed/>
    <w:rsid w:val="00572FD7"/>
    <w:pPr>
      <w:spacing w:after="120" w:line="480" w:lineRule="auto"/>
      <w:ind w:left="283"/>
    </w:pPr>
  </w:style>
  <w:style w:type="character" w:customStyle="1" w:styleId="Retraitcorpsdetexte2Car">
    <w:name w:val="Retrait corps de texte 2 Car"/>
    <w:basedOn w:val="Policepardfaut"/>
    <w:link w:val="Retraitcorpsdetexte2"/>
    <w:rsid w:val="00572FD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1.xml"/><Relationship Id="rId10" Type="http://schemas.openxmlformats.org/officeDocument/2006/relationships/footer" Target="footer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elhamoumi\Desktop\construction\1er2016%20Construction\r&#233;sultats\Tableaux%2015%203%202016%2012h44mn39.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elhamoumi\Desktop\construction\1er2016%20Construction\r&#233;sultats\Tableaux%2015%203%202016%2012h44mn3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graphiques!$B$34</c:f>
              <c:strCache>
                <c:ptCount val="1"/>
                <c:pt idx="0">
                  <c:v>Hausse</c:v>
                </c:pt>
              </c:strCache>
            </c:strRef>
          </c:tx>
          <c:cat>
            <c:strRef>
              <c:f>graphiques!$A$35:$A$38</c:f>
              <c:strCache>
                <c:ptCount val="4"/>
                <c:pt idx="0">
                  <c:v>Production</c:v>
                </c:pt>
                <c:pt idx="1">
                  <c:v>Demande Globale</c:v>
                </c:pt>
                <c:pt idx="2">
                  <c:v>Prix de vente</c:v>
                </c:pt>
                <c:pt idx="3">
                  <c:v>Effectifs Employés</c:v>
                </c:pt>
              </c:strCache>
            </c:strRef>
          </c:cat>
          <c:val>
            <c:numRef>
              <c:f>graphiques!$B$35:$B$38</c:f>
              <c:numCache>
                <c:formatCode>General</c:formatCode>
                <c:ptCount val="4"/>
                <c:pt idx="0">
                  <c:v>44.31</c:v>
                </c:pt>
                <c:pt idx="1">
                  <c:v>9.3800000000000008</c:v>
                </c:pt>
                <c:pt idx="2">
                  <c:v>8.8800000000000008</c:v>
                </c:pt>
                <c:pt idx="3">
                  <c:v>44.99</c:v>
                </c:pt>
              </c:numCache>
            </c:numRef>
          </c:val>
        </c:ser>
        <c:ser>
          <c:idx val="1"/>
          <c:order val="1"/>
          <c:tx>
            <c:strRef>
              <c:f>graphiques!$C$34</c:f>
              <c:strCache>
                <c:ptCount val="1"/>
                <c:pt idx="0">
                  <c:v>Stabilité</c:v>
                </c:pt>
              </c:strCache>
            </c:strRef>
          </c:tx>
          <c:cat>
            <c:strRef>
              <c:f>graphiques!$A$35:$A$38</c:f>
              <c:strCache>
                <c:ptCount val="4"/>
                <c:pt idx="0">
                  <c:v>Production</c:v>
                </c:pt>
                <c:pt idx="1">
                  <c:v>Demande Globale</c:v>
                </c:pt>
                <c:pt idx="2">
                  <c:v>Prix de vente</c:v>
                </c:pt>
                <c:pt idx="3">
                  <c:v>Effectifs Employés</c:v>
                </c:pt>
              </c:strCache>
            </c:strRef>
          </c:cat>
          <c:val>
            <c:numRef>
              <c:f>graphiques!$C$35:$C$38</c:f>
              <c:numCache>
                <c:formatCode>General</c:formatCode>
                <c:ptCount val="4"/>
                <c:pt idx="0">
                  <c:v>32.04</c:v>
                </c:pt>
                <c:pt idx="1">
                  <c:v>67.790000000000006</c:v>
                </c:pt>
                <c:pt idx="2">
                  <c:v>65.47</c:v>
                </c:pt>
                <c:pt idx="3">
                  <c:v>34.25</c:v>
                </c:pt>
              </c:numCache>
            </c:numRef>
          </c:val>
        </c:ser>
        <c:ser>
          <c:idx val="2"/>
          <c:order val="2"/>
          <c:tx>
            <c:strRef>
              <c:f>graphiques!$D$34</c:f>
              <c:strCache>
                <c:ptCount val="1"/>
                <c:pt idx="0">
                  <c:v>Baisse</c:v>
                </c:pt>
              </c:strCache>
            </c:strRef>
          </c:tx>
          <c:cat>
            <c:strRef>
              <c:f>graphiques!$A$35:$A$38</c:f>
              <c:strCache>
                <c:ptCount val="4"/>
                <c:pt idx="0">
                  <c:v>Production</c:v>
                </c:pt>
                <c:pt idx="1">
                  <c:v>Demande Globale</c:v>
                </c:pt>
                <c:pt idx="2">
                  <c:v>Prix de vente</c:v>
                </c:pt>
                <c:pt idx="3">
                  <c:v>Effectifs Employés</c:v>
                </c:pt>
              </c:strCache>
            </c:strRef>
          </c:cat>
          <c:val>
            <c:numRef>
              <c:f>graphiques!$D$35:$D$38</c:f>
              <c:numCache>
                <c:formatCode>General</c:formatCode>
                <c:ptCount val="4"/>
                <c:pt idx="0">
                  <c:v>23.650000000000031</c:v>
                </c:pt>
                <c:pt idx="1">
                  <c:v>22.84</c:v>
                </c:pt>
                <c:pt idx="2">
                  <c:v>25.650000000000031</c:v>
                </c:pt>
                <c:pt idx="3">
                  <c:v>20.759999999999987</c:v>
                </c:pt>
              </c:numCache>
            </c:numRef>
          </c:val>
        </c:ser>
        <c:ser>
          <c:idx val="3"/>
          <c:order val="3"/>
          <c:tx>
            <c:strRef>
              <c:f>graphiques!$E$34</c:f>
              <c:strCache>
                <c:ptCount val="1"/>
                <c:pt idx="0">
                  <c:v>Solde</c:v>
                </c:pt>
              </c:strCache>
            </c:strRef>
          </c:tx>
          <c:cat>
            <c:strRef>
              <c:f>graphiques!$A$35:$A$38</c:f>
              <c:strCache>
                <c:ptCount val="4"/>
                <c:pt idx="0">
                  <c:v>Production</c:v>
                </c:pt>
                <c:pt idx="1">
                  <c:v>Demande Globale</c:v>
                </c:pt>
                <c:pt idx="2">
                  <c:v>Prix de vente</c:v>
                </c:pt>
                <c:pt idx="3">
                  <c:v>Effectifs Employés</c:v>
                </c:pt>
              </c:strCache>
            </c:strRef>
          </c:cat>
          <c:val>
            <c:numRef>
              <c:f>graphiques!$E$35:$E$38</c:f>
              <c:numCache>
                <c:formatCode>General</c:formatCode>
                <c:ptCount val="4"/>
                <c:pt idx="0">
                  <c:v>20.650000000000031</c:v>
                </c:pt>
                <c:pt idx="1">
                  <c:v>-13.46</c:v>
                </c:pt>
                <c:pt idx="2">
                  <c:v>-16.77</c:v>
                </c:pt>
                <c:pt idx="3">
                  <c:v>24.24</c:v>
                </c:pt>
              </c:numCache>
            </c:numRef>
          </c:val>
        </c:ser>
        <c:axId val="119865344"/>
        <c:axId val="119866880"/>
      </c:barChart>
      <c:catAx>
        <c:axId val="119865344"/>
        <c:scaling>
          <c:orientation val="minMax"/>
        </c:scaling>
        <c:axPos val="b"/>
        <c:majorGridlines/>
        <c:tickLblPos val="low"/>
        <c:txPr>
          <a:bodyPr/>
          <a:lstStyle/>
          <a:p>
            <a:pPr>
              <a:defRPr b="1" i="0" baseline="0"/>
            </a:pPr>
            <a:endParaRPr lang="fr-FR"/>
          </a:p>
        </c:txPr>
        <c:crossAx val="119866880"/>
        <c:crosses val="autoZero"/>
        <c:auto val="1"/>
        <c:lblAlgn val="ctr"/>
        <c:lblOffset val="100"/>
      </c:catAx>
      <c:valAx>
        <c:axId val="119866880"/>
        <c:scaling>
          <c:orientation val="minMax"/>
        </c:scaling>
        <c:axPos val="l"/>
        <c:majorGridlines>
          <c:spPr>
            <a:ln>
              <a:solidFill>
                <a:sysClr val="windowText" lastClr="000000">
                  <a:tint val="75000"/>
                  <a:shade val="95000"/>
                  <a:satMod val="105000"/>
                </a:sysClr>
              </a:solidFill>
            </a:ln>
          </c:spPr>
        </c:majorGridlines>
        <c:numFmt formatCode="General" sourceLinked="1"/>
        <c:tickLblPos val="nextTo"/>
        <c:crossAx val="119865344"/>
        <c:crosses val="autoZero"/>
        <c:crossBetween val="between"/>
      </c:valAx>
      <c:spPr>
        <a:noFill/>
        <a:ln w="3175">
          <a:solidFill>
            <a:schemeClr val="tx1"/>
          </a:solidFill>
        </a:ln>
      </c:spPr>
    </c:plotArea>
    <c:legend>
      <c:legendPos val="r"/>
      <c:layout>
        <c:manualLayout>
          <c:xMode val="edge"/>
          <c:yMode val="edge"/>
          <c:x val="0.84072353455818682"/>
          <c:y val="0.33256561679790242"/>
          <c:w val="0.1426097987751532"/>
          <c:h val="0.39042432195975935"/>
        </c:manualLayout>
      </c:layout>
      <c:txPr>
        <a:bodyPr/>
        <a:lstStyle/>
        <a:p>
          <a:pPr>
            <a:defRPr b="1" i="0" baseline="0"/>
          </a:pPr>
          <a:endParaRPr lang="fr-FR"/>
        </a:p>
      </c:txPr>
    </c:legend>
    <c:plotVisOnly val="1"/>
  </c:chart>
  <c:spPr>
    <a:noFill/>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000"/>
              <a:t>Anticipations des entreprises des services marchands non financiers </a:t>
            </a:r>
          </a:p>
          <a:p>
            <a:pPr>
              <a:defRPr/>
            </a:pPr>
            <a:r>
              <a:rPr lang="fr-FR" sz="1000"/>
              <a:t>(proportion en %)  </a:t>
            </a:r>
          </a:p>
        </c:rich>
      </c:tx>
      <c:layout>
        <c:manualLayout>
          <c:xMode val="edge"/>
          <c:yMode val="edge"/>
          <c:x val="0.13868037328667238"/>
          <c:y val="1.2299868766404199E-3"/>
        </c:manualLayout>
      </c:layout>
    </c:title>
    <c:plotArea>
      <c:layout>
        <c:manualLayout>
          <c:layoutTarget val="inner"/>
          <c:xMode val="edge"/>
          <c:yMode val="edge"/>
          <c:x val="0.11998067949839604"/>
          <c:y val="0.21447270530032694"/>
          <c:w val="0.60138743073782441"/>
          <c:h val="0.60683849770577603"/>
        </c:manualLayout>
      </c:layout>
      <c:barChart>
        <c:barDir val="col"/>
        <c:grouping val="clustered"/>
        <c:ser>
          <c:idx val="0"/>
          <c:order val="0"/>
          <c:tx>
            <c:strRef>
              <c:f>'Feuil1'!$B$1</c:f>
              <c:strCache>
                <c:ptCount val="1"/>
                <c:pt idx="0">
                  <c:v>Hausse</c:v>
                </c:pt>
              </c:strCache>
            </c:strRef>
          </c:tx>
          <c:cat>
            <c:strRef>
              <c:f>'Feuil1'!$A$2:$A$3</c:f>
              <c:strCache>
                <c:ptCount val="2"/>
                <c:pt idx="0">
                  <c:v>Activité globale</c:v>
                </c:pt>
                <c:pt idx="1">
                  <c:v>Emploi</c:v>
                </c:pt>
              </c:strCache>
            </c:strRef>
          </c:cat>
          <c:val>
            <c:numRef>
              <c:f>'Feuil1'!$B$2:$B$3</c:f>
              <c:numCache>
                <c:formatCode>0</c:formatCode>
                <c:ptCount val="2"/>
                <c:pt idx="0">
                  <c:v>23.979999999999986</c:v>
                </c:pt>
                <c:pt idx="1">
                  <c:v>11.719999999999999</c:v>
                </c:pt>
              </c:numCache>
            </c:numRef>
          </c:val>
        </c:ser>
        <c:ser>
          <c:idx val="1"/>
          <c:order val="1"/>
          <c:tx>
            <c:strRef>
              <c:f>'Feuil1'!$C$1</c:f>
              <c:strCache>
                <c:ptCount val="1"/>
                <c:pt idx="0">
                  <c:v>Stabilité</c:v>
                </c:pt>
              </c:strCache>
            </c:strRef>
          </c:tx>
          <c:cat>
            <c:strRef>
              <c:f>'Feuil1'!$A$2:$A$3</c:f>
              <c:strCache>
                <c:ptCount val="2"/>
                <c:pt idx="0">
                  <c:v>Activité globale</c:v>
                </c:pt>
                <c:pt idx="1">
                  <c:v>Emploi</c:v>
                </c:pt>
              </c:strCache>
            </c:strRef>
          </c:cat>
          <c:val>
            <c:numRef>
              <c:f>'Feuil1'!$C$2:$C$3</c:f>
              <c:numCache>
                <c:formatCode>0</c:formatCode>
                <c:ptCount val="2"/>
                <c:pt idx="0">
                  <c:v>52.120000000000012</c:v>
                </c:pt>
                <c:pt idx="1">
                  <c:v>83.75</c:v>
                </c:pt>
              </c:numCache>
            </c:numRef>
          </c:val>
        </c:ser>
        <c:ser>
          <c:idx val="2"/>
          <c:order val="2"/>
          <c:tx>
            <c:strRef>
              <c:f>'Feuil1'!$D$1</c:f>
              <c:strCache>
                <c:ptCount val="1"/>
                <c:pt idx="0">
                  <c:v>Baisse</c:v>
                </c:pt>
              </c:strCache>
            </c:strRef>
          </c:tx>
          <c:cat>
            <c:strRef>
              <c:f>'Feuil1'!$A$2:$A$3</c:f>
              <c:strCache>
                <c:ptCount val="2"/>
                <c:pt idx="0">
                  <c:v>Activité globale</c:v>
                </c:pt>
                <c:pt idx="1">
                  <c:v>Emploi</c:v>
                </c:pt>
              </c:strCache>
            </c:strRef>
          </c:cat>
          <c:val>
            <c:numRef>
              <c:f>'Feuil1'!$D$2:$D$3</c:f>
              <c:numCache>
                <c:formatCode>0</c:formatCode>
                <c:ptCount val="2"/>
                <c:pt idx="0">
                  <c:v>23.9</c:v>
                </c:pt>
                <c:pt idx="1">
                  <c:v>4.53</c:v>
                </c:pt>
              </c:numCache>
            </c:numRef>
          </c:val>
        </c:ser>
        <c:ser>
          <c:idx val="3"/>
          <c:order val="3"/>
          <c:tx>
            <c:strRef>
              <c:f>'Feuil1'!$E$1</c:f>
              <c:strCache>
                <c:ptCount val="1"/>
                <c:pt idx="0">
                  <c:v>solde</c:v>
                </c:pt>
              </c:strCache>
            </c:strRef>
          </c:tx>
          <c:cat>
            <c:strRef>
              <c:f>'Feuil1'!$A$2:$A$3</c:f>
              <c:strCache>
                <c:ptCount val="2"/>
                <c:pt idx="0">
                  <c:v>Activité globale</c:v>
                </c:pt>
                <c:pt idx="1">
                  <c:v>Emploi</c:v>
                </c:pt>
              </c:strCache>
            </c:strRef>
          </c:cat>
          <c:val>
            <c:numRef>
              <c:f>'Feuil1'!$E$2:$E$3</c:f>
              <c:numCache>
                <c:formatCode>0</c:formatCode>
                <c:ptCount val="2"/>
                <c:pt idx="0">
                  <c:v>8.0000000000001834E-2</c:v>
                </c:pt>
                <c:pt idx="1">
                  <c:v>7.1899999999999995</c:v>
                </c:pt>
              </c:numCache>
            </c:numRef>
          </c:val>
        </c:ser>
        <c:axId val="130462080"/>
        <c:axId val="130463616"/>
      </c:barChart>
      <c:catAx>
        <c:axId val="130462080"/>
        <c:scaling>
          <c:orientation val="minMax"/>
        </c:scaling>
        <c:axPos val="b"/>
        <c:majorGridlines/>
        <c:majorTickMark val="none"/>
        <c:tickLblPos val="nextTo"/>
        <c:crossAx val="130463616"/>
        <c:crosses val="autoZero"/>
        <c:auto val="1"/>
        <c:lblAlgn val="ctr"/>
        <c:lblOffset val="100"/>
      </c:catAx>
      <c:valAx>
        <c:axId val="130463616"/>
        <c:scaling>
          <c:orientation val="minMax"/>
        </c:scaling>
        <c:axPos val="l"/>
        <c:majorGridlines/>
        <c:numFmt formatCode="0" sourceLinked="1"/>
        <c:majorTickMark val="none"/>
        <c:tickLblPos val="nextTo"/>
        <c:crossAx val="130462080"/>
        <c:crosses val="autoZero"/>
        <c:crossBetween val="between"/>
      </c:valAx>
    </c:plotArea>
    <c:legend>
      <c:legendPos val="r"/>
      <c:layout>
        <c:manualLayout>
          <c:xMode val="edge"/>
          <c:yMode val="edge"/>
          <c:x val="0.72063174394867646"/>
          <c:y val="0.34886936430243964"/>
          <c:w val="0.2515904782735493"/>
          <c:h val="0.32262183443286191"/>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900"/>
              <a:t>Anticipations des grossistes</a:t>
            </a:r>
            <a:r>
              <a:rPr lang="fr-FR" sz="900" baseline="0"/>
              <a:t> (</a:t>
            </a:r>
            <a:r>
              <a:rPr lang="fr-FR" sz="900"/>
              <a:t>proportions en %)</a:t>
            </a:r>
          </a:p>
        </c:rich>
      </c:tx>
      <c:layout>
        <c:manualLayout>
          <c:xMode val="edge"/>
          <c:yMode val="edge"/>
          <c:x val="0.15566868094976499"/>
          <c:y val="0"/>
        </c:manualLayout>
      </c:layout>
    </c:title>
    <c:plotArea>
      <c:layout>
        <c:manualLayout>
          <c:layoutTarget val="inner"/>
          <c:xMode val="edge"/>
          <c:yMode val="edge"/>
          <c:x val="0.15692180919245827"/>
          <c:y val="0.1402035319997533"/>
          <c:w val="0.67895592992736353"/>
          <c:h val="0.64919580874845928"/>
        </c:manualLayout>
      </c:layout>
      <c:barChart>
        <c:barDir val="col"/>
        <c:grouping val="clustered"/>
        <c:ser>
          <c:idx val="0"/>
          <c:order val="0"/>
          <c:tx>
            <c:strRef>
              <c:f>Feuil1!$B$1</c:f>
              <c:strCache>
                <c:ptCount val="1"/>
                <c:pt idx="0">
                  <c:v>Hausse</c:v>
                </c:pt>
              </c:strCache>
            </c:strRef>
          </c:tx>
          <c:cat>
            <c:strRef>
              <c:f>Feuil1!$A$2:$A$4</c:f>
              <c:strCache>
                <c:ptCount val="3"/>
                <c:pt idx="0">
                  <c:v>Ventes</c:v>
                </c:pt>
                <c:pt idx="1">
                  <c:v>Commandes prévues</c:v>
                </c:pt>
                <c:pt idx="2">
                  <c:v>Emploi</c:v>
                </c:pt>
              </c:strCache>
            </c:strRef>
          </c:cat>
          <c:val>
            <c:numRef>
              <c:f>Feuil1!$B$2:$B$4</c:f>
              <c:numCache>
                <c:formatCode>0</c:formatCode>
                <c:ptCount val="3"/>
                <c:pt idx="0">
                  <c:v>55.03</c:v>
                </c:pt>
                <c:pt idx="1">
                  <c:v>11.67</c:v>
                </c:pt>
                <c:pt idx="2">
                  <c:v>31.45</c:v>
                </c:pt>
              </c:numCache>
            </c:numRef>
          </c:val>
        </c:ser>
        <c:ser>
          <c:idx val="1"/>
          <c:order val="1"/>
          <c:tx>
            <c:strRef>
              <c:f>Feuil1!$C$1</c:f>
              <c:strCache>
                <c:ptCount val="1"/>
                <c:pt idx="0">
                  <c:v>Stabilité</c:v>
                </c:pt>
              </c:strCache>
            </c:strRef>
          </c:tx>
          <c:cat>
            <c:strRef>
              <c:f>Feuil1!$A$2:$A$4</c:f>
              <c:strCache>
                <c:ptCount val="3"/>
                <c:pt idx="0">
                  <c:v>Ventes</c:v>
                </c:pt>
                <c:pt idx="1">
                  <c:v>Commandes prévues</c:v>
                </c:pt>
                <c:pt idx="2">
                  <c:v>Emploi</c:v>
                </c:pt>
              </c:strCache>
            </c:strRef>
          </c:cat>
          <c:val>
            <c:numRef>
              <c:f>Feuil1!$C$2:$C$4</c:f>
              <c:numCache>
                <c:formatCode>0</c:formatCode>
                <c:ptCount val="3"/>
                <c:pt idx="0">
                  <c:v>30.67</c:v>
                </c:pt>
                <c:pt idx="1">
                  <c:v>70.510000000000005</c:v>
                </c:pt>
                <c:pt idx="2">
                  <c:v>56.620000000000012</c:v>
                </c:pt>
              </c:numCache>
            </c:numRef>
          </c:val>
        </c:ser>
        <c:ser>
          <c:idx val="2"/>
          <c:order val="2"/>
          <c:tx>
            <c:strRef>
              <c:f>Feuil1!$D$1</c:f>
              <c:strCache>
                <c:ptCount val="1"/>
                <c:pt idx="0">
                  <c:v>Baisse</c:v>
                </c:pt>
              </c:strCache>
            </c:strRef>
          </c:tx>
          <c:cat>
            <c:strRef>
              <c:f>Feuil1!$A$2:$A$4</c:f>
              <c:strCache>
                <c:ptCount val="3"/>
                <c:pt idx="0">
                  <c:v>Ventes</c:v>
                </c:pt>
                <c:pt idx="1">
                  <c:v>Commandes prévues</c:v>
                </c:pt>
                <c:pt idx="2">
                  <c:v>Emploi</c:v>
                </c:pt>
              </c:strCache>
            </c:strRef>
          </c:cat>
          <c:val>
            <c:numRef>
              <c:f>Feuil1!$D$2:$D$4</c:f>
              <c:numCache>
                <c:formatCode>0</c:formatCode>
                <c:ptCount val="3"/>
                <c:pt idx="0">
                  <c:v>14.3</c:v>
                </c:pt>
                <c:pt idx="1">
                  <c:v>17.82</c:v>
                </c:pt>
                <c:pt idx="2">
                  <c:v>11.93</c:v>
                </c:pt>
              </c:numCache>
            </c:numRef>
          </c:val>
        </c:ser>
        <c:ser>
          <c:idx val="3"/>
          <c:order val="3"/>
          <c:tx>
            <c:strRef>
              <c:f>Feuil1!$E$1</c:f>
              <c:strCache>
                <c:ptCount val="1"/>
                <c:pt idx="0">
                  <c:v>Solde</c:v>
                </c:pt>
              </c:strCache>
            </c:strRef>
          </c:tx>
          <c:cat>
            <c:strRef>
              <c:f>Feuil1!$A$2:$A$4</c:f>
              <c:strCache>
                <c:ptCount val="3"/>
                <c:pt idx="0">
                  <c:v>Ventes</c:v>
                </c:pt>
                <c:pt idx="1">
                  <c:v>Commandes prévues</c:v>
                </c:pt>
                <c:pt idx="2">
                  <c:v>Emploi</c:v>
                </c:pt>
              </c:strCache>
            </c:strRef>
          </c:cat>
          <c:val>
            <c:numRef>
              <c:f>Feuil1!$E$2:$E$4</c:f>
              <c:numCache>
                <c:formatCode>0</c:formatCode>
                <c:ptCount val="3"/>
                <c:pt idx="0">
                  <c:v>40.730000000000011</c:v>
                </c:pt>
                <c:pt idx="1">
                  <c:v>-6.1499999999999995</c:v>
                </c:pt>
                <c:pt idx="2">
                  <c:v>19.52</c:v>
                </c:pt>
              </c:numCache>
            </c:numRef>
          </c:val>
        </c:ser>
        <c:axId val="130417792"/>
        <c:axId val="130419328"/>
      </c:barChart>
      <c:catAx>
        <c:axId val="130417792"/>
        <c:scaling>
          <c:orientation val="minMax"/>
        </c:scaling>
        <c:axPos val="b"/>
        <c:majorGridlines/>
        <c:majorTickMark val="none"/>
        <c:tickLblPos val="nextTo"/>
        <c:txPr>
          <a:bodyPr/>
          <a:lstStyle/>
          <a:p>
            <a:pPr>
              <a:defRPr sz="800" b="1"/>
            </a:pPr>
            <a:endParaRPr lang="fr-FR"/>
          </a:p>
        </c:txPr>
        <c:crossAx val="130419328"/>
        <c:crosses val="autoZero"/>
        <c:auto val="1"/>
        <c:lblAlgn val="ctr"/>
        <c:lblOffset val="900"/>
      </c:catAx>
      <c:valAx>
        <c:axId val="130419328"/>
        <c:scaling>
          <c:orientation val="minMax"/>
        </c:scaling>
        <c:axPos val="l"/>
        <c:majorGridlines/>
        <c:numFmt formatCode="0" sourceLinked="1"/>
        <c:majorTickMark val="none"/>
        <c:tickLblPos val="nextTo"/>
        <c:crossAx val="130417792"/>
        <c:crosses val="autoZero"/>
        <c:crossBetween val="between"/>
      </c:valAx>
    </c:plotArea>
    <c:legend>
      <c:legendPos val="r"/>
      <c:layout>
        <c:manualLayout>
          <c:xMode val="edge"/>
          <c:yMode val="edge"/>
          <c:x val="0.80874595617410083"/>
          <c:y val="0.31610267466567304"/>
          <c:w val="0.16388970274064577"/>
          <c:h val="0.24868766404199474"/>
        </c:manualLayout>
      </c:layout>
      <c:txPr>
        <a:bodyPr/>
        <a:lstStyle/>
        <a:p>
          <a:pPr>
            <a:defRPr sz="800" b="1"/>
          </a:pPr>
          <a:endParaRPr lang="fr-FR"/>
        </a:p>
      </c:txPr>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graphiques!$B$41</c:f>
              <c:strCache>
                <c:ptCount val="1"/>
                <c:pt idx="0">
                  <c:v>Hausse</c:v>
                </c:pt>
              </c:strCache>
            </c:strRef>
          </c:tx>
          <c:cat>
            <c:strRef>
              <c:f>graphiques!$A$42:$A$45</c:f>
              <c:strCache>
                <c:ptCount val="4"/>
                <c:pt idx="0">
                  <c:v>Production</c:v>
                </c:pt>
                <c:pt idx="1">
                  <c:v>Demande Globale</c:v>
                </c:pt>
                <c:pt idx="2">
                  <c:v>Prix de vente</c:v>
                </c:pt>
                <c:pt idx="3">
                  <c:v>Effectifs Employés</c:v>
                </c:pt>
              </c:strCache>
            </c:strRef>
          </c:cat>
          <c:val>
            <c:numRef>
              <c:f>graphiques!$B$42:$B$45</c:f>
              <c:numCache>
                <c:formatCode>General</c:formatCode>
                <c:ptCount val="4"/>
                <c:pt idx="0">
                  <c:v>4.07</c:v>
                </c:pt>
                <c:pt idx="1">
                  <c:v>0</c:v>
                </c:pt>
                <c:pt idx="2">
                  <c:v>0</c:v>
                </c:pt>
                <c:pt idx="3">
                  <c:v>3.82</c:v>
                </c:pt>
              </c:numCache>
            </c:numRef>
          </c:val>
        </c:ser>
        <c:ser>
          <c:idx val="1"/>
          <c:order val="1"/>
          <c:tx>
            <c:strRef>
              <c:f>graphiques!$C$41</c:f>
              <c:strCache>
                <c:ptCount val="1"/>
                <c:pt idx="0">
                  <c:v>Stabilité</c:v>
                </c:pt>
              </c:strCache>
            </c:strRef>
          </c:tx>
          <c:cat>
            <c:strRef>
              <c:f>graphiques!$A$42:$A$45</c:f>
              <c:strCache>
                <c:ptCount val="4"/>
                <c:pt idx="0">
                  <c:v>Production</c:v>
                </c:pt>
                <c:pt idx="1">
                  <c:v>Demande Globale</c:v>
                </c:pt>
                <c:pt idx="2">
                  <c:v>Prix de vente</c:v>
                </c:pt>
                <c:pt idx="3">
                  <c:v>Effectifs Employés</c:v>
                </c:pt>
              </c:strCache>
            </c:strRef>
          </c:cat>
          <c:val>
            <c:numRef>
              <c:f>graphiques!$C$42:$C$45</c:f>
              <c:numCache>
                <c:formatCode>General</c:formatCode>
                <c:ptCount val="4"/>
                <c:pt idx="0">
                  <c:v>5.92</c:v>
                </c:pt>
                <c:pt idx="1">
                  <c:v>99.43</c:v>
                </c:pt>
                <c:pt idx="2">
                  <c:v>10.31</c:v>
                </c:pt>
                <c:pt idx="3">
                  <c:v>95.61</c:v>
                </c:pt>
              </c:numCache>
            </c:numRef>
          </c:val>
        </c:ser>
        <c:ser>
          <c:idx val="2"/>
          <c:order val="2"/>
          <c:tx>
            <c:strRef>
              <c:f>graphiques!$D$41</c:f>
              <c:strCache>
                <c:ptCount val="1"/>
                <c:pt idx="0">
                  <c:v>Baisse</c:v>
                </c:pt>
              </c:strCache>
            </c:strRef>
          </c:tx>
          <c:cat>
            <c:strRef>
              <c:f>graphiques!$A$42:$A$45</c:f>
              <c:strCache>
                <c:ptCount val="4"/>
                <c:pt idx="0">
                  <c:v>Production</c:v>
                </c:pt>
                <c:pt idx="1">
                  <c:v>Demande Globale</c:v>
                </c:pt>
                <c:pt idx="2">
                  <c:v>Prix de vente</c:v>
                </c:pt>
                <c:pt idx="3">
                  <c:v>Effectifs Employés</c:v>
                </c:pt>
              </c:strCache>
            </c:strRef>
          </c:cat>
          <c:val>
            <c:numRef>
              <c:f>graphiques!$D$42:$D$45</c:f>
              <c:numCache>
                <c:formatCode>General</c:formatCode>
                <c:ptCount val="4"/>
                <c:pt idx="0">
                  <c:v>90</c:v>
                </c:pt>
                <c:pt idx="1">
                  <c:v>0.56999999999999995</c:v>
                </c:pt>
                <c:pt idx="2">
                  <c:v>89.69</c:v>
                </c:pt>
                <c:pt idx="3">
                  <c:v>0.56999999999999995</c:v>
                </c:pt>
              </c:numCache>
            </c:numRef>
          </c:val>
        </c:ser>
        <c:ser>
          <c:idx val="3"/>
          <c:order val="3"/>
          <c:tx>
            <c:strRef>
              <c:f>graphiques!$E$41</c:f>
              <c:strCache>
                <c:ptCount val="1"/>
                <c:pt idx="0">
                  <c:v>Solde</c:v>
                </c:pt>
              </c:strCache>
            </c:strRef>
          </c:tx>
          <c:cat>
            <c:strRef>
              <c:f>graphiques!$A$42:$A$45</c:f>
              <c:strCache>
                <c:ptCount val="4"/>
                <c:pt idx="0">
                  <c:v>Production</c:v>
                </c:pt>
                <c:pt idx="1">
                  <c:v>Demande Globale</c:v>
                </c:pt>
                <c:pt idx="2">
                  <c:v>Prix de vente</c:v>
                </c:pt>
                <c:pt idx="3">
                  <c:v>Effectifs Employés</c:v>
                </c:pt>
              </c:strCache>
            </c:strRef>
          </c:cat>
          <c:val>
            <c:numRef>
              <c:f>graphiques!$E$42:$E$45</c:f>
              <c:numCache>
                <c:formatCode>General</c:formatCode>
                <c:ptCount val="4"/>
                <c:pt idx="0">
                  <c:v>-85.93</c:v>
                </c:pt>
                <c:pt idx="1">
                  <c:v>-0.56999999999999995</c:v>
                </c:pt>
                <c:pt idx="2">
                  <c:v>-89.69</c:v>
                </c:pt>
                <c:pt idx="3">
                  <c:v>3.25</c:v>
                </c:pt>
              </c:numCache>
            </c:numRef>
          </c:val>
        </c:ser>
        <c:axId val="119929856"/>
        <c:axId val="119878400"/>
      </c:barChart>
      <c:catAx>
        <c:axId val="119929856"/>
        <c:scaling>
          <c:orientation val="minMax"/>
        </c:scaling>
        <c:axPos val="b"/>
        <c:majorGridlines/>
        <c:tickLblPos val="low"/>
        <c:txPr>
          <a:bodyPr/>
          <a:lstStyle/>
          <a:p>
            <a:pPr>
              <a:defRPr b="1" i="0" baseline="0"/>
            </a:pPr>
            <a:endParaRPr lang="fr-FR"/>
          </a:p>
        </c:txPr>
        <c:crossAx val="119878400"/>
        <c:crosses val="autoZero"/>
        <c:auto val="1"/>
        <c:lblAlgn val="ctr"/>
        <c:lblOffset val="100"/>
      </c:catAx>
      <c:valAx>
        <c:axId val="119878400"/>
        <c:scaling>
          <c:orientation val="minMax"/>
        </c:scaling>
        <c:axPos val="l"/>
        <c:majorGridlines/>
        <c:numFmt formatCode="General" sourceLinked="1"/>
        <c:tickLblPos val="nextTo"/>
        <c:crossAx val="119929856"/>
        <c:crosses val="autoZero"/>
        <c:crossBetween val="between"/>
      </c:valAx>
    </c:plotArea>
    <c:legend>
      <c:legendPos val="r"/>
      <c:txPr>
        <a:bodyPr/>
        <a:lstStyle/>
        <a:p>
          <a:pPr>
            <a:defRPr b="1" i="0" baseline="0"/>
          </a:pPr>
          <a:endParaRPr lang="fr-FR"/>
        </a:p>
      </c:txPr>
    </c:legend>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graphiques!$B$48</c:f>
              <c:strCache>
                <c:ptCount val="1"/>
                <c:pt idx="0">
                  <c:v>Hausse</c:v>
                </c:pt>
              </c:strCache>
            </c:strRef>
          </c:tx>
          <c:cat>
            <c:strRef>
              <c:f>graphiques!$A$49:$A$52</c:f>
              <c:strCache>
                <c:ptCount val="4"/>
                <c:pt idx="0">
                  <c:v>Production</c:v>
                </c:pt>
                <c:pt idx="1">
                  <c:v>Demande Globale</c:v>
                </c:pt>
                <c:pt idx="2">
                  <c:v>Prix de vente</c:v>
                </c:pt>
                <c:pt idx="3">
                  <c:v>Effectifs Employés</c:v>
                </c:pt>
              </c:strCache>
            </c:strRef>
          </c:cat>
          <c:val>
            <c:numRef>
              <c:f>graphiques!$B$49:$B$52</c:f>
              <c:numCache>
                <c:formatCode>General</c:formatCode>
                <c:ptCount val="4"/>
                <c:pt idx="0">
                  <c:v>2.0000000000000011E-2</c:v>
                </c:pt>
                <c:pt idx="1">
                  <c:v>0</c:v>
                </c:pt>
                <c:pt idx="2">
                  <c:v>73.010000000000005</c:v>
                </c:pt>
                <c:pt idx="3">
                  <c:v>13.1</c:v>
                </c:pt>
              </c:numCache>
            </c:numRef>
          </c:val>
        </c:ser>
        <c:ser>
          <c:idx val="1"/>
          <c:order val="1"/>
          <c:tx>
            <c:strRef>
              <c:f>graphiques!$C$48</c:f>
              <c:strCache>
                <c:ptCount val="1"/>
                <c:pt idx="0">
                  <c:v>Stabilité</c:v>
                </c:pt>
              </c:strCache>
            </c:strRef>
          </c:tx>
          <c:cat>
            <c:strRef>
              <c:f>graphiques!$A$49:$A$52</c:f>
              <c:strCache>
                <c:ptCount val="4"/>
                <c:pt idx="0">
                  <c:v>Production</c:v>
                </c:pt>
                <c:pt idx="1">
                  <c:v>Demande Globale</c:v>
                </c:pt>
                <c:pt idx="2">
                  <c:v>Prix de vente</c:v>
                </c:pt>
                <c:pt idx="3">
                  <c:v>Effectifs Employés</c:v>
                </c:pt>
              </c:strCache>
            </c:strRef>
          </c:cat>
          <c:val>
            <c:numRef>
              <c:f>graphiques!$C$49:$C$52</c:f>
              <c:numCache>
                <c:formatCode>General</c:formatCode>
                <c:ptCount val="4"/>
                <c:pt idx="0">
                  <c:v>18.630000000000031</c:v>
                </c:pt>
                <c:pt idx="1">
                  <c:v>91.64</c:v>
                </c:pt>
                <c:pt idx="2">
                  <c:v>26.99</c:v>
                </c:pt>
                <c:pt idx="3">
                  <c:v>0.96000000000000063</c:v>
                </c:pt>
              </c:numCache>
            </c:numRef>
          </c:val>
        </c:ser>
        <c:ser>
          <c:idx val="2"/>
          <c:order val="2"/>
          <c:tx>
            <c:strRef>
              <c:f>graphiques!$D$48</c:f>
              <c:strCache>
                <c:ptCount val="1"/>
                <c:pt idx="0">
                  <c:v>Baisse</c:v>
                </c:pt>
              </c:strCache>
            </c:strRef>
          </c:tx>
          <c:cat>
            <c:strRef>
              <c:f>graphiques!$A$49:$A$52</c:f>
              <c:strCache>
                <c:ptCount val="4"/>
                <c:pt idx="0">
                  <c:v>Production</c:v>
                </c:pt>
                <c:pt idx="1">
                  <c:v>Demande Globale</c:v>
                </c:pt>
                <c:pt idx="2">
                  <c:v>Prix de vente</c:v>
                </c:pt>
                <c:pt idx="3">
                  <c:v>Effectifs Employés</c:v>
                </c:pt>
              </c:strCache>
            </c:strRef>
          </c:cat>
          <c:val>
            <c:numRef>
              <c:f>graphiques!$D$49:$D$52</c:f>
              <c:numCache>
                <c:formatCode>General</c:formatCode>
                <c:ptCount val="4"/>
                <c:pt idx="0">
                  <c:v>81.36</c:v>
                </c:pt>
                <c:pt idx="1">
                  <c:v>8.3600000000000048</c:v>
                </c:pt>
                <c:pt idx="2">
                  <c:v>0</c:v>
                </c:pt>
                <c:pt idx="3">
                  <c:v>85.940000000000026</c:v>
                </c:pt>
              </c:numCache>
            </c:numRef>
          </c:val>
        </c:ser>
        <c:ser>
          <c:idx val="3"/>
          <c:order val="3"/>
          <c:tx>
            <c:strRef>
              <c:f>graphiques!$E$48</c:f>
              <c:strCache>
                <c:ptCount val="1"/>
                <c:pt idx="0">
                  <c:v>Solde</c:v>
                </c:pt>
              </c:strCache>
            </c:strRef>
          </c:tx>
          <c:cat>
            <c:strRef>
              <c:f>graphiques!$A$49:$A$52</c:f>
              <c:strCache>
                <c:ptCount val="4"/>
                <c:pt idx="0">
                  <c:v>Production</c:v>
                </c:pt>
                <c:pt idx="1">
                  <c:v>Demande Globale</c:v>
                </c:pt>
                <c:pt idx="2">
                  <c:v>Prix de vente</c:v>
                </c:pt>
                <c:pt idx="3">
                  <c:v>Effectifs Employés</c:v>
                </c:pt>
              </c:strCache>
            </c:strRef>
          </c:cat>
          <c:val>
            <c:numRef>
              <c:f>graphiques!$E$49:$E$52</c:f>
              <c:numCache>
                <c:formatCode>General</c:formatCode>
                <c:ptCount val="4"/>
                <c:pt idx="0">
                  <c:v>-81.34</c:v>
                </c:pt>
                <c:pt idx="1">
                  <c:v>-8.3600000000000048</c:v>
                </c:pt>
                <c:pt idx="2">
                  <c:v>73.010000000000005</c:v>
                </c:pt>
                <c:pt idx="3">
                  <c:v>-72.84</c:v>
                </c:pt>
              </c:numCache>
            </c:numRef>
          </c:val>
        </c:ser>
        <c:axId val="119892224"/>
        <c:axId val="119894016"/>
      </c:barChart>
      <c:catAx>
        <c:axId val="119892224"/>
        <c:scaling>
          <c:orientation val="minMax"/>
        </c:scaling>
        <c:axPos val="b"/>
        <c:majorGridlines/>
        <c:tickLblPos val="low"/>
        <c:txPr>
          <a:bodyPr/>
          <a:lstStyle/>
          <a:p>
            <a:pPr>
              <a:defRPr b="1" i="0" baseline="0"/>
            </a:pPr>
            <a:endParaRPr lang="fr-FR"/>
          </a:p>
        </c:txPr>
        <c:crossAx val="119894016"/>
        <c:crosses val="autoZero"/>
        <c:auto val="1"/>
        <c:lblAlgn val="ctr"/>
        <c:lblOffset val="100"/>
      </c:catAx>
      <c:valAx>
        <c:axId val="119894016"/>
        <c:scaling>
          <c:orientation val="minMax"/>
        </c:scaling>
        <c:axPos val="l"/>
        <c:majorGridlines/>
        <c:numFmt formatCode="General" sourceLinked="1"/>
        <c:tickLblPos val="nextTo"/>
        <c:crossAx val="119892224"/>
        <c:crosses val="autoZero"/>
        <c:crossBetween val="between"/>
      </c:valAx>
    </c:plotArea>
    <c:legend>
      <c:legendPos val="r"/>
      <c:txPr>
        <a:bodyPr/>
        <a:lstStyle/>
        <a:p>
          <a:pPr>
            <a:defRPr b="1" i="0" baseline="0"/>
          </a:pPr>
          <a:endParaRPr lang="fr-FR"/>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graphiques!$B$55</c:f>
              <c:strCache>
                <c:ptCount val="1"/>
                <c:pt idx="0">
                  <c:v>Hausse</c:v>
                </c:pt>
              </c:strCache>
            </c:strRef>
          </c:tx>
          <c:cat>
            <c:strRef>
              <c:f>graphiques!$A$56:$A$59</c:f>
              <c:strCache>
                <c:ptCount val="4"/>
                <c:pt idx="0">
                  <c:v>Production</c:v>
                </c:pt>
                <c:pt idx="1">
                  <c:v>Demande Globale</c:v>
                </c:pt>
                <c:pt idx="2">
                  <c:v>Prix de vente</c:v>
                </c:pt>
                <c:pt idx="3">
                  <c:v>Effectifs Employés</c:v>
                </c:pt>
              </c:strCache>
            </c:strRef>
          </c:cat>
          <c:val>
            <c:numRef>
              <c:f>graphiques!$B$56:$B$59</c:f>
              <c:numCache>
                <c:formatCode>General</c:formatCode>
                <c:ptCount val="4"/>
                <c:pt idx="0">
                  <c:v>95.910000000000025</c:v>
                </c:pt>
                <c:pt idx="1">
                  <c:v>0</c:v>
                </c:pt>
                <c:pt idx="2">
                  <c:v>0</c:v>
                </c:pt>
                <c:pt idx="3">
                  <c:v>0</c:v>
                </c:pt>
              </c:numCache>
            </c:numRef>
          </c:val>
        </c:ser>
        <c:ser>
          <c:idx val="1"/>
          <c:order val="1"/>
          <c:tx>
            <c:strRef>
              <c:f>graphiques!$C$55</c:f>
              <c:strCache>
                <c:ptCount val="1"/>
                <c:pt idx="0">
                  <c:v>Stabilité</c:v>
                </c:pt>
              </c:strCache>
            </c:strRef>
          </c:tx>
          <c:cat>
            <c:strRef>
              <c:f>graphiques!$A$56:$A$59</c:f>
              <c:strCache>
                <c:ptCount val="4"/>
                <c:pt idx="0">
                  <c:v>Production</c:v>
                </c:pt>
                <c:pt idx="1">
                  <c:v>Demande Globale</c:v>
                </c:pt>
                <c:pt idx="2">
                  <c:v>Prix de vente</c:v>
                </c:pt>
                <c:pt idx="3">
                  <c:v>Effectifs Employés</c:v>
                </c:pt>
              </c:strCache>
            </c:strRef>
          </c:cat>
          <c:val>
            <c:numRef>
              <c:f>graphiques!$C$56:$C$59</c:f>
              <c:numCache>
                <c:formatCode>General</c:formatCode>
                <c:ptCount val="4"/>
                <c:pt idx="0">
                  <c:v>4</c:v>
                </c:pt>
                <c:pt idx="1">
                  <c:v>99.910000000000025</c:v>
                </c:pt>
                <c:pt idx="2">
                  <c:v>100</c:v>
                </c:pt>
                <c:pt idx="3">
                  <c:v>99.910000000000025</c:v>
                </c:pt>
              </c:numCache>
            </c:numRef>
          </c:val>
        </c:ser>
        <c:ser>
          <c:idx val="2"/>
          <c:order val="2"/>
          <c:tx>
            <c:strRef>
              <c:f>graphiques!$D$55</c:f>
              <c:strCache>
                <c:ptCount val="1"/>
                <c:pt idx="0">
                  <c:v>Baisse</c:v>
                </c:pt>
              </c:strCache>
            </c:strRef>
          </c:tx>
          <c:cat>
            <c:strRef>
              <c:f>graphiques!$A$56:$A$59</c:f>
              <c:strCache>
                <c:ptCount val="4"/>
                <c:pt idx="0">
                  <c:v>Production</c:v>
                </c:pt>
                <c:pt idx="1">
                  <c:v>Demande Globale</c:v>
                </c:pt>
                <c:pt idx="2">
                  <c:v>Prix de vente</c:v>
                </c:pt>
                <c:pt idx="3">
                  <c:v>Effectifs Employés</c:v>
                </c:pt>
              </c:strCache>
            </c:strRef>
          </c:cat>
          <c:val>
            <c:numRef>
              <c:f>graphiques!$D$56:$D$59</c:f>
              <c:numCache>
                <c:formatCode>General</c:formatCode>
                <c:ptCount val="4"/>
                <c:pt idx="0">
                  <c:v>9.0000000000000024E-2</c:v>
                </c:pt>
                <c:pt idx="1">
                  <c:v>9.0000000000000024E-2</c:v>
                </c:pt>
                <c:pt idx="2">
                  <c:v>0</c:v>
                </c:pt>
                <c:pt idx="3">
                  <c:v>9.0000000000000024E-2</c:v>
                </c:pt>
              </c:numCache>
            </c:numRef>
          </c:val>
        </c:ser>
        <c:ser>
          <c:idx val="3"/>
          <c:order val="3"/>
          <c:tx>
            <c:strRef>
              <c:f>graphiques!$E$55</c:f>
              <c:strCache>
                <c:ptCount val="1"/>
                <c:pt idx="0">
                  <c:v>Solde</c:v>
                </c:pt>
              </c:strCache>
            </c:strRef>
          </c:tx>
          <c:cat>
            <c:strRef>
              <c:f>graphiques!$A$56:$A$59</c:f>
              <c:strCache>
                <c:ptCount val="4"/>
                <c:pt idx="0">
                  <c:v>Production</c:v>
                </c:pt>
                <c:pt idx="1">
                  <c:v>Demande Globale</c:v>
                </c:pt>
                <c:pt idx="2">
                  <c:v>Prix de vente</c:v>
                </c:pt>
                <c:pt idx="3">
                  <c:v>Effectifs Employés</c:v>
                </c:pt>
              </c:strCache>
            </c:strRef>
          </c:cat>
          <c:val>
            <c:numRef>
              <c:f>graphiques!$E$56:$E$59</c:f>
              <c:numCache>
                <c:formatCode>General</c:formatCode>
                <c:ptCount val="4"/>
                <c:pt idx="0">
                  <c:v>95.81</c:v>
                </c:pt>
                <c:pt idx="1">
                  <c:v>-9.0000000000000024E-2</c:v>
                </c:pt>
                <c:pt idx="2">
                  <c:v>0</c:v>
                </c:pt>
                <c:pt idx="3">
                  <c:v>-9.0000000000000024E-2</c:v>
                </c:pt>
              </c:numCache>
            </c:numRef>
          </c:val>
        </c:ser>
        <c:axId val="119924224"/>
        <c:axId val="119925760"/>
      </c:barChart>
      <c:catAx>
        <c:axId val="119924224"/>
        <c:scaling>
          <c:orientation val="minMax"/>
        </c:scaling>
        <c:axPos val="b"/>
        <c:majorGridlines/>
        <c:tickLblPos val="nextTo"/>
        <c:txPr>
          <a:bodyPr/>
          <a:lstStyle/>
          <a:p>
            <a:pPr>
              <a:defRPr b="1" i="0" baseline="0"/>
            </a:pPr>
            <a:endParaRPr lang="fr-FR"/>
          </a:p>
        </c:txPr>
        <c:crossAx val="119925760"/>
        <c:crosses val="autoZero"/>
        <c:auto val="1"/>
        <c:lblAlgn val="ctr"/>
        <c:lblOffset val="100"/>
      </c:catAx>
      <c:valAx>
        <c:axId val="119925760"/>
        <c:scaling>
          <c:orientation val="minMax"/>
        </c:scaling>
        <c:axPos val="l"/>
        <c:majorGridlines/>
        <c:numFmt formatCode="General" sourceLinked="1"/>
        <c:tickLblPos val="nextTo"/>
        <c:crossAx val="119924224"/>
        <c:crosses val="autoZero"/>
        <c:crossBetween val="between"/>
      </c:valAx>
    </c:plotArea>
    <c:legend>
      <c:legendPos val="r"/>
      <c:txPr>
        <a:bodyPr/>
        <a:lstStyle/>
        <a:p>
          <a:pPr>
            <a:defRPr b="1" i="0" baseline="0"/>
          </a:pPr>
          <a:endParaRPr lang="fr-FR"/>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6.9948250395826028E-2"/>
          <c:y val="0.22486415622673145"/>
          <c:w val="0.73515736348980165"/>
          <c:h val="0.61010105862454511"/>
        </c:manualLayout>
      </c:layout>
      <c:barChart>
        <c:barDir val="col"/>
        <c:grouping val="clustered"/>
        <c:ser>
          <c:idx val="0"/>
          <c:order val="0"/>
          <c:tx>
            <c:strRef>
              <c:f>Feuil1!$B$27</c:f>
              <c:strCache>
                <c:ptCount val="1"/>
                <c:pt idx="0">
                  <c:v>Hausse</c:v>
                </c:pt>
              </c:strCache>
            </c:strRef>
          </c:tx>
          <c:cat>
            <c:strRef>
              <c:f>Feuil1!$A$28:$A$31</c:f>
              <c:strCache>
                <c:ptCount val="4"/>
                <c:pt idx="0">
                  <c:v>Construction globale</c:v>
                </c:pt>
                <c:pt idx="1">
                  <c:v>Bâtiments</c:v>
                </c:pt>
                <c:pt idx="2">
                  <c:v>Génie civil</c:v>
                </c:pt>
                <c:pt idx="3">
                  <c:v>Construction spécialisés</c:v>
                </c:pt>
              </c:strCache>
            </c:strRef>
          </c:cat>
          <c:val>
            <c:numRef>
              <c:f>Feuil1!$B$28:$B$31</c:f>
              <c:numCache>
                <c:formatCode>0</c:formatCode>
                <c:ptCount val="4"/>
                <c:pt idx="0">
                  <c:v>34.886108636654384</c:v>
                </c:pt>
                <c:pt idx="1">
                  <c:v>38.870204999999999</c:v>
                </c:pt>
                <c:pt idx="2">
                  <c:v>32.140663999999994</c:v>
                </c:pt>
                <c:pt idx="3">
                  <c:v>34.408659</c:v>
                </c:pt>
              </c:numCache>
            </c:numRef>
          </c:val>
        </c:ser>
        <c:ser>
          <c:idx val="1"/>
          <c:order val="1"/>
          <c:tx>
            <c:strRef>
              <c:f>Feuil1!$C$27</c:f>
              <c:strCache>
                <c:ptCount val="1"/>
                <c:pt idx="0">
                  <c:v>Stabilité</c:v>
                </c:pt>
              </c:strCache>
            </c:strRef>
          </c:tx>
          <c:cat>
            <c:strRef>
              <c:f>Feuil1!$A$28:$A$31</c:f>
              <c:strCache>
                <c:ptCount val="4"/>
                <c:pt idx="0">
                  <c:v>Construction globale</c:v>
                </c:pt>
                <c:pt idx="1">
                  <c:v>Bâtiments</c:v>
                </c:pt>
                <c:pt idx="2">
                  <c:v>Génie civil</c:v>
                </c:pt>
                <c:pt idx="3">
                  <c:v>Construction spécialisés</c:v>
                </c:pt>
              </c:strCache>
            </c:strRef>
          </c:cat>
          <c:val>
            <c:numRef>
              <c:f>Feuil1!$C$28:$C$31</c:f>
              <c:numCache>
                <c:formatCode>0</c:formatCode>
                <c:ptCount val="4"/>
                <c:pt idx="0">
                  <c:v>45.711983807742513</c:v>
                </c:pt>
                <c:pt idx="1">
                  <c:v>38.388246999999993</c:v>
                </c:pt>
                <c:pt idx="2">
                  <c:v>52.619755000000012</c:v>
                </c:pt>
                <c:pt idx="3">
                  <c:v>44.689515000000135</c:v>
                </c:pt>
              </c:numCache>
            </c:numRef>
          </c:val>
        </c:ser>
        <c:ser>
          <c:idx val="2"/>
          <c:order val="2"/>
          <c:tx>
            <c:strRef>
              <c:f>Feuil1!$D$27</c:f>
              <c:strCache>
                <c:ptCount val="1"/>
                <c:pt idx="0">
                  <c:v>Baisse</c:v>
                </c:pt>
              </c:strCache>
            </c:strRef>
          </c:tx>
          <c:cat>
            <c:strRef>
              <c:f>Feuil1!$A$28:$A$31</c:f>
              <c:strCache>
                <c:ptCount val="4"/>
                <c:pt idx="0">
                  <c:v>Construction globale</c:v>
                </c:pt>
                <c:pt idx="1">
                  <c:v>Bâtiments</c:v>
                </c:pt>
                <c:pt idx="2">
                  <c:v>Génie civil</c:v>
                </c:pt>
                <c:pt idx="3">
                  <c:v>Construction spécialisés</c:v>
                </c:pt>
              </c:strCache>
            </c:strRef>
          </c:cat>
          <c:val>
            <c:numRef>
              <c:f>Feuil1!$D$28:$D$31</c:f>
              <c:numCache>
                <c:formatCode>0</c:formatCode>
                <c:ptCount val="4"/>
                <c:pt idx="0">
                  <c:v>19.401904845589652</c:v>
                </c:pt>
                <c:pt idx="1">
                  <c:v>22.741545999999989</c:v>
                </c:pt>
                <c:pt idx="2">
                  <c:v>15.239577999999998</c:v>
                </c:pt>
                <c:pt idx="3">
                  <c:v>20.901823</c:v>
                </c:pt>
              </c:numCache>
            </c:numRef>
          </c:val>
        </c:ser>
        <c:ser>
          <c:idx val="3"/>
          <c:order val="3"/>
          <c:tx>
            <c:strRef>
              <c:f>Feuil1!$E$27</c:f>
              <c:strCache>
                <c:ptCount val="1"/>
                <c:pt idx="0">
                  <c:v>Solde</c:v>
                </c:pt>
              </c:strCache>
            </c:strRef>
          </c:tx>
          <c:cat>
            <c:strRef>
              <c:f>Feuil1!$A$28:$A$31</c:f>
              <c:strCache>
                <c:ptCount val="4"/>
                <c:pt idx="0">
                  <c:v>Construction globale</c:v>
                </c:pt>
                <c:pt idx="1">
                  <c:v>Bâtiments</c:v>
                </c:pt>
                <c:pt idx="2">
                  <c:v>Génie civil</c:v>
                </c:pt>
                <c:pt idx="3">
                  <c:v>Construction spécialisés</c:v>
                </c:pt>
              </c:strCache>
            </c:strRef>
          </c:cat>
          <c:val>
            <c:numRef>
              <c:f>Feuil1!$E$28:$E$31</c:f>
              <c:numCache>
                <c:formatCode>0</c:formatCode>
                <c:ptCount val="4"/>
                <c:pt idx="0">
                  <c:v>15.484203432109284</c:v>
                </c:pt>
                <c:pt idx="1">
                  <c:v>16.128658999999999</c:v>
                </c:pt>
                <c:pt idx="2">
                  <c:v>16.901084999999988</c:v>
                </c:pt>
                <c:pt idx="3">
                  <c:v>13.506836000000026</c:v>
                </c:pt>
              </c:numCache>
            </c:numRef>
          </c:val>
        </c:ser>
        <c:axId val="130261760"/>
        <c:axId val="130263296"/>
      </c:barChart>
      <c:catAx>
        <c:axId val="130261760"/>
        <c:scaling>
          <c:orientation val="minMax"/>
        </c:scaling>
        <c:axPos val="b"/>
        <c:majorGridlines>
          <c:spPr>
            <a:ln w="19050">
              <a:solidFill>
                <a:schemeClr val="tx1">
                  <a:lumMod val="65000"/>
                  <a:lumOff val="35000"/>
                </a:schemeClr>
              </a:solidFill>
            </a:ln>
          </c:spPr>
        </c:majorGridlines>
        <c:tickLblPos val="low"/>
        <c:txPr>
          <a:bodyPr/>
          <a:lstStyle/>
          <a:p>
            <a:pPr>
              <a:defRPr sz="800" b="1"/>
            </a:pPr>
            <a:endParaRPr lang="fr-FR"/>
          </a:p>
        </c:txPr>
        <c:crossAx val="130263296"/>
        <c:crosses val="autoZero"/>
        <c:auto val="1"/>
        <c:lblAlgn val="ctr"/>
        <c:lblOffset val="100"/>
      </c:catAx>
      <c:valAx>
        <c:axId val="130263296"/>
        <c:scaling>
          <c:orientation val="minMax"/>
        </c:scaling>
        <c:axPos val="l"/>
        <c:majorGridlines>
          <c:spPr>
            <a:ln>
              <a:solidFill>
                <a:schemeClr val="bg1">
                  <a:lumMod val="85000"/>
                </a:schemeClr>
              </a:solidFill>
            </a:ln>
          </c:spPr>
        </c:majorGridlines>
        <c:numFmt formatCode="0" sourceLinked="1"/>
        <c:tickLblPos val="nextTo"/>
        <c:crossAx val="130261760"/>
        <c:crosses val="autoZero"/>
        <c:crossBetween val="between"/>
      </c:valAx>
    </c:plotArea>
    <c:legend>
      <c:legendPos val="r"/>
      <c:layout>
        <c:manualLayout>
          <c:xMode val="edge"/>
          <c:yMode val="edge"/>
          <c:x val="0.83226181297071034"/>
          <c:y val="0.36119740846347675"/>
          <c:w val="0.16503937007874014"/>
          <c:h val="0.27760483427943722"/>
        </c:manualLayout>
      </c:layout>
      <c:txPr>
        <a:bodyPr/>
        <a:lstStyle/>
        <a:p>
          <a:pPr>
            <a:defRPr sz="800" b="1"/>
          </a:pPr>
          <a:endParaRPr lang="fr-FR"/>
        </a:p>
      </c:txPr>
    </c:legend>
    <c:plotVisOnly val="1"/>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000" b="1" i="0" baseline="0"/>
              <a:t>Opinion des entreprises dans les services marchands non financiers, proportion en % </a:t>
            </a:r>
            <a:endParaRPr lang="fr-FR" sz="1000"/>
          </a:p>
        </c:rich>
      </c:tx>
    </c:title>
    <c:plotArea>
      <c:layout>
        <c:manualLayout>
          <c:layoutTarget val="inner"/>
          <c:xMode val="edge"/>
          <c:yMode val="edge"/>
          <c:x val="0.13723664171608191"/>
          <c:y val="0.18504449874800274"/>
          <c:w val="0.67115550371018895"/>
          <c:h val="0.61229704045614985"/>
        </c:manualLayout>
      </c:layout>
      <c:barChart>
        <c:barDir val="col"/>
        <c:grouping val="clustered"/>
        <c:ser>
          <c:idx val="0"/>
          <c:order val="0"/>
          <c:tx>
            <c:strRef>
              <c:f>Feuil1!$B$1</c:f>
              <c:strCache>
                <c:ptCount val="1"/>
                <c:pt idx="0">
                  <c:v>hausse</c:v>
                </c:pt>
              </c:strCache>
            </c:strRef>
          </c:tx>
          <c:cat>
            <c:strRef>
              <c:f>Feuil1!$A$2:$A$5</c:f>
              <c:strCache>
                <c:ptCount val="4"/>
                <c:pt idx="0">
                  <c:v>Activité globale</c:v>
                </c:pt>
                <c:pt idx="1">
                  <c:v>Demande</c:v>
                </c:pt>
                <c:pt idx="2">
                  <c:v>Prix de vente</c:v>
                </c:pt>
                <c:pt idx="3">
                  <c:v>Effectifs employés</c:v>
                </c:pt>
              </c:strCache>
            </c:strRef>
          </c:cat>
          <c:val>
            <c:numRef>
              <c:f>Feuil1!$B$2:$B$5</c:f>
              <c:numCache>
                <c:formatCode>0</c:formatCode>
                <c:ptCount val="4"/>
                <c:pt idx="0">
                  <c:v>33.17</c:v>
                </c:pt>
                <c:pt idx="1">
                  <c:v>17.2</c:v>
                </c:pt>
                <c:pt idx="2">
                  <c:v>17.71</c:v>
                </c:pt>
                <c:pt idx="3">
                  <c:v>25.59</c:v>
                </c:pt>
              </c:numCache>
            </c:numRef>
          </c:val>
        </c:ser>
        <c:ser>
          <c:idx val="1"/>
          <c:order val="1"/>
          <c:tx>
            <c:strRef>
              <c:f>Feuil1!$C$1</c:f>
              <c:strCache>
                <c:ptCount val="1"/>
                <c:pt idx="0">
                  <c:v>stabilité</c:v>
                </c:pt>
              </c:strCache>
            </c:strRef>
          </c:tx>
          <c:cat>
            <c:strRef>
              <c:f>Feuil1!$A$2:$A$5</c:f>
              <c:strCache>
                <c:ptCount val="4"/>
                <c:pt idx="0">
                  <c:v>Activité globale</c:v>
                </c:pt>
                <c:pt idx="1">
                  <c:v>Demande</c:v>
                </c:pt>
                <c:pt idx="2">
                  <c:v>Prix de vente</c:v>
                </c:pt>
                <c:pt idx="3">
                  <c:v>Effectifs employés</c:v>
                </c:pt>
              </c:strCache>
            </c:strRef>
          </c:cat>
          <c:val>
            <c:numRef>
              <c:f>Feuil1!$C$2:$C$5</c:f>
              <c:numCache>
                <c:formatCode>0</c:formatCode>
                <c:ptCount val="4"/>
                <c:pt idx="0">
                  <c:v>16.89</c:v>
                </c:pt>
                <c:pt idx="1">
                  <c:v>65.23</c:v>
                </c:pt>
                <c:pt idx="2">
                  <c:v>36.61</c:v>
                </c:pt>
                <c:pt idx="3">
                  <c:v>65.13</c:v>
                </c:pt>
              </c:numCache>
            </c:numRef>
          </c:val>
        </c:ser>
        <c:ser>
          <c:idx val="2"/>
          <c:order val="2"/>
          <c:tx>
            <c:strRef>
              <c:f>Feuil1!$D$1</c:f>
              <c:strCache>
                <c:ptCount val="1"/>
                <c:pt idx="0">
                  <c:v>baisse</c:v>
                </c:pt>
              </c:strCache>
            </c:strRef>
          </c:tx>
          <c:cat>
            <c:strRef>
              <c:f>Feuil1!$A$2:$A$5</c:f>
              <c:strCache>
                <c:ptCount val="4"/>
                <c:pt idx="0">
                  <c:v>Activité globale</c:v>
                </c:pt>
                <c:pt idx="1">
                  <c:v>Demande</c:v>
                </c:pt>
                <c:pt idx="2">
                  <c:v>Prix de vente</c:v>
                </c:pt>
                <c:pt idx="3">
                  <c:v>Effectifs employés</c:v>
                </c:pt>
              </c:strCache>
            </c:strRef>
          </c:cat>
          <c:val>
            <c:numRef>
              <c:f>Feuil1!$D$2:$D$5</c:f>
              <c:numCache>
                <c:formatCode>0</c:formatCode>
                <c:ptCount val="4"/>
                <c:pt idx="0">
                  <c:v>49.94</c:v>
                </c:pt>
                <c:pt idx="1">
                  <c:v>17.57</c:v>
                </c:pt>
                <c:pt idx="2">
                  <c:v>45.68</c:v>
                </c:pt>
                <c:pt idx="3">
                  <c:v>9.2800000000000011</c:v>
                </c:pt>
              </c:numCache>
            </c:numRef>
          </c:val>
        </c:ser>
        <c:ser>
          <c:idx val="3"/>
          <c:order val="3"/>
          <c:tx>
            <c:strRef>
              <c:f>Feuil1!$E$1</c:f>
              <c:strCache>
                <c:ptCount val="1"/>
                <c:pt idx="0">
                  <c:v>solde</c:v>
                </c:pt>
              </c:strCache>
            </c:strRef>
          </c:tx>
          <c:cat>
            <c:strRef>
              <c:f>Feuil1!$A$2:$A$5</c:f>
              <c:strCache>
                <c:ptCount val="4"/>
                <c:pt idx="0">
                  <c:v>Activité globale</c:v>
                </c:pt>
                <c:pt idx="1">
                  <c:v>Demande</c:v>
                </c:pt>
                <c:pt idx="2">
                  <c:v>Prix de vente</c:v>
                </c:pt>
                <c:pt idx="3">
                  <c:v>Effectifs employés</c:v>
                </c:pt>
              </c:strCache>
            </c:strRef>
          </c:cat>
          <c:val>
            <c:numRef>
              <c:f>Feuil1!$E$2:$E$5</c:f>
              <c:numCache>
                <c:formatCode>0</c:formatCode>
                <c:ptCount val="4"/>
                <c:pt idx="0">
                  <c:v>-16.769999999999989</c:v>
                </c:pt>
                <c:pt idx="1">
                  <c:v>-1</c:v>
                </c:pt>
                <c:pt idx="2">
                  <c:v>-27.97</c:v>
                </c:pt>
                <c:pt idx="3">
                  <c:v>16.32</c:v>
                </c:pt>
              </c:numCache>
            </c:numRef>
          </c:val>
        </c:ser>
        <c:axId val="115245056"/>
        <c:axId val="115246592"/>
      </c:barChart>
      <c:dateAx>
        <c:axId val="115245056"/>
        <c:scaling>
          <c:orientation val="minMax"/>
        </c:scaling>
        <c:axPos val="b"/>
        <c:majorGridlines/>
        <c:majorTickMark val="none"/>
        <c:tickLblPos val="low"/>
        <c:txPr>
          <a:bodyPr anchor="b" anchorCtr="0"/>
          <a:lstStyle/>
          <a:p>
            <a:pPr>
              <a:defRPr sz="800" b="1"/>
            </a:pPr>
            <a:endParaRPr lang="fr-FR"/>
          </a:p>
        </c:txPr>
        <c:crossAx val="115246592"/>
        <c:crosses val="autoZero"/>
        <c:lblOffset val="100"/>
        <c:baseTimeUnit val="days"/>
      </c:dateAx>
      <c:valAx>
        <c:axId val="115246592"/>
        <c:scaling>
          <c:orientation val="minMax"/>
        </c:scaling>
        <c:axPos val="l"/>
        <c:majorGridlines/>
        <c:numFmt formatCode="0" sourceLinked="1"/>
        <c:majorTickMark val="none"/>
        <c:tickLblPos val="nextTo"/>
        <c:crossAx val="115245056"/>
        <c:crosses val="autoZero"/>
        <c:crossBetween val="between"/>
      </c:valAx>
    </c:plotArea>
    <c:legend>
      <c:legendPos val="r"/>
      <c:layout>
        <c:manualLayout>
          <c:xMode val="edge"/>
          <c:yMode val="edge"/>
          <c:x val="0.81123284320642719"/>
          <c:y val="0.29073445404099574"/>
          <c:w val="0.18541698416730698"/>
          <c:h val="0.289131678609378"/>
        </c:manualLayout>
      </c:layout>
      <c:txPr>
        <a:bodyPr/>
        <a:lstStyle/>
        <a:p>
          <a:pPr>
            <a:defRPr sz="800" b="1"/>
          </a:pPr>
          <a:endParaRPr lang="fr-FR"/>
        </a:p>
      </c:txPr>
    </c:legend>
    <c:plotVisOnly val="1"/>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900"/>
              <a:t>Opinions des grossistes (proportion en %) </a:t>
            </a:r>
          </a:p>
        </c:rich>
      </c:tx>
      <c:layout>
        <c:manualLayout>
          <c:xMode val="edge"/>
          <c:yMode val="edge"/>
          <c:x val="0.18447659158884241"/>
          <c:y val="2.5559105431310042E-2"/>
        </c:manualLayout>
      </c:layout>
    </c:title>
    <c:plotArea>
      <c:layout>
        <c:manualLayout>
          <c:layoutTarget val="inner"/>
          <c:xMode val="edge"/>
          <c:yMode val="edge"/>
          <c:x val="0.12420444485859425"/>
          <c:y val="0.18081537385681518"/>
          <c:w val="0.7269376793017156"/>
          <c:h val="0.57276684164479463"/>
        </c:manualLayout>
      </c:layout>
      <c:barChart>
        <c:barDir val="col"/>
        <c:grouping val="clustered"/>
        <c:ser>
          <c:idx val="0"/>
          <c:order val="0"/>
          <c:tx>
            <c:strRef>
              <c:f>Feuil1!$B$1</c:f>
              <c:strCache>
                <c:ptCount val="1"/>
                <c:pt idx="0">
                  <c:v>Hausse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Feuil1!$B$2:$B$5</c:f>
              <c:numCache>
                <c:formatCode>0</c:formatCode>
                <c:ptCount val="4"/>
                <c:pt idx="0">
                  <c:v>28.3</c:v>
                </c:pt>
                <c:pt idx="1">
                  <c:v>11.31</c:v>
                </c:pt>
                <c:pt idx="2">
                  <c:v>9.7100000000000009</c:v>
                </c:pt>
                <c:pt idx="3">
                  <c:v>9.57</c:v>
                </c:pt>
              </c:numCache>
            </c:numRef>
          </c:val>
        </c:ser>
        <c:ser>
          <c:idx val="1"/>
          <c:order val="1"/>
          <c:tx>
            <c:strRef>
              <c:f>Feuil1!$C$1</c:f>
              <c:strCache>
                <c:ptCount val="1"/>
                <c:pt idx="0">
                  <c:v>Stabilité</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Feuil1!$C$2:$C$5</c:f>
              <c:numCache>
                <c:formatCode>0</c:formatCode>
                <c:ptCount val="4"/>
                <c:pt idx="0">
                  <c:v>33.08</c:v>
                </c:pt>
                <c:pt idx="1">
                  <c:v>50.4</c:v>
                </c:pt>
                <c:pt idx="2">
                  <c:v>80.209999999999994</c:v>
                </c:pt>
                <c:pt idx="3">
                  <c:v>68.06</c:v>
                </c:pt>
              </c:numCache>
            </c:numRef>
          </c:val>
        </c:ser>
        <c:ser>
          <c:idx val="2"/>
          <c:order val="2"/>
          <c:tx>
            <c:strRef>
              <c:f>Feuil1!$D$1</c:f>
              <c:strCache>
                <c:ptCount val="1"/>
                <c:pt idx="0">
                  <c:v>Baisse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Feuil1!$D$2:$D$5</c:f>
              <c:numCache>
                <c:formatCode>0</c:formatCode>
                <c:ptCount val="4"/>
                <c:pt idx="0">
                  <c:v>38.620000000000012</c:v>
                </c:pt>
                <c:pt idx="1">
                  <c:v>38.290000000000013</c:v>
                </c:pt>
                <c:pt idx="2">
                  <c:v>10.08</c:v>
                </c:pt>
                <c:pt idx="3">
                  <c:v>22.37</c:v>
                </c:pt>
              </c:numCache>
            </c:numRef>
          </c:val>
        </c:ser>
        <c:ser>
          <c:idx val="3"/>
          <c:order val="3"/>
          <c:tx>
            <c:strRef>
              <c:f>Feuil1!$E$1</c:f>
              <c:strCache>
                <c:ptCount val="1"/>
                <c:pt idx="0">
                  <c:v>Solde</c:v>
                </c:pt>
              </c:strCache>
            </c:strRef>
          </c:tx>
          <c:dLbls>
            <c:delete val="1"/>
          </c:dLbls>
          <c:cat>
            <c:strRef>
              <c:f>Feuil1!$A$2:$A$5</c:f>
              <c:strCache>
                <c:ptCount val="4"/>
                <c:pt idx="0">
                  <c:v>Ventes </c:v>
                </c:pt>
                <c:pt idx="1">
                  <c:v>Stock de marchandises</c:v>
                </c:pt>
                <c:pt idx="2">
                  <c:v>Effectifs employés</c:v>
                </c:pt>
                <c:pt idx="3">
                  <c:v>Prix de vente</c:v>
                </c:pt>
              </c:strCache>
            </c:strRef>
          </c:cat>
          <c:val>
            <c:numRef>
              <c:f>Feuil1!$E$2:$E$5</c:f>
              <c:numCache>
                <c:formatCode>0</c:formatCode>
                <c:ptCount val="4"/>
                <c:pt idx="0">
                  <c:v>-10.32</c:v>
                </c:pt>
                <c:pt idx="1">
                  <c:v>-26.979999999999986</c:v>
                </c:pt>
                <c:pt idx="2">
                  <c:v>-0.37000000000000038</c:v>
                </c:pt>
                <c:pt idx="3">
                  <c:v>-12.8</c:v>
                </c:pt>
              </c:numCache>
            </c:numRef>
          </c:val>
        </c:ser>
        <c:dLbls>
          <c:showVal val="1"/>
        </c:dLbls>
        <c:axId val="130329984"/>
        <c:axId val="130577536"/>
      </c:barChart>
      <c:dateAx>
        <c:axId val="130329984"/>
        <c:scaling>
          <c:orientation val="minMax"/>
        </c:scaling>
        <c:axPos val="b"/>
        <c:majorGridlines/>
        <c:majorTickMark val="none"/>
        <c:tickLblPos val="nextTo"/>
        <c:txPr>
          <a:bodyPr/>
          <a:lstStyle/>
          <a:p>
            <a:pPr>
              <a:defRPr sz="800" b="1"/>
            </a:pPr>
            <a:endParaRPr lang="fr-FR"/>
          </a:p>
        </c:txPr>
        <c:crossAx val="130577536"/>
        <c:crosses val="autoZero"/>
        <c:lblOffset val="700"/>
        <c:baseTimeUnit val="days"/>
      </c:dateAx>
      <c:valAx>
        <c:axId val="130577536"/>
        <c:scaling>
          <c:orientation val="minMax"/>
        </c:scaling>
        <c:axPos val="l"/>
        <c:majorGridlines/>
        <c:numFmt formatCode="0" sourceLinked="1"/>
        <c:majorTickMark val="none"/>
        <c:tickLblPos val="nextTo"/>
        <c:crossAx val="130329984"/>
        <c:crosses val="autoZero"/>
        <c:crossBetween val="between"/>
      </c:valAx>
    </c:plotArea>
    <c:legend>
      <c:legendPos val="r"/>
      <c:layout>
        <c:manualLayout>
          <c:xMode val="edge"/>
          <c:yMode val="edge"/>
          <c:x val="0.84086063190540805"/>
          <c:y val="0.310130296212977"/>
          <c:w val="0.15913936809459389"/>
          <c:h val="0.24844119460290862"/>
        </c:manualLayout>
      </c:layout>
      <c:txPr>
        <a:bodyPr/>
        <a:lstStyle/>
        <a:p>
          <a:pPr>
            <a:defRPr sz="800"/>
          </a:pPr>
          <a:endParaRPr lang="fr-FR"/>
        </a:p>
      </c:txPr>
    </c:legend>
    <c:plotVisOnly val="1"/>
  </c:chart>
  <c:spPr>
    <a:noFill/>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graphiques!$B$96</c:f>
              <c:strCache>
                <c:ptCount val="1"/>
                <c:pt idx="0">
                  <c:v>Hausse</c:v>
                </c:pt>
              </c:strCache>
            </c:strRef>
          </c:tx>
          <c:cat>
            <c:strRef>
              <c:f>graphiques!$A$97:$A$100</c:f>
              <c:strCache>
                <c:ptCount val="4"/>
                <c:pt idx="0">
                  <c:v>Industrie manufacturière</c:v>
                </c:pt>
                <c:pt idx="1">
                  <c:v>Industrie extractive</c:v>
                </c:pt>
                <c:pt idx="2">
                  <c:v>Industrie énergétique</c:v>
                </c:pt>
                <c:pt idx="3">
                  <c:v>Industrie environnementale</c:v>
                </c:pt>
              </c:strCache>
            </c:strRef>
          </c:cat>
          <c:val>
            <c:numRef>
              <c:f>graphiques!$B$97:$B$100</c:f>
              <c:numCache>
                <c:formatCode>General</c:formatCode>
                <c:ptCount val="4"/>
                <c:pt idx="0">
                  <c:v>44.46</c:v>
                </c:pt>
                <c:pt idx="1">
                  <c:v>93.76</c:v>
                </c:pt>
                <c:pt idx="2">
                  <c:v>0</c:v>
                </c:pt>
                <c:pt idx="3">
                  <c:v>7.52</c:v>
                </c:pt>
              </c:numCache>
            </c:numRef>
          </c:val>
        </c:ser>
        <c:ser>
          <c:idx val="1"/>
          <c:order val="1"/>
          <c:tx>
            <c:strRef>
              <c:f>graphiques!$C$96</c:f>
              <c:strCache>
                <c:ptCount val="1"/>
                <c:pt idx="0">
                  <c:v>Stabilité</c:v>
                </c:pt>
              </c:strCache>
            </c:strRef>
          </c:tx>
          <c:cat>
            <c:strRef>
              <c:f>graphiques!$A$97:$A$100</c:f>
              <c:strCache>
                <c:ptCount val="4"/>
                <c:pt idx="0">
                  <c:v>Industrie manufacturière</c:v>
                </c:pt>
                <c:pt idx="1">
                  <c:v>Industrie extractive</c:v>
                </c:pt>
                <c:pt idx="2">
                  <c:v>Industrie énergétique</c:v>
                </c:pt>
                <c:pt idx="3">
                  <c:v>Industrie environnementale</c:v>
                </c:pt>
              </c:strCache>
            </c:strRef>
          </c:cat>
          <c:val>
            <c:numRef>
              <c:f>graphiques!$C$97:$C$100</c:f>
              <c:numCache>
                <c:formatCode>General</c:formatCode>
                <c:ptCount val="4"/>
                <c:pt idx="0">
                  <c:v>36.96</c:v>
                </c:pt>
                <c:pt idx="1">
                  <c:v>5.92</c:v>
                </c:pt>
                <c:pt idx="2">
                  <c:v>27.01</c:v>
                </c:pt>
                <c:pt idx="3">
                  <c:v>92.38</c:v>
                </c:pt>
              </c:numCache>
            </c:numRef>
          </c:val>
        </c:ser>
        <c:ser>
          <c:idx val="2"/>
          <c:order val="2"/>
          <c:tx>
            <c:strRef>
              <c:f>graphiques!$D$96</c:f>
              <c:strCache>
                <c:ptCount val="1"/>
                <c:pt idx="0">
                  <c:v>Baisse</c:v>
                </c:pt>
              </c:strCache>
            </c:strRef>
          </c:tx>
          <c:cat>
            <c:strRef>
              <c:f>graphiques!$A$97:$A$100</c:f>
              <c:strCache>
                <c:ptCount val="4"/>
                <c:pt idx="0">
                  <c:v>Industrie manufacturière</c:v>
                </c:pt>
                <c:pt idx="1">
                  <c:v>Industrie extractive</c:v>
                </c:pt>
                <c:pt idx="2">
                  <c:v>Industrie énergétique</c:v>
                </c:pt>
                <c:pt idx="3">
                  <c:v>Industrie environnementale</c:v>
                </c:pt>
              </c:strCache>
            </c:strRef>
          </c:cat>
          <c:val>
            <c:numRef>
              <c:f>graphiques!$D$97:$D$100</c:f>
              <c:numCache>
                <c:formatCode>General</c:formatCode>
                <c:ptCount val="4"/>
                <c:pt idx="0">
                  <c:v>18.579999999999988</c:v>
                </c:pt>
                <c:pt idx="1">
                  <c:v>0.31000000000000089</c:v>
                </c:pt>
                <c:pt idx="2">
                  <c:v>72.989999999999995</c:v>
                </c:pt>
                <c:pt idx="3">
                  <c:v>9.0000000000000024E-2</c:v>
                </c:pt>
              </c:numCache>
            </c:numRef>
          </c:val>
        </c:ser>
        <c:ser>
          <c:idx val="3"/>
          <c:order val="3"/>
          <c:tx>
            <c:strRef>
              <c:f>graphiques!$E$96</c:f>
              <c:strCache>
                <c:ptCount val="1"/>
                <c:pt idx="0">
                  <c:v>Solde</c:v>
                </c:pt>
              </c:strCache>
            </c:strRef>
          </c:tx>
          <c:cat>
            <c:strRef>
              <c:f>graphiques!$A$97:$A$100</c:f>
              <c:strCache>
                <c:ptCount val="4"/>
                <c:pt idx="0">
                  <c:v>Industrie manufacturière</c:v>
                </c:pt>
                <c:pt idx="1">
                  <c:v>Industrie extractive</c:v>
                </c:pt>
                <c:pt idx="2">
                  <c:v>Industrie énergétique</c:v>
                </c:pt>
                <c:pt idx="3">
                  <c:v>Industrie environnementale</c:v>
                </c:pt>
              </c:strCache>
            </c:strRef>
          </c:cat>
          <c:val>
            <c:numRef>
              <c:f>graphiques!$E$97:$E$100</c:f>
              <c:numCache>
                <c:formatCode>General</c:formatCode>
                <c:ptCount val="4"/>
                <c:pt idx="0">
                  <c:v>25.89</c:v>
                </c:pt>
                <c:pt idx="1">
                  <c:v>93.45</c:v>
                </c:pt>
                <c:pt idx="2">
                  <c:v>-72.989999999999995</c:v>
                </c:pt>
                <c:pt idx="3">
                  <c:v>7.4300000000000024</c:v>
                </c:pt>
              </c:numCache>
            </c:numRef>
          </c:val>
        </c:ser>
        <c:axId val="130612224"/>
        <c:axId val="130355968"/>
      </c:barChart>
      <c:catAx>
        <c:axId val="130612224"/>
        <c:scaling>
          <c:orientation val="minMax"/>
        </c:scaling>
        <c:axPos val="b"/>
        <c:majorGridlines/>
        <c:tickLblPos val="low"/>
        <c:txPr>
          <a:bodyPr/>
          <a:lstStyle/>
          <a:p>
            <a:pPr>
              <a:defRPr sz="1200" b="1" i="0" cap="none" baseline="30000"/>
            </a:pPr>
            <a:endParaRPr lang="fr-FR"/>
          </a:p>
        </c:txPr>
        <c:crossAx val="130355968"/>
        <c:crosses val="autoZero"/>
        <c:auto val="1"/>
        <c:lblAlgn val="ctr"/>
        <c:lblOffset val="100"/>
      </c:catAx>
      <c:valAx>
        <c:axId val="130355968"/>
        <c:scaling>
          <c:orientation val="minMax"/>
        </c:scaling>
        <c:axPos val="l"/>
        <c:majorGridlines/>
        <c:numFmt formatCode="General" sourceLinked="1"/>
        <c:tickLblPos val="nextTo"/>
        <c:crossAx val="130612224"/>
        <c:crosses val="autoZero"/>
        <c:crossBetween val="between"/>
      </c:valAx>
    </c:plotArea>
    <c:legend>
      <c:legendPos val="r"/>
      <c:txPr>
        <a:bodyPr/>
        <a:lstStyle/>
        <a:p>
          <a:pPr>
            <a:defRPr b="1" i="0" baseline="0"/>
          </a:pPr>
          <a:endParaRPr lang="fr-FR"/>
        </a:p>
      </c:txPr>
    </c:legend>
    <c:plotVisOnly val="1"/>
  </c:chart>
  <c:spPr>
    <a:noFill/>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8.0488407699037617E-2"/>
          <c:y val="0.15788203557888641"/>
          <c:w val="0.72009896043961275"/>
          <c:h val="0.66963363954506139"/>
        </c:manualLayout>
      </c:layout>
      <c:barChart>
        <c:barDir val="col"/>
        <c:grouping val="clustered"/>
        <c:ser>
          <c:idx val="0"/>
          <c:order val="0"/>
          <c:tx>
            <c:strRef>
              <c:f>Feuil1!$B$39</c:f>
              <c:strCache>
                <c:ptCount val="1"/>
                <c:pt idx="0">
                  <c:v>Hausse</c:v>
                </c:pt>
              </c:strCache>
            </c:strRef>
          </c:tx>
          <c:cat>
            <c:strRef>
              <c:f>Feuil1!$A$40:$A$43</c:f>
              <c:strCache>
                <c:ptCount val="4"/>
                <c:pt idx="0">
                  <c:v>Construction globale</c:v>
                </c:pt>
                <c:pt idx="1">
                  <c:v>Bâtiments</c:v>
                </c:pt>
                <c:pt idx="2">
                  <c:v>Génie civil</c:v>
                </c:pt>
                <c:pt idx="3">
                  <c:v>Construction spécialisés</c:v>
                </c:pt>
              </c:strCache>
            </c:strRef>
          </c:cat>
          <c:val>
            <c:numRef>
              <c:f>Feuil1!$B$40:$B$43</c:f>
              <c:numCache>
                <c:formatCode>0</c:formatCode>
                <c:ptCount val="4"/>
                <c:pt idx="0">
                  <c:v>27.20785055765678</c:v>
                </c:pt>
                <c:pt idx="1">
                  <c:v>35.584662999999999</c:v>
                </c:pt>
                <c:pt idx="2">
                  <c:v>23.898023999999989</c:v>
                </c:pt>
                <c:pt idx="3">
                  <c:v>23.689518999999986</c:v>
                </c:pt>
              </c:numCache>
            </c:numRef>
          </c:val>
        </c:ser>
        <c:ser>
          <c:idx val="1"/>
          <c:order val="1"/>
          <c:tx>
            <c:strRef>
              <c:f>Feuil1!$C$39</c:f>
              <c:strCache>
                <c:ptCount val="1"/>
                <c:pt idx="0">
                  <c:v>Stabilité</c:v>
                </c:pt>
              </c:strCache>
            </c:strRef>
          </c:tx>
          <c:cat>
            <c:strRef>
              <c:f>Feuil1!$A$40:$A$43</c:f>
              <c:strCache>
                <c:ptCount val="4"/>
                <c:pt idx="0">
                  <c:v>Construction globale</c:v>
                </c:pt>
                <c:pt idx="1">
                  <c:v>Bâtiments</c:v>
                </c:pt>
                <c:pt idx="2">
                  <c:v>Génie civil</c:v>
                </c:pt>
                <c:pt idx="3">
                  <c:v>Construction spécialisés</c:v>
                </c:pt>
              </c:strCache>
            </c:strRef>
          </c:cat>
          <c:val>
            <c:numRef>
              <c:f>Feuil1!$C$40:$C$43</c:f>
              <c:numCache>
                <c:formatCode>0</c:formatCode>
                <c:ptCount val="4"/>
                <c:pt idx="0">
                  <c:v>46.748863732278579</c:v>
                </c:pt>
                <c:pt idx="1">
                  <c:v>55.598333000000238</c:v>
                </c:pt>
                <c:pt idx="2">
                  <c:v>33.030165000000011</c:v>
                </c:pt>
                <c:pt idx="3">
                  <c:v>53.469231000000001</c:v>
                </c:pt>
              </c:numCache>
            </c:numRef>
          </c:val>
        </c:ser>
        <c:ser>
          <c:idx val="2"/>
          <c:order val="2"/>
          <c:tx>
            <c:strRef>
              <c:f>Feuil1!$D$39</c:f>
              <c:strCache>
                <c:ptCount val="1"/>
                <c:pt idx="0">
                  <c:v>Baisse</c:v>
                </c:pt>
              </c:strCache>
            </c:strRef>
          </c:tx>
          <c:cat>
            <c:strRef>
              <c:f>Feuil1!$A$40:$A$43</c:f>
              <c:strCache>
                <c:ptCount val="4"/>
                <c:pt idx="0">
                  <c:v>Construction globale</c:v>
                </c:pt>
                <c:pt idx="1">
                  <c:v>Bâtiments</c:v>
                </c:pt>
                <c:pt idx="2">
                  <c:v>Génie civil</c:v>
                </c:pt>
                <c:pt idx="3">
                  <c:v>Construction spécialisés</c:v>
                </c:pt>
              </c:strCache>
            </c:strRef>
          </c:cat>
          <c:val>
            <c:numRef>
              <c:f>Feuil1!$D$40:$D$43</c:f>
              <c:numCache>
                <c:formatCode>0</c:formatCode>
                <c:ptCount val="4"/>
                <c:pt idx="0">
                  <c:v>26.043283000051588</c:v>
                </c:pt>
                <c:pt idx="1">
                  <c:v>8.8170020000000005</c:v>
                </c:pt>
                <c:pt idx="2">
                  <c:v>43.071807999999997</c:v>
                </c:pt>
                <c:pt idx="3">
                  <c:v>22.841246999999989</c:v>
                </c:pt>
              </c:numCache>
            </c:numRef>
          </c:val>
        </c:ser>
        <c:ser>
          <c:idx val="3"/>
          <c:order val="3"/>
          <c:tx>
            <c:strRef>
              <c:f>Feuil1!$E$39</c:f>
              <c:strCache>
                <c:ptCount val="1"/>
                <c:pt idx="0">
                  <c:v>Solde</c:v>
                </c:pt>
              </c:strCache>
            </c:strRef>
          </c:tx>
          <c:cat>
            <c:strRef>
              <c:f>Feuil1!$A$40:$A$43</c:f>
              <c:strCache>
                <c:ptCount val="4"/>
                <c:pt idx="0">
                  <c:v>Construction globale</c:v>
                </c:pt>
                <c:pt idx="1">
                  <c:v>Bâtiments</c:v>
                </c:pt>
                <c:pt idx="2">
                  <c:v>Génie civil</c:v>
                </c:pt>
                <c:pt idx="3">
                  <c:v>Construction spécialisés</c:v>
                </c:pt>
              </c:strCache>
            </c:strRef>
          </c:cat>
          <c:val>
            <c:numRef>
              <c:f>Feuil1!$E$40:$E$43</c:f>
              <c:numCache>
                <c:formatCode>0</c:formatCode>
                <c:ptCount val="4"/>
                <c:pt idx="0">
                  <c:v>1.1645675650028049</c:v>
                </c:pt>
                <c:pt idx="1">
                  <c:v>26.767661</c:v>
                </c:pt>
                <c:pt idx="2">
                  <c:v>-19.173783</c:v>
                </c:pt>
                <c:pt idx="3">
                  <c:v>0.84827100000000255</c:v>
                </c:pt>
              </c:numCache>
            </c:numRef>
          </c:val>
        </c:ser>
        <c:axId val="130424192"/>
        <c:axId val="130371584"/>
      </c:barChart>
      <c:catAx>
        <c:axId val="130424192"/>
        <c:scaling>
          <c:orientation val="minMax"/>
        </c:scaling>
        <c:axPos val="b"/>
        <c:majorGridlines>
          <c:spPr>
            <a:ln w="19050">
              <a:solidFill>
                <a:schemeClr val="tx1">
                  <a:lumMod val="65000"/>
                  <a:lumOff val="35000"/>
                </a:schemeClr>
              </a:solidFill>
            </a:ln>
          </c:spPr>
        </c:majorGridlines>
        <c:tickLblPos val="low"/>
        <c:spPr>
          <a:ln w="6350"/>
        </c:spPr>
        <c:txPr>
          <a:bodyPr/>
          <a:lstStyle/>
          <a:p>
            <a:pPr>
              <a:defRPr sz="800" b="1"/>
            </a:pPr>
            <a:endParaRPr lang="fr-FR"/>
          </a:p>
        </c:txPr>
        <c:crossAx val="130371584"/>
        <c:crosses val="autoZero"/>
        <c:auto val="1"/>
        <c:lblAlgn val="ctr"/>
        <c:lblOffset val="100"/>
      </c:catAx>
      <c:valAx>
        <c:axId val="130371584"/>
        <c:scaling>
          <c:orientation val="minMax"/>
        </c:scaling>
        <c:axPos val="l"/>
        <c:majorGridlines/>
        <c:numFmt formatCode="0" sourceLinked="1"/>
        <c:tickLblPos val="nextTo"/>
        <c:crossAx val="130424192"/>
        <c:crosses val="autoZero"/>
        <c:crossBetween val="between"/>
      </c:valAx>
    </c:plotArea>
    <c:legend>
      <c:legendPos val="r"/>
      <c:layout>
        <c:manualLayout>
          <c:xMode val="edge"/>
          <c:yMode val="edge"/>
          <c:x val="0.83740482590733556"/>
          <c:y val="0.35493219597550507"/>
          <c:w val="0.16259517409266441"/>
          <c:h val="0.29013560804899374"/>
        </c:manualLayout>
      </c:layout>
      <c:txPr>
        <a:bodyPr/>
        <a:lstStyle/>
        <a:p>
          <a:pPr>
            <a:defRPr sz="800" b="1"/>
          </a:pPr>
          <a:endParaRPr lang="fr-FR"/>
        </a:p>
      </c:txPr>
    </c:legend>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0.09109</cdr:x>
      <cdr:y>0.04651</cdr:y>
    </cdr:from>
    <cdr:to>
      <cdr:x>0.80162</cdr:x>
      <cdr:y>0.15282</cdr:y>
    </cdr:to>
    <cdr:sp macro="" textlink="">
      <cdr:nvSpPr>
        <cdr:cNvPr id="2" name="ZoneTexte 1"/>
        <cdr:cNvSpPr txBox="1"/>
      </cdr:nvSpPr>
      <cdr:spPr>
        <a:xfrm xmlns:a="http://schemas.openxmlformats.org/drawingml/2006/main">
          <a:off x="328843" y="120060"/>
          <a:ext cx="2564982" cy="2744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0.06069</cdr:x>
      <cdr:y>0.00738</cdr:y>
    </cdr:from>
    <cdr:to>
      <cdr:x>0.87335</cdr:x>
      <cdr:y>0.1845</cdr:y>
    </cdr:to>
    <cdr:sp macro="" textlink="">
      <cdr:nvSpPr>
        <cdr:cNvPr id="3" name="ZoneTexte 2"/>
        <cdr:cNvSpPr txBox="1"/>
      </cdr:nvSpPr>
      <cdr:spPr>
        <a:xfrm xmlns:a="http://schemas.openxmlformats.org/drawingml/2006/main">
          <a:off x="219075" y="19050"/>
          <a:ext cx="2933700"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fr-FR" sz="1000" b="1" i="0" baseline="0">
              <a:latin typeface="+mn-lt"/>
              <a:ea typeface="+mn-ea"/>
              <a:cs typeface="+mn-cs"/>
            </a:rPr>
            <a:t>Opinion  des entreprises sur l'activité  de construction, proportion en %</a:t>
          </a:r>
          <a:endParaRPr lang="fr-FR" sz="1000"/>
        </a:p>
        <a:p xmlns:a="http://schemas.openxmlformats.org/drawingml/2006/main">
          <a:endParaRPr lang="fr-FR" sz="1100"/>
        </a:p>
      </cdr:txBody>
    </cdr:sp>
  </cdr:relSizeAnchor>
</c:userShapes>
</file>

<file path=word/drawings/drawing2.xml><?xml version="1.0" encoding="utf-8"?>
<c:userShapes xmlns:c="http://schemas.openxmlformats.org/drawingml/2006/chart">
  <cdr:relSizeAnchor xmlns:cdr="http://schemas.openxmlformats.org/drawingml/2006/chartDrawing">
    <cdr:from>
      <cdr:x>0.13542</cdr:x>
      <cdr:y>0.03125</cdr:y>
    </cdr:from>
    <cdr:to>
      <cdr:x>0.81458</cdr:x>
      <cdr:y>0.13194</cdr:y>
    </cdr:to>
    <cdr:sp macro="" textlink="">
      <cdr:nvSpPr>
        <cdr:cNvPr id="2" name="ZoneTexte 1"/>
        <cdr:cNvSpPr txBox="1"/>
      </cdr:nvSpPr>
      <cdr:spPr>
        <a:xfrm xmlns:a="http://schemas.openxmlformats.org/drawingml/2006/main">
          <a:off x="619125" y="85725"/>
          <a:ext cx="310515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0.05625</cdr:x>
      <cdr:y>0</cdr:y>
    </cdr:from>
    <cdr:to>
      <cdr:x>0.86684</cdr:x>
      <cdr:y>0.15625</cdr:y>
    </cdr:to>
    <cdr:sp macro="" textlink="">
      <cdr:nvSpPr>
        <cdr:cNvPr id="3" name="ZoneTexte 2"/>
        <cdr:cNvSpPr txBox="1"/>
      </cdr:nvSpPr>
      <cdr:spPr>
        <a:xfrm xmlns:a="http://schemas.openxmlformats.org/drawingml/2006/main">
          <a:off x="205204" y="0"/>
          <a:ext cx="2957094" cy="428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fr-FR" sz="1000" b="1" i="0" baseline="0">
              <a:latin typeface="+mn-lt"/>
              <a:ea typeface="+mn-ea"/>
              <a:cs typeface="+mn-cs"/>
            </a:rPr>
            <a:t>Anticipations  des entreprises sur l'activité  de construction, proportion en %</a:t>
          </a:r>
          <a:endParaRPr lang="fr-FR" sz="1000">
            <a:latin typeface="+mn-lt"/>
            <a:ea typeface="+mn-ea"/>
            <a:cs typeface="+mn-cs"/>
          </a:endParaRPr>
        </a:p>
        <a:p xmlns:a="http://schemas.openxmlformats.org/drawingml/2006/main">
          <a:endParaRPr lang="fr-FR"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34AE-38C8-4E9F-BE22-828623D3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1438</Words>
  <Characters>7915</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2016-03-22T12:02:00Z</cp:lastPrinted>
  <dcterms:created xsi:type="dcterms:W3CDTF">2016-03-25T11:36:00Z</dcterms:created>
  <dcterms:modified xsi:type="dcterms:W3CDTF">2016-03-25T11:36:00Z</dcterms:modified>
</cp:coreProperties>
</file>