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37A" w:rsidRDefault="00DA637A" w:rsidP="00372E29">
      <w:pPr>
        <w:pStyle w:val="Corpsdetexte2"/>
        <w:spacing w:line="240" w:lineRule="auto"/>
        <w:jc w:val="center"/>
        <w:rPr>
          <w:rFonts w:ascii="Times New Roman" w:eastAsia="Times New Roman" w:hAnsi="Times New Roman" w:cs="Times New Roman"/>
          <w:b/>
          <w:bCs/>
          <w:smallCaps/>
          <w:color w:val="993366"/>
          <w:sz w:val="32"/>
          <w:szCs w:val="32"/>
        </w:rPr>
      </w:pPr>
    </w:p>
    <w:p w:rsidR="00DA637A" w:rsidRDefault="00DA637A" w:rsidP="00372E29">
      <w:pPr>
        <w:pStyle w:val="Corpsdetexte2"/>
        <w:spacing w:line="240" w:lineRule="auto"/>
        <w:jc w:val="center"/>
        <w:rPr>
          <w:rFonts w:ascii="Times New Roman" w:eastAsia="Times New Roman" w:hAnsi="Times New Roman" w:cs="Times New Roman"/>
          <w:b/>
          <w:bCs/>
          <w:smallCaps/>
          <w:color w:val="993366"/>
          <w:sz w:val="32"/>
          <w:szCs w:val="32"/>
        </w:rPr>
      </w:pPr>
    </w:p>
    <w:p w:rsidR="00DA637A" w:rsidRDefault="00DA637A" w:rsidP="00372E29">
      <w:pPr>
        <w:pStyle w:val="Corpsdetexte2"/>
        <w:spacing w:line="240" w:lineRule="auto"/>
        <w:jc w:val="center"/>
        <w:rPr>
          <w:rFonts w:ascii="Times New Roman" w:eastAsia="Times New Roman" w:hAnsi="Times New Roman" w:cs="Times New Roman"/>
          <w:b/>
          <w:bCs/>
          <w:smallCaps/>
          <w:color w:val="993366"/>
          <w:sz w:val="32"/>
          <w:szCs w:val="32"/>
        </w:rPr>
      </w:pPr>
    </w:p>
    <w:p w:rsidR="00DA637A" w:rsidRDefault="00DA637A" w:rsidP="00372E29">
      <w:pPr>
        <w:pStyle w:val="Corpsdetexte2"/>
        <w:spacing w:line="240" w:lineRule="auto"/>
        <w:jc w:val="center"/>
        <w:rPr>
          <w:rFonts w:ascii="Times New Roman" w:eastAsia="Times New Roman" w:hAnsi="Times New Roman" w:cs="Times New Roman"/>
          <w:b/>
          <w:bCs/>
          <w:smallCaps/>
          <w:color w:val="993366"/>
          <w:sz w:val="32"/>
          <w:szCs w:val="32"/>
        </w:rPr>
      </w:pPr>
    </w:p>
    <w:p w:rsidR="00DA637A" w:rsidRDefault="00DA637A" w:rsidP="00372E29">
      <w:pPr>
        <w:pStyle w:val="Corpsdetexte2"/>
        <w:spacing w:line="240" w:lineRule="auto"/>
        <w:jc w:val="center"/>
        <w:rPr>
          <w:rFonts w:ascii="Times New Roman" w:eastAsia="Times New Roman" w:hAnsi="Times New Roman" w:cs="Times New Roman"/>
          <w:b/>
          <w:bCs/>
          <w:smallCaps/>
          <w:color w:val="993366"/>
          <w:sz w:val="32"/>
          <w:szCs w:val="32"/>
        </w:rPr>
      </w:pPr>
    </w:p>
    <w:p w:rsidR="00DA637A" w:rsidRDefault="00DA637A" w:rsidP="00372E29">
      <w:pPr>
        <w:pStyle w:val="Corpsdetexte2"/>
        <w:spacing w:line="240" w:lineRule="auto"/>
        <w:jc w:val="center"/>
        <w:rPr>
          <w:rFonts w:ascii="Times New Roman" w:eastAsia="Times New Roman" w:hAnsi="Times New Roman" w:cs="Times New Roman"/>
          <w:b/>
          <w:bCs/>
          <w:smallCaps/>
          <w:color w:val="993366"/>
          <w:sz w:val="32"/>
          <w:szCs w:val="32"/>
        </w:rPr>
      </w:pPr>
    </w:p>
    <w:p w:rsidR="00DA637A" w:rsidRDefault="00DA637A" w:rsidP="00372E29">
      <w:pPr>
        <w:pStyle w:val="Corpsdetexte2"/>
        <w:spacing w:line="240" w:lineRule="auto"/>
        <w:jc w:val="center"/>
        <w:rPr>
          <w:rFonts w:ascii="Times New Roman" w:eastAsia="Times New Roman" w:hAnsi="Times New Roman" w:cs="Times New Roman"/>
          <w:b/>
          <w:bCs/>
          <w:smallCaps/>
          <w:color w:val="993366"/>
          <w:sz w:val="32"/>
          <w:szCs w:val="32"/>
        </w:rPr>
      </w:pPr>
    </w:p>
    <w:p w:rsidR="00DA637A" w:rsidRDefault="00DA637A" w:rsidP="00372E29">
      <w:pPr>
        <w:pStyle w:val="Corpsdetexte2"/>
        <w:spacing w:line="240" w:lineRule="auto"/>
        <w:jc w:val="center"/>
        <w:rPr>
          <w:rFonts w:ascii="Times New Roman" w:eastAsia="Times New Roman" w:hAnsi="Times New Roman" w:cs="Times New Roman"/>
          <w:b/>
          <w:bCs/>
          <w:smallCaps/>
          <w:color w:val="993366"/>
          <w:sz w:val="32"/>
          <w:szCs w:val="32"/>
        </w:rPr>
      </w:pPr>
    </w:p>
    <w:p w:rsidR="00DA637A" w:rsidRPr="00DA637A" w:rsidRDefault="00DA637A" w:rsidP="00DA637A">
      <w:pPr>
        <w:pStyle w:val="Corpsdetexte2"/>
        <w:jc w:val="center"/>
        <w:rPr>
          <w:rFonts w:ascii="Arial Rounded MT Bold" w:hAnsi="Arial Rounded MT Bold"/>
          <w:b/>
          <w:color w:val="943634" w:themeColor="accent2" w:themeShade="BF"/>
          <w:sz w:val="36"/>
          <w:szCs w:val="36"/>
        </w:rPr>
      </w:pPr>
      <w:r w:rsidRPr="00DA637A">
        <w:rPr>
          <w:rFonts w:ascii="Arial Rounded MT Bold" w:hAnsi="Arial Rounded MT Bold"/>
          <w:b/>
          <w:color w:val="943634" w:themeColor="accent2" w:themeShade="BF"/>
          <w:sz w:val="36"/>
          <w:szCs w:val="36"/>
        </w:rPr>
        <w:t>Présentation des résultats de l’Enquête Nationale sur le Secteur Informel 2013/2014</w:t>
      </w:r>
    </w:p>
    <w:p w:rsidR="00A91CE1" w:rsidRDefault="00A91CE1" w:rsidP="00A91CE1">
      <w:pPr>
        <w:tabs>
          <w:tab w:val="clear" w:pos="720"/>
        </w:tabs>
        <w:autoSpaceDE/>
        <w:autoSpaceDN/>
        <w:adjustRightInd/>
        <w:spacing w:after="200"/>
        <w:jc w:val="left"/>
        <w:rPr>
          <w:rFonts w:ascii="Times New Roman" w:hAnsi="Times New Roman" w:cs="Times New Roman"/>
          <w:b/>
          <w:bCs/>
          <w:smallCaps/>
          <w:color w:val="993366"/>
          <w:sz w:val="32"/>
          <w:szCs w:val="32"/>
          <w:rtl/>
        </w:rPr>
      </w:pPr>
    </w:p>
    <w:p w:rsidR="00556664" w:rsidRDefault="0050588F" w:rsidP="0050588F">
      <w:pPr>
        <w:tabs>
          <w:tab w:val="clear" w:pos="720"/>
        </w:tabs>
        <w:autoSpaceDE/>
        <w:autoSpaceDN/>
        <w:adjustRightInd/>
        <w:spacing w:after="200"/>
        <w:jc w:val="center"/>
        <w:rPr>
          <w:rFonts w:ascii="Times New Roman" w:hAnsi="Times New Roman" w:cs="Times New Roman"/>
          <w:b/>
          <w:bCs/>
          <w:smallCaps/>
          <w:color w:val="993366"/>
          <w:sz w:val="32"/>
          <w:szCs w:val="32"/>
        </w:rPr>
      </w:pPr>
      <w:r>
        <w:rPr>
          <w:rFonts w:ascii="Times New Roman" w:hAnsi="Times New Roman" w:cs="Times New Roman"/>
          <w:b/>
          <w:bCs/>
          <w:smallCaps/>
          <w:color w:val="993366"/>
          <w:sz w:val="32"/>
          <w:szCs w:val="32"/>
        </w:rPr>
        <w:t xml:space="preserve">            </w:t>
      </w:r>
    </w:p>
    <w:p w:rsidR="00F533BE" w:rsidRDefault="00F533BE" w:rsidP="00556664">
      <w:pPr>
        <w:tabs>
          <w:tab w:val="clear" w:pos="720"/>
        </w:tabs>
        <w:autoSpaceDE/>
        <w:autoSpaceDN/>
        <w:adjustRightInd/>
        <w:spacing w:after="200"/>
        <w:jc w:val="right"/>
        <w:rPr>
          <w:rFonts w:ascii="Times New Roman" w:hAnsi="Times New Roman" w:cs="Times New Roman"/>
          <w:b/>
          <w:bCs/>
          <w:smallCaps/>
          <w:color w:val="993366"/>
          <w:sz w:val="32"/>
          <w:szCs w:val="32"/>
        </w:rPr>
      </w:pPr>
    </w:p>
    <w:p w:rsidR="00F533BE" w:rsidRDefault="00F533BE" w:rsidP="00556664">
      <w:pPr>
        <w:tabs>
          <w:tab w:val="clear" w:pos="720"/>
        </w:tabs>
        <w:autoSpaceDE/>
        <w:autoSpaceDN/>
        <w:adjustRightInd/>
        <w:spacing w:after="200"/>
        <w:jc w:val="right"/>
        <w:rPr>
          <w:rFonts w:ascii="Times New Roman" w:hAnsi="Times New Roman" w:cs="Times New Roman"/>
          <w:b/>
          <w:bCs/>
          <w:smallCaps/>
          <w:color w:val="993366"/>
          <w:sz w:val="32"/>
          <w:szCs w:val="32"/>
        </w:rPr>
      </w:pPr>
    </w:p>
    <w:p w:rsidR="00F533BE" w:rsidRDefault="00F533BE" w:rsidP="00556664">
      <w:pPr>
        <w:tabs>
          <w:tab w:val="clear" w:pos="720"/>
        </w:tabs>
        <w:autoSpaceDE/>
        <w:autoSpaceDN/>
        <w:adjustRightInd/>
        <w:spacing w:after="200"/>
        <w:jc w:val="right"/>
        <w:rPr>
          <w:rFonts w:ascii="Times New Roman" w:hAnsi="Times New Roman" w:cs="Times New Roman"/>
          <w:b/>
          <w:bCs/>
          <w:smallCaps/>
          <w:color w:val="993366"/>
          <w:sz w:val="32"/>
          <w:szCs w:val="32"/>
          <w:rtl/>
        </w:rPr>
      </w:pPr>
    </w:p>
    <w:p w:rsidR="00556664" w:rsidRDefault="00556664" w:rsidP="00556664">
      <w:pPr>
        <w:tabs>
          <w:tab w:val="clear" w:pos="720"/>
        </w:tabs>
        <w:autoSpaceDE/>
        <w:autoSpaceDN/>
        <w:adjustRightInd/>
        <w:spacing w:after="200"/>
        <w:jc w:val="right"/>
        <w:rPr>
          <w:rFonts w:ascii="Times New Roman" w:hAnsi="Times New Roman" w:cs="Times New Roman"/>
          <w:b/>
          <w:bCs/>
          <w:smallCaps/>
          <w:color w:val="993366"/>
          <w:sz w:val="32"/>
          <w:szCs w:val="32"/>
          <w:rtl/>
        </w:rPr>
      </w:pPr>
    </w:p>
    <w:p w:rsidR="00556664" w:rsidRPr="00F533BE" w:rsidRDefault="00436C37" w:rsidP="00436C37">
      <w:pPr>
        <w:tabs>
          <w:tab w:val="clear" w:pos="720"/>
        </w:tabs>
        <w:autoSpaceDE/>
        <w:autoSpaceDN/>
        <w:adjustRightInd/>
        <w:spacing w:after="200"/>
        <w:jc w:val="right"/>
        <w:rPr>
          <w:rFonts w:ascii="Times New Roman" w:hAnsi="Times New Roman" w:cs="Times New Roman"/>
          <w:b/>
          <w:bCs/>
          <w:smallCaps/>
          <w:color w:val="C0504D" w:themeColor="accent2"/>
          <w:sz w:val="32"/>
          <w:szCs w:val="32"/>
        </w:rPr>
      </w:pPr>
      <w:r>
        <w:rPr>
          <w:rFonts w:ascii="Times New Roman" w:hAnsi="Times New Roman" w:cs="Times New Roman"/>
          <w:b/>
          <w:bCs/>
          <w:color w:val="C0504D" w:themeColor="accent2"/>
          <w:sz w:val="32"/>
          <w:szCs w:val="32"/>
        </w:rPr>
        <w:t xml:space="preserve">Le </w:t>
      </w:r>
      <w:r w:rsidR="00F533BE" w:rsidRPr="00F533BE">
        <w:rPr>
          <w:rFonts w:ascii="Times New Roman" w:hAnsi="Times New Roman" w:cs="Times New Roman"/>
          <w:b/>
          <w:bCs/>
          <w:smallCaps/>
          <w:color w:val="C0504D" w:themeColor="accent2"/>
          <w:sz w:val="32"/>
          <w:szCs w:val="32"/>
        </w:rPr>
        <w:t xml:space="preserve">12 </w:t>
      </w:r>
      <w:r w:rsidR="00F533BE" w:rsidRPr="00F533BE">
        <w:rPr>
          <w:rFonts w:ascii="Times New Roman" w:hAnsi="Times New Roman" w:cs="Times New Roman"/>
          <w:b/>
          <w:bCs/>
          <w:color w:val="C0504D" w:themeColor="accent2"/>
          <w:sz w:val="32"/>
          <w:szCs w:val="32"/>
        </w:rPr>
        <w:t>octobre</w:t>
      </w:r>
      <w:r>
        <w:rPr>
          <w:rFonts w:ascii="Times New Roman" w:hAnsi="Times New Roman" w:cs="Times New Roman"/>
          <w:b/>
          <w:bCs/>
          <w:color w:val="C0504D" w:themeColor="accent2"/>
          <w:sz w:val="32"/>
          <w:szCs w:val="32"/>
        </w:rPr>
        <w:t xml:space="preserve"> </w:t>
      </w:r>
      <w:r w:rsidR="00F533BE" w:rsidRPr="00F533BE">
        <w:rPr>
          <w:rFonts w:ascii="Times New Roman" w:hAnsi="Times New Roman" w:cs="Times New Roman"/>
          <w:b/>
          <w:bCs/>
          <w:smallCaps/>
          <w:color w:val="C0504D" w:themeColor="accent2"/>
          <w:sz w:val="32"/>
          <w:szCs w:val="32"/>
        </w:rPr>
        <w:t>2016</w:t>
      </w:r>
    </w:p>
    <w:p w:rsidR="00A91CE1" w:rsidRDefault="00A91CE1" w:rsidP="00A91CE1">
      <w:pPr>
        <w:tabs>
          <w:tab w:val="clear" w:pos="720"/>
        </w:tabs>
        <w:autoSpaceDE/>
        <w:autoSpaceDN/>
        <w:adjustRightInd/>
        <w:spacing w:after="200"/>
        <w:jc w:val="left"/>
        <w:rPr>
          <w:rFonts w:ascii="Times New Roman" w:hAnsi="Times New Roman" w:cs="Times New Roman"/>
          <w:b/>
          <w:bCs/>
          <w:smallCaps/>
          <w:color w:val="993366"/>
          <w:sz w:val="32"/>
          <w:szCs w:val="32"/>
          <w:rtl/>
        </w:rPr>
      </w:pPr>
    </w:p>
    <w:p w:rsidR="00A91CE1" w:rsidRDefault="00A91CE1" w:rsidP="00A91CE1">
      <w:pPr>
        <w:tabs>
          <w:tab w:val="clear" w:pos="720"/>
        </w:tabs>
        <w:autoSpaceDE/>
        <w:autoSpaceDN/>
        <w:adjustRightInd/>
        <w:spacing w:after="200"/>
        <w:jc w:val="left"/>
        <w:rPr>
          <w:rFonts w:ascii="Times New Roman" w:hAnsi="Times New Roman" w:cs="Times New Roman"/>
          <w:b/>
          <w:bCs/>
          <w:smallCaps/>
          <w:color w:val="993366"/>
          <w:sz w:val="32"/>
          <w:szCs w:val="32"/>
          <w:rtl/>
        </w:rPr>
      </w:pPr>
    </w:p>
    <w:p w:rsidR="00A91CE1" w:rsidRDefault="00A91CE1" w:rsidP="00A91CE1">
      <w:pPr>
        <w:tabs>
          <w:tab w:val="clear" w:pos="720"/>
        </w:tabs>
        <w:autoSpaceDE/>
        <w:autoSpaceDN/>
        <w:adjustRightInd/>
        <w:spacing w:after="200"/>
        <w:jc w:val="left"/>
        <w:rPr>
          <w:rFonts w:ascii="Times New Roman" w:hAnsi="Times New Roman" w:cs="Times New Roman"/>
          <w:b/>
          <w:bCs/>
          <w:smallCaps/>
          <w:color w:val="993366"/>
          <w:sz w:val="32"/>
          <w:szCs w:val="32"/>
          <w:rtl/>
        </w:rPr>
      </w:pPr>
    </w:p>
    <w:p w:rsidR="00A91CE1" w:rsidRDefault="00A91CE1" w:rsidP="00A91CE1">
      <w:pPr>
        <w:tabs>
          <w:tab w:val="clear" w:pos="720"/>
        </w:tabs>
        <w:autoSpaceDE/>
        <w:autoSpaceDN/>
        <w:adjustRightInd/>
        <w:spacing w:after="200"/>
        <w:jc w:val="left"/>
        <w:rPr>
          <w:rFonts w:ascii="Times New Roman" w:hAnsi="Times New Roman" w:cs="Times New Roman"/>
          <w:b/>
          <w:bCs/>
          <w:smallCaps/>
          <w:color w:val="993366"/>
          <w:sz w:val="32"/>
          <w:szCs w:val="32"/>
          <w:rtl/>
        </w:rPr>
      </w:pPr>
    </w:p>
    <w:p w:rsidR="00A91CE1" w:rsidRDefault="00A91CE1" w:rsidP="00A91CE1">
      <w:pPr>
        <w:tabs>
          <w:tab w:val="clear" w:pos="720"/>
        </w:tabs>
        <w:autoSpaceDE/>
        <w:autoSpaceDN/>
        <w:adjustRightInd/>
        <w:spacing w:after="200"/>
        <w:jc w:val="left"/>
        <w:rPr>
          <w:rFonts w:ascii="Times New Roman" w:hAnsi="Times New Roman" w:cs="Times New Roman"/>
          <w:b/>
          <w:bCs/>
          <w:smallCaps/>
          <w:color w:val="993366"/>
          <w:sz w:val="32"/>
          <w:szCs w:val="32"/>
          <w:rtl/>
        </w:rPr>
      </w:pPr>
    </w:p>
    <w:p w:rsidR="00DA637A" w:rsidRPr="00F533BE" w:rsidRDefault="00DA637A" w:rsidP="00F533BE">
      <w:pPr>
        <w:tabs>
          <w:tab w:val="clear" w:pos="720"/>
        </w:tabs>
        <w:autoSpaceDE/>
        <w:autoSpaceDN/>
        <w:adjustRightInd/>
        <w:spacing w:after="200"/>
        <w:jc w:val="left"/>
        <w:rPr>
          <w:rFonts w:ascii="Times New Roman" w:hAnsi="Times New Roman" w:cs="Times New Roman"/>
          <w:b/>
          <w:bCs/>
          <w:smallCaps/>
          <w:color w:val="993366"/>
          <w:sz w:val="32"/>
          <w:szCs w:val="32"/>
        </w:rPr>
      </w:pPr>
    </w:p>
    <w:p w:rsidR="007A5D10" w:rsidRPr="00F4068B" w:rsidRDefault="00A91CE1" w:rsidP="00B06389">
      <w:pPr>
        <w:pStyle w:val="Corpsdetexte2"/>
        <w:spacing w:line="276" w:lineRule="auto"/>
        <w:rPr>
          <w:rFonts w:ascii="Calibri" w:eastAsia="Times New Roman" w:hAnsi="Calibri" w:cstheme="majorBidi"/>
          <w:sz w:val="24"/>
          <w:szCs w:val="24"/>
        </w:rPr>
      </w:pPr>
      <w:r>
        <w:rPr>
          <w:rFonts w:ascii="Calibri" w:eastAsia="Times New Roman" w:hAnsi="Calibri" w:cstheme="majorBidi" w:hint="cs"/>
          <w:sz w:val="24"/>
          <w:szCs w:val="24"/>
          <w:rtl/>
        </w:rPr>
        <w:lastRenderedPageBreak/>
        <w:tab/>
      </w:r>
      <w:r w:rsidR="00AB6D6B" w:rsidRPr="00B96C38">
        <w:rPr>
          <w:rFonts w:ascii="Calibri" w:eastAsia="Times New Roman" w:hAnsi="Calibri" w:cstheme="majorBidi"/>
          <w:sz w:val="24"/>
          <w:szCs w:val="24"/>
        </w:rPr>
        <w:t>L</w:t>
      </w:r>
      <w:r w:rsidR="00124425" w:rsidRPr="00B96C38">
        <w:rPr>
          <w:rFonts w:ascii="Calibri" w:eastAsia="Times New Roman" w:hAnsi="Calibri" w:cstheme="majorBidi"/>
          <w:sz w:val="24"/>
          <w:szCs w:val="24"/>
        </w:rPr>
        <w:t>’E</w:t>
      </w:r>
      <w:r w:rsidR="00377738" w:rsidRPr="00B96C38">
        <w:rPr>
          <w:rFonts w:ascii="Calibri" w:eastAsia="Times New Roman" w:hAnsi="Calibri" w:cstheme="majorBidi"/>
          <w:sz w:val="24"/>
          <w:szCs w:val="24"/>
        </w:rPr>
        <w:t>nquête</w:t>
      </w:r>
      <w:r w:rsidR="00AB6D6B" w:rsidRPr="00B96C38">
        <w:rPr>
          <w:rFonts w:ascii="Calibri" w:eastAsia="Times New Roman" w:hAnsi="Calibri" w:cstheme="majorBidi"/>
          <w:sz w:val="24"/>
          <w:szCs w:val="24"/>
        </w:rPr>
        <w:t xml:space="preserve"> </w:t>
      </w:r>
      <w:r w:rsidR="00124425" w:rsidRPr="00B96C38">
        <w:rPr>
          <w:rFonts w:ascii="Calibri" w:eastAsia="Times New Roman" w:hAnsi="Calibri" w:cstheme="majorBidi"/>
          <w:sz w:val="24"/>
          <w:szCs w:val="24"/>
        </w:rPr>
        <w:t>N</w:t>
      </w:r>
      <w:r w:rsidR="00AB6D6B" w:rsidRPr="00B96C38">
        <w:rPr>
          <w:rFonts w:ascii="Calibri" w:eastAsia="Times New Roman" w:hAnsi="Calibri" w:cstheme="majorBidi"/>
          <w:sz w:val="24"/>
          <w:szCs w:val="24"/>
        </w:rPr>
        <w:t>ationale</w:t>
      </w:r>
      <w:r w:rsidR="00377738" w:rsidRPr="00B96C38">
        <w:rPr>
          <w:rFonts w:ascii="Calibri" w:eastAsia="Times New Roman" w:hAnsi="Calibri" w:cstheme="majorBidi"/>
          <w:sz w:val="24"/>
          <w:szCs w:val="24"/>
        </w:rPr>
        <w:t xml:space="preserve"> </w:t>
      </w:r>
      <w:r w:rsidR="00124425" w:rsidRPr="00B96C38">
        <w:rPr>
          <w:rFonts w:ascii="Calibri" w:eastAsia="Times New Roman" w:hAnsi="Calibri" w:cstheme="majorBidi"/>
          <w:sz w:val="24"/>
          <w:szCs w:val="24"/>
        </w:rPr>
        <w:t>sur le Secteur I</w:t>
      </w:r>
      <w:r w:rsidR="00AB6D6B" w:rsidRPr="00B96C38">
        <w:rPr>
          <w:rFonts w:ascii="Calibri" w:eastAsia="Times New Roman" w:hAnsi="Calibri" w:cstheme="majorBidi"/>
          <w:sz w:val="24"/>
          <w:szCs w:val="24"/>
        </w:rPr>
        <w:t xml:space="preserve">nformel réalisée en 2013/2014 </w:t>
      </w:r>
      <w:r w:rsidR="009A05D4" w:rsidRPr="00B96C38">
        <w:rPr>
          <w:rFonts w:ascii="Calibri" w:eastAsia="Times New Roman" w:hAnsi="Calibri" w:cstheme="majorBidi"/>
          <w:sz w:val="24"/>
          <w:szCs w:val="24"/>
        </w:rPr>
        <w:t>a</w:t>
      </w:r>
      <w:r w:rsidR="00AB6D6B" w:rsidRPr="00B96C38">
        <w:rPr>
          <w:rFonts w:ascii="Calibri" w:eastAsia="Times New Roman" w:hAnsi="Calibri" w:cstheme="majorBidi"/>
          <w:sz w:val="24"/>
          <w:szCs w:val="24"/>
        </w:rPr>
        <w:t xml:space="preserve"> permis d’actualiser les informations sur les </w:t>
      </w:r>
      <w:r w:rsidR="006061F0" w:rsidRPr="00B96C38">
        <w:rPr>
          <w:rFonts w:ascii="Calibri" w:eastAsia="Times New Roman" w:hAnsi="Calibri" w:cstheme="majorBidi"/>
          <w:sz w:val="24"/>
          <w:szCs w:val="24"/>
        </w:rPr>
        <w:t xml:space="preserve">unités de production </w:t>
      </w:r>
      <w:r w:rsidR="00AB6D6B" w:rsidRPr="00B96C38">
        <w:rPr>
          <w:rFonts w:ascii="Calibri" w:eastAsia="Times New Roman" w:hAnsi="Calibri" w:cstheme="majorBidi"/>
          <w:sz w:val="24"/>
          <w:szCs w:val="24"/>
        </w:rPr>
        <w:t xml:space="preserve">opérant dans ce secteur, son mode d’insertion dans l’économie nationale et </w:t>
      </w:r>
      <w:r w:rsidR="00163E90" w:rsidRPr="00B96C38">
        <w:rPr>
          <w:rFonts w:ascii="Calibri" w:eastAsia="Times New Roman" w:hAnsi="Calibri" w:cstheme="majorBidi"/>
          <w:sz w:val="24"/>
          <w:szCs w:val="24"/>
        </w:rPr>
        <w:t xml:space="preserve">sa contribution à la création de </w:t>
      </w:r>
      <w:r w:rsidR="00152282">
        <w:rPr>
          <w:rFonts w:ascii="Calibri" w:eastAsia="Times New Roman" w:hAnsi="Calibri" w:cstheme="majorBidi"/>
          <w:sz w:val="24"/>
          <w:szCs w:val="24"/>
        </w:rPr>
        <w:t>la richesse et de l’</w:t>
      </w:r>
      <w:r w:rsidR="00163E90" w:rsidRPr="00B96C38">
        <w:rPr>
          <w:rFonts w:ascii="Calibri" w:eastAsia="Times New Roman" w:hAnsi="Calibri" w:cstheme="majorBidi"/>
          <w:sz w:val="24"/>
          <w:szCs w:val="24"/>
        </w:rPr>
        <w:t>emploi</w:t>
      </w:r>
      <w:r w:rsidR="006061F0" w:rsidRPr="00B96C38">
        <w:rPr>
          <w:rFonts w:ascii="Calibri" w:eastAsia="Times New Roman" w:hAnsi="Calibri" w:cstheme="majorBidi"/>
          <w:sz w:val="24"/>
          <w:szCs w:val="24"/>
        </w:rPr>
        <w:t>.</w:t>
      </w:r>
      <w:r w:rsidR="004A7C11">
        <w:rPr>
          <w:rFonts w:ascii="Calibri" w:eastAsia="Times New Roman" w:hAnsi="Calibri" w:cstheme="majorBidi"/>
          <w:sz w:val="24"/>
          <w:szCs w:val="24"/>
        </w:rPr>
        <w:t xml:space="preserve"> </w:t>
      </w:r>
    </w:p>
    <w:p w:rsidR="0091424B" w:rsidRDefault="00F4068B" w:rsidP="00CB2367">
      <w:r>
        <w:tab/>
      </w:r>
      <w:r w:rsidR="00163E90" w:rsidRPr="0091424B">
        <w:t>Il est</w:t>
      </w:r>
      <w:r w:rsidR="009A05D4" w:rsidRPr="0091424B">
        <w:t xml:space="preserve"> à</w:t>
      </w:r>
      <w:r w:rsidR="00163E90" w:rsidRPr="0091424B">
        <w:t xml:space="preserve"> rappeler que c</w:t>
      </w:r>
      <w:r w:rsidR="007E23EF" w:rsidRPr="0091424B">
        <w:t xml:space="preserve">ette </w:t>
      </w:r>
      <w:r w:rsidR="007B5E1F" w:rsidRPr="0091424B">
        <w:t xml:space="preserve">enquête </w:t>
      </w:r>
      <w:r w:rsidR="00124425" w:rsidRPr="0091424B">
        <w:t xml:space="preserve">concerne toutes les unités de production </w:t>
      </w:r>
      <w:r w:rsidR="0025594C" w:rsidRPr="0091424B">
        <w:t xml:space="preserve">non agricoles </w:t>
      </w:r>
      <w:r w:rsidR="006061F0" w:rsidRPr="0091424B">
        <w:t>ne disposant pas d’une comptabilité conform</w:t>
      </w:r>
      <w:r w:rsidR="0091424B" w:rsidRPr="0091424B">
        <w:t>ément</w:t>
      </w:r>
      <w:r w:rsidR="006061F0" w:rsidRPr="0091424B">
        <w:t xml:space="preserve"> à la réglementation comptable en vigueur au Maroc.</w:t>
      </w:r>
      <w:r w:rsidR="0091424B" w:rsidRPr="0091424B">
        <w:t xml:space="preserve"> </w:t>
      </w:r>
      <w:r w:rsidR="00855365">
        <w:t xml:space="preserve">La </w:t>
      </w:r>
      <w:r w:rsidR="00B3487F" w:rsidRPr="0091424B">
        <w:t>dispos</w:t>
      </w:r>
      <w:r w:rsidR="00855365">
        <w:t xml:space="preserve">ition d’une comptabilité signifie la </w:t>
      </w:r>
      <w:r w:rsidR="00B3487F" w:rsidRPr="0091424B">
        <w:t>présent</w:t>
      </w:r>
      <w:r w:rsidR="00855365">
        <w:t xml:space="preserve">ation </w:t>
      </w:r>
      <w:r w:rsidR="003D0697" w:rsidRPr="0091424B">
        <w:t>des</w:t>
      </w:r>
      <w:r w:rsidR="00B3487F" w:rsidRPr="0091424B">
        <w:t xml:space="preserve"> documents </w:t>
      </w:r>
      <w:r w:rsidR="003D0697" w:rsidRPr="0091424B">
        <w:t>comptables</w:t>
      </w:r>
      <w:r w:rsidR="00B3487F" w:rsidRPr="0091424B">
        <w:t xml:space="preserve"> retraçant à la fois les flux </w:t>
      </w:r>
      <w:r w:rsidR="003D0697" w:rsidRPr="0091424B">
        <w:t>au cours de l’année et le bilan de ses actifs et passifs en  début et en fin de cette période.</w:t>
      </w:r>
      <w:r w:rsidR="0091424B">
        <w:t xml:space="preserve"> </w:t>
      </w:r>
      <w:r w:rsidR="0091424B" w:rsidRPr="00564C62">
        <w:t xml:space="preserve">Le secteur </w:t>
      </w:r>
      <w:r w:rsidR="0091424B" w:rsidRPr="00564C62">
        <w:rPr>
          <w:rFonts w:eastAsia="Calibri" w:cs="Times New Roman"/>
        </w:rPr>
        <w:t>informel tel qu’il est défini dans l’enquête n’inclut pas les activités illicites ou illégales</w:t>
      </w:r>
      <w:r w:rsidR="00855365" w:rsidRPr="00564C62">
        <w:t>.</w:t>
      </w:r>
      <w:r w:rsidR="0091424B" w:rsidRPr="00855365">
        <w:rPr>
          <w:rFonts w:eastAsia="Calibri" w:cs="Times New Roman"/>
        </w:rPr>
        <w:t xml:space="preserve"> </w:t>
      </w:r>
    </w:p>
    <w:p w:rsidR="00855365" w:rsidRPr="007A5D10" w:rsidRDefault="00855365" w:rsidP="00CB2367"/>
    <w:p w:rsidR="00F14313" w:rsidRDefault="00F4068B" w:rsidP="00916CC3">
      <w:r>
        <w:rPr>
          <w:rFonts w:eastAsia="Calibri"/>
        </w:rPr>
        <w:tab/>
      </w:r>
      <w:r w:rsidR="003E58B0">
        <w:rPr>
          <w:rFonts w:eastAsia="Calibri"/>
        </w:rPr>
        <w:t>La</w:t>
      </w:r>
      <w:r w:rsidR="00EF7352" w:rsidRPr="009446E0">
        <w:rPr>
          <w:rFonts w:eastAsia="Calibri"/>
        </w:rPr>
        <w:t xml:space="preserve"> réalisation </w:t>
      </w:r>
      <w:r w:rsidR="003E58B0">
        <w:rPr>
          <w:rFonts w:eastAsia="Calibri"/>
        </w:rPr>
        <w:t xml:space="preserve">de l’enquête </w:t>
      </w:r>
      <w:r w:rsidR="00EF7352" w:rsidRPr="009446E0">
        <w:rPr>
          <w:rFonts w:eastAsia="Calibri"/>
        </w:rPr>
        <w:t xml:space="preserve">a nécessité une approche </w:t>
      </w:r>
      <w:r w:rsidR="00F14313" w:rsidRPr="009446E0">
        <w:rPr>
          <w:rFonts w:eastAsia="Calibri"/>
        </w:rPr>
        <w:t xml:space="preserve">en deux phases </w:t>
      </w:r>
      <w:r w:rsidR="00EF7352" w:rsidRPr="009446E0">
        <w:rPr>
          <w:rFonts w:eastAsia="Calibri"/>
        </w:rPr>
        <w:t>pour l’identification des unités informelles et ce, en raison de l’absence d’une base de sondage</w:t>
      </w:r>
      <w:r w:rsidR="009446E0" w:rsidRPr="009446E0">
        <w:t xml:space="preserve"> qui couvre toute</w:t>
      </w:r>
      <w:r w:rsidR="00AC486F">
        <w:t>s</w:t>
      </w:r>
      <w:r w:rsidR="009446E0" w:rsidRPr="009446E0">
        <w:t xml:space="preserve"> les composantes</w:t>
      </w:r>
      <w:r w:rsidR="003E58B0">
        <w:t xml:space="preserve"> </w:t>
      </w:r>
      <w:r w:rsidR="009446E0" w:rsidRPr="009446E0">
        <w:t xml:space="preserve"> </w:t>
      </w:r>
      <w:r w:rsidR="00916CC3">
        <w:t>de ce</w:t>
      </w:r>
      <w:r w:rsidR="009446E0" w:rsidRPr="009446E0">
        <w:t xml:space="preserve"> secteur (</w:t>
      </w:r>
      <w:r w:rsidR="00F14313" w:rsidRPr="00564C62">
        <w:t>unités localisées, unités sans local et unités exerçant à domicile</w:t>
      </w:r>
      <w:r w:rsidR="009446E0" w:rsidRPr="009446E0">
        <w:t>)</w:t>
      </w:r>
      <w:r w:rsidR="00EF7352" w:rsidRPr="00564C62">
        <w:t>. Cette approche a consisté d’abord à identifier un échantillon des unités</w:t>
      </w:r>
      <w:r w:rsidR="00EF7352" w:rsidRPr="009446E0">
        <w:rPr>
          <w:rFonts w:eastAsia="Calibri"/>
        </w:rPr>
        <w:t xml:space="preserve"> de production informelles à partir de l’enquête nationale sur l’emploi et d’enquêter dans une deuxième phase, les unités identifiées.</w:t>
      </w:r>
      <w:r w:rsidR="00F14313">
        <w:t xml:space="preserve"> Au total un </w:t>
      </w:r>
      <w:r w:rsidR="00F14313" w:rsidRPr="007A5D10">
        <w:t xml:space="preserve">échantillon de 10 085 unités de production informelles </w:t>
      </w:r>
      <w:r w:rsidR="00F14313">
        <w:t>a été enquêté.</w:t>
      </w:r>
    </w:p>
    <w:p w:rsidR="006061F0" w:rsidRPr="007A5D10" w:rsidRDefault="006061F0" w:rsidP="00CB2367">
      <w:r w:rsidRPr="007A5D10">
        <w:t xml:space="preserve">Pour tenir compte des variations saisonnières, la collecte des données sur le terrain s’est étalée sur une période d'une </w:t>
      </w:r>
      <w:r w:rsidR="007B5E1F" w:rsidRPr="007A5D10">
        <w:t>année</w:t>
      </w:r>
      <w:r w:rsidR="00933C65" w:rsidRPr="007A5D10">
        <w:t>,</w:t>
      </w:r>
      <w:r w:rsidR="007B5E1F" w:rsidRPr="007A5D10">
        <w:t xml:space="preserve"> de juin 2013 à mai  2014.</w:t>
      </w:r>
    </w:p>
    <w:p w:rsidR="007B5E1F" w:rsidRPr="007A5D10" w:rsidRDefault="007B5E1F" w:rsidP="00CB2367"/>
    <w:p w:rsidR="00DB1C5C" w:rsidRPr="009A6207" w:rsidRDefault="00F94CC2" w:rsidP="003244C1">
      <w:pPr>
        <w:pStyle w:val="Paragraphedeliste"/>
        <w:numPr>
          <w:ilvl w:val="0"/>
          <w:numId w:val="11"/>
        </w:numPr>
        <w:rPr>
          <w:b/>
          <w:bCs/>
          <w:color w:val="993366"/>
        </w:rPr>
      </w:pPr>
      <w:r w:rsidRPr="00DB1C5C">
        <w:rPr>
          <w:b/>
          <w:bCs/>
          <w:color w:val="993366"/>
        </w:rPr>
        <w:t xml:space="preserve">Présentation </w:t>
      </w:r>
      <w:r w:rsidR="00DB1C5C" w:rsidRPr="009A6207">
        <w:rPr>
          <w:b/>
          <w:bCs/>
          <w:color w:val="993366"/>
        </w:rPr>
        <w:t>des unités de production informelles</w:t>
      </w:r>
      <w:r w:rsidR="00DB1C5C">
        <w:rPr>
          <w:b/>
          <w:bCs/>
          <w:color w:val="993366"/>
        </w:rPr>
        <w:t xml:space="preserve"> </w:t>
      </w:r>
      <w:r w:rsidR="00DB1C5C" w:rsidRPr="009A6207">
        <w:rPr>
          <w:b/>
          <w:bCs/>
          <w:color w:val="993366"/>
        </w:rPr>
        <w:t>(UPI)</w:t>
      </w:r>
    </w:p>
    <w:p w:rsidR="007A5D10" w:rsidRPr="00DB1C5C" w:rsidRDefault="007A5D10" w:rsidP="00DB1C5C">
      <w:pPr>
        <w:tabs>
          <w:tab w:val="clear" w:pos="720"/>
        </w:tabs>
        <w:ind w:left="720"/>
        <w:rPr>
          <w:color w:val="993366"/>
        </w:rPr>
      </w:pPr>
    </w:p>
    <w:p w:rsidR="006010D7" w:rsidRDefault="00F4068B" w:rsidP="00D4310F">
      <w:r>
        <w:tab/>
      </w:r>
      <w:r w:rsidR="00AC486F">
        <w:t>Après avoir été de 1,55 million</w:t>
      </w:r>
      <w:r w:rsidR="006010D7" w:rsidRPr="006010D7">
        <w:t xml:space="preserve"> en 2007, le nombre d’unités de production informelles (UPI) atteint </w:t>
      </w:r>
      <w:r w:rsidR="00AC486F">
        <w:t>1,68 million</w:t>
      </w:r>
      <w:r w:rsidR="006010D7" w:rsidRPr="006010D7">
        <w:t xml:space="preserve"> en 2013, marquant un accroissement annuel de 19 000 unités</w:t>
      </w:r>
      <w:r w:rsidR="00B06389">
        <w:rPr>
          <w:rStyle w:val="Appelnotedebasdep"/>
        </w:rPr>
        <w:footnoteReference w:id="2"/>
      </w:r>
      <w:r w:rsidR="006010D7" w:rsidRPr="006010D7">
        <w:t xml:space="preserve">. </w:t>
      </w:r>
    </w:p>
    <w:p w:rsidR="006010D7" w:rsidRPr="006010D7" w:rsidRDefault="006010D7" w:rsidP="00E741B1"/>
    <w:p w:rsidR="006010D7" w:rsidRPr="006010D7" w:rsidRDefault="00F533BE" w:rsidP="006010D7">
      <w:r>
        <w:tab/>
      </w:r>
      <w:r w:rsidR="006010D7" w:rsidRPr="006010D7">
        <w:t>La proportion des UPI disposant d’un local fixe atteint, en 2013, 43,7% (au lieu de 44,1% en 2007),  celles non localisées 51,4% (au lieu de 49,2% en 2007) et celles des travailleurs à domicile 4,9% (au lieu de 6,7%). Les UPI sans local  représentent 87,5%  dans le BTP, 58,7% dans les services et 51,9% dans le commerce. L’industrie abrite la plus grande proportion d’unités ayant un local professionnel (56,9%) et des unités travaillant à domicile (23,6%).</w:t>
      </w:r>
    </w:p>
    <w:p w:rsidR="006010D7" w:rsidRPr="006010D7" w:rsidRDefault="006010D7" w:rsidP="006010D7"/>
    <w:p w:rsidR="006010D7" w:rsidRPr="006010D7" w:rsidRDefault="008B4696" w:rsidP="00E741B1">
      <w:r>
        <w:t xml:space="preserve">            </w:t>
      </w:r>
      <w:r w:rsidR="006010D7" w:rsidRPr="006010D7">
        <w:t xml:space="preserve">Près de 18% des UPI </w:t>
      </w:r>
      <w:r w:rsidR="006010D7">
        <w:t>sont enregistrées</w:t>
      </w:r>
      <w:r w:rsidR="006010D7" w:rsidRPr="006010D7">
        <w:t xml:space="preserve"> </w:t>
      </w:r>
      <w:r w:rsidR="006010D7">
        <w:t>à</w:t>
      </w:r>
      <w:r w:rsidR="006010D7" w:rsidRPr="006010D7">
        <w:t xml:space="preserve"> la taxe professionnelle  en 2013 au lieu de 18,6% en 2007 et de 23,3% en 1999 avec un taux passant de 39,2% pour les unités informelles avec local à 1,9% pour les unités sans local. </w:t>
      </w:r>
    </w:p>
    <w:p w:rsidR="00F564EB" w:rsidRDefault="00F564EB" w:rsidP="006010D7"/>
    <w:p w:rsidR="00DB1C5C" w:rsidRDefault="00DB1C5C" w:rsidP="00DB1C5C">
      <w:r>
        <w:lastRenderedPageBreak/>
        <w:tab/>
        <w:t>Même s’il a été notablement amélioré</w:t>
      </w:r>
      <w:r w:rsidRPr="009A6207">
        <w:t xml:space="preserve"> </w:t>
      </w:r>
      <w:r>
        <w:t xml:space="preserve">en 2013, le niveau d’instruction des entrepreneurs informels </w:t>
      </w:r>
      <w:r w:rsidRPr="005C6DD7">
        <w:t>reste faible</w:t>
      </w:r>
      <w:r>
        <w:t xml:space="preserve"> </w:t>
      </w:r>
      <w:r w:rsidRPr="005C6DD7">
        <w:t>depuis 200</w:t>
      </w:r>
      <w:r>
        <w:t xml:space="preserve">7. Plus du tiers n’ont pratiquement pas </w:t>
      </w:r>
      <w:r w:rsidRPr="00D44AAD">
        <w:t>d’instruction, 33,6 % ont un niveau primaire, 28,4% ont un niveau secondaire et  3,3% ont un niveau supérieur.</w:t>
      </w:r>
    </w:p>
    <w:p w:rsidR="008B4696" w:rsidRPr="00DB1C5C" w:rsidRDefault="008B4696" w:rsidP="00DB1C5C"/>
    <w:p w:rsidR="00F564EB" w:rsidRPr="008A5CEA" w:rsidRDefault="00DB1C5C" w:rsidP="00F564EB">
      <w:r>
        <w:tab/>
      </w:r>
      <w:r w:rsidR="00F564EB" w:rsidRPr="008A5CEA">
        <w:t>Avec moins de 9%, les femmes sont faiblement représentées parmi les promoteurs des UPI. Avec cependant une proportion de 23% et de 60%</w:t>
      </w:r>
      <w:r w:rsidR="00F564EB">
        <w:t>,</w:t>
      </w:r>
      <w:r w:rsidR="00F564EB" w:rsidRPr="008A5CEA">
        <w:t xml:space="preserve"> elles sont plus présentes respectivement dans les activités relevant de l’industrie et du travail à domicile.  </w:t>
      </w:r>
    </w:p>
    <w:p w:rsidR="007A5D10" w:rsidRPr="007A5D10" w:rsidRDefault="007A5D10" w:rsidP="00CB2367"/>
    <w:p w:rsidR="008630B5" w:rsidRDefault="00F4068B" w:rsidP="008630B5">
      <w:r>
        <w:tab/>
      </w:r>
      <w:r w:rsidR="008630B5" w:rsidRPr="007A5D10">
        <w:t>Dans la création des UPI, l’initiative est</w:t>
      </w:r>
      <w:r w:rsidR="008630B5">
        <w:t xml:space="preserve">, </w:t>
      </w:r>
      <w:r w:rsidR="008630B5" w:rsidRPr="007A5D10">
        <w:t xml:space="preserve">à 83% individuelle, 10,6% collaborative et pour près de 5% </w:t>
      </w:r>
      <w:r w:rsidR="008630B5">
        <w:t xml:space="preserve">le fruit d’un concours </w:t>
      </w:r>
      <w:r w:rsidR="008630B5" w:rsidRPr="007A5D10">
        <w:t>familial.</w:t>
      </w:r>
    </w:p>
    <w:p w:rsidR="008630B5" w:rsidRDefault="008630B5" w:rsidP="008630B5"/>
    <w:p w:rsidR="008630B5" w:rsidRDefault="008630B5" w:rsidP="008630B5">
      <w:r>
        <w:tab/>
      </w:r>
      <w:r w:rsidRPr="008A5CEA">
        <w:t xml:space="preserve">A l’origine, 75% des créateurs d’UPI étaient actifs occupés, 12% étudiants, 8,3% chômeurs et 3% femmes au foyer. Parmi ceux qui avaient auparavant exercé une activité avant de créer leur propre affaire, 70% étaient salariés et 20% indépendants relevant pour 90% d’entre eux du secteur informel. </w:t>
      </w:r>
    </w:p>
    <w:p w:rsidR="00DD72E6" w:rsidRDefault="00DD72E6" w:rsidP="008630B5"/>
    <w:p w:rsidR="001C413F" w:rsidRDefault="001C413F" w:rsidP="001C413F">
      <w:r>
        <w:tab/>
        <w:t xml:space="preserve">Avec un </w:t>
      </w:r>
      <w:r w:rsidRPr="007A5D10">
        <w:t>chiffre d’affaires (CA)</w:t>
      </w:r>
      <w:r>
        <w:t xml:space="preserve"> moyen de près de 245 mille DH par unité en 2013, le secteur informel reste constitué en quasi-totalité de petites et micro-entreprises. Cette moyenne est portée à son maximum dans  les activités commerciales (337 mille DH) et à son minimum dans les services (90 mille DH).</w:t>
      </w:r>
    </w:p>
    <w:p w:rsidR="00AF56F2" w:rsidRPr="008A5CEA" w:rsidRDefault="00AF56F2" w:rsidP="001C413F"/>
    <w:p w:rsidR="001C413F" w:rsidRDefault="00DD72E6" w:rsidP="001C413F">
      <w:r>
        <w:tab/>
      </w:r>
      <w:r w:rsidR="001C413F">
        <w:t xml:space="preserve">Les UPI ont brassé un </w:t>
      </w:r>
      <w:r w:rsidRPr="007A5D10">
        <w:t xml:space="preserve">CA de </w:t>
      </w:r>
      <w:r>
        <w:t>près de 410  milliards</w:t>
      </w:r>
      <w:r w:rsidRPr="0024377C">
        <w:t xml:space="preserve"> de DH</w:t>
      </w:r>
      <w:r w:rsidRPr="007A5D10">
        <w:t>, en accroissement annuel moyen de 6,5% depuis 2007. Le Commerce continue à constituer l’activité la plus importante du secteur  en dépit du reflux de son poids à 69,8%</w:t>
      </w:r>
      <w:r w:rsidR="001C413F">
        <w:t xml:space="preserve"> en 2013 </w:t>
      </w:r>
      <w:r w:rsidRPr="007A5D10">
        <w:t xml:space="preserve"> au lieu de 77% en 2007. </w:t>
      </w:r>
      <w:r w:rsidRPr="00DB1C5C">
        <w:t xml:space="preserve">En revanche, les parts du </w:t>
      </w:r>
      <w:r w:rsidR="001C413F" w:rsidRPr="007A5D10">
        <w:t>CA</w:t>
      </w:r>
      <w:r w:rsidR="001C413F" w:rsidRPr="00DB1C5C">
        <w:t xml:space="preserve"> </w:t>
      </w:r>
      <w:r w:rsidRPr="00DB1C5C">
        <w:t xml:space="preserve">générées par les activités informelles du BTP, de l’industrie et des services se sont améliorées, passant de 4,4%, </w:t>
      </w:r>
      <w:r w:rsidR="001C413F" w:rsidRPr="00DB1C5C">
        <w:t xml:space="preserve">11,5% et </w:t>
      </w:r>
      <w:r w:rsidRPr="00DB1C5C">
        <w:t xml:space="preserve">7,2% respectivement en 2007 à 8,1%,  </w:t>
      </w:r>
      <w:r w:rsidR="001C413F" w:rsidRPr="00DB1C5C">
        <w:t xml:space="preserve">13,1% et </w:t>
      </w:r>
      <w:r w:rsidRPr="00DB1C5C">
        <w:t>9% respectivement en 2013.</w:t>
      </w:r>
    </w:p>
    <w:p w:rsidR="00AF56F2" w:rsidRDefault="00AF56F2" w:rsidP="001C413F"/>
    <w:p w:rsidR="008630B5" w:rsidRDefault="001C413F" w:rsidP="00576015">
      <w:r>
        <w:tab/>
      </w:r>
      <w:r w:rsidRPr="00555999">
        <w:t xml:space="preserve">La moitié des UPI réalise un CA </w:t>
      </w:r>
      <w:r>
        <w:t>annuel de moins de 100 mille DH</w:t>
      </w:r>
      <w:r w:rsidR="00576015">
        <w:t>,</w:t>
      </w:r>
      <w:r>
        <w:t xml:space="preserve"> </w:t>
      </w:r>
      <w:r w:rsidR="00576015">
        <w:t>p</w:t>
      </w:r>
      <w:r w:rsidRPr="00623F11">
        <w:t xml:space="preserve">lus du tiers (35,3%) un CA </w:t>
      </w:r>
      <w:r>
        <w:t xml:space="preserve">annuel </w:t>
      </w:r>
      <w:r w:rsidRPr="00623F11">
        <w:t xml:space="preserve">de moins de </w:t>
      </w:r>
      <w:r>
        <w:t>60 mille DH</w:t>
      </w:r>
      <w:r w:rsidR="00576015">
        <w:t xml:space="preserve"> et</w:t>
      </w:r>
      <w:r>
        <w:t xml:space="preserve"> </w:t>
      </w:r>
      <w:r w:rsidR="00576015">
        <w:t xml:space="preserve">près d’une </w:t>
      </w:r>
      <w:r>
        <w:t xml:space="preserve">UPI sur six (16,2%) un CA annuel supérieur à </w:t>
      </w:r>
      <w:r w:rsidRPr="009D0D8F">
        <w:t>360 mille DH</w:t>
      </w:r>
      <w:r>
        <w:t>.</w:t>
      </w:r>
      <w:r>
        <w:tab/>
      </w:r>
      <w:r w:rsidR="008630B5" w:rsidRPr="009D0D8F">
        <w:t xml:space="preserve"> </w:t>
      </w:r>
    </w:p>
    <w:p w:rsidR="008630B5" w:rsidRDefault="008630B5" w:rsidP="008630B5"/>
    <w:p w:rsidR="00576015" w:rsidRPr="00576015" w:rsidRDefault="00B06389" w:rsidP="00B06389">
      <w:pPr>
        <w:pStyle w:val="Paragraphedeliste"/>
        <w:numPr>
          <w:ilvl w:val="0"/>
          <w:numId w:val="11"/>
        </w:numPr>
        <w:rPr>
          <w:b/>
          <w:bCs/>
          <w:color w:val="993366"/>
        </w:rPr>
      </w:pPr>
      <w:r>
        <w:rPr>
          <w:b/>
          <w:bCs/>
          <w:color w:val="993366"/>
        </w:rPr>
        <w:t xml:space="preserve">Relation </w:t>
      </w:r>
      <w:r w:rsidR="00576015" w:rsidRPr="00576015">
        <w:rPr>
          <w:b/>
          <w:bCs/>
          <w:color w:val="993366"/>
        </w:rPr>
        <w:t xml:space="preserve">du secteur informel </w:t>
      </w:r>
      <w:r>
        <w:rPr>
          <w:b/>
          <w:bCs/>
          <w:color w:val="993366"/>
        </w:rPr>
        <w:t xml:space="preserve">avec les autres composantes de </w:t>
      </w:r>
      <w:r w:rsidR="00576015" w:rsidRPr="00576015">
        <w:rPr>
          <w:b/>
          <w:bCs/>
          <w:color w:val="993366"/>
        </w:rPr>
        <w:t>l’économie nationale</w:t>
      </w:r>
    </w:p>
    <w:p w:rsidR="00576015" w:rsidRPr="000A25DA" w:rsidRDefault="00576015" w:rsidP="00576015">
      <w:pPr>
        <w:rPr>
          <w:b/>
          <w:bCs/>
          <w:color w:val="993366"/>
        </w:rPr>
      </w:pPr>
    </w:p>
    <w:p w:rsidR="00576015" w:rsidRPr="007A5D10" w:rsidRDefault="00576015" w:rsidP="00AC486F">
      <w:r w:rsidRPr="007A5D10">
        <w:t xml:space="preserve">La </w:t>
      </w:r>
      <w:r w:rsidRPr="007A5D10">
        <w:rPr>
          <w:b/>
          <w:bCs/>
          <w:color w:val="993366"/>
        </w:rPr>
        <w:t xml:space="preserve">production </w:t>
      </w:r>
      <w:r w:rsidRPr="007A5D10">
        <w:t>du</w:t>
      </w:r>
      <w:r>
        <w:t xml:space="preserve"> secteur informel s’élève à 185</w:t>
      </w:r>
      <w:r w:rsidRPr="007A5D10">
        <w:t xml:space="preserve"> </w:t>
      </w:r>
      <w:r>
        <w:t>milliards</w:t>
      </w:r>
      <w:r w:rsidRPr="007A5D10">
        <w:t xml:space="preserve"> de DH de biens et services en 2013, </w:t>
      </w:r>
      <w:r>
        <w:t>en</w:t>
      </w:r>
      <w:r w:rsidRPr="007A5D10">
        <w:t xml:space="preserve"> progression </w:t>
      </w:r>
      <w:r>
        <w:t>annuelle moyenne de 7,9%</w:t>
      </w:r>
      <w:r w:rsidRPr="007A5D10">
        <w:t xml:space="preserve"> </w:t>
      </w:r>
      <w:r>
        <w:t>depuis</w:t>
      </w:r>
      <w:r w:rsidRPr="007A5D10">
        <w:t xml:space="preserve"> 2007, </w:t>
      </w:r>
      <w:r w:rsidR="00AC486F">
        <w:t>l</w:t>
      </w:r>
      <w:r>
        <w:t xml:space="preserve">es </w:t>
      </w:r>
      <w:r w:rsidRPr="007A5D10">
        <w:t>activités commercial</w:t>
      </w:r>
      <w:r>
        <w:t>es,</w:t>
      </w:r>
      <w:r w:rsidRPr="007A5D10">
        <w:t xml:space="preserve"> notamment le commerce de détail, </w:t>
      </w:r>
      <w:r>
        <w:t>y contribuent pour p</w:t>
      </w:r>
      <w:r w:rsidRPr="007A5D10">
        <w:t xml:space="preserve">rès de 34,7%, au lieu de 37,5% en 2007. En revanche, </w:t>
      </w:r>
      <w:r>
        <w:t>celles</w:t>
      </w:r>
      <w:r w:rsidRPr="007A5D10">
        <w:t xml:space="preserve"> relevant du secteur de l’industrie et des services </w:t>
      </w:r>
      <w:r>
        <w:t>ont vu leur contribution augmenter,</w:t>
      </w:r>
      <w:r w:rsidRPr="007A5D10">
        <w:t xml:space="preserve"> passant respectivement, de 27,2% à 28,6% et de 16,8% à 18,6%</w:t>
      </w:r>
      <w:r>
        <w:t xml:space="preserve">. </w:t>
      </w:r>
      <w:r>
        <w:lastRenderedPageBreak/>
        <w:t>C</w:t>
      </w:r>
      <w:r w:rsidRPr="007A5D10">
        <w:t xml:space="preserve">elle du BTP n’a pas connu de changement significatif (18,1% en 2013 au lieu de 18,6% en 2007). </w:t>
      </w:r>
    </w:p>
    <w:p w:rsidR="00576015" w:rsidRPr="007A5D10" w:rsidRDefault="00576015" w:rsidP="00576015"/>
    <w:p w:rsidR="00576015" w:rsidRDefault="00576015" w:rsidP="00576015">
      <w:r w:rsidRPr="007A5D10">
        <w:tab/>
      </w:r>
      <w:r w:rsidRPr="00CB2367">
        <w:t>Pour</w:t>
      </w:r>
      <w:r w:rsidR="006D3148">
        <w:t xml:space="preserve"> cette production,</w:t>
      </w:r>
      <w:r>
        <w:t xml:space="preserve"> le secteur informel assure son approvisionnement par le secteur informel lui-même à hauteur de 71%, par le secteur formel à concurrence de 18,2%, par les ménages pour 7% et par le secteur public pour 1,4%.</w:t>
      </w:r>
    </w:p>
    <w:p w:rsidR="00576015" w:rsidRDefault="00576015" w:rsidP="00617112">
      <w:r w:rsidRPr="007A5D10">
        <w:t xml:space="preserve">Les UPI </w:t>
      </w:r>
      <w:r>
        <w:t xml:space="preserve">opérant dans les activités de type </w:t>
      </w:r>
      <w:r w:rsidRPr="007A5D10">
        <w:t>industrie</w:t>
      </w:r>
      <w:r>
        <w:t>l</w:t>
      </w:r>
      <w:r w:rsidRPr="007A5D10">
        <w:t xml:space="preserve"> s’approvisionnent auprès du secteur informel pour 81,6%, celles du BTP pour 77,9%, celles du commerce pour 70,7% et celles du secteur des services pour 52,2%.</w:t>
      </w:r>
      <w:r w:rsidR="006D3148">
        <w:t xml:space="preserve"> L</w:t>
      </w:r>
      <w:r w:rsidRPr="007A5D10">
        <w:t>e</w:t>
      </w:r>
      <w:r w:rsidR="006D3148">
        <w:t xml:space="preserve"> </w:t>
      </w:r>
      <w:r w:rsidRPr="007A5D10">
        <w:t xml:space="preserve">secteur formel </w:t>
      </w:r>
      <w:r>
        <w:t xml:space="preserve">pourvoit les besoins en approvisionnement des UPI opérant dans le  secteur des </w:t>
      </w:r>
      <w:r w:rsidRPr="007A5D10">
        <w:t>services</w:t>
      </w:r>
      <w:r>
        <w:t xml:space="preserve"> à concurrence de  30%</w:t>
      </w:r>
      <w:r w:rsidRPr="007A5D10">
        <w:t xml:space="preserve">, </w:t>
      </w:r>
      <w:r w:rsidR="006C0EDC">
        <w:t>du</w:t>
      </w:r>
      <w:r>
        <w:t xml:space="preserve">  secteur du </w:t>
      </w:r>
      <w:r w:rsidRPr="007A5D10">
        <w:t xml:space="preserve">BTP </w:t>
      </w:r>
      <w:r>
        <w:t xml:space="preserve"> pour </w:t>
      </w:r>
      <w:r w:rsidRPr="007A5D10">
        <w:t>19,6%</w:t>
      </w:r>
      <w:r>
        <w:t>, d</w:t>
      </w:r>
      <w:r w:rsidR="006C0EDC">
        <w:t>u</w:t>
      </w:r>
      <w:r>
        <w:t xml:space="preserve"> </w:t>
      </w:r>
      <w:r w:rsidRPr="007A5D10">
        <w:t xml:space="preserve"> </w:t>
      </w:r>
      <w:r>
        <w:t xml:space="preserve"> secteur</w:t>
      </w:r>
      <w:r w:rsidRPr="007A5D10">
        <w:t xml:space="preserve"> du commerce </w:t>
      </w:r>
      <w:r>
        <w:t>pour</w:t>
      </w:r>
      <w:r w:rsidRPr="007A5D10">
        <w:t xml:space="preserve"> 17,7%</w:t>
      </w:r>
      <w:r>
        <w:t xml:space="preserve"> et d</w:t>
      </w:r>
      <w:r w:rsidR="00617112">
        <w:t>u</w:t>
      </w:r>
      <w:r>
        <w:t xml:space="preserve"> secteur</w:t>
      </w:r>
      <w:r w:rsidRPr="007A5D10">
        <w:t xml:space="preserve"> de l’industrie</w:t>
      </w:r>
      <w:r>
        <w:t xml:space="preserve"> pour</w:t>
      </w:r>
      <w:r w:rsidRPr="007A5D10">
        <w:t xml:space="preserve"> 12,1%. Les UPI des services sont celles qui s’approvisionnent le</w:t>
      </w:r>
      <w:r>
        <w:t xml:space="preserve"> plus auprès du secteur public, </w:t>
      </w:r>
      <w:r w:rsidRPr="007A5D10">
        <w:t>soit 8,1%</w:t>
      </w:r>
      <w:r w:rsidR="006C0EDC">
        <w:t xml:space="preserve"> de </w:t>
      </w:r>
      <w:r w:rsidR="00617112">
        <w:t>leurs</w:t>
      </w:r>
      <w:r w:rsidR="006C0EDC">
        <w:t xml:space="preserve"> besoins</w:t>
      </w:r>
      <w:r w:rsidRPr="007A5D10">
        <w:t>.</w:t>
      </w:r>
    </w:p>
    <w:p w:rsidR="00576015" w:rsidRDefault="00576015" w:rsidP="00576015"/>
    <w:p w:rsidR="00D14699" w:rsidRDefault="00576015" w:rsidP="00D14699">
      <w:r>
        <w:tab/>
      </w:r>
      <w:r w:rsidR="00D14699">
        <w:t xml:space="preserve">Par ailleurs, le principal marché de la production du secteur informel est constitué par les ménages. En 2013, </w:t>
      </w:r>
      <w:r w:rsidR="00D14699" w:rsidRPr="007A5D10">
        <w:t xml:space="preserve">77,8% </w:t>
      </w:r>
      <w:r w:rsidR="00D14699">
        <w:t>de ses</w:t>
      </w:r>
      <w:r w:rsidR="00D14699" w:rsidRPr="007A5D10">
        <w:t xml:space="preserve"> </w:t>
      </w:r>
      <w:r w:rsidR="00D14699">
        <w:t>ventes</w:t>
      </w:r>
      <w:r w:rsidR="00D14699" w:rsidRPr="007A5D10">
        <w:t xml:space="preserve"> </w:t>
      </w:r>
      <w:r w:rsidR="00D14699">
        <w:t xml:space="preserve">sont destinées </w:t>
      </w:r>
      <w:r w:rsidR="00D14699" w:rsidRPr="007A5D10">
        <w:t>aux ménages</w:t>
      </w:r>
      <w:r w:rsidR="00D14699">
        <w:t>,</w:t>
      </w:r>
      <w:r w:rsidR="00D14699" w:rsidRPr="007A5D10">
        <w:t xml:space="preserve"> 21,3% </w:t>
      </w:r>
      <w:r w:rsidR="00D14699">
        <w:t xml:space="preserve">aux entreprises informelles et </w:t>
      </w:r>
      <w:r w:rsidR="00D14699" w:rsidRPr="007A5D10">
        <w:t>0,5% aux entreprises formelles</w:t>
      </w:r>
      <w:r w:rsidR="00D14699">
        <w:t xml:space="preserve">. Les ventes destinées </w:t>
      </w:r>
      <w:r w:rsidR="00D14699" w:rsidRPr="007A5D10">
        <w:t xml:space="preserve"> au secteur public  </w:t>
      </w:r>
      <w:r w:rsidR="00D14699">
        <w:t>et à l’exportation</w:t>
      </w:r>
      <w:r w:rsidR="00D14699" w:rsidRPr="007A5D10">
        <w:t xml:space="preserve"> </w:t>
      </w:r>
      <w:r w:rsidR="00D14699">
        <w:t xml:space="preserve">restent  insignifiantes. </w:t>
      </w:r>
    </w:p>
    <w:p w:rsidR="00D14699" w:rsidRDefault="00D14699" w:rsidP="00D14699">
      <w:r w:rsidRPr="007A5D10">
        <w:t>Près de la moitié (49,2%) des ventes des UPI opérant dans l’industrie est destinée aux autres unités informelles, une proportion qui atteint 8,1% pour les UPI exerçant dans le BTP.</w:t>
      </w:r>
    </w:p>
    <w:p w:rsidR="00BD3C72" w:rsidRDefault="00BD3C72" w:rsidP="00D14699"/>
    <w:p w:rsidR="00BD3C72" w:rsidRDefault="00BD3C72" w:rsidP="00D14699">
      <w:pPr>
        <w:rPr>
          <w:rtl/>
        </w:rPr>
      </w:pPr>
    </w:p>
    <w:p w:rsidR="00900060" w:rsidRDefault="00BD3C72" w:rsidP="00900060">
      <w:pPr>
        <w:jc w:val="center"/>
        <w:rPr>
          <w:b/>
          <w:bCs/>
        </w:rPr>
      </w:pPr>
      <w:r w:rsidRPr="00900060">
        <w:rPr>
          <w:b/>
          <w:bCs/>
        </w:rPr>
        <w:t xml:space="preserve">Origines et destinations des </w:t>
      </w:r>
      <w:r w:rsidR="00900060" w:rsidRPr="00900060">
        <w:rPr>
          <w:b/>
          <w:bCs/>
        </w:rPr>
        <w:t>approvisionnements</w:t>
      </w:r>
      <w:r w:rsidRPr="00900060">
        <w:rPr>
          <w:b/>
          <w:bCs/>
        </w:rPr>
        <w:t xml:space="preserve"> et des </w:t>
      </w:r>
      <w:r w:rsidR="00900060" w:rsidRPr="00900060">
        <w:rPr>
          <w:b/>
          <w:bCs/>
        </w:rPr>
        <w:t>ventes</w:t>
      </w:r>
      <w:r w:rsidRPr="00900060">
        <w:rPr>
          <w:b/>
          <w:bCs/>
        </w:rPr>
        <w:t xml:space="preserve"> du secteur </w:t>
      </w:r>
    </w:p>
    <w:p w:rsidR="00BD3C72" w:rsidRPr="00900060" w:rsidRDefault="00BD3C72" w:rsidP="00900060">
      <w:pPr>
        <w:jc w:val="center"/>
        <w:rPr>
          <w:b/>
          <w:bCs/>
        </w:rPr>
      </w:pPr>
      <w:r w:rsidRPr="00900060">
        <w:rPr>
          <w:b/>
          <w:bCs/>
        </w:rPr>
        <w:t>informel  en 2013 (en %)</w:t>
      </w:r>
    </w:p>
    <w:tbl>
      <w:tblPr>
        <w:tblW w:w="7229" w:type="dxa"/>
        <w:tblInd w:w="779" w:type="dxa"/>
        <w:tblCellMar>
          <w:left w:w="70" w:type="dxa"/>
          <w:right w:w="70" w:type="dxa"/>
        </w:tblCellMar>
        <w:tblLook w:val="04A0"/>
      </w:tblPr>
      <w:tblGrid>
        <w:gridCol w:w="2268"/>
        <w:gridCol w:w="2552"/>
        <w:gridCol w:w="2409"/>
      </w:tblGrid>
      <w:tr w:rsidR="00BD3C72" w:rsidRPr="00BD3C72" w:rsidTr="002F175C">
        <w:trPr>
          <w:trHeight w:val="315"/>
        </w:trPr>
        <w:tc>
          <w:tcPr>
            <w:tcW w:w="2268" w:type="dxa"/>
            <w:tcBorders>
              <w:top w:val="single" w:sz="8" w:space="0" w:color="auto"/>
              <w:left w:val="single" w:sz="12" w:space="0" w:color="auto"/>
              <w:bottom w:val="single" w:sz="8" w:space="0" w:color="auto"/>
              <w:right w:val="single" w:sz="12" w:space="0" w:color="auto"/>
            </w:tcBorders>
            <w:shd w:val="clear" w:color="000000" w:fill="D99795"/>
            <w:hideMark/>
          </w:tcPr>
          <w:p w:rsidR="00BD3C72" w:rsidRPr="00BD3C72" w:rsidRDefault="00BD3C72" w:rsidP="00BD3C72">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Secteur</w:t>
            </w:r>
          </w:p>
        </w:tc>
        <w:tc>
          <w:tcPr>
            <w:tcW w:w="2552" w:type="dxa"/>
            <w:tcBorders>
              <w:top w:val="single" w:sz="8" w:space="0" w:color="auto"/>
              <w:left w:val="single" w:sz="12" w:space="0" w:color="auto"/>
              <w:bottom w:val="single" w:sz="8" w:space="0" w:color="auto"/>
              <w:right w:val="single" w:sz="12" w:space="0" w:color="auto"/>
            </w:tcBorders>
            <w:shd w:val="clear" w:color="000000" w:fill="D99795"/>
            <w:hideMark/>
          </w:tcPr>
          <w:p w:rsidR="00BD3C72" w:rsidRPr="00BD3C72" w:rsidRDefault="00BD3C72" w:rsidP="00BD3C72">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Origine</w:t>
            </w:r>
          </w:p>
        </w:tc>
        <w:tc>
          <w:tcPr>
            <w:tcW w:w="2409" w:type="dxa"/>
            <w:tcBorders>
              <w:top w:val="single" w:sz="8" w:space="0" w:color="auto"/>
              <w:left w:val="single" w:sz="12" w:space="0" w:color="auto"/>
              <w:bottom w:val="single" w:sz="8" w:space="0" w:color="auto"/>
              <w:right w:val="single" w:sz="12" w:space="0" w:color="auto"/>
            </w:tcBorders>
            <w:shd w:val="clear" w:color="000000" w:fill="D99795"/>
            <w:hideMark/>
          </w:tcPr>
          <w:p w:rsidR="00BD3C72" w:rsidRPr="00BD3C72" w:rsidRDefault="00BD3C72" w:rsidP="00BD3C72">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Destination</w:t>
            </w:r>
          </w:p>
        </w:tc>
      </w:tr>
      <w:tr w:rsidR="00BD3C72" w:rsidRPr="00BD3C72" w:rsidTr="002F175C">
        <w:trPr>
          <w:trHeight w:val="480"/>
        </w:trPr>
        <w:tc>
          <w:tcPr>
            <w:tcW w:w="2268"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BD3C72">
            <w:pPr>
              <w:tabs>
                <w:tab w:val="clear" w:pos="720"/>
              </w:tabs>
              <w:autoSpaceDE/>
              <w:autoSpaceDN/>
              <w:adjustRightInd/>
              <w:spacing w:line="240" w:lineRule="auto"/>
              <w:rPr>
                <w:rFonts w:ascii="Arial" w:hAnsi="Arial" w:cs="Arial"/>
                <w:b/>
                <w:bCs/>
                <w:color w:val="000000"/>
                <w:sz w:val="21"/>
                <w:szCs w:val="21"/>
                <w:lang w:eastAsia="fr-FR"/>
              </w:rPr>
            </w:pPr>
            <w:r w:rsidRPr="00BD3C72">
              <w:rPr>
                <w:rFonts w:ascii="Arial" w:hAnsi="Arial" w:cs="Arial"/>
                <w:b/>
                <w:bCs/>
                <w:color w:val="000000"/>
                <w:sz w:val="21"/>
                <w:szCs w:val="21"/>
                <w:lang w:eastAsia="fr-FR"/>
              </w:rPr>
              <w:t>Secteur public</w:t>
            </w:r>
          </w:p>
        </w:tc>
        <w:tc>
          <w:tcPr>
            <w:tcW w:w="2552"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1,4</w:t>
            </w:r>
          </w:p>
        </w:tc>
        <w:tc>
          <w:tcPr>
            <w:tcW w:w="2409"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0,2</w:t>
            </w:r>
          </w:p>
        </w:tc>
      </w:tr>
      <w:tr w:rsidR="00BD3C72" w:rsidRPr="00BD3C72" w:rsidTr="002F175C">
        <w:trPr>
          <w:trHeight w:val="480"/>
        </w:trPr>
        <w:tc>
          <w:tcPr>
            <w:tcW w:w="2268"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BD3C72">
            <w:pPr>
              <w:tabs>
                <w:tab w:val="clear" w:pos="720"/>
              </w:tabs>
              <w:autoSpaceDE/>
              <w:autoSpaceDN/>
              <w:adjustRightInd/>
              <w:spacing w:line="240" w:lineRule="auto"/>
              <w:rPr>
                <w:rFonts w:ascii="Arial" w:hAnsi="Arial" w:cs="Arial"/>
                <w:b/>
                <w:bCs/>
                <w:color w:val="000000"/>
                <w:sz w:val="21"/>
                <w:szCs w:val="21"/>
                <w:lang w:eastAsia="fr-FR"/>
              </w:rPr>
            </w:pPr>
            <w:r w:rsidRPr="00BD3C72">
              <w:rPr>
                <w:rFonts w:ascii="Arial" w:hAnsi="Arial" w:cs="Arial"/>
                <w:b/>
                <w:bCs/>
                <w:color w:val="000000"/>
                <w:sz w:val="21"/>
                <w:szCs w:val="21"/>
                <w:lang w:eastAsia="fr-FR"/>
              </w:rPr>
              <w:t>Secteur formel</w:t>
            </w:r>
          </w:p>
        </w:tc>
        <w:tc>
          <w:tcPr>
            <w:tcW w:w="2552"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18,2</w:t>
            </w:r>
          </w:p>
        </w:tc>
        <w:tc>
          <w:tcPr>
            <w:tcW w:w="2409"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0,5</w:t>
            </w:r>
          </w:p>
        </w:tc>
      </w:tr>
      <w:tr w:rsidR="00BD3C72" w:rsidRPr="00BD3C72" w:rsidTr="002F175C">
        <w:trPr>
          <w:trHeight w:val="480"/>
        </w:trPr>
        <w:tc>
          <w:tcPr>
            <w:tcW w:w="2268"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BD3C72">
            <w:pPr>
              <w:tabs>
                <w:tab w:val="clear" w:pos="720"/>
              </w:tabs>
              <w:autoSpaceDE/>
              <w:autoSpaceDN/>
              <w:adjustRightInd/>
              <w:spacing w:line="240" w:lineRule="auto"/>
              <w:rPr>
                <w:rFonts w:ascii="Arial" w:hAnsi="Arial" w:cs="Arial"/>
                <w:b/>
                <w:bCs/>
                <w:color w:val="000000"/>
                <w:sz w:val="21"/>
                <w:szCs w:val="21"/>
                <w:lang w:eastAsia="fr-FR"/>
              </w:rPr>
            </w:pPr>
            <w:r w:rsidRPr="00BD3C72">
              <w:rPr>
                <w:rFonts w:ascii="Arial" w:hAnsi="Arial" w:cs="Arial"/>
                <w:b/>
                <w:bCs/>
                <w:color w:val="000000"/>
                <w:sz w:val="21"/>
                <w:szCs w:val="21"/>
                <w:lang w:eastAsia="fr-FR"/>
              </w:rPr>
              <w:t>Secteur informel</w:t>
            </w:r>
          </w:p>
        </w:tc>
        <w:tc>
          <w:tcPr>
            <w:tcW w:w="2552"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70,9</w:t>
            </w:r>
          </w:p>
        </w:tc>
        <w:tc>
          <w:tcPr>
            <w:tcW w:w="2409"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21,3</w:t>
            </w:r>
          </w:p>
        </w:tc>
      </w:tr>
      <w:tr w:rsidR="00BD3C72" w:rsidRPr="00BD3C72" w:rsidTr="002F175C">
        <w:trPr>
          <w:trHeight w:val="480"/>
        </w:trPr>
        <w:tc>
          <w:tcPr>
            <w:tcW w:w="2268"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BD3C72">
            <w:pPr>
              <w:tabs>
                <w:tab w:val="clear" w:pos="720"/>
              </w:tabs>
              <w:autoSpaceDE/>
              <w:autoSpaceDN/>
              <w:adjustRightInd/>
              <w:spacing w:line="240" w:lineRule="auto"/>
              <w:rPr>
                <w:rFonts w:ascii="Arial" w:hAnsi="Arial" w:cs="Arial"/>
                <w:b/>
                <w:bCs/>
                <w:color w:val="000000"/>
                <w:sz w:val="21"/>
                <w:szCs w:val="21"/>
                <w:lang w:eastAsia="fr-FR"/>
              </w:rPr>
            </w:pPr>
            <w:r w:rsidRPr="00BD3C72">
              <w:rPr>
                <w:rFonts w:ascii="Arial" w:hAnsi="Arial" w:cs="Arial"/>
                <w:b/>
                <w:bCs/>
                <w:color w:val="000000"/>
                <w:sz w:val="21"/>
                <w:szCs w:val="21"/>
                <w:lang w:eastAsia="fr-FR"/>
              </w:rPr>
              <w:t>Ménages</w:t>
            </w:r>
          </w:p>
        </w:tc>
        <w:tc>
          <w:tcPr>
            <w:tcW w:w="2552"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7</w:t>
            </w:r>
          </w:p>
        </w:tc>
        <w:tc>
          <w:tcPr>
            <w:tcW w:w="2409"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77,8</w:t>
            </w:r>
          </w:p>
        </w:tc>
      </w:tr>
      <w:tr w:rsidR="00BD3C72" w:rsidRPr="00BD3C72" w:rsidTr="002F175C">
        <w:trPr>
          <w:trHeight w:val="480"/>
        </w:trPr>
        <w:tc>
          <w:tcPr>
            <w:tcW w:w="2268"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BD3C72">
            <w:pPr>
              <w:tabs>
                <w:tab w:val="clear" w:pos="720"/>
              </w:tabs>
              <w:autoSpaceDE/>
              <w:autoSpaceDN/>
              <w:adjustRightInd/>
              <w:spacing w:line="240" w:lineRule="auto"/>
              <w:rPr>
                <w:rFonts w:ascii="Arial" w:hAnsi="Arial" w:cs="Arial"/>
                <w:b/>
                <w:bCs/>
                <w:color w:val="000000"/>
                <w:sz w:val="21"/>
                <w:szCs w:val="21"/>
                <w:lang w:eastAsia="fr-FR"/>
              </w:rPr>
            </w:pPr>
            <w:r w:rsidRPr="00BD3C72">
              <w:rPr>
                <w:rFonts w:ascii="Arial" w:hAnsi="Arial" w:cs="Arial"/>
                <w:b/>
                <w:bCs/>
                <w:color w:val="000000"/>
                <w:sz w:val="21"/>
                <w:szCs w:val="21"/>
                <w:lang w:eastAsia="fr-FR"/>
              </w:rPr>
              <w:t xml:space="preserve">Exportations </w:t>
            </w:r>
          </w:p>
        </w:tc>
        <w:tc>
          <w:tcPr>
            <w:tcW w:w="2552"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0</w:t>
            </w:r>
          </w:p>
        </w:tc>
        <w:tc>
          <w:tcPr>
            <w:tcW w:w="2409"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0,2</w:t>
            </w:r>
          </w:p>
        </w:tc>
      </w:tr>
      <w:tr w:rsidR="00BD3C72" w:rsidRPr="00BD3C72" w:rsidTr="002F175C">
        <w:trPr>
          <w:trHeight w:val="480"/>
        </w:trPr>
        <w:tc>
          <w:tcPr>
            <w:tcW w:w="2268"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BD3C72">
            <w:pPr>
              <w:tabs>
                <w:tab w:val="clear" w:pos="720"/>
              </w:tabs>
              <w:autoSpaceDE/>
              <w:autoSpaceDN/>
              <w:adjustRightInd/>
              <w:spacing w:line="240" w:lineRule="auto"/>
              <w:rPr>
                <w:rFonts w:ascii="Arial" w:hAnsi="Arial" w:cs="Arial"/>
                <w:b/>
                <w:bCs/>
                <w:color w:val="000000"/>
                <w:sz w:val="21"/>
                <w:szCs w:val="21"/>
                <w:lang w:eastAsia="fr-FR"/>
              </w:rPr>
            </w:pPr>
            <w:r w:rsidRPr="00BD3C72">
              <w:rPr>
                <w:rFonts w:ascii="Arial" w:hAnsi="Arial" w:cs="Arial"/>
                <w:b/>
                <w:bCs/>
                <w:color w:val="000000"/>
                <w:sz w:val="21"/>
                <w:szCs w:val="21"/>
                <w:lang w:eastAsia="fr-FR"/>
              </w:rPr>
              <w:t xml:space="preserve">Importations </w:t>
            </w:r>
          </w:p>
        </w:tc>
        <w:tc>
          <w:tcPr>
            <w:tcW w:w="2552"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0,2</w:t>
            </w:r>
          </w:p>
        </w:tc>
        <w:tc>
          <w:tcPr>
            <w:tcW w:w="2409"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0</w:t>
            </w:r>
          </w:p>
        </w:tc>
      </w:tr>
      <w:tr w:rsidR="00BD3C72" w:rsidRPr="00BD3C72" w:rsidTr="002F175C">
        <w:trPr>
          <w:trHeight w:val="480"/>
        </w:trPr>
        <w:tc>
          <w:tcPr>
            <w:tcW w:w="2268"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BD3C72">
            <w:pPr>
              <w:tabs>
                <w:tab w:val="clear" w:pos="720"/>
              </w:tabs>
              <w:autoSpaceDE/>
              <w:autoSpaceDN/>
              <w:adjustRightInd/>
              <w:spacing w:line="240" w:lineRule="auto"/>
              <w:rPr>
                <w:rFonts w:ascii="Arial" w:hAnsi="Arial" w:cs="Arial"/>
                <w:b/>
                <w:bCs/>
                <w:color w:val="000000"/>
                <w:sz w:val="21"/>
                <w:szCs w:val="21"/>
                <w:lang w:eastAsia="fr-FR"/>
              </w:rPr>
            </w:pPr>
            <w:r w:rsidRPr="00BD3C72">
              <w:rPr>
                <w:rFonts w:ascii="Arial" w:hAnsi="Arial" w:cs="Arial"/>
                <w:b/>
                <w:bCs/>
                <w:color w:val="000000"/>
                <w:sz w:val="21"/>
                <w:szCs w:val="21"/>
                <w:lang w:eastAsia="fr-FR"/>
              </w:rPr>
              <w:t>Autre</w:t>
            </w:r>
          </w:p>
        </w:tc>
        <w:tc>
          <w:tcPr>
            <w:tcW w:w="2552"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2,3</w:t>
            </w:r>
          </w:p>
        </w:tc>
        <w:tc>
          <w:tcPr>
            <w:tcW w:w="2409" w:type="dxa"/>
            <w:tcBorders>
              <w:top w:val="nil"/>
              <w:left w:val="single" w:sz="12" w:space="0" w:color="auto"/>
              <w:bottom w:val="single" w:sz="8"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0</w:t>
            </w:r>
          </w:p>
        </w:tc>
      </w:tr>
      <w:tr w:rsidR="00BD3C72" w:rsidRPr="00BD3C72" w:rsidTr="002F175C">
        <w:trPr>
          <w:trHeight w:val="480"/>
        </w:trPr>
        <w:tc>
          <w:tcPr>
            <w:tcW w:w="2268" w:type="dxa"/>
            <w:tcBorders>
              <w:top w:val="nil"/>
              <w:left w:val="single" w:sz="12" w:space="0" w:color="auto"/>
              <w:bottom w:val="single" w:sz="12" w:space="0" w:color="auto"/>
              <w:right w:val="single" w:sz="12" w:space="0" w:color="auto"/>
            </w:tcBorders>
            <w:shd w:val="clear" w:color="auto" w:fill="auto"/>
            <w:hideMark/>
          </w:tcPr>
          <w:p w:rsidR="00BD3C72" w:rsidRPr="00BD3C72" w:rsidRDefault="00BD3C72" w:rsidP="00BD3C72">
            <w:pPr>
              <w:tabs>
                <w:tab w:val="clear" w:pos="720"/>
              </w:tabs>
              <w:autoSpaceDE/>
              <w:autoSpaceDN/>
              <w:adjustRightInd/>
              <w:spacing w:line="240" w:lineRule="auto"/>
              <w:rPr>
                <w:rFonts w:ascii="Arial" w:hAnsi="Arial" w:cs="Arial"/>
                <w:b/>
                <w:bCs/>
                <w:color w:val="000000"/>
                <w:sz w:val="21"/>
                <w:szCs w:val="21"/>
                <w:lang w:eastAsia="fr-FR"/>
              </w:rPr>
            </w:pPr>
            <w:r w:rsidRPr="00BD3C72">
              <w:rPr>
                <w:rFonts w:ascii="Arial" w:hAnsi="Arial" w:cs="Arial"/>
                <w:b/>
                <w:bCs/>
                <w:color w:val="000000"/>
                <w:sz w:val="21"/>
                <w:szCs w:val="21"/>
                <w:lang w:eastAsia="fr-FR"/>
              </w:rPr>
              <w:t>Total</w:t>
            </w:r>
          </w:p>
        </w:tc>
        <w:tc>
          <w:tcPr>
            <w:tcW w:w="2552" w:type="dxa"/>
            <w:tcBorders>
              <w:top w:val="nil"/>
              <w:left w:val="single" w:sz="12" w:space="0" w:color="auto"/>
              <w:bottom w:val="single" w:sz="12"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100</w:t>
            </w:r>
          </w:p>
        </w:tc>
        <w:tc>
          <w:tcPr>
            <w:tcW w:w="2409" w:type="dxa"/>
            <w:tcBorders>
              <w:top w:val="nil"/>
              <w:left w:val="single" w:sz="12" w:space="0" w:color="auto"/>
              <w:bottom w:val="single" w:sz="12" w:space="0" w:color="auto"/>
              <w:right w:val="single" w:sz="12" w:space="0" w:color="auto"/>
            </w:tcBorders>
            <w:shd w:val="clear" w:color="auto" w:fill="auto"/>
            <w:hideMark/>
          </w:tcPr>
          <w:p w:rsidR="00BD3C72" w:rsidRPr="00BD3C72" w:rsidRDefault="00BD3C72" w:rsidP="002F175C">
            <w:pPr>
              <w:tabs>
                <w:tab w:val="clear" w:pos="720"/>
              </w:tabs>
              <w:autoSpaceDE/>
              <w:autoSpaceDN/>
              <w:adjustRightInd/>
              <w:spacing w:line="240" w:lineRule="auto"/>
              <w:jc w:val="center"/>
              <w:rPr>
                <w:rFonts w:ascii="Arial" w:hAnsi="Arial" w:cs="Arial"/>
                <w:b/>
                <w:bCs/>
                <w:color w:val="000000"/>
                <w:sz w:val="21"/>
                <w:szCs w:val="21"/>
                <w:lang w:eastAsia="fr-FR"/>
              </w:rPr>
            </w:pPr>
            <w:r w:rsidRPr="00BD3C72">
              <w:rPr>
                <w:rFonts w:ascii="Arial" w:hAnsi="Arial" w:cs="Arial"/>
                <w:b/>
                <w:bCs/>
                <w:color w:val="000000"/>
                <w:sz w:val="21"/>
                <w:szCs w:val="21"/>
                <w:lang w:eastAsia="fr-FR"/>
              </w:rPr>
              <w:t>100</w:t>
            </w:r>
          </w:p>
        </w:tc>
      </w:tr>
    </w:tbl>
    <w:p w:rsidR="00BD3C72" w:rsidRPr="007A5D10" w:rsidRDefault="00900060" w:rsidP="00BD3C72">
      <w:r>
        <w:rPr>
          <w:rFonts w:asciiTheme="minorHAnsi" w:hAnsiTheme="minorHAnsi" w:cstheme="minorHAnsi"/>
          <w:b/>
          <w:bCs/>
          <w:color w:val="000000"/>
          <w:lang w:eastAsia="fr-FR"/>
        </w:rPr>
        <w:t xml:space="preserve">              </w:t>
      </w:r>
      <w:r w:rsidRPr="00BD3C72">
        <w:rPr>
          <w:rFonts w:asciiTheme="minorHAnsi" w:hAnsiTheme="minorHAnsi" w:cstheme="minorHAnsi"/>
          <w:b/>
          <w:bCs/>
          <w:color w:val="000000"/>
          <w:lang w:eastAsia="fr-FR"/>
        </w:rPr>
        <w:t>Source : HCP</w:t>
      </w:r>
    </w:p>
    <w:p w:rsidR="008630B5" w:rsidRDefault="008630B5" w:rsidP="00DD72E6"/>
    <w:p w:rsidR="00F533BE" w:rsidRDefault="00F533BE" w:rsidP="00DD72E6"/>
    <w:p w:rsidR="00DB1C5C" w:rsidRPr="00DB1C5C" w:rsidRDefault="00DB1C5C" w:rsidP="00DB1C5C"/>
    <w:p w:rsidR="0065259E" w:rsidRPr="000A25DA" w:rsidRDefault="0098027E" w:rsidP="000A25DA">
      <w:pPr>
        <w:pStyle w:val="Paragraphedeliste"/>
        <w:numPr>
          <w:ilvl w:val="0"/>
          <w:numId w:val="11"/>
        </w:numPr>
        <w:rPr>
          <w:b/>
          <w:bCs/>
          <w:color w:val="993366"/>
        </w:rPr>
      </w:pPr>
      <w:r w:rsidRPr="000A25DA">
        <w:rPr>
          <w:b/>
          <w:bCs/>
          <w:color w:val="993366"/>
        </w:rPr>
        <w:lastRenderedPageBreak/>
        <w:t xml:space="preserve">Poids économique du secteur informel </w:t>
      </w:r>
      <w:r w:rsidR="006E4ACF" w:rsidRPr="000A25DA">
        <w:rPr>
          <w:b/>
          <w:bCs/>
          <w:color w:val="993366"/>
        </w:rPr>
        <w:t>dans l’économie nationale</w:t>
      </w:r>
    </w:p>
    <w:p w:rsidR="0098027E" w:rsidRPr="007A5D10" w:rsidRDefault="0098027E" w:rsidP="00CB2367"/>
    <w:p w:rsidR="00D14699" w:rsidRPr="007A5D10" w:rsidRDefault="000A25DA" w:rsidP="00F242A5">
      <w:r>
        <w:tab/>
      </w:r>
      <w:r w:rsidR="00D14699">
        <w:t xml:space="preserve">En 2013, </w:t>
      </w:r>
      <w:r w:rsidR="00D14699" w:rsidRPr="007A5D10">
        <w:t xml:space="preserve">les unités informelles </w:t>
      </w:r>
      <w:r w:rsidR="00D14699">
        <w:t xml:space="preserve">ont investi </w:t>
      </w:r>
      <w:r w:rsidR="00D14699" w:rsidRPr="007A5D10">
        <w:t xml:space="preserve"> </w:t>
      </w:r>
      <w:r w:rsidR="00D14699">
        <w:t xml:space="preserve">pour </w:t>
      </w:r>
      <w:r w:rsidR="00D14699" w:rsidRPr="007A5D10">
        <w:t>3</w:t>
      </w:r>
      <w:r w:rsidR="00F242A5" w:rsidRPr="00E527B5">
        <w:t>,</w:t>
      </w:r>
      <w:r w:rsidR="00D14699" w:rsidRPr="007A5D10">
        <w:t xml:space="preserve"> 366 </w:t>
      </w:r>
      <w:r w:rsidR="00F242A5">
        <w:t>milliards</w:t>
      </w:r>
      <w:r w:rsidR="00D14699" w:rsidRPr="007A5D10">
        <w:t xml:space="preserve"> de DH, contre 2</w:t>
      </w:r>
      <w:r w:rsidR="00F242A5" w:rsidRPr="00E527B5">
        <w:t>,</w:t>
      </w:r>
      <w:r w:rsidR="00D14699" w:rsidRPr="007A5D10">
        <w:t xml:space="preserve"> 741 </w:t>
      </w:r>
      <w:r w:rsidR="00F242A5">
        <w:t>milliards</w:t>
      </w:r>
      <w:r w:rsidR="00D14699" w:rsidRPr="007A5D10">
        <w:t xml:space="preserve"> de DH en 2007, affichant ainsi une hausse annuelle moyenne de 3,2%. </w:t>
      </w:r>
      <w:r w:rsidR="00D14699">
        <w:t>Elles</w:t>
      </w:r>
      <w:r w:rsidR="00D14699" w:rsidRPr="007A5D10">
        <w:t xml:space="preserve"> ont participé pour 1,1% de la formation brute du capital au niveau national en 2013 au lieu de 1,2 % en 2007. </w:t>
      </w:r>
      <w:r w:rsidR="00D14699">
        <w:t>Ces investissements proviennent</w:t>
      </w:r>
      <w:r w:rsidR="00D14699" w:rsidRPr="007A5D10">
        <w:t xml:space="preserve"> </w:t>
      </w:r>
      <w:r w:rsidR="00D14699">
        <w:t xml:space="preserve">pour </w:t>
      </w:r>
      <w:r w:rsidR="00D14699" w:rsidRPr="007A5D10">
        <w:t>49,2%</w:t>
      </w:r>
      <w:r w:rsidR="00D14699">
        <w:t xml:space="preserve"> des UPI relevant des services</w:t>
      </w:r>
      <w:r w:rsidR="00D14699" w:rsidRPr="007A5D10">
        <w:t>,</w:t>
      </w:r>
      <w:r w:rsidR="00D14699">
        <w:t xml:space="preserve"> </w:t>
      </w:r>
      <w:r w:rsidR="00D14699" w:rsidRPr="007A5D10">
        <w:t xml:space="preserve">  </w:t>
      </w:r>
      <w:r w:rsidR="00D14699">
        <w:t xml:space="preserve">pour </w:t>
      </w:r>
      <w:r w:rsidR="00D14699" w:rsidRPr="007A5D10">
        <w:t>33,3%</w:t>
      </w:r>
      <w:r w:rsidR="00D14699">
        <w:t xml:space="preserve"> du </w:t>
      </w:r>
      <w:r w:rsidR="00D14699" w:rsidRPr="007A5D10">
        <w:t xml:space="preserve">commerce, </w:t>
      </w:r>
      <w:r w:rsidR="00D14699">
        <w:t xml:space="preserve">pour </w:t>
      </w:r>
      <w:r w:rsidR="00D14699" w:rsidRPr="007A5D10">
        <w:t>12,2%</w:t>
      </w:r>
      <w:r w:rsidR="00D14699">
        <w:t xml:space="preserve"> de </w:t>
      </w:r>
      <w:r w:rsidR="00D14699" w:rsidRPr="007A5D10">
        <w:t xml:space="preserve">l’industrie et </w:t>
      </w:r>
      <w:r w:rsidR="00D14699">
        <w:t xml:space="preserve">pour </w:t>
      </w:r>
      <w:r w:rsidR="00D14699" w:rsidRPr="007A5D10">
        <w:t>5,3%</w:t>
      </w:r>
      <w:r w:rsidR="00D14699">
        <w:t xml:space="preserve"> du BTP.</w:t>
      </w:r>
    </w:p>
    <w:p w:rsidR="00D14699" w:rsidRPr="007A5D10" w:rsidRDefault="00D14699" w:rsidP="00D14699"/>
    <w:p w:rsidR="00BD3C72" w:rsidRDefault="00D14699" w:rsidP="00F533BE">
      <w:r w:rsidRPr="007A5D10">
        <w:tab/>
      </w:r>
      <w:r>
        <w:t>En 2013,</w:t>
      </w:r>
      <w:r w:rsidRPr="000B3085">
        <w:t xml:space="preserve"> </w:t>
      </w:r>
      <w:r>
        <w:t>l</w:t>
      </w:r>
      <w:r w:rsidRPr="007A5D10">
        <w:t xml:space="preserve">e volume de l’emploi dans le secteur informel est </w:t>
      </w:r>
      <w:r w:rsidRPr="00E527B5">
        <w:t xml:space="preserve">de 2,376 millions au lieu 2,216 </w:t>
      </w:r>
      <w:r>
        <w:t>millions de postes en 2007</w:t>
      </w:r>
      <w:r w:rsidRPr="00E527B5">
        <w:t>, en progressio</w:t>
      </w:r>
      <w:r>
        <w:t xml:space="preserve">n annuelle de 24,6 mille postes et représentant </w:t>
      </w:r>
      <w:r w:rsidRPr="00E527B5">
        <w:t xml:space="preserve">36,3% </w:t>
      </w:r>
      <w:r>
        <w:t>de</w:t>
      </w:r>
      <w:r w:rsidRPr="00E527B5">
        <w:t xml:space="preserve"> l'emploi n</w:t>
      </w:r>
      <w:r>
        <w:t xml:space="preserve">on-agricole global </w:t>
      </w:r>
      <w:r w:rsidRPr="00E527B5">
        <w:t xml:space="preserve">en baisse de 1 point par rapport à 2007. </w:t>
      </w:r>
      <w:r>
        <w:t xml:space="preserve">Cette </w:t>
      </w:r>
      <w:r w:rsidRPr="00A77AE2">
        <w:t xml:space="preserve">diminution est </w:t>
      </w:r>
      <w:r>
        <w:t>plus remarquée</w:t>
      </w:r>
      <w:r w:rsidRPr="00A77AE2">
        <w:t xml:space="preserve"> dans le secteur commercial dont la part de l’emploi provenant du secteur informel est passée de 81,1% à 68,4%. Les autres secteurs ont enregistré une tendance inverse, la part de l’informel dans l’emploi global du secteur du BTP est passée de 17% à 21,7%,  celle de l’industrie est passée de 34,5% à 37,2% et des services est passée de 18,6% 21,5%.</w:t>
      </w:r>
    </w:p>
    <w:p w:rsidR="00BD3C72" w:rsidRDefault="00BD3C72" w:rsidP="00D14699"/>
    <w:p w:rsidR="00BD3C72" w:rsidRPr="00BD3C72" w:rsidRDefault="00BD3C72" w:rsidP="00BD3C72">
      <w:pPr>
        <w:jc w:val="center"/>
        <w:rPr>
          <w:rFonts w:asciiTheme="minorHAnsi" w:hAnsiTheme="minorHAnsi" w:cstheme="minorHAnsi"/>
        </w:rPr>
      </w:pPr>
      <w:r w:rsidRPr="00BD3C72">
        <w:rPr>
          <w:rFonts w:asciiTheme="minorHAnsi" w:hAnsiTheme="minorHAnsi" w:cstheme="minorHAnsi"/>
          <w:b/>
          <w:bCs/>
        </w:rPr>
        <w:t>Evolution du volume de l’emploi dans le secteur informel entre 2007 et 2013</w:t>
      </w:r>
    </w:p>
    <w:tbl>
      <w:tblPr>
        <w:tblW w:w="8636" w:type="dxa"/>
        <w:jc w:val="center"/>
        <w:tblInd w:w="55" w:type="dxa"/>
        <w:tblCellMar>
          <w:left w:w="70" w:type="dxa"/>
          <w:right w:w="70" w:type="dxa"/>
        </w:tblCellMar>
        <w:tblLook w:val="04A0"/>
      </w:tblPr>
      <w:tblGrid>
        <w:gridCol w:w="924"/>
        <w:gridCol w:w="1210"/>
        <w:gridCol w:w="1966"/>
        <w:gridCol w:w="2116"/>
        <w:gridCol w:w="2420"/>
      </w:tblGrid>
      <w:tr w:rsidR="00BD3C72" w:rsidRPr="00BD3C72" w:rsidTr="00A04035">
        <w:trPr>
          <w:trHeight w:val="1154"/>
          <w:jc w:val="center"/>
        </w:trPr>
        <w:tc>
          <w:tcPr>
            <w:tcW w:w="924" w:type="dxa"/>
            <w:tcBorders>
              <w:top w:val="single" w:sz="12" w:space="0" w:color="auto"/>
              <w:left w:val="single" w:sz="12" w:space="0" w:color="auto"/>
              <w:bottom w:val="single" w:sz="12" w:space="0" w:color="auto"/>
              <w:right w:val="single" w:sz="12" w:space="0" w:color="auto"/>
            </w:tcBorders>
            <w:shd w:val="clear" w:color="auto" w:fill="FABF8F" w:themeFill="accent6" w:themeFillTint="99"/>
            <w:vAlign w:val="center"/>
            <w:hideMark/>
          </w:tcPr>
          <w:p w:rsidR="00BD3C72" w:rsidRPr="00BD3C72" w:rsidRDefault="00BD3C72" w:rsidP="00D010C3">
            <w:pPr>
              <w:rPr>
                <w:rFonts w:asciiTheme="minorHAnsi" w:hAnsiTheme="minorHAnsi" w:cstheme="minorHAnsi"/>
                <w:b/>
                <w:bCs/>
                <w:color w:val="000000"/>
                <w:lang w:eastAsia="fr-FR"/>
              </w:rPr>
            </w:pPr>
            <w:r w:rsidRPr="00BD3C72">
              <w:rPr>
                <w:rFonts w:asciiTheme="minorHAnsi" w:hAnsiTheme="minorHAnsi" w:cstheme="minorHAnsi"/>
                <w:b/>
                <w:bCs/>
                <w:color w:val="000000"/>
                <w:lang w:eastAsia="fr-FR"/>
              </w:rPr>
              <w:t>Années</w:t>
            </w:r>
          </w:p>
        </w:tc>
        <w:tc>
          <w:tcPr>
            <w:tcW w:w="1210" w:type="dxa"/>
            <w:tcBorders>
              <w:top w:val="single" w:sz="12" w:space="0" w:color="auto"/>
              <w:left w:val="single" w:sz="12" w:space="0" w:color="auto"/>
              <w:bottom w:val="single" w:sz="12" w:space="0" w:color="auto"/>
              <w:right w:val="single" w:sz="12" w:space="0" w:color="auto"/>
            </w:tcBorders>
            <w:shd w:val="clear" w:color="auto" w:fill="FABF8F" w:themeFill="accent6" w:themeFillTint="99"/>
            <w:vAlign w:val="center"/>
            <w:hideMark/>
          </w:tcPr>
          <w:p w:rsidR="00BD3C72" w:rsidRPr="00BD3C72" w:rsidRDefault="00BD3C72" w:rsidP="00D010C3">
            <w:pPr>
              <w:rPr>
                <w:rFonts w:asciiTheme="minorHAnsi" w:hAnsiTheme="minorHAnsi" w:cstheme="minorHAnsi"/>
                <w:b/>
                <w:bCs/>
                <w:color w:val="000000"/>
                <w:lang w:eastAsia="fr-FR"/>
              </w:rPr>
            </w:pPr>
            <w:r w:rsidRPr="00BD3C72">
              <w:rPr>
                <w:rFonts w:asciiTheme="minorHAnsi" w:hAnsiTheme="minorHAnsi" w:cstheme="minorHAnsi"/>
                <w:b/>
                <w:bCs/>
                <w:color w:val="000000"/>
                <w:lang w:eastAsia="fr-FR"/>
              </w:rPr>
              <w:t>Secteur</w:t>
            </w:r>
          </w:p>
        </w:tc>
        <w:tc>
          <w:tcPr>
            <w:tcW w:w="1966" w:type="dxa"/>
            <w:tcBorders>
              <w:top w:val="single" w:sz="12" w:space="0" w:color="auto"/>
              <w:left w:val="single" w:sz="12" w:space="0" w:color="auto"/>
              <w:bottom w:val="single" w:sz="12" w:space="0" w:color="auto"/>
              <w:right w:val="single" w:sz="12" w:space="0" w:color="auto"/>
            </w:tcBorders>
            <w:shd w:val="clear" w:color="auto" w:fill="FABF8F" w:themeFill="accent6" w:themeFillTint="99"/>
            <w:vAlign w:val="center"/>
            <w:hideMark/>
          </w:tcPr>
          <w:p w:rsidR="00BD3C72" w:rsidRPr="00BD3C72" w:rsidRDefault="00BD3C72" w:rsidP="00D010C3">
            <w:pPr>
              <w:jc w:val="center"/>
              <w:rPr>
                <w:rFonts w:asciiTheme="minorHAnsi" w:hAnsiTheme="minorHAnsi" w:cstheme="minorHAnsi"/>
                <w:b/>
                <w:bCs/>
                <w:color w:val="000000"/>
                <w:lang w:eastAsia="fr-FR"/>
              </w:rPr>
            </w:pPr>
            <w:r w:rsidRPr="00BD3C72">
              <w:rPr>
                <w:rFonts w:asciiTheme="minorHAnsi" w:hAnsiTheme="minorHAnsi" w:cstheme="minorHAnsi"/>
                <w:b/>
                <w:bCs/>
                <w:color w:val="000000"/>
                <w:lang w:eastAsia="fr-FR"/>
              </w:rPr>
              <w:t>Volume de l'emploi dans le secteur informel en effectif</w:t>
            </w:r>
          </w:p>
        </w:tc>
        <w:tc>
          <w:tcPr>
            <w:tcW w:w="2116" w:type="dxa"/>
            <w:tcBorders>
              <w:top w:val="single" w:sz="12" w:space="0" w:color="auto"/>
              <w:left w:val="single" w:sz="12" w:space="0" w:color="auto"/>
              <w:bottom w:val="single" w:sz="12" w:space="0" w:color="auto"/>
              <w:right w:val="single" w:sz="4" w:space="0" w:color="auto"/>
            </w:tcBorders>
            <w:shd w:val="clear" w:color="auto" w:fill="FABF8F" w:themeFill="accent6" w:themeFillTint="99"/>
            <w:vAlign w:val="center"/>
            <w:hideMark/>
          </w:tcPr>
          <w:p w:rsidR="00BD3C72" w:rsidRPr="00BD3C72" w:rsidRDefault="00BD3C72" w:rsidP="00D010C3">
            <w:pPr>
              <w:jc w:val="center"/>
              <w:rPr>
                <w:rFonts w:asciiTheme="minorHAnsi" w:hAnsiTheme="minorHAnsi" w:cstheme="minorHAnsi"/>
                <w:b/>
                <w:bCs/>
                <w:color w:val="000000"/>
                <w:lang w:eastAsia="fr-FR"/>
              </w:rPr>
            </w:pPr>
            <w:r w:rsidRPr="00BD3C72">
              <w:rPr>
                <w:rFonts w:asciiTheme="minorHAnsi" w:hAnsiTheme="minorHAnsi" w:cstheme="minorHAnsi"/>
                <w:b/>
                <w:bCs/>
                <w:color w:val="000000"/>
                <w:lang w:eastAsia="fr-FR"/>
              </w:rPr>
              <w:t>Volume de l'emploi dans l'informel en %</w:t>
            </w:r>
          </w:p>
        </w:tc>
        <w:tc>
          <w:tcPr>
            <w:tcW w:w="2420" w:type="dxa"/>
            <w:tcBorders>
              <w:top w:val="single" w:sz="12" w:space="0" w:color="auto"/>
              <w:left w:val="nil"/>
              <w:bottom w:val="single" w:sz="12" w:space="0" w:color="auto"/>
              <w:right w:val="single" w:sz="12" w:space="0" w:color="auto"/>
            </w:tcBorders>
            <w:shd w:val="clear" w:color="auto" w:fill="FABF8F" w:themeFill="accent6" w:themeFillTint="99"/>
            <w:vAlign w:val="center"/>
            <w:hideMark/>
          </w:tcPr>
          <w:p w:rsidR="00BD3C72" w:rsidRPr="00BD3C72" w:rsidRDefault="00BD3C72" w:rsidP="00D010C3">
            <w:pPr>
              <w:jc w:val="center"/>
              <w:rPr>
                <w:rFonts w:asciiTheme="minorHAnsi" w:hAnsiTheme="minorHAnsi" w:cstheme="minorHAnsi"/>
                <w:b/>
                <w:bCs/>
                <w:color w:val="000000"/>
                <w:lang w:eastAsia="fr-FR"/>
              </w:rPr>
            </w:pPr>
            <w:r w:rsidRPr="00BD3C72">
              <w:rPr>
                <w:rFonts w:asciiTheme="minorHAnsi" w:hAnsiTheme="minorHAnsi" w:cstheme="minorHAnsi"/>
                <w:b/>
                <w:bCs/>
                <w:color w:val="000000"/>
                <w:lang w:eastAsia="fr-FR"/>
              </w:rPr>
              <w:t>Part de l'emploi de l'informel dans l'emploi non agricole total (en%)</w:t>
            </w:r>
          </w:p>
        </w:tc>
      </w:tr>
      <w:tr w:rsidR="00BD3C72" w:rsidRPr="00BD3C72" w:rsidTr="00A04035">
        <w:trPr>
          <w:trHeight w:val="292"/>
          <w:jc w:val="center"/>
        </w:trPr>
        <w:tc>
          <w:tcPr>
            <w:tcW w:w="924" w:type="dxa"/>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b/>
                <w:bCs/>
                <w:color w:val="000000"/>
                <w:lang w:eastAsia="fr-FR"/>
              </w:rPr>
            </w:pPr>
            <w:r w:rsidRPr="00BD3C72">
              <w:rPr>
                <w:rFonts w:asciiTheme="minorHAnsi" w:hAnsiTheme="minorHAnsi" w:cstheme="minorHAnsi"/>
                <w:b/>
                <w:bCs/>
                <w:color w:val="000000"/>
                <w:lang w:eastAsia="fr-FR"/>
              </w:rPr>
              <w:t>2007</w:t>
            </w:r>
          </w:p>
        </w:tc>
        <w:tc>
          <w:tcPr>
            <w:tcW w:w="1210"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BTP</w:t>
            </w:r>
          </w:p>
        </w:tc>
        <w:tc>
          <w:tcPr>
            <w:tcW w:w="1966" w:type="dxa"/>
            <w:tcBorders>
              <w:top w:val="single" w:sz="12" w:space="0" w:color="auto"/>
              <w:left w:val="single" w:sz="12" w:space="0" w:color="auto"/>
              <w:bottom w:val="single" w:sz="4"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142 936</w:t>
            </w:r>
          </w:p>
        </w:tc>
        <w:tc>
          <w:tcPr>
            <w:tcW w:w="2116"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6,4</w:t>
            </w:r>
          </w:p>
        </w:tc>
        <w:tc>
          <w:tcPr>
            <w:tcW w:w="2420" w:type="dxa"/>
            <w:tcBorders>
              <w:top w:val="single" w:sz="12" w:space="0" w:color="auto"/>
              <w:left w:val="nil"/>
              <w:bottom w:val="single" w:sz="4" w:space="0" w:color="auto"/>
              <w:right w:val="single" w:sz="12"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17,0</w:t>
            </w:r>
          </w:p>
        </w:tc>
      </w:tr>
      <w:tr w:rsidR="00BD3C72" w:rsidRPr="00BD3C72" w:rsidTr="00A04035">
        <w:trPr>
          <w:trHeight w:val="292"/>
          <w:jc w:val="center"/>
        </w:trPr>
        <w:tc>
          <w:tcPr>
            <w:tcW w:w="924" w:type="dxa"/>
            <w:vMerge/>
            <w:tcBorders>
              <w:top w:val="nil"/>
              <w:left w:val="single" w:sz="12" w:space="0" w:color="auto"/>
              <w:bottom w:val="single" w:sz="4" w:space="0" w:color="auto"/>
              <w:right w:val="single" w:sz="12" w:space="0" w:color="auto"/>
            </w:tcBorders>
            <w:vAlign w:val="center"/>
            <w:hideMark/>
          </w:tcPr>
          <w:p w:rsidR="00BD3C72" w:rsidRPr="00BD3C72" w:rsidRDefault="00BD3C72" w:rsidP="00D010C3">
            <w:pPr>
              <w:rPr>
                <w:rFonts w:asciiTheme="minorHAnsi" w:hAnsiTheme="minorHAnsi" w:cstheme="minorHAnsi"/>
                <w:b/>
                <w:bCs/>
                <w:color w:val="000000"/>
                <w:lang w:eastAsia="fr-FR"/>
              </w:rPr>
            </w:pPr>
          </w:p>
        </w:tc>
        <w:tc>
          <w:tcPr>
            <w:tcW w:w="1210" w:type="dxa"/>
            <w:tcBorders>
              <w:top w:val="nil"/>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Commerce</w:t>
            </w:r>
          </w:p>
        </w:tc>
        <w:tc>
          <w:tcPr>
            <w:tcW w:w="1966" w:type="dxa"/>
            <w:tcBorders>
              <w:top w:val="nil"/>
              <w:left w:val="single" w:sz="12" w:space="0" w:color="auto"/>
              <w:bottom w:val="single" w:sz="4"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1 128 852</w:t>
            </w:r>
          </w:p>
        </w:tc>
        <w:tc>
          <w:tcPr>
            <w:tcW w:w="2116" w:type="dxa"/>
            <w:tcBorders>
              <w:top w:val="nil"/>
              <w:left w:val="single" w:sz="12" w:space="0" w:color="auto"/>
              <w:bottom w:val="single" w:sz="4" w:space="0" w:color="auto"/>
              <w:right w:val="single" w:sz="4"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50,9</w:t>
            </w:r>
          </w:p>
        </w:tc>
        <w:tc>
          <w:tcPr>
            <w:tcW w:w="2420" w:type="dxa"/>
            <w:tcBorders>
              <w:top w:val="nil"/>
              <w:left w:val="nil"/>
              <w:bottom w:val="single" w:sz="4" w:space="0" w:color="auto"/>
              <w:right w:val="single" w:sz="12"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81,1</w:t>
            </w:r>
          </w:p>
        </w:tc>
      </w:tr>
      <w:tr w:rsidR="00BD3C72" w:rsidRPr="00BD3C72" w:rsidTr="00A04035">
        <w:trPr>
          <w:trHeight w:val="292"/>
          <w:jc w:val="center"/>
        </w:trPr>
        <w:tc>
          <w:tcPr>
            <w:tcW w:w="924" w:type="dxa"/>
            <w:vMerge/>
            <w:tcBorders>
              <w:top w:val="nil"/>
              <w:left w:val="single" w:sz="12" w:space="0" w:color="auto"/>
              <w:bottom w:val="single" w:sz="4" w:space="0" w:color="auto"/>
              <w:right w:val="single" w:sz="12" w:space="0" w:color="auto"/>
            </w:tcBorders>
            <w:vAlign w:val="center"/>
            <w:hideMark/>
          </w:tcPr>
          <w:p w:rsidR="00BD3C72" w:rsidRPr="00BD3C72" w:rsidRDefault="00BD3C72" w:rsidP="00D010C3">
            <w:pPr>
              <w:rPr>
                <w:rFonts w:asciiTheme="minorHAnsi" w:hAnsiTheme="minorHAnsi" w:cstheme="minorHAnsi"/>
                <w:b/>
                <w:bCs/>
                <w:color w:val="000000"/>
                <w:lang w:eastAsia="fr-FR"/>
              </w:rPr>
            </w:pPr>
          </w:p>
        </w:tc>
        <w:tc>
          <w:tcPr>
            <w:tcW w:w="1210" w:type="dxa"/>
            <w:tcBorders>
              <w:top w:val="nil"/>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Industrie</w:t>
            </w:r>
          </w:p>
        </w:tc>
        <w:tc>
          <w:tcPr>
            <w:tcW w:w="1966" w:type="dxa"/>
            <w:tcBorders>
              <w:top w:val="nil"/>
              <w:left w:val="single" w:sz="12" w:space="0" w:color="auto"/>
              <w:bottom w:val="single" w:sz="4"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475 451</w:t>
            </w:r>
          </w:p>
        </w:tc>
        <w:tc>
          <w:tcPr>
            <w:tcW w:w="2116" w:type="dxa"/>
            <w:tcBorders>
              <w:top w:val="nil"/>
              <w:left w:val="single" w:sz="12" w:space="0" w:color="auto"/>
              <w:bottom w:val="single" w:sz="4" w:space="0" w:color="auto"/>
              <w:right w:val="single" w:sz="4"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21,5</w:t>
            </w:r>
          </w:p>
        </w:tc>
        <w:tc>
          <w:tcPr>
            <w:tcW w:w="2420" w:type="dxa"/>
            <w:tcBorders>
              <w:top w:val="nil"/>
              <w:left w:val="nil"/>
              <w:bottom w:val="single" w:sz="4" w:space="0" w:color="auto"/>
              <w:right w:val="single" w:sz="12"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34,5</w:t>
            </w:r>
          </w:p>
        </w:tc>
      </w:tr>
      <w:tr w:rsidR="00BD3C72" w:rsidRPr="00BD3C72" w:rsidTr="00A04035">
        <w:trPr>
          <w:trHeight w:val="292"/>
          <w:jc w:val="center"/>
        </w:trPr>
        <w:tc>
          <w:tcPr>
            <w:tcW w:w="924" w:type="dxa"/>
            <w:vMerge/>
            <w:tcBorders>
              <w:top w:val="nil"/>
              <w:left w:val="single" w:sz="12" w:space="0" w:color="auto"/>
              <w:bottom w:val="single" w:sz="4" w:space="0" w:color="auto"/>
              <w:right w:val="single" w:sz="12" w:space="0" w:color="auto"/>
            </w:tcBorders>
            <w:vAlign w:val="center"/>
            <w:hideMark/>
          </w:tcPr>
          <w:p w:rsidR="00BD3C72" w:rsidRPr="00BD3C72" w:rsidRDefault="00BD3C72" w:rsidP="00D010C3">
            <w:pPr>
              <w:rPr>
                <w:rFonts w:asciiTheme="minorHAnsi" w:hAnsiTheme="minorHAnsi" w:cstheme="minorHAnsi"/>
                <w:b/>
                <w:bCs/>
                <w:color w:val="000000"/>
                <w:lang w:eastAsia="fr-FR"/>
              </w:rPr>
            </w:pPr>
          </w:p>
        </w:tc>
        <w:tc>
          <w:tcPr>
            <w:tcW w:w="1210" w:type="dxa"/>
            <w:tcBorders>
              <w:top w:val="nil"/>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Services</w:t>
            </w:r>
          </w:p>
        </w:tc>
        <w:tc>
          <w:tcPr>
            <w:tcW w:w="1966" w:type="dxa"/>
            <w:tcBorders>
              <w:top w:val="nil"/>
              <w:left w:val="single" w:sz="12" w:space="0" w:color="auto"/>
              <w:bottom w:val="single" w:sz="4"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468 877</w:t>
            </w:r>
          </w:p>
        </w:tc>
        <w:tc>
          <w:tcPr>
            <w:tcW w:w="2116" w:type="dxa"/>
            <w:tcBorders>
              <w:top w:val="nil"/>
              <w:left w:val="single" w:sz="12" w:space="0" w:color="auto"/>
              <w:bottom w:val="single" w:sz="4" w:space="0" w:color="auto"/>
              <w:right w:val="single" w:sz="4"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21,2</w:t>
            </w:r>
          </w:p>
        </w:tc>
        <w:tc>
          <w:tcPr>
            <w:tcW w:w="2420" w:type="dxa"/>
            <w:tcBorders>
              <w:top w:val="nil"/>
              <w:left w:val="nil"/>
              <w:bottom w:val="single" w:sz="4" w:space="0" w:color="auto"/>
              <w:right w:val="single" w:sz="12"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18,6</w:t>
            </w:r>
          </w:p>
        </w:tc>
      </w:tr>
      <w:tr w:rsidR="00BD3C72" w:rsidRPr="00BD3C72" w:rsidTr="00A04035">
        <w:trPr>
          <w:trHeight w:val="292"/>
          <w:jc w:val="center"/>
        </w:trPr>
        <w:tc>
          <w:tcPr>
            <w:tcW w:w="924" w:type="dxa"/>
            <w:vMerge/>
            <w:tcBorders>
              <w:top w:val="nil"/>
              <w:left w:val="single" w:sz="12" w:space="0" w:color="auto"/>
              <w:bottom w:val="single" w:sz="12" w:space="0" w:color="auto"/>
              <w:right w:val="single" w:sz="12" w:space="0" w:color="auto"/>
            </w:tcBorders>
            <w:vAlign w:val="center"/>
            <w:hideMark/>
          </w:tcPr>
          <w:p w:rsidR="00BD3C72" w:rsidRPr="00BD3C72" w:rsidRDefault="00BD3C72" w:rsidP="00D010C3">
            <w:pPr>
              <w:rPr>
                <w:rFonts w:asciiTheme="minorHAnsi" w:hAnsiTheme="minorHAnsi" w:cstheme="minorHAnsi"/>
                <w:b/>
                <w:bCs/>
                <w:color w:val="000000"/>
                <w:lang w:eastAsia="fr-FR"/>
              </w:rPr>
            </w:pPr>
          </w:p>
        </w:tc>
        <w:tc>
          <w:tcPr>
            <w:tcW w:w="1210" w:type="dxa"/>
            <w:tcBorders>
              <w:top w:val="nil"/>
              <w:left w:val="single" w:sz="12" w:space="0" w:color="auto"/>
              <w:bottom w:val="single" w:sz="12"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Total</w:t>
            </w:r>
          </w:p>
        </w:tc>
        <w:tc>
          <w:tcPr>
            <w:tcW w:w="1966" w:type="dxa"/>
            <w:tcBorders>
              <w:top w:val="nil"/>
              <w:left w:val="single" w:sz="12" w:space="0" w:color="auto"/>
              <w:bottom w:val="single" w:sz="12"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2 216 116</w:t>
            </w:r>
          </w:p>
        </w:tc>
        <w:tc>
          <w:tcPr>
            <w:tcW w:w="2116" w:type="dxa"/>
            <w:tcBorders>
              <w:top w:val="nil"/>
              <w:left w:val="single" w:sz="12" w:space="0" w:color="auto"/>
              <w:bottom w:val="single" w:sz="12" w:space="0" w:color="auto"/>
              <w:right w:val="single" w:sz="4"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100</w:t>
            </w:r>
          </w:p>
        </w:tc>
        <w:tc>
          <w:tcPr>
            <w:tcW w:w="2420" w:type="dxa"/>
            <w:tcBorders>
              <w:top w:val="nil"/>
              <w:left w:val="nil"/>
              <w:bottom w:val="single" w:sz="12" w:space="0" w:color="auto"/>
              <w:right w:val="single" w:sz="12" w:space="0" w:color="auto"/>
            </w:tcBorders>
            <w:shd w:val="clear" w:color="auto" w:fill="auto"/>
            <w:vAlign w:val="center"/>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37,3</w:t>
            </w:r>
          </w:p>
        </w:tc>
      </w:tr>
      <w:tr w:rsidR="00BD3C72" w:rsidRPr="00BD3C72" w:rsidTr="00A04035">
        <w:trPr>
          <w:trHeight w:val="292"/>
          <w:jc w:val="center"/>
        </w:trPr>
        <w:tc>
          <w:tcPr>
            <w:tcW w:w="924" w:type="dxa"/>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b/>
                <w:bCs/>
                <w:color w:val="000000"/>
                <w:lang w:eastAsia="fr-FR"/>
              </w:rPr>
            </w:pPr>
            <w:r w:rsidRPr="00BD3C72">
              <w:rPr>
                <w:rFonts w:asciiTheme="minorHAnsi" w:hAnsiTheme="minorHAnsi" w:cstheme="minorHAnsi"/>
                <w:b/>
                <w:bCs/>
                <w:color w:val="000000"/>
                <w:lang w:eastAsia="fr-FR"/>
              </w:rPr>
              <w:t>2013</w:t>
            </w:r>
          </w:p>
        </w:tc>
        <w:tc>
          <w:tcPr>
            <w:tcW w:w="1210"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BTP</w:t>
            </w:r>
          </w:p>
        </w:tc>
        <w:tc>
          <w:tcPr>
            <w:tcW w:w="1966" w:type="dxa"/>
            <w:tcBorders>
              <w:top w:val="single" w:sz="12" w:space="0" w:color="auto"/>
              <w:left w:val="single" w:sz="12" w:space="0" w:color="auto"/>
              <w:bottom w:val="single" w:sz="4" w:space="0" w:color="auto"/>
              <w:right w:val="single" w:sz="12" w:space="0" w:color="auto"/>
            </w:tcBorders>
            <w:shd w:val="clear" w:color="auto" w:fill="auto"/>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212 736</w:t>
            </w:r>
          </w:p>
        </w:tc>
        <w:tc>
          <w:tcPr>
            <w:tcW w:w="2116" w:type="dxa"/>
            <w:tcBorders>
              <w:top w:val="single" w:sz="12" w:space="0" w:color="auto"/>
              <w:left w:val="single" w:sz="12" w:space="0" w:color="auto"/>
              <w:bottom w:val="single" w:sz="4" w:space="0" w:color="auto"/>
              <w:right w:val="single" w:sz="4"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9,0</w:t>
            </w:r>
          </w:p>
        </w:tc>
        <w:tc>
          <w:tcPr>
            <w:tcW w:w="2420" w:type="dxa"/>
            <w:tcBorders>
              <w:top w:val="single" w:sz="12" w:space="0" w:color="auto"/>
              <w:left w:val="nil"/>
              <w:bottom w:val="single" w:sz="4"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21,7</w:t>
            </w:r>
          </w:p>
        </w:tc>
      </w:tr>
      <w:tr w:rsidR="00BD3C72" w:rsidRPr="00BD3C72" w:rsidTr="00A04035">
        <w:trPr>
          <w:trHeight w:val="292"/>
          <w:jc w:val="center"/>
        </w:trPr>
        <w:tc>
          <w:tcPr>
            <w:tcW w:w="924" w:type="dxa"/>
            <w:vMerge/>
            <w:tcBorders>
              <w:top w:val="nil"/>
              <w:left w:val="single" w:sz="12" w:space="0" w:color="auto"/>
              <w:bottom w:val="single" w:sz="4" w:space="0" w:color="auto"/>
              <w:right w:val="single" w:sz="12" w:space="0" w:color="auto"/>
            </w:tcBorders>
            <w:vAlign w:val="center"/>
            <w:hideMark/>
          </w:tcPr>
          <w:p w:rsidR="00BD3C72" w:rsidRPr="00BD3C72" w:rsidRDefault="00BD3C72" w:rsidP="00D010C3">
            <w:pPr>
              <w:rPr>
                <w:rFonts w:asciiTheme="minorHAnsi" w:hAnsiTheme="minorHAnsi" w:cstheme="minorHAnsi"/>
                <w:b/>
                <w:bCs/>
                <w:color w:val="000000"/>
                <w:lang w:eastAsia="fr-FR"/>
              </w:rPr>
            </w:pPr>
          </w:p>
        </w:tc>
        <w:tc>
          <w:tcPr>
            <w:tcW w:w="1210" w:type="dxa"/>
            <w:tcBorders>
              <w:top w:val="nil"/>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Commerce</w:t>
            </w:r>
          </w:p>
        </w:tc>
        <w:tc>
          <w:tcPr>
            <w:tcW w:w="1966" w:type="dxa"/>
            <w:tcBorders>
              <w:top w:val="nil"/>
              <w:left w:val="single" w:sz="12" w:space="0" w:color="auto"/>
              <w:bottom w:val="single" w:sz="4" w:space="0" w:color="auto"/>
              <w:right w:val="single" w:sz="12" w:space="0" w:color="auto"/>
            </w:tcBorders>
            <w:shd w:val="clear" w:color="auto" w:fill="auto"/>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1 114 475</w:t>
            </w:r>
          </w:p>
        </w:tc>
        <w:tc>
          <w:tcPr>
            <w:tcW w:w="2116" w:type="dxa"/>
            <w:tcBorders>
              <w:top w:val="nil"/>
              <w:left w:val="single" w:sz="12" w:space="0" w:color="auto"/>
              <w:bottom w:val="single" w:sz="4" w:space="0" w:color="auto"/>
              <w:right w:val="single" w:sz="4"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46,9</w:t>
            </w:r>
          </w:p>
        </w:tc>
        <w:tc>
          <w:tcPr>
            <w:tcW w:w="2420" w:type="dxa"/>
            <w:tcBorders>
              <w:top w:val="nil"/>
              <w:left w:val="nil"/>
              <w:bottom w:val="single" w:sz="4"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68,4</w:t>
            </w:r>
          </w:p>
        </w:tc>
      </w:tr>
      <w:tr w:rsidR="00BD3C72" w:rsidRPr="00BD3C72" w:rsidTr="00A04035">
        <w:trPr>
          <w:trHeight w:val="292"/>
          <w:jc w:val="center"/>
        </w:trPr>
        <w:tc>
          <w:tcPr>
            <w:tcW w:w="924" w:type="dxa"/>
            <w:vMerge/>
            <w:tcBorders>
              <w:top w:val="nil"/>
              <w:left w:val="single" w:sz="12" w:space="0" w:color="auto"/>
              <w:bottom w:val="single" w:sz="4" w:space="0" w:color="auto"/>
              <w:right w:val="single" w:sz="12" w:space="0" w:color="auto"/>
            </w:tcBorders>
            <w:vAlign w:val="center"/>
            <w:hideMark/>
          </w:tcPr>
          <w:p w:rsidR="00BD3C72" w:rsidRPr="00BD3C72" w:rsidRDefault="00BD3C72" w:rsidP="00D010C3">
            <w:pPr>
              <w:rPr>
                <w:rFonts w:asciiTheme="minorHAnsi" w:hAnsiTheme="minorHAnsi" w:cstheme="minorHAnsi"/>
                <w:b/>
                <w:bCs/>
                <w:color w:val="000000"/>
                <w:lang w:eastAsia="fr-FR"/>
              </w:rPr>
            </w:pPr>
          </w:p>
        </w:tc>
        <w:tc>
          <w:tcPr>
            <w:tcW w:w="1210" w:type="dxa"/>
            <w:tcBorders>
              <w:top w:val="nil"/>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Industrie</w:t>
            </w:r>
          </w:p>
        </w:tc>
        <w:tc>
          <w:tcPr>
            <w:tcW w:w="1966" w:type="dxa"/>
            <w:tcBorders>
              <w:top w:val="nil"/>
              <w:left w:val="single" w:sz="12" w:space="0" w:color="auto"/>
              <w:bottom w:val="single" w:sz="4" w:space="0" w:color="auto"/>
              <w:right w:val="single" w:sz="12" w:space="0" w:color="auto"/>
            </w:tcBorders>
            <w:shd w:val="clear" w:color="auto" w:fill="auto"/>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476 505</w:t>
            </w:r>
          </w:p>
        </w:tc>
        <w:tc>
          <w:tcPr>
            <w:tcW w:w="2116" w:type="dxa"/>
            <w:tcBorders>
              <w:top w:val="nil"/>
              <w:left w:val="single" w:sz="12" w:space="0" w:color="auto"/>
              <w:bottom w:val="single" w:sz="4" w:space="0" w:color="auto"/>
              <w:right w:val="single" w:sz="4"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20,1</w:t>
            </w:r>
          </w:p>
        </w:tc>
        <w:tc>
          <w:tcPr>
            <w:tcW w:w="2420" w:type="dxa"/>
            <w:tcBorders>
              <w:top w:val="nil"/>
              <w:left w:val="nil"/>
              <w:bottom w:val="single" w:sz="4"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37,2</w:t>
            </w:r>
          </w:p>
        </w:tc>
      </w:tr>
      <w:tr w:rsidR="00BD3C72" w:rsidRPr="00BD3C72" w:rsidTr="00A04035">
        <w:trPr>
          <w:trHeight w:val="292"/>
          <w:jc w:val="center"/>
        </w:trPr>
        <w:tc>
          <w:tcPr>
            <w:tcW w:w="924" w:type="dxa"/>
            <w:vMerge/>
            <w:tcBorders>
              <w:top w:val="nil"/>
              <w:left w:val="single" w:sz="12" w:space="0" w:color="auto"/>
              <w:bottom w:val="single" w:sz="4" w:space="0" w:color="auto"/>
              <w:right w:val="single" w:sz="12" w:space="0" w:color="auto"/>
            </w:tcBorders>
            <w:vAlign w:val="center"/>
            <w:hideMark/>
          </w:tcPr>
          <w:p w:rsidR="00BD3C72" w:rsidRPr="00BD3C72" w:rsidRDefault="00BD3C72" w:rsidP="00D010C3">
            <w:pPr>
              <w:rPr>
                <w:rFonts w:asciiTheme="minorHAnsi" w:hAnsiTheme="minorHAnsi" w:cstheme="minorHAnsi"/>
                <w:b/>
                <w:bCs/>
                <w:color w:val="000000"/>
                <w:lang w:eastAsia="fr-FR"/>
              </w:rPr>
            </w:pPr>
          </w:p>
        </w:tc>
        <w:tc>
          <w:tcPr>
            <w:tcW w:w="1210" w:type="dxa"/>
            <w:tcBorders>
              <w:top w:val="nil"/>
              <w:left w:val="single" w:sz="12" w:space="0" w:color="auto"/>
              <w:bottom w:val="single" w:sz="4"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Services</w:t>
            </w:r>
          </w:p>
        </w:tc>
        <w:tc>
          <w:tcPr>
            <w:tcW w:w="1966" w:type="dxa"/>
            <w:tcBorders>
              <w:top w:val="nil"/>
              <w:left w:val="single" w:sz="12" w:space="0" w:color="auto"/>
              <w:bottom w:val="single" w:sz="4" w:space="0" w:color="auto"/>
              <w:right w:val="single" w:sz="12" w:space="0" w:color="auto"/>
            </w:tcBorders>
            <w:shd w:val="clear" w:color="auto" w:fill="auto"/>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572 207</w:t>
            </w:r>
          </w:p>
        </w:tc>
        <w:tc>
          <w:tcPr>
            <w:tcW w:w="2116" w:type="dxa"/>
            <w:tcBorders>
              <w:top w:val="nil"/>
              <w:left w:val="single" w:sz="12" w:space="0" w:color="auto"/>
              <w:bottom w:val="single" w:sz="4" w:space="0" w:color="auto"/>
              <w:right w:val="single" w:sz="4"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24,1</w:t>
            </w:r>
          </w:p>
        </w:tc>
        <w:tc>
          <w:tcPr>
            <w:tcW w:w="2420" w:type="dxa"/>
            <w:tcBorders>
              <w:top w:val="nil"/>
              <w:left w:val="nil"/>
              <w:bottom w:val="single" w:sz="4"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21,5</w:t>
            </w:r>
          </w:p>
        </w:tc>
      </w:tr>
      <w:tr w:rsidR="00BD3C72" w:rsidRPr="00BD3C72" w:rsidTr="00A04035">
        <w:trPr>
          <w:trHeight w:val="292"/>
          <w:jc w:val="center"/>
        </w:trPr>
        <w:tc>
          <w:tcPr>
            <w:tcW w:w="924" w:type="dxa"/>
            <w:vMerge/>
            <w:tcBorders>
              <w:top w:val="nil"/>
              <w:left w:val="single" w:sz="12" w:space="0" w:color="auto"/>
              <w:bottom w:val="single" w:sz="12" w:space="0" w:color="auto"/>
              <w:right w:val="single" w:sz="12" w:space="0" w:color="auto"/>
            </w:tcBorders>
            <w:vAlign w:val="center"/>
            <w:hideMark/>
          </w:tcPr>
          <w:p w:rsidR="00BD3C72" w:rsidRPr="00BD3C72" w:rsidRDefault="00BD3C72" w:rsidP="00D010C3">
            <w:pPr>
              <w:rPr>
                <w:rFonts w:asciiTheme="minorHAnsi" w:hAnsiTheme="minorHAnsi" w:cstheme="minorHAnsi"/>
                <w:b/>
                <w:bCs/>
                <w:color w:val="000000"/>
                <w:lang w:eastAsia="fr-FR"/>
              </w:rPr>
            </w:pPr>
          </w:p>
        </w:tc>
        <w:tc>
          <w:tcPr>
            <w:tcW w:w="1210" w:type="dxa"/>
            <w:tcBorders>
              <w:top w:val="nil"/>
              <w:left w:val="single" w:sz="12" w:space="0" w:color="auto"/>
              <w:bottom w:val="single" w:sz="12" w:space="0" w:color="auto"/>
              <w:right w:val="single" w:sz="12" w:space="0" w:color="auto"/>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color w:val="000000"/>
                <w:lang w:eastAsia="fr-FR"/>
              </w:rPr>
              <w:t>Total</w:t>
            </w:r>
          </w:p>
        </w:tc>
        <w:tc>
          <w:tcPr>
            <w:tcW w:w="1966" w:type="dxa"/>
            <w:tcBorders>
              <w:top w:val="nil"/>
              <w:left w:val="single" w:sz="12" w:space="0" w:color="auto"/>
              <w:bottom w:val="single" w:sz="12" w:space="0" w:color="auto"/>
              <w:right w:val="single" w:sz="12" w:space="0" w:color="auto"/>
            </w:tcBorders>
            <w:shd w:val="clear" w:color="auto" w:fill="auto"/>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2 375 922</w:t>
            </w:r>
          </w:p>
        </w:tc>
        <w:tc>
          <w:tcPr>
            <w:tcW w:w="2116" w:type="dxa"/>
            <w:tcBorders>
              <w:top w:val="nil"/>
              <w:left w:val="single" w:sz="12" w:space="0" w:color="auto"/>
              <w:bottom w:val="single" w:sz="12" w:space="0" w:color="auto"/>
              <w:right w:val="single" w:sz="4"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100,0</w:t>
            </w:r>
          </w:p>
        </w:tc>
        <w:tc>
          <w:tcPr>
            <w:tcW w:w="2420" w:type="dxa"/>
            <w:tcBorders>
              <w:top w:val="nil"/>
              <w:left w:val="nil"/>
              <w:bottom w:val="single" w:sz="12" w:space="0" w:color="auto"/>
              <w:right w:val="single" w:sz="12" w:space="0" w:color="auto"/>
            </w:tcBorders>
            <w:shd w:val="clear" w:color="auto" w:fill="auto"/>
            <w:vAlign w:val="bottom"/>
            <w:hideMark/>
          </w:tcPr>
          <w:p w:rsidR="00BD3C72" w:rsidRPr="00BD3C72" w:rsidRDefault="00BD3C72" w:rsidP="00D010C3">
            <w:pPr>
              <w:jc w:val="right"/>
              <w:rPr>
                <w:rFonts w:asciiTheme="minorHAnsi" w:hAnsiTheme="minorHAnsi" w:cstheme="minorHAnsi"/>
                <w:color w:val="000000"/>
                <w:lang w:eastAsia="fr-FR"/>
              </w:rPr>
            </w:pPr>
            <w:r w:rsidRPr="00BD3C72">
              <w:rPr>
                <w:rFonts w:asciiTheme="minorHAnsi" w:hAnsiTheme="minorHAnsi" w:cstheme="minorHAnsi"/>
                <w:color w:val="000000"/>
                <w:lang w:eastAsia="fr-FR"/>
              </w:rPr>
              <w:t>36,3</w:t>
            </w:r>
          </w:p>
        </w:tc>
      </w:tr>
      <w:tr w:rsidR="00BD3C72" w:rsidRPr="00BD3C72" w:rsidTr="00A04035">
        <w:trPr>
          <w:trHeight w:val="292"/>
          <w:jc w:val="center"/>
        </w:trPr>
        <w:tc>
          <w:tcPr>
            <w:tcW w:w="8636" w:type="dxa"/>
            <w:gridSpan w:val="5"/>
            <w:tcBorders>
              <w:top w:val="single" w:sz="12" w:space="0" w:color="auto"/>
              <w:left w:val="nil"/>
              <w:bottom w:val="nil"/>
              <w:right w:val="nil"/>
            </w:tcBorders>
            <w:shd w:val="clear" w:color="auto" w:fill="auto"/>
            <w:vAlign w:val="center"/>
            <w:hideMark/>
          </w:tcPr>
          <w:p w:rsidR="00BD3C72" w:rsidRPr="00BD3C72" w:rsidRDefault="00BD3C72" w:rsidP="00D010C3">
            <w:pPr>
              <w:rPr>
                <w:rFonts w:asciiTheme="minorHAnsi" w:hAnsiTheme="minorHAnsi" w:cstheme="minorHAnsi"/>
                <w:color w:val="000000"/>
                <w:lang w:eastAsia="fr-FR"/>
              </w:rPr>
            </w:pPr>
            <w:r w:rsidRPr="00BD3C72">
              <w:rPr>
                <w:rFonts w:asciiTheme="minorHAnsi" w:hAnsiTheme="minorHAnsi" w:cstheme="minorHAnsi"/>
                <w:b/>
                <w:bCs/>
                <w:color w:val="000000"/>
                <w:lang w:eastAsia="fr-FR"/>
              </w:rPr>
              <w:t>Source : HCP</w:t>
            </w:r>
          </w:p>
        </w:tc>
      </w:tr>
    </w:tbl>
    <w:p w:rsidR="00D14699" w:rsidRDefault="00D14699" w:rsidP="00D14699"/>
    <w:p w:rsidR="00D14699" w:rsidRDefault="00D14699" w:rsidP="00D14699">
      <w:r w:rsidRPr="000C1AE6">
        <w:tab/>
        <w:t>Les activités informelles ont participé pour</w:t>
      </w:r>
      <w:r w:rsidRPr="007A5D10">
        <w:t xml:space="preserve"> 12,2% de la production nationale en 2013 au lieu de 10,9% en 2007. Par secteur, leur contribution s’est améliorée entre 2007 et 2013. C’est ainsi que le secteur commercial a créé 56,8% de la production globale du commerce en 2013, au lieu de 47,6% en 2007. Le secteur de  la construction a vu, sa part dans la production </w:t>
      </w:r>
      <w:r w:rsidR="00617112">
        <w:t xml:space="preserve">totale  </w:t>
      </w:r>
      <w:r w:rsidRPr="007A5D10">
        <w:t xml:space="preserve">du BTP, augmenter,  passant de 23,8% à 26,9%.  Les activités industrielles ont réalisé 9,6% en 2013 au lieu de 8,3% en 2007 de la production industrielle totale et celles </w:t>
      </w:r>
      <w:r w:rsidRPr="007A5D10">
        <w:lastRenderedPageBreak/>
        <w:t>de services ont participé pour 7,9% en 2013 au lieu de 6,1% de la production totale des services hors administrations publiques.</w:t>
      </w:r>
    </w:p>
    <w:p w:rsidR="00D14699" w:rsidRPr="007A5D10" w:rsidRDefault="00D14699" w:rsidP="00D14699">
      <w:r>
        <w:tab/>
      </w:r>
    </w:p>
    <w:p w:rsidR="00A04035" w:rsidRDefault="00D14699" w:rsidP="00F533BE">
      <w:r>
        <w:rPr>
          <w:b/>
          <w:bCs/>
          <w:color w:val="993366"/>
        </w:rPr>
        <w:tab/>
        <w:t>L</w:t>
      </w:r>
      <w:r w:rsidRPr="007A5D10">
        <w:rPr>
          <w:b/>
          <w:bCs/>
          <w:color w:val="993366"/>
        </w:rPr>
        <w:t>a valeur ajoutée (VA</w:t>
      </w:r>
      <w:r w:rsidRPr="007A5D10">
        <w:t>) du secteur informel</w:t>
      </w:r>
      <w:r>
        <w:t xml:space="preserve"> aura été en 2013 de </w:t>
      </w:r>
      <w:r w:rsidRPr="007A5D10">
        <w:t>103</w:t>
      </w:r>
      <w:r w:rsidR="006C3C30" w:rsidRPr="007A5D10">
        <w:t>,</w:t>
      </w:r>
      <w:r w:rsidRPr="007A5D10">
        <w:t xml:space="preserve"> 346 </w:t>
      </w:r>
      <w:r w:rsidR="006C3C30">
        <w:t>milliards</w:t>
      </w:r>
      <w:r w:rsidRPr="007A5D10">
        <w:t xml:space="preserve"> de DH</w:t>
      </w:r>
      <w:r>
        <w:t xml:space="preserve">, au lieu de </w:t>
      </w:r>
      <w:r w:rsidRPr="007A5D10">
        <w:t>70</w:t>
      </w:r>
      <w:r w:rsidR="006C3C30" w:rsidRPr="007A5D10">
        <w:t>,</w:t>
      </w:r>
      <w:r w:rsidRPr="007A5D10">
        <w:t xml:space="preserve"> 985 </w:t>
      </w:r>
      <w:r w:rsidR="006C3C30">
        <w:t>milliards</w:t>
      </w:r>
      <w:r w:rsidRPr="007A5D10">
        <w:t xml:space="preserve"> de DH</w:t>
      </w:r>
      <w:r>
        <w:t xml:space="preserve"> en </w:t>
      </w:r>
      <w:r w:rsidRPr="007A5D10">
        <w:t>2007</w:t>
      </w:r>
      <w:r>
        <w:t>, en progression annuelle moyenne de 6,5%</w:t>
      </w:r>
      <w:r w:rsidRPr="007A5D10">
        <w:t xml:space="preserve">. </w:t>
      </w:r>
    </w:p>
    <w:p w:rsidR="00A04035" w:rsidRDefault="00A04035" w:rsidP="006C3C30"/>
    <w:p w:rsidR="00A04035" w:rsidRDefault="00A04035" w:rsidP="006C3C30"/>
    <w:p w:rsidR="00617112" w:rsidRDefault="00A04035" w:rsidP="00A04035">
      <w:pPr>
        <w:jc w:val="center"/>
        <w:rPr>
          <w:b/>
          <w:bCs/>
        </w:rPr>
      </w:pPr>
      <w:r w:rsidRPr="00A04035">
        <w:rPr>
          <w:b/>
          <w:bCs/>
        </w:rPr>
        <w:t>Evolution de la Valeur ajoutée informelle par secteur d'activités</w:t>
      </w:r>
    </w:p>
    <w:p w:rsidR="00A04035" w:rsidRDefault="00A04035" w:rsidP="00A04035">
      <w:pPr>
        <w:jc w:val="center"/>
      </w:pPr>
    </w:p>
    <w:p w:rsidR="00BD3C72" w:rsidRPr="007A5D10" w:rsidRDefault="00A04035" w:rsidP="00617112">
      <w:r w:rsidRPr="00A04035">
        <w:rPr>
          <w:noProof/>
          <w:lang w:eastAsia="fr-FR"/>
        </w:rPr>
        <w:drawing>
          <wp:inline distT="0" distB="0" distL="0" distR="0">
            <wp:extent cx="6002810" cy="2743200"/>
            <wp:effectExtent l="19050" t="0" r="1699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04035" w:rsidRDefault="00900060" w:rsidP="00D14699">
      <w:r w:rsidRPr="00BD3C72">
        <w:rPr>
          <w:rFonts w:asciiTheme="minorHAnsi" w:hAnsiTheme="minorHAnsi" w:cstheme="minorHAnsi"/>
          <w:b/>
          <w:bCs/>
          <w:color w:val="000000"/>
          <w:lang w:eastAsia="fr-FR"/>
        </w:rPr>
        <w:t>Source : HCP</w:t>
      </w:r>
      <w:r w:rsidR="00D14699" w:rsidRPr="007A5D10">
        <w:tab/>
      </w:r>
    </w:p>
    <w:p w:rsidR="00F533BE" w:rsidRDefault="00A04035" w:rsidP="00D14699">
      <w:r>
        <w:tab/>
      </w:r>
    </w:p>
    <w:p w:rsidR="00D14699" w:rsidRPr="007A5D10" w:rsidRDefault="00F533BE" w:rsidP="00D14699">
      <w:r>
        <w:tab/>
      </w:r>
      <w:r w:rsidR="00D14699" w:rsidRPr="007A5D10">
        <w:t>Le taux de la valeur ajoutée du secteur informel, s’établissant à 55,9%, reste supérieur à la moyenne nationale (53,9%), et à celui enregistré dans le secteur formel (42,5%).</w:t>
      </w:r>
    </w:p>
    <w:p w:rsidR="00D14699" w:rsidRPr="007A5D10" w:rsidRDefault="00D14699" w:rsidP="00D14699"/>
    <w:p w:rsidR="00D14699" w:rsidRDefault="00D14699" w:rsidP="00C27B1F">
      <w:r w:rsidRPr="007A5D10">
        <w:tab/>
        <w:t xml:space="preserve">Les </w:t>
      </w:r>
      <w:r>
        <w:t>salaires</w:t>
      </w:r>
      <w:r w:rsidRPr="007A5D10">
        <w:t xml:space="preserve"> </w:t>
      </w:r>
      <w:r>
        <w:t xml:space="preserve">versés dans le secteur informel </w:t>
      </w:r>
      <w:r w:rsidRPr="007A5D10">
        <w:t>s’élèvent à 11</w:t>
      </w:r>
      <w:r w:rsidR="00C27B1F" w:rsidRPr="007A5D10">
        <w:t>,</w:t>
      </w:r>
      <w:r w:rsidRPr="007A5D10">
        <w:t xml:space="preserve">390 </w:t>
      </w:r>
      <w:r w:rsidR="00C27B1F">
        <w:t>milliards</w:t>
      </w:r>
      <w:r w:rsidRPr="007A5D10">
        <w:t xml:space="preserve"> de DH représentant 11% de la VA globale du secteur informel, une part qui varie de 8,9% dans le BTP à 15,8% dans le secteur de l’industrie.</w:t>
      </w:r>
      <w:r>
        <w:t xml:space="preserve"> Cette masse salariale ne dépasse pas  4% de la rémunération salariale nationale.</w:t>
      </w:r>
      <w:r w:rsidRPr="007A5D10">
        <w:t xml:space="preserve"> </w:t>
      </w:r>
      <w:r>
        <w:t>La contribution de ce secteur aux impôts et taxe</w:t>
      </w:r>
      <w:r w:rsidRPr="007A5D10">
        <w:t xml:space="preserve"> fiscales est de l’ordre de 1</w:t>
      </w:r>
      <w:r w:rsidR="00C27B1F" w:rsidRPr="007A5D10">
        <w:t>,</w:t>
      </w:r>
      <w:r w:rsidRPr="007A5D10">
        <w:t xml:space="preserve"> 664 </w:t>
      </w:r>
      <w:r w:rsidR="00C27B1F">
        <w:t>milliards</w:t>
      </w:r>
      <w:r w:rsidRPr="007A5D10">
        <w:t xml:space="preserve"> de DH représentant 1,6% de la VA du secteur informel, une proportion portée à 2,3% pour le commerce et à 0,1% pour le secteur du BTP.</w:t>
      </w:r>
    </w:p>
    <w:p w:rsidR="00AF56F2" w:rsidRDefault="00AF56F2" w:rsidP="00D14699"/>
    <w:p w:rsidR="00D14699" w:rsidRPr="007A5D10" w:rsidRDefault="00D14699" w:rsidP="0037643C">
      <w:r w:rsidRPr="007A5D10">
        <w:tab/>
        <w:t>L</w:t>
      </w:r>
      <w:r>
        <w:t>a valeur ajoutée d</w:t>
      </w:r>
      <w:r w:rsidRPr="007A5D10">
        <w:t xml:space="preserve">es activités informelles contribue pour 12,6% de la valeur ajoutée totale en 2013 au lieu de 12,3% en 2007. Par secteur, leur contribution à la valeur ajoutée s’est également appréciée. C’est </w:t>
      </w:r>
      <w:r>
        <w:t>ainsi que le secteur commercial</w:t>
      </w:r>
      <w:r w:rsidRPr="007A5D10">
        <w:t xml:space="preserve"> </w:t>
      </w:r>
      <w:r>
        <w:t>est à l’origine de</w:t>
      </w:r>
      <w:r w:rsidRPr="007A5D10">
        <w:t xml:space="preserve"> près de 60,1% de la valeur ajoutée globale du commerce en 2013, au lieu de 58,3% en 2007. La part  du BTP dans la valeur ajoutée totale de la construction a progressé de 25,4% à 29,3% entre </w:t>
      </w:r>
      <w:r w:rsidRPr="007A5D10">
        <w:lastRenderedPageBreak/>
        <w:t>2007 et 2013. Les parts de l’informel dans  l’industrie et les services sont passées respectivement de 12,4% à 13,3% et de 5,2% à 6,4%.</w:t>
      </w:r>
    </w:p>
    <w:p w:rsidR="00D14699" w:rsidRPr="007A5D10" w:rsidRDefault="00D14699" w:rsidP="00D14699"/>
    <w:p w:rsidR="00F544E9" w:rsidRDefault="00D14699" w:rsidP="00D14699">
      <w:r w:rsidRPr="007A5D10">
        <w:tab/>
      </w:r>
      <w:r>
        <w:t xml:space="preserve">Dans ces conditions, </w:t>
      </w:r>
      <w:r w:rsidRPr="007A5D10">
        <w:t xml:space="preserve"> la contribution d</w:t>
      </w:r>
      <w:r>
        <w:t>u secteur informel au PIB aura</w:t>
      </w:r>
      <w:r w:rsidRPr="007A5D10">
        <w:t xml:space="preserve"> </w:t>
      </w:r>
      <w:r>
        <w:t>été</w:t>
      </w:r>
      <w:r w:rsidRPr="007A5D10">
        <w:t xml:space="preserve"> </w:t>
      </w:r>
      <w:r>
        <w:t xml:space="preserve">de </w:t>
      </w:r>
      <w:r w:rsidRPr="007A5D10">
        <w:t>11,5% en 2013, au lieu de 11% en 2007</w:t>
      </w:r>
      <w:r>
        <w:t>.</w:t>
      </w:r>
    </w:p>
    <w:p w:rsidR="00AA5690" w:rsidRDefault="00AA5690" w:rsidP="00CB2367"/>
    <w:p w:rsidR="00A04035" w:rsidRDefault="00A04035" w:rsidP="00A04035">
      <w:pPr>
        <w:jc w:val="center"/>
        <w:rPr>
          <w:b/>
          <w:bCs/>
        </w:rPr>
      </w:pPr>
      <w:r w:rsidRPr="00A04035">
        <w:rPr>
          <w:b/>
          <w:bCs/>
        </w:rPr>
        <w:t>Contribution du secteur informel à l’économie nationale</w:t>
      </w:r>
    </w:p>
    <w:tbl>
      <w:tblPr>
        <w:tblW w:w="7660" w:type="dxa"/>
        <w:tblInd w:w="714" w:type="dxa"/>
        <w:tblCellMar>
          <w:left w:w="70" w:type="dxa"/>
          <w:right w:w="70" w:type="dxa"/>
        </w:tblCellMar>
        <w:tblLook w:val="04A0"/>
      </w:tblPr>
      <w:tblGrid>
        <w:gridCol w:w="1990"/>
        <w:gridCol w:w="2693"/>
        <w:gridCol w:w="2977"/>
      </w:tblGrid>
      <w:tr w:rsidR="00A04035" w:rsidRPr="00A04035" w:rsidTr="00A04035">
        <w:trPr>
          <w:trHeight w:val="707"/>
        </w:trPr>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4035" w:rsidRPr="00A04035" w:rsidRDefault="00A04035" w:rsidP="00A04035">
            <w:pPr>
              <w:tabs>
                <w:tab w:val="clear" w:pos="720"/>
              </w:tabs>
              <w:autoSpaceDE/>
              <w:autoSpaceDN/>
              <w:adjustRightInd/>
              <w:spacing w:line="240" w:lineRule="auto"/>
              <w:jc w:val="center"/>
              <w:rPr>
                <w:rFonts w:ascii="Arial" w:hAnsi="Arial" w:cs="Arial"/>
                <w:b/>
                <w:bCs/>
                <w:color w:val="000000"/>
                <w:sz w:val="20"/>
                <w:szCs w:val="20"/>
                <w:lang w:eastAsia="fr-FR"/>
              </w:rPr>
            </w:pPr>
            <w:r w:rsidRPr="00A04035">
              <w:rPr>
                <w:rFonts w:ascii="Arial" w:hAnsi="Arial" w:cs="Arial"/>
                <w:b/>
                <w:bCs/>
                <w:color w:val="000000"/>
                <w:sz w:val="20"/>
                <w:szCs w:val="20"/>
                <w:lang w:eastAsia="fr-FR"/>
              </w:rPr>
              <w:t xml:space="preserve">Année </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rsidR="00A04035" w:rsidRPr="00A04035" w:rsidRDefault="00A04035" w:rsidP="00A04035">
            <w:pPr>
              <w:tabs>
                <w:tab w:val="clear" w:pos="720"/>
              </w:tabs>
              <w:autoSpaceDE/>
              <w:autoSpaceDN/>
              <w:adjustRightInd/>
              <w:spacing w:line="240" w:lineRule="auto"/>
              <w:jc w:val="center"/>
              <w:rPr>
                <w:rFonts w:ascii="Arial" w:hAnsi="Arial" w:cs="Arial"/>
                <w:b/>
                <w:bCs/>
                <w:color w:val="000000"/>
                <w:sz w:val="20"/>
                <w:szCs w:val="20"/>
                <w:lang w:eastAsia="fr-FR"/>
              </w:rPr>
            </w:pPr>
            <w:r w:rsidRPr="00A04035">
              <w:rPr>
                <w:rFonts w:ascii="Arial" w:hAnsi="Arial" w:cs="Arial"/>
                <w:b/>
                <w:bCs/>
                <w:color w:val="000000"/>
                <w:sz w:val="20"/>
                <w:szCs w:val="20"/>
                <w:lang w:eastAsia="fr-FR"/>
              </w:rPr>
              <w:t xml:space="preserve">Part  dans l’emploi non agricole globale </w:t>
            </w:r>
          </w:p>
        </w:tc>
        <w:tc>
          <w:tcPr>
            <w:tcW w:w="2977" w:type="dxa"/>
            <w:tcBorders>
              <w:top w:val="single" w:sz="4" w:space="0" w:color="000000"/>
              <w:left w:val="nil"/>
              <w:bottom w:val="single" w:sz="4" w:space="0" w:color="000000"/>
              <w:right w:val="single" w:sz="4" w:space="0" w:color="000000"/>
            </w:tcBorders>
            <w:shd w:val="clear" w:color="auto" w:fill="auto"/>
            <w:vAlign w:val="center"/>
            <w:hideMark/>
          </w:tcPr>
          <w:p w:rsidR="00A04035" w:rsidRPr="00A04035" w:rsidRDefault="00A04035" w:rsidP="00A04035">
            <w:pPr>
              <w:tabs>
                <w:tab w:val="clear" w:pos="720"/>
              </w:tabs>
              <w:autoSpaceDE/>
              <w:autoSpaceDN/>
              <w:adjustRightInd/>
              <w:spacing w:line="240" w:lineRule="auto"/>
              <w:jc w:val="center"/>
              <w:rPr>
                <w:rFonts w:ascii="Arial" w:hAnsi="Arial" w:cs="Arial"/>
                <w:b/>
                <w:bCs/>
                <w:color w:val="000000"/>
                <w:sz w:val="20"/>
                <w:szCs w:val="20"/>
                <w:lang w:eastAsia="fr-FR"/>
              </w:rPr>
            </w:pPr>
            <w:r w:rsidRPr="00A04035">
              <w:rPr>
                <w:rFonts w:ascii="Arial" w:hAnsi="Arial" w:cs="Arial"/>
                <w:b/>
                <w:bCs/>
                <w:color w:val="000000"/>
                <w:sz w:val="20"/>
                <w:szCs w:val="20"/>
                <w:lang w:eastAsia="fr-FR"/>
              </w:rPr>
              <w:t xml:space="preserve">Part dans le PIB </w:t>
            </w:r>
          </w:p>
        </w:tc>
      </w:tr>
      <w:tr w:rsidR="00A04035" w:rsidRPr="00A04035" w:rsidTr="00A04035">
        <w:trPr>
          <w:trHeight w:val="496"/>
        </w:trPr>
        <w:tc>
          <w:tcPr>
            <w:tcW w:w="1990" w:type="dxa"/>
            <w:tcBorders>
              <w:top w:val="nil"/>
              <w:left w:val="single" w:sz="4" w:space="0" w:color="000000"/>
              <w:bottom w:val="single" w:sz="4" w:space="0" w:color="000000"/>
              <w:right w:val="single" w:sz="4" w:space="0" w:color="000000"/>
            </w:tcBorders>
            <w:shd w:val="clear" w:color="auto" w:fill="auto"/>
            <w:vAlign w:val="center"/>
            <w:hideMark/>
          </w:tcPr>
          <w:p w:rsidR="00A04035" w:rsidRPr="00A04035" w:rsidRDefault="00A04035" w:rsidP="00A04035">
            <w:pPr>
              <w:tabs>
                <w:tab w:val="clear" w:pos="720"/>
              </w:tabs>
              <w:autoSpaceDE/>
              <w:autoSpaceDN/>
              <w:adjustRightInd/>
              <w:spacing w:line="240" w:lineRule="auto"/>
              <w:jc w:val="center"/>
              <w:rPr>
                <w:rFonts w:ascii="Arial" w:hAnsi="Arial" w:cs="Arial"/>
                <w:b/>
                <w:bCs/>
                <w:color w:val="000000"/>
                <w:sz w:val="20"/>
                <w:szCs w:val="20"/>
                <w:lang w:eastAsia="fr-FR"/>
              </w:rPr>
            </w:pPr>
            <w:r w:rsidRPr="00A04035">
              <w:rPr>
                <w:rFonts w:ascii="Arial" w:hAnsi="Arial" w:cs="Arial"/>
                <w:b/>
                <w:bCs/>
                <w:color w:val="000000"/>
                <w:sz w:val="20"/>
                <w:szCs w:val="20"/>
                <w:lang w:eastAsia="fr-FR"/>
              </w:rPr>
              <w:t>2007</w:t>
            </w:r>
          </w:p>
        </w:tc>
        <w:tc>
          <w:tcPr>
            <w:tcW w:w="2693" w:type="dxa"/>
            <w:tcBorders>
              <w:top w:val="nil"/>
              <w:left w:val="nil"/>
              <w:bottom w:val="single" w:sz="4" w:space="0" w:color="000000"/>
              <w:right w:val="single" w:sz="4" w:space="0" w:color="000000"/>
            </w:tcBorders>
            <w:shd w:val="clear" w:color="auto" w:fill="auto"/>
            <w:vAlign w:val="center"/>
            <w:hideMark/>
          </w:tcPr>
          <w:p w:rsidR="00A04035" w:rsidRPr="00A04035" w:rsidRDefault="00A04035" w:rsidP="00A04035">
            <w:pPr>
              <w:tabs>
                <w:tab w:val="clear" w:pos="720"/>
              </w:tabs>
              <w:autoSpaceDE/>
              <w:autoSpaceDN/>
              <w:adjustRightInd/>
              <w:spacing w:line="240" w:lineRule="auto"/>
              <w:jc w:val="center"/>
              <w:rPr>
                <w:rFonts w:ascii="Arial" w:hAnsi="Arial" w:cs="Arial"/>
                <w:b/>
                <w:bCs/>
                <w:color w:val="000000"/>
                <w:sz w:val="20"/>
                <w:szCs w:val="20"/>
                <w:lang w:eastAsia="fr-FR"/>
              </w:rPr>
            </w:pPr>
            <w:r>
              <w:rPr>
                <w:rFonts w:ascii="Arial" w:hAnsi="Arial" w:cs="Arial"/>
                <w:b/>
                <w:bCs/>
                <w:color w:val="000000"/>
                <w:sz w:val="20"/>
                <w:szCs w:val="20"/>
                <w:lang w:eastAsia="fr-FR"/>
              </w:rPr>
              <w:t>37,3</w:t>
            </w:r>
            <w:r w:rsidRPr="00A04035">
              <w:rPr>
                <w:rFonts w:ascii="Arial" w:hAnsi="Arial" w:cs="Arial"/>
                <w:b/>
                <w:bCs/>
                <w:color w:val="000000"/>
                <w:sz w:val="20"/>
                <w:szCs w:val="20"/>
                <w:lang w:eastAsia="fr-FR"/>
              </w:rPr>
              <w:t>%</w:t>
            </w:r>
          </w:p>
        </w:tc>
        <w:tc>
          <w:tcPr>
            <w:tcW w:w="2977" w:type="dxa"/>
            <w:tcBorders>
              <w:top w:val="nil"/>
              <w:left w:val="nil"/>
              <w:bottom w:val="single" w:sz="4" w:space="0" w:color="000000"/>
              <w:right w:val="single" w:sz="4" w:space="0" w:color="000000"/>
            </w:tcBorders>
            <w:shd w:val="clear" w:color="auto" w:fill="auto"/>
            <w:vAlign w:val="center"/>
            <w:hideMark/>
          </w:tcPr>
          <w:p w:rsidR="00A04035" w:rsidRPr="00A04035" w:rsidRDefault="00A04035" w:rsidP="00A04035">
            <w:pPr>
              <w:tabs>
                <w:tab w:val="clear" w:pos="720"/>
              </w:tabs>
              <w:autoSpaceDE/>
              <w:autoSpaceDN/>
              <w:adjustRightInd/>
              <w:spacing w:line="240" w:lineRule="auto"/>
              <w:jc w:val="center"/>
              <w:rPr>
                <w:rFonts w:ascii="Arial" w:hAnsi="Arial" w:cs="Arial"/>
                <w:b/>
                <w:bCs/>
                <w:color w:val="000000"/>
                <w:sz w:val="20"/>
                <w:szCs w:val="20"/>
                <w:lang w:eastAsia="fr-FR"/>
              </w:rPr>
            </w:pPr>
            <w:r w:rsidRPr="00A04035">
              <w:rPr>
                <w:rFonts w:ascii="Arial" w:hAnsi="Arial" w:cs="Arial"/>
                <w:b/>
                <w:bCs/>
                <w:color w:val="000000"/>
                <w:sz w:val="20"/>
                <w:szCs w:val="20"/>
                <w:lang w:eastAsia="fr-FR"/>
              </w:rPr>
              <w:t>11%</w:t>
            </w:r>
          </w:p>
        </w:tc>
      </w:tr>
      <w:tr w:rsidR="00A04035" w:rsidRPr="00A04035" w:rsidTr="00A04035">
        <w:trPr>
          <w:trHeight w:val="403"/>
        </w:trPr>
        <w:tc>
          <w:tcPr>
            <w:tcW w:w="1990" w:type="dxa"/>
            <w:tcBorders>
              <w:top w:val="nil"/>
              <w:left w:val="single" w:sz="4" w:space="0" w:color="000000"/>
              <w:bottom w:val="single" w:sz="4" w:space="0" w:color="000000"/>
              <w:right w:val="single" w:sz="4" w:space="0" w:color="000000"/>
            </w:tcBorders>
            <w:shd w:val="clear" w:color="auto" w:fill="auto"/>
            <w:vAlign w:val="center"/>
            <w:hideMark/>
          </w:tcPr>
          <w:p w:rsidR="00A04035" w:rsidRPr="00A04035" w:rsidRDefault="00A04035" w:rsidP="00A04035">
            <w:pPr>
              <w:tabs>
                <w:tab w:val="clear" w:pos="720"/>
              </w:tabs>
              <w:autoSpaceDE/>
              <w:autoSpaceDN/>
              <w:adjustRightInd/>
              <w:spacing w:line="240" w:lineRule="auto"/>
              <w:jc w:val="center"/>
              <w:rPr>
                <w:rFonts w:ascii="Arial" w:hAnsi="Arial" w:cs="Arial"/>
                <w:b/>
                <w:bCs/>
                <w:color w:val="000000"/>
                <w:sz w:val="20"/>
                <w:szCs w:val="20"/>
                <w:lang w:eastAsia="fr-FR"/>
              </w:rPr>
            </w:pPr>
            <w:r w:rsidRPr="00A04035">
              <w:rPr>
                <w:rFonts w:ascii="Arial" w:hAnsi="Arial" w:cs="Arial"/>
                <w:b/>
                <w:bCs/>
                <w:color w:val="000000"/>
                <w:sz w:val="20"/>
                <w:szCs w:val="20"/>
                <w:lang w:eastAsia="fr-FR"/>
              </w:rPr>
              <w:t>2013</w:t>
            </w:r>
          </w:p>
        </w:tc>
        <w:tc>
          <w:tcPr>
            <w:tcW w:w="2693" w:type="dxa"/>
            <w:tcBorders>
              <w:top w:val="nil"/>
              <w:left w:val="nil"/>
              <w:bottom w:val="single" w:sz="4" w:space="0" w:color="000000"/>
              <w:right w:val="single" w:sz="4" w:space="0" w:color="000000"/>
            </w:tcBorders>
            <w:shd w:val="clear" w:color="auto" w:fill="auto"/>
            <w:vAlign w:val="center"/>
            <w:hideMark/>
          </w:tcPr>
          <w:p w:rsidR="00A04035" w:rsidRPr="00A04035" w:rsidRDefault="00A04035" w:rsidP="00A04035">
            <w:pPr>
              <w:tabs>
                <w:tab w:val="clear" w:pos="720"/>
              </w:tabs>
              <w:autoSpaceDE/>
              <w:autoSpaceDN/>
              <w:adjustRightInd/>
              <w:spacing w:line="240" w:lineRule="auto"/>
              <w:jc w:val="center"/>
              <w:rPr>
                <w:rFonts w:ascii="Arial" w:hAnsi="Arial" w:cs="Arial"/>
                <w:b/>
                <w:bCs/>
                <w:color w:val="000000"/>
                <w:sz w:val="20"/>
                <w:szCs w:val="20"/>
                <w:lang w:eastAsia="fr-FR"/>
              </w:rPr>
            </w:pPr>
            <w:r>
              <w:rPr>
                <w:rFonts w:ascii="Arial" w:hAnsi="Arial" w:cs="Arial"/>
                <w:b/>
                <w:bCs/>
                <w:color w:val="000000"/>
                <w:sz w:val="20"/>
                <w:szCs w:val="20"/>
                <w:lang w:eastAsia="fr-FR"/>
              </w:rPr>
              <w:t>36,3</w:t>
            </w:r>
            <w:r w:rsidRPr="00A04035">
              <w:rPr>
                <w:rFonts w:ascii="Arial" w:hAnsi="Arial" w:cs="Arial"/>
                <w:b/>
                <w:bCs/>
                <w:color w:val="000000"/>
                <w:sz w:val="20"/>
                <w:szCs w:val="20"/>
                <w:lang w:eastAsia="fr-FR"/>
              </w:rPr>
              <w:t>%</w:t>
            </w:r>
          </w:p>
        </w:tc>
        <w:tc>
          <w:tcPr>
            <w:tcW w:w="2977" w:type="dxa"/>
            <w:tcBorders>
              <w:top w:val="nil"/>
              <w:left w:val="nil"/>
              <w:bottom w:val="single" w:sz="4" w:space="0" w:color="000000"/>
              <w:right w:val="single" w:sz="4" w:space="0" w:color="000000"/>
            </w:tcBorders>
            <w:shd w:val="clear" w:color="auto" w:fill="auto"/>
            <w:vAlign w:val="center"/>
            <w:hideMark/>
          </w:tcPr>
          <w:p w:rsidR="00A04035" w:rsidRPr="00A04035" w:rsidRDefault="00A04035" w:rsidP="00A04035">
            <w:pPr>
              <w:tabs>
                <w:tab w:val="clear" w:pos="720"/>
              </w:tabs>
              <w:autoSpaceDE/>
              <w:autoSpaceDN/>
              <w:adjustRightInd/>
              <w:spacing w:line="240" w:lineRule="auto"/>
              <w:jc w:val="center"/>
              <w:rPr>
                <w:rFonts w:ascii="Arial" w:hAnsi="Arial" w:cs="Arial"/>
                <w:b/>
                <w:bCs/>
                <w:color w:val="000000"/>
                <w:sz w:val="20"/>
                <w:szCs w:val="20"/>
                <w:lang w:eastAsia="fr-FR"/>
              </w:rPr>
            </w:pPr>
            <w:r>
              <w:rPr>
                <w:rFonts w:ascii="Arial" w:hAnsi="Arial" w:cs="Arial"/>
                <w:b/>
                <w:bCs/>
                <w:color w:val="000000"/>
                <w:sz w:val="20"/>
                <w:szCs w:val="20"/>
                <w:lang w:eastAsia="fr-FR"/>
              </w:rPr>
              <w:t>11,5</w:t>
            </w:r>
            <w:r w:rsidRPr="00A04035">
              <w:rPr>
                <w:rFonts w:ascii="Arial" w:hAnsi="Arial" w:cs="Arial"/>
                <w:b/>
                <w:bCs/>
                <w:color w:val="000000"/>
                <w:sz w:val="20"/>
                <w:szCs w:val="20"/>
                <w:lang w:eastAsia="fr-FR"/>
              </w:rPr>
              <w:t>%</w:t>
            </w:r>
          </w:p>
        </w:tc>
      </w:tr>
    </w:tbl>
    <w:p w:rsidR="00575384" w:rsidRDefault="00575384" w:rsidP="00575384">
      <w:r>
        <w:rPr>
          <w:rFonts w:asciiTheme="minorHAnsi" w:hAnsiTheme="minorHAnsi" w:cstheme="minorHAnsi" w:hint="cs"/>
          <w:b/>
          <w:bCs/>
          <w:color w:val="000000"/>
          <w:rtl/>
          <w:lang w:eastAsia="fr-FR"/>
        </w:rPr>
        <w:t xml:space="preserve">            </w:t>
      </w:r>
      <w:r w:rsidRPr="00BD3C72">
        <w:rPr>
          <w:rFonts w:asciiTheme="minorHAnsi" w:hAnsiTheme="minorHAnsi" w:cstheme="minorHAnsi"/>
          <w:b/>
          <w:bCs/>
          <w:color w:val="000000"/>
          <w:lang w:eastAsia="fr-FR"/>
        </w:rPr>
        <w:t>Source : HCP</w:t>
      </w:r>
      <w:r w:rsidRPr="007A5D10">
        <w:tab/>
      </w:r>
    </w:p>
    <w:p w:rsidR="00A04035" w:rsidRDefault="00A04035" w:rsidP="00575384">
      <w:pPr>
        <w:jc w:val="left"/>
      </w:pPr>
    </w:p>
    <w:p w:rsidR="00A04035" w:rsidRPr="007A5D10" w:rsidRDefault="00A04035" w:rsidP="00CB2367"/>
    <w:p w:rsidR="00467FFE" w:rsidRPr="00024F5D" w:rsidRDefault="00AB0A1E" w:rsidP="00024F5D">
      <w:pPr>
        <w:pStyle w:val="Paragraphedeliste"/>
        <w:numPr>
          <w:ilvl w:val="0"/>
          <w:numId w:val="11"/>
        </w:numPr>
        <w:rPr>
          <w:b/>
          <w:bCs/>
          <w:color w:val="993366"/>
        </w:rPr>
      </w:pPr>
      <w:r w:rsidRPr="00024F5D">
        <w:rPr>
          <w:b/>
          <w:bCs/>
          <w:color w:val="993366"/>
        </w:rPr>
        <w:t>C</w:t>
      </w:r>
      <w:r w:rsidR="00F64902" w:rsidRPr="00024F5D">
        <w:rPr>
          <w:b/>
          <w:bCs/>
          <w:color w:val="993366"/>
        </w:rPr>
        <w:t>aractéristiques de l’emploi dans le secteur informel</w:t>
      </w:r>
    </w:p>
    <w:p w:rsidR="007A5D10" w:rsidRPr="007A5D10" w:rsidRDefault="007A5D10" w:rsidP="00CB2367"/>
    <w:p w:rsidR="00024F5D" w:rsidRDefault="00D14699" w:rsidP="00F544E9">
      <w:r>
        <w:tab/>
      </w:r>
      <w:r w:rsidR="00F544E9">
        <w:t>L</w:t>
      </w:r>
      <w:r w:rsidR="00024F5D">
        <w:t xml:space="preserve">e secteur informel </w:t>
      </w:r>
      <w:r w:rsidR="00024F5D" w:rsidRPr="007A5D10">
        <w:t>s</w:t>
      </w:r>
      <w:r w:rsidR="00024F5D">
        <w:t>e caractérise par un faible poids du salariat : les</w:t>
      </w:r>
      <w:r w:rsidR="00024F5D" w:rsidRPr="007A5D10">
        <w:t xml:space="preserve"> salariés représentent 17,2% de l’emploi du secteur contre 64,4% dans l’emploi non-agricole global</w:t>
      </w:r>
      <w:r w:rsidR="00024F5D" w:rsidRPr="00024F5D">
        <w:t xml:space="preserve"> </w:t>
      </w:r>
      <w:r w:rsidR="00024F5D" w:rsidRPr="007A5D10">
        <w:t>en 2013.</w:t>
      </w:r>
      <w:r w:rsidR="00024F5D" w:rsidRPr="00024F5D">
        <w:t xml:space="preserve"> </w:t>
      </w:r>
      <w:r w:rsidR="00024F5D" w:rsidRPr="007A5D10">
        <w:t xml:space="preserve">Le poids de la main d’œuvre salariale a enregistré une </w:t>
      </w:r>
      <w:r w:rsidR="00024F5D">
        <w:t>relative</w:t>
      </w:r>
      <w:r w:rsidR="00024F5D" w:rsidRPr="007A5D10">
        <w:t xml:space="preserve"> hausse par rapport à 2007 où il était de 15,8%.</w:t>
      </w:r>
    </w:p>
    <w:p w:rsidR="00AF56F2" w:rsidRDefault="00AF56F2" w:rsidP="00F544E9"/>
    <w:p w:rsidR="00024F5D" w:rsidRDefault="00AF56F2" w:rsidP="00617112">
      <w:r>
        <w:tab/>
      </w:r>
      <w:r w:rsidR="00024F5D">
        <w:t>C</w:t>
      </w:r>
      <w:r w:rsidR="005309B3">
        <w:t xml:space="preserve">’est également un emploi peu et </w:t>
      </w:r>
      <w:r w:rsidR="00024F5D">
        <w:t xml:space="preserve">de </w:t>
      </w:r>
      <w:r w:rsidR="005309B3">
        <w:t xml:space="preserve">moins en moins féminisé. </w:t>
      </w:r>
      <w:r w:rsidR="00024F5D" w:rsidRPr="007A5D10">
        <w:t xml:space="preserve">Le taux de féminisation de l’emploi </w:t>
      </w:r>
      <w:r w:rsidR="00024F5D">
        <w:t xml:space="preserve">du secteur </w:t>
      </w:r>
      <w:r w:rsidR="00024F5D" w:rsidRPr="007A5D10">
        <w:t>informel s’est établi en 2013 à 10,5%, au lieu de 17,4% pour l’ensemble de l’emploi non-</w:t>
      </w:r>
      <w:r w:rsidR="00617112">
        <w:t>agricole global.</w:t>
      </w:r>
      <w:r w:rsidR="00024F5D">
        <w:t xml:space="preserve"> </w:t>
      </w:r>
      <w:r w:rsidR="00617112">
        <w:t>A</w:t>
      </w:r>
      <w:r w:rsidR="00024F5D">
        <w:t xml:space="preserve">vec </w:t>
      </w:r>
      <w:r w:rsidR="00024F5D" w:rsidRPr="007A5D10">
        <w:t>de</w:t>
      </w:r>
      <w:r w:rsidR="00024F5D">
        <w:t>s</w:t>
      </w:r>
      <w:r w:rsidR="00024F5D" w:rsidRPr="007A5D10">
        <w:t xml:space="preserve"> disparités par secteur, les femmes occupent un emploi sur 5 dans l’industrie, tandis qu’elles sont quasiment absentes dans le BTP.</w:t>
      </w:r>
    </w:p>
    <w:p w:rsidR="00B34E9B" w:rsidRDefault="00D14699" w:rsidP="00E970B3">
      <w:r>
        <w:tab/>
      </w:r>
      <w:r w:rsidR="00024F5D">
        <w:t>L’</w:t>
      </w:r>
      <w:r w:rsidR="00024F5D" w:rsidRPr="007A5D10">
        <w:t>emploi</w:t>
      </w:r>
      <w:r w:rsidR="00024F5D">
        <w:t xml:space="preserve"> dans le</w:t>
      </w:r>
      <w:r w:rsidR="0054047C">
        <w:t xml:space="preserve"> secteur </w:t>
      </w:r>
      <w:r w:rsidR="00024F5D" w:rsidRPr="007A5D10">
        <w:t xml:space="preserve">informel </w:t>
      </w:r>
      <w:r w:rsidR="005309B3">
        <w:t xml:space="preserve">se </w:t>
      </w:r>
      <w:r w:rsidR="00024F5D">
        <w:t>distingue</w:t>
      </w:r>
      <w:r w:rsidR="005309B3">
        <w:t xml:space="preserve"> également par </w:t>
      </w:r>
      <w:r w:rsidR="00024F5D">
        <w:t>sa</w:t>
      </w:r>
      <w:r w:rsidR="005309B3">
        <w:t xml:space="preserve"> précarité en raison d’une fa</w:t>
      </w:r>
      <w:r w:rsidR="0054047C">
        <w:t>i</w:t>
      </w:r>
      <w:r w:rsidR="005309B3">
        <w:t xml:space="preserve">ble </w:t>
      </w:r>
      <w:r w:rsidR="00E970B3">
        <w:t>couverture médicale (</w:t>
      </w:r>
      <w:r w:rsidR="00E970B3" w:rsidRPr="007A5D10">
        <w:t>98% de la main d’œuvre dans le secteur informel n’ont pas une couverture médicale</w:t>
      </w:r>
      <w:r w:rsidR="00E970B3">
        <w:t>)</w:t>
      </w:r>
      <w:r w:rsidR="00E970B3" w:rsidRPr="007A5D10">
        <w:t xml:space="preserve"> </w:t>
      </w:r>
      <w:r w:rsidR="005309B3">
        <w:t xml:space="preserve">et </w:t>
      </w:r>
      <w:r w:rsidR="00E970B3">
        <w:t xml:space="preserve">d’un manque de </w:t>
      </w:r>
      <w:r w:rsidR="0054047C">
        <w:t>stabilité</w:t>
      </w:r>
      <w:r w:rsidR="00801910" w:rsidRPr="007A5D10">
        <w:t xml:space="preserve"> </w:t>
      </w:r>
      <w:r w:rsidR="00E970B3">
        <w:t>(</w:t>
      </w:r>
      <w:r w:rsidR="000708F0" w:rsidRPr="007A5D10">
        <w:t>plus de 97% des employés du secteur informel ne dispose</w:t>
      </w:r>
      <w:r w:rsidR="00D72ABE" w:rsidRPr="007A5D10">
        <w:t>nt</w:t>
      </w:r>
      <w:r w:rsidR="000708F0" w:rsidRPr="007A5D10">
        <w:t xml:space="preserve"> d’aucun contrat écrit</w:t>
      </w:r>
      <w:r w:rsidR="00E970B3">
        <w:t>)</w:t>
      </w:r>
      <w:r w:rsidR="000708F0" w:rsidRPr="007A5D10">
        <w:t>.</w:t>
      </w:r>
      <w:r w:rsidR="00AE051C" w:rsidRPr="007A5D10">
        <w:t xml:space="preserve"> </w:t>
      </w:r>
    </w:p>
    <w:p w:rsidR="007A5D10" w:rsidRPr="007A5D10" w:rsidRDefault="007A5D10" w:rsidP="00CB2367"/>
    <w:p w:rsidR="00054D85" w:rsidRDefault="00D14699" w:rsidP="00E970B3">
      <w:r>
        <w:tab/>
      </w:r>
      <w:r w:rsidR="00E970B3">
        <w:t xml:space="preserve">La main d’œuvre du secteur informel se caractérise par le faible niveau d’instruction, </w:t>
      </w:r>
      <w:r w:rsidR="000708F0" w:rsidRPr="007A5D10">
        <w:t xml:space="preserve">23,4% des travailleurs n’ont aucun niveau scolaire, 34,2% ont atteint le niveau primaire </w:t>
      </w:r>
      <w:r w:rsidR="00807774" w:rsidRPr="007A5D10">
        <w:t>et 30,2% le niveau secondaire</w:t>
      </w:r>
      <w:r w:rsidR="000F5F70" w:rsidRPr="007A5D10">
        <w:t xml:space="preserve"> et 1% le niveau supérieur</w:t>
      </w:r>
      <w:r w:rsidR="00807774" w:rsidRPr="007A5D10">
        <w:t>.</w:t>
      </w:r>
    </w:p>
    <w:p w:rsidR="007A5D10" w:rsidRPr="007A5D10" w:rsidRDefault="007A5D10" w:rsidP="00CB2367"/>
    <w:p w:rsidR="00F2017A" w:rsidRPr="007A5D10" w:rsidRDefault="00E970B3" w:rsidP="00E970B3">
      <w:r>
        <w:tab/>
      </w:r>
      <w:r w:rsidR="0054047C">
        <w:t xml:space="preserve">Globalement, la productivité </w:t>
      </w:r>
      <w:r w:rsidR="00017A5D" w:rsidRPr="007A5D10">
        <w:t xml:space="preserve">du secteur informel </w:t>
      </w:r>
      <w:r>
        <w:t>est particulièrement faible :</w:t>
      </w:r>
      <w:r w:rsidR="00017A5D" w:rsidRPr="007A5D10">
        <w:t xml:space="preserve"> </w:t>
      </w:r>
      <w:r>
        <w:t>u</w:t>
      </w:r>
      <w:r w:rsidR="00017A5D" w:rsidRPr="007A5D10">
        <w:t xml:space="preserve">n actif occupé du secteur informel crée, en moyenne, une valeur ajoutée annuelle de 43 497 DH, largement en dessous de la moyenne nationale (76 393 DH en 2013). Les actifs occupés du secteur du BTP sont les plus productifs au niveau du secteur informel, créant, en moyenne, 69 333 DH de valeur ajoutée annuelle, tandis que ceux du secteur des services ne réalisent </w:t>
      </w:r>
      <w:r w:rsidR="00017A5D" w:rsidRPr="007A5D10">
        <w:lastRenderedPageBreak/>
        <w:t>que 35 868 DH de valeur ajoutée en moyenne. Par ailleurs, une heure de travail effectuée dans le secteur informel génère près de 19 DH de valeur ajoutée, soit près de la moitié de la productivité générée par une heure de travail au niveau national (35,5 DH).</w:t>
      </w:r>
    </w:p>
    <w:p w:rsidR="00C90E32" w:rsidRPr="007A5D10" w:rsidRDefault="00C90E32" w:rsidP="00CB2367"/>
    <w:p w:rsidR="00C93FFB" w:rsidRPr="00E970B3" w:rsidRDefault="00C93FFB" w:rsidP="00E970B3">
      <w:pPr>
        <w:pStyle w:val="Paragraphedeliste"/>
        <w:numPr>
          <w:ilvl w:val="0"/>
          <w:numId w:val="11"/>
        </w:numPr>
        <w:rPr>
          <w:b/>
          <w:bCs/>
          <w:color w:val="993366"/>
        </w:rPr>
      </w:pPr>
      <w:r w:rsidRPr="00E970B3">
        <w:rPr>
          <w:b/>
          <w:bCs/>
          <w:color w:val="993366"/>
        </w:rPr>
        <w:t>Perception des conditions d’exercice dans le secteur informel</w:t>
      </w:r>
    </w:p>
    <w:p w:rsidR="007A5D10" w:rsidRPr="007A5D10" w:rsidRDefault="007A5D10" w:rsidP="00CB2367"/>
    <w:p w:rsidR="00D14699" w:rsidRPr="007A5D10" w:rsidRDefault="00D14699" w:rsidP="00D14699">
      <w:r>
        <w:tab/>
      </w:r>
      <w:r w:rsidRPr="007A5D10">
        <w:t xml:space="preserve">Pour financer de nouvelles créations, </w:t>
      </w:r>
      <w:r>
        <w:t>82,2</w:t>
      </w:r>
      <w:r w:rsidRPr="007A5D10">
        <w:t xml:space="preserve">% des patrons ont eu recours à </w:t>
      </w:r>
      <w:r w:rsidRPr="00083988">
        <w:t>l’autofinancement,  9,6% à l’emprunt bancaire.</w:t>
      </w:r>
    </w:p>
    <w:p w:rsidR="00D14699" w:rsidRDefault="00D14699" w:rsidP="00617112">
      <w:r>
        <w:tab/>
      </w:r>
      <w:r w:rsidR="00617112">
        <w:t xml:space="preserve">Près de </w:t>
      </w:r>
      <w:r w:rsidR="00617112" w:rsidRPr="00083988">
        <w:t>9% des chefs d’UPI déclarent avoir eu recours aux crédits bancaires (11% dans l’industrie et 5,9% dans le BTP)</w:t>
      </w:r>
      <w:r w:rsidR="00617112">
        <w:t xml:space="preserve"> p</w:t>
      </w:r>
      <w:r w:rsidRPr="00083988">
        <w:t>our le financeme</w:t>
      </w:r>
      <w:r w:rsidR="00617112">
        <w:t>nt de leurs activités actuelles</w:t>
      </w:r>
      <w:r w:rsidRPr="00083988">
        <w:t>. 58,3% des demandeurs de crédit ont pu l’obtenir.</w:t>
      </w:r>
      <w:r w:rsidRPr="007A5D10">
        <w:t xml:space="preserve"> </w:t>
      </w:r>
    </w:p>
    <w:p w:rsidR="00D14699" w:rsidRPr="007A5D10" w:rsidRDefault="00D14699" w:rsidP="00D14699"/>
    <w:p w:rsidR="00D14699" w:rsidRDefault="00D14699" w:rsidP="008D1C9B">
      <w:r>
        <w:tab/>
      </w:r>
      <w:r w:rsidRPr="007A5D10">
        <w:t>Globalement, le manque de liquidité (44,5%),</w:t>
      </w:r>
      <w:r>
        <w:t xml:space="preserve"> l’exiguïté de leur marché</w:t>
      </w:r>
      <w:r w:rsidRPr="007A5D10">
        <w:t xml:space="preserve"> (25%) et la concurrence (13%) sont les principaux obstacles rencontrés par les chefs d’UPI. Le manque de liquidité est cité comme principale difficulté rencontrée par 48% des chefs d’UPI non localisées et par 37,2% des chefs d’UPI localisées et </w:t>
      </w:r>
      <w:r w:rsidR="008D1C9B">
        <w:t>enregistrées à la taxe professionnelle</w:t>
      </w:r>
      <w:r>
        <w:t>.</w:t>
      </w:r>
      <w:r w:rsidRPr="007A5D10">
        <w:t xml:space="preserve"> </w:t>
      </w:r>
    </w:p>
    <w:p w:rsidR="00D14699" w:rsidRPr="007A5D10" w:rsidRDefault="00D14699" w:rsidP="00D14699"/>
    <w:p w:rsidR="00D14699" w:rsidRDefault="00D14699" w:rsidP="008D1C9B">
      <w:r>
        <w:tab/>
      </w:r>
      <w:r w:rsidR="008D1C9B">
        <w:t>Un chef</w:t>
      </w:r>
      <w:r w:rsidRPr="008937DF">
        <w:t xml:space="preserve"> d’UPI </w:t>
      </w:r>
      <w:r w:rsidR="008D1C9B">
        <w:t>sur dix déclare</w:t>
      </w:r>
      <w:r w:rsidRPr="008937DF">
        <w:t xml:space="preserve"> avoir eu des pro</w:t>
      </w:r>
      <w:r w:rsidR="008D1C9B">
        <w:t>blèmes avec les agents de l'administration</w:t>
      </w:r>
      <w:r w:rsidRPr="008937DF">
        <w:t>, une proportion portée à 13,5% pour les UPI non localisées et à 3,3% pour les UPI localisées.</w:t>
      </w:r>
      <w:r w:rsidRPr="007A5D10">
        <w:t xml:space="preserve"> </w:t>
      </w:r>
    </w:p>
    <w:p w:rsidR="00D14699" w:rsidRPr="007A5D10" w:rsidRDefault="00D14699" w:rsidP="00D14699"/>
    <w:p w:rsidR="00D14699" w:rsidRDefault="00D14699" w:rsidP="00D14699">
      <w:pPr>
        <w:pStyle w:val="Corpsdetexte"/>
      </w:pPr>
      <w:r>
        <w:tab/>
        <w:t xml:space="preserve">Pour </w:t>
      </w:r>
      <w:r w:rsidRPr="007A5D10">
        <w:t>les UPI commerciales</w:t>
      </w:r>
      <w:r>
        <w:t xml:space="preserve">, les conflits sont dus pour </w:t>
      </w:r>
      <w:r w:rsidRPr="007A5D10">
        <w:t>37,6%</w:t>
      </w:r>
      <w:r>
        <w:t xml:space="preserve"> à L’occupation de l’espace public</w:t>
      </w:r>
      <w:r w:rsidRPr="007A5D10">
        <w:t xml:space="preserve"> et </w:t>
      </w:r>
      <w:r>
        <w:t xml:space="preserve">pour </w:t>
      </w:r>
      <w:r w:rsidRPr="007A5D10">
        <w:t>26%</w:t>
      </w:r>
      <w:r>
        <w:t xml:space="preserve"> à </w:t>
      </w:r>
      <w:r w:rsidRPr="007A5D10">
        <w:t>l’encombrement de la chaussée</w:t>
      </w:r>
      <w:r>
        <w:t>. L</w:t>
      </w:r>
      <w:r w:rsidRPr="007A5D10">
        <w:t>’activité jugée illégale (37,6%) et l’abus de certains agent</w:t>
      </w:r>
      <w:r w:rsidR="008D1C9B">
        <w:t>s de l’Etat (26,4%) sont avancé</w:t>
      </w:r>
      <w:r w:rsidRPr="007A5D10">
        <w:t xml:space="preserve">s comme premières raisons des litiges pour les UPI du secteur des services. </w:t>
      </w:r>
    </w:p>
    <w:p w:rsidR="008D1C9B" w:rsidRPr="007A5D10" w:rsidRDefault="008D1C9B" w:rsidP="00D14699">
      <w:pPr>
        <w:pStyle w:val="Corpsdetexte"/>
      </w:pPr>
    </w:p>
    <w:p w:rsidR="00D14699" w:rsidRDefault="00D14699" w:rsidP="008D1C9B">
      <w:r>
        <w:tab/>
      </w:r>
      <w:r w:rsidR="008D1C9B">
        <w:t>Plus de 90% des</w:t>
      </w:r>
      <w:r w:rsidRPr="007A5D10">
        <w:t xml:space="preserve"> chefs des unités commerciales non localisées ont formulé leur désir de pouvoir bénéficier des marchés pilotes. Ils mettent en avant " la proximité des clients " (47,3%) et "un coût d’installation abordable" (34,1%) comme principales conditions lors de la mise en place de tels marchés.</w:t>
      </w:r>
    </w:p>
    <w:p w:rsidR="00D14699" w:rsidRPr="007A5D10" w:rsidRDefault="00D14699" w:rsidP="00D14699"/>
    <w:p w:rsidR="00D14699" w:rsidRPr="007A5D10" w:rsidRDefault="003244C1" w:rsidP="003244C1">
      <w:r>
        <w:tab/>
        <w:t>Moins de la moitié (44%)</w:t>
      </w:r>
      <w:r w:rsidR="00D14699" w:rsidRPr="00E53B3F">
        <w:t xml:space="preserve"> </w:t>
      </w:r>
      <w:r>
        <w:t xml:space="preserve">des </w:t>
      </w:r>
      <w:r w:rsidR="00D14699" w:rsidRPr="00E53B3F">
        <w:t>chefs d’UPI considère que les UPI semblables aux leurs sont</w:t>
      </w:r>
      <w:r w:rsidR="00D14699">
        <w:t xml:space="preserve"> capables de se développer. Pour 51,7% de ces derniers,</w:t>
      </w:r>
      <w:r w:rsidR="00D14699" w:rsidRPr="00E53B3F">
        <w:t xml:space="preserve"> le principal moyen de se développer </w:t>
      </w:r>
      <w:r w:rsidR="00D14699">
        <w:t xml:space="preserve">est l’augmentation du capital investi, pour </w:t>
      </w:r>
      <w:r w:rsidR="00D14699" w:rsidRPr="007A5D10">
        <w:t xml:space="preserve">18,4% </w:t>
      </w:r>
      <w:r w:rsidR="00D14699">
        <w:t>c’est le</w:t>
      </w:r>
      <w:r w:rsidR="00D14699" w:rsidRPr="007A5D10">
        <w:t xml:space="preserve"> choix d’un emplacement stratégique et </w:t>
      </w:r>
      <w:r w:rsidR="00D14699">
        <w:t xml:space="preserve">pour </w:t>
      </w:r>
      <w:r w:rsidR="00D14699" w:rsidRPr="007A5D10">
        <w:t>12,7%</w:t>
      </w:r>
      <w:r w:rsidR="00D14699">
        <w:t xml:space="preserve"> c’est plutôt</w:t>
      </w:r>
      <w:r w:rsidR="00D14699" w:rsidRPr="007A5D10">
        <w:t xml:space="preserve"> l’amélioration de la qualité de leur production.</w:t>
      </w:r>
      <w:r w:rsidR="00D14699" w:rsidRPr="00E53B3F">
        <w:t xml:space="preserve"> </w:t>
      </w:r>
    </w:p>
    <w:p w:rsidR="00D14699" w:rsidRPr="007A5D10" w:rsidRDefault="00D14699" w:rsidP="00D14699"/>
    <w:sectPr w:rsidR="00D14699" w:rsidRPr="007A5D10" w:rsidSect="00556664">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BC0" w:rsidRDefault="00423BC0" w:rsidP="00CB2367">
      <w:r>
        <w:separator/>
      </w:r>
    </w:p>
  </w:endnote>
  <w:endnote w:type="continuationSeparator" w:id="1">
    <w:p w:rsidR="00423BC0" w:rsidRDefault="00423BC0" w:rsidP="00CB23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8063"/>
      <w:docPartObj>
        <w:docPartGallery w:val="Page Numbers (Bottom of Page)"/>
        <w:docPartUnique/>
      </w:docPartObj>
    </w:sdtPr>
    <w:sdtContent>
      <w:p w:rsidR="000B3085" w:rsidRDefault="00A8033A" w:rsidP="00CB2367">
        <w:pPr>
          <w:pStyle w:val="Pieddepage"/>
        </w:pPr>
        <w:fldSimple w:instr=" PAGE   \* MERGEFORMAT ">
          <w:r w:rsidR="0016357B">
            <w:rPr>
              <w:noProof/>
            </w:rPr>
            <w:t>4</w:t>
          </w:r>
        </w:fldSimple>
      </w:p>
    </w:sdtContent>
  </w:sdt>
  <w:p w:rsidR="000B3085" w:rsidRDefault="000B3085" w:rsidP="00CB236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BC0" w:rsidRDefault="00423BC0" w:rsidP="00CB2367">
      <w:r>
        <w:separator/>
      </w:r>
    </w:p>
  </w:footnote>
  <w:footnote w:type="continuationSeparator" w:id="1">
    <w:p w:rsidR="00423BC0" w:rsidRDefault="00423BC0" w:rsidP="00CB2367">
      <w:r>
        <w:continuationSeparator/>
      </w:r>
    </w:p>
  </w:footnote>
  <w:footnote w:id="2">
    <w:p w:rsidR="00B06389" w:rsidRPr="00212872" w:rsidRDefault="00B06389" w:rsidP="00B06389">
      <w:pPr>
        <w:pStyle w:val="Notedebasdepage"/>
        <w:rPr>
          <w:b/>
          <w:bCs/>
          <w:sz w:val="16"/>
          <w:szCs w:val="16"/>
        </w:rPr>
      </w:pPr>
      <w:r>
        <w:rPr>
          <w:rStyle w:val="Appelnotedebasdep"/>
        </w:rPr>
        <w:footnoteRef/>
      </w:r>
      <w:r>
        <w:t xml:space="preserve"> </w:t>
      </w:r>
      <w:r w:rsidRPr="00212872">
        <w:rPr>
          <w:b/>
          <w:bCs/>
          <w:sz w:val="16"/>
          <w:szCs w:val="16"/>
        </w:rPr>
        <w:t>La période qui sépare la réalisation des deux enquêtes est de 6 ans et demi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CC6" w:rsidRDefault="00D62CC6">
    <w:pPr>
      <w:pStyle w:val="En-tte"/>
    </w:pPr>
    <w:r w:rsidRPr="00D62CC6">
      <w:rPr>
        <w:noProof/>
        <w:lang w:eastAsia="fr-FR"/>
      </w:rPr>
      <w:drawing>
        <wp:anchor distT="0" distB="0" distL="114300" distR="114300" simplePos="0" relativeHeight="251659264" behindDoc="0" locked="0" layoutInCell="1" allowOverlap="1">
          <wp:simplePos x="0" y="0"/>
          <wp:positionH relativeFrom="column">
            <wp:posOffset>-1473051</wp:posOffset>
          </wp:positionH>
          <wp:positionV relativeFrom="paragraph">
            <wp:posOffset>-223109</wp:posOffset>
          </wp:positionV>
          <wp:extent cx="8703422" cy="503816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6C7D"/>
    <w:multiLevelType w:val="hybridMultilevel"/>
    <w:tmpl w:val="A3DA7D68"/>
    <w:lvl w:ilvl="0" w:tplc="67C8041E">
      <w:start w:val="1"/>
      <w:numFmt w:val="decimal"/>
      <w:lvlText w:val="%1."/>
      <w:lvlJc w:val="left"/>
      <w:pPr>
        <w:ind w:left="720" w:hanging="360"/>
      </w:pPr>
      <w:rPr>
        <w:rFonts w:eastAsiaTheme="minorHAnsi" w:hint="default"/>
        <w:b/>
        <w:bCs/>
        <w:color w:val="E36C0A" w:themeColor="accent6"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41051C"/>
    <w:multiLevelType w:val="hybridMultilevel"/>
    <w:tmpl w:val="EEC80324"/>
    <w:lvl w:ilvl="0" w:tplc="2C7274A8">
      <w:start w:val="4"/>
      <w:numFmt w:val="bullet"/>
      <w:lvlText w:val="-"/>
      <w:lvlJc w:val="left"/>
      <w:pPr>
        <w:ind w:left="498" w:hanging="360"/>
      </w:pPr>
      <w:rPr>
        <w:rFonts w:ascii="Times New Roman" w:eastAsiaTheme="minorHAnsi" w:hAnsi="Times New Roman" w:cs="Times New Roman"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2">
    <w:nsid w:val="21D230AE"/>
    <w:multiLevelType w:val="hybridMultilevel"/>
    <w:tmpl w:val="9A2031BA"/>
    <w:lvl w:ilvl="0" w:tplc="FEC8007E">
      <w:start w:val="1"/>
      <w:numFmt w:val="bullet"/>
      <w:pStyle w:val="ListepucesMien"/>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4A6476"/>
    <w:multiLevelType w:val="hybridMultilevel"/>
    <w:tmpl w:val="F430595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5E27B3"/>
    <w:multiLevelType w:val="hybridMultilevel"/>
    <w:tmpl w:val="B92ECD10"/>
    <w:lvl w:ilvl="0" w:tplc="6000641A">
      <w:start w:val="1"/>
      <w:numFmt w:val="upperRoman"/>
      <w:lvlText w:val="%1-"/>
      <w:lvlJc w:val="left"/>
      <w:pPr>
        <w:ind w:left="862"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2B34D87"/>
    <w:multiLevelType w:val="hybridMultilevel"/>
    <w:tmpl w:val="A3DA7D68"/>
    <w:lvl w:ilvl="0" w:tplc="67C8041E">
      <w:start w:val="1"/>
      <w:numFmt w:val="decimal"/>
      <w:lvlText w:val="%1."/>
      <w:lvlJc w:val="left"/>
      <w:pPr>
        <w:ind w:left="720" w:hanging="360"/>
      </w:pPr>
      <w:rPr>
        <w:rFonts w:eastAsiaTheme="minorHAnsi" w:hint="default"/>
        <w:b/>
        <w:bCs/>
        <w:color w:val="E36C0A" w:themeColor="accent6"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DF64D40"/>
    <w:multiLevelType w:val="hybridMultilevel"/>
    <w:tmpl w:val="D08ADC5E"/>
    <w:lvl w:ilvl="0" w:tplc="F572B4BA">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nsid w:val="3E7C5612"/>
    <w:multiLevelType w:val="hybridMultilevel"/>
    <w:tmpl w:val="9D9E3C34"/>
    <w:lvl w:ilvl="0" w:tplc="36D4F5A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E8F16DA"/>
    <w:multiLevelType w:val="hybridMultilevel"/>
    <w:tmpl w:val="B92ECD10"/>
    <w:lvl w:ilvl="0" w:tplc="6000641A">
      <w:start w:val="1"/>
      <w:numFmt w:val="upperRoman"/>
      <w:lvlText w:val="%1-"/>
      <w:lvlJc w:val="left"/>
      <w:pPr>
        <w:ind w:left="862"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33735B4"/>
    <w:multiLevelType w:val="hybridMultilevel"/>
    <w:tmpl w:val="A3DA7D68"/>
    <w:lvl w:ilvl="0" w:tplc="67C8041E">
      <w:start w:val="1"/>
      <w:numFmt w:val="decimal"/>
      <w:lvlText w:val="%1."/>
      <w:lvlJc w:val="left"/>
      <w:pPr>
        <w:ind w:left="720" w:hanging="360"/>
      </w:pPr>
      <w:rPr>
        <w:rFonts w:eastAsiaTheme="minorHAnsi" w:hint="default"/>
        <w:b/>
        <w:bCs/>
        <w:color w:val="E36C0A" w:themeColor="accent6"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4EF37B0"/>
    <w:multiLevelType w:val="hybridMultilevel"/>
    <w:tmpl w:val="A3DA7D68"/>
    <w:lvl w:ilvl="0" w:tplc="67C8041E">
      <w:start w:val="1"/>
      <w:numFmt w:val="decimal"/>
      <w:lvlText w:val="%1."/>
      <w:lvlJc w:val="left"/>
      <w:pPr>
        <w:ind w:left="720" w:hanging="360"/>
      </w:pPr>
      <w:rPr>
        <w:rFonts w:eastAsiaTheme="minorHAnsi" w:hint="default"/>
        <w:b/>
        <w:bCs/>
        <w:color w:val="E36C0A" w:themeColor="accent6"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8"/>
  </w:num>
  <w:num w:numId="5">
    <w:abstractNumId w:val="1"/>
  </w:num>
  <w:num w:numId="6">
    <w:abstractNumId w:val="6"/>
  </w:num>
  <w:num w:numId="7">
    <w:abstractNumId w:val="0"/>
  </w:num>
  <w:num w:numId="8">
    <w:abstractNumId w:val="10"/>
  </w:num>
  <w:num w:numId="9">
    <w:abstractNumId w:val="9"/>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E2317C"/>
    <w:rsid w:val="000028DA"/>
    <w:rsid w:val="0000478C"/>
    <w:rsid w:val="000057AA"/>
    <w:rsid w:val="00011DFF"/>
    <w:rsid w:val="00012862"/>
    <w:rsid w:val="000177A0"/>
    <w:rsid w:val="00017A5D"/>
    <w:rsid w:val="00024F5D"/>
    <w:rsid w:val="00026CB6"/>
    <w:rsid w:val="00032765"/>
    <w:rsid w:val="0004745A"/>
    <w:rsid w:val="000505F5"/>
    <w:rsid w:val="0005373A"/>
    <w:rsid w:val="00054D85"/>
    <w:rsid w:val="000575D8"/>
    <w:rsid w:val="00061A35"/>
    <w:rsid w:val="00064A28"/>
    <w:rsid w:val="0007069C"/>
    <w:rsid w:val="000708CE"/>
    <w:rsid w:val="000708F0"/>
    <w:rsid w:val="00072B79"/>
    <w:rsid w:val="000740C9"/>
    <w:rsid w:val="00080C8F"/>
    <w:rsid w:val="00082CCC"/>
    <w:rsid w:val="00087AE5"/>
    <w:rsid w:val="00092DFE"/>
    <w:rsid w:val="00093AEA"/>
    <w:rsid w:val="00094672"/>
    <w:rsid w:val="000A25DA"/>
    <w:rsid w:val="000B3085"/>
    <w:rsid w:val="000B5CDB"/>
    <w:rsid w:val="000C1AE6"/>
    <w:rsid w:val="000C7487"/>
    <w:rsid w:val="000D0298"/>
    <w:rsid w:val="000D1319"/>
    <w:rsid w:val="000D165B"/>
    <w:rsid w:val="000D27EC"/>
    <w:rsid w:val="000D527C"/>
    <w:rsid w:val="000F244F"/>
    <w:rsid w:val="000F354A"/>
    <w:rsid w:val="000F461A"/>
    <w:rsid w:val="000F5F70"/>
    <w:rsid w:val="00101D92"/>
    <w:rsid w:val="00110CC7"/>
    <w:rsid w:val="00120D45"/>
    <w:rsid w:val="00124425"/>
    <w:rsid w:val="001247F9"/>
    <w:rsid w:val="00130908"/>
    <w:rsid w:val="00144585"/>
    <w:rsid w:val="00152282"/>
    <w:rsid w:val="0016357B"/>
    <w:rsid w:val="00163E90"/>
    <w:rsid w:val="00164040"/>
    <w:rsid w:val="001723A7"/>
    <w:rsid w:val="00174F10"/>
    <w:rsid w:val="00180F9E"/>
    <w:rsid w:val="00183958"/>
    <w:rsid w:val="00185487"/>
    <w:rsid w:val="001A639F"/>
    <w:rsid w:val="001B23AB"/>
    <w:rsid w:val="001B4E6A"/>
    <w:rsid w:val="001B533A"/>
    <w:rsid w:val="001B77DE"/>
    <w:rsid w:val="001B7A44"/>
    <w:rsid w:val="001C1D39"/>
    <w:rsid w:val="001C413F"/>
    <w:rsid w:val="001D44F0"/>
    <w:rsid w:val="001E58A0"/>
    <w:rsid w:val="001F2DC9"/>
    <w:rsid w:val="001F30E4"/>
    <w:rsid w:val="001F57E4"/>
    <w:rsid w:val="00212872"/>
    <w:rsid w:val="00214A9B"/>
    <w:rsid w:val="002173EF"/>
    <w:rsid w:val="00233358"/>
    <w:rsid w:val="002342E6"/>
    <w:rsid w:val="002407E8"/>
    <w:rsid w:val="00246280"/>
    <w:rsid w:val="0025594C"/>
    <w:rsid w:val="00262DCC"/>
    <w:rsid w:val="0026527A"/>
    <w:rsid w:val="00273EFC"/>
    <w:rsid w:val="0028217C"/>
    <w:rsid w:val="00292E46"/>
    <w:rsid w:val="002A0ED6"/>
    <w:rsid w:val="002A36CE"/>
    <w:rsid w:val="002A37A3"/>
    <w:rsid w:val="002C0E84"/>
    <w:rsid w:val="002D7A53"/>
    <w:rsid w:val="002E2F6C"/>
    <w:rsid w:val="002E31C0"/>
    <w:rsid w:val="002E331D"/>
    <w:rsid w:val="002E7951"/>
    <w:rsid w:val="002F175C"/>
    <w:rsid w:val="002F2542"/>
    <w:rsid w:val="002F468C"/>
    <w:rsid w:val="0030063F"/>
    <w:rsid w:val="003045AB"/>
    <w:rsid w:val="0030596B"/>
    <w:rsid w:val="00307547"/>
    <w:rsid w:val="00310CB2"/>
    <w:rsid w:val="00312D5C"/>
    <w:rsid w:val="003132BE"/>
    <w:rsid w:val="00315403"/>
    <w:rsid w:val="0031579C"/>
    <w:rsid w:val="0032203C"/>
    <w:rsid w:val="003244C1"/>
    <w:rsid w:val="0032793A"/>
    <w:rsid w:val="00343F06"/>
    <w:rsid w:val="003533ED"/>
    <w:rsid w:val="00361544"/>
    <w:rsid w:val="00362F80"/>
    <w:rsid w:val="0036387D"/>
    <w:rsid w:val="00372466"/>
    <w:rsid w:val="00372E29"/>
    <w:rsid w:val="0037643C"/>
    <w:rsid w:val="00377738"/>
    <w:rsid w:val="00381BF0"/>
    <w:rsid w:val="00390837"/>
    <w:rsid w:val="00392F68"/>
    <w:rsid w:val="003B4D83"/>
    <w:rsid w:val="003C4934"/>
    <w:rsid w:val="003C4A83"/>
    <w:rsid w:val="003C5751"/>
    <w:rsid w:val="003D0697"/>
    <w:rsid w:val="003D2A9A"/>
    <w:rsid w:val="003D638E"/>
    <w:rsid w:val="003E0C08"/>
    <w:rsid w:val="003E3953"/>
    <w:rsid w:val="003E58B0"/>
    <w:rsid w:val="003F25A3"/>
    <w:rsid w:val="003F5B54"/>
    <w:rsid w:val="004057AE"/>
    <w:rsid w:val="004071CC"/>
    <w:rsid w:val="00423BC0"/>
    <w:rsid w:val="00424092"/>
    <w:rsid w:val="00427D76"/>
    <w:rsid w:val="00431834"/>
    <w:rsid w:val="00436C37"/>
    <w:rsid w:val="00452FA7"/>
    <w:rsid w:val="00453867"/>
    <w:rsid w:val="0045470C"/>
    <w:rsid w:val="004552BC"/>
    <w:rsid w:val="00460619"/>
    <w:rsid w:val="00460CE9"/>
    <w:rsid w:val="00467FFE"/>
    <w:rsid w:val="00470A98"/>
    <w:rsid w:val="00481D7B"/>
    <w:rsid w:val="0048256D"/>
    <w:rsid w:val="00483FF5"/>
    <w:rsid w:val="00491D3A"/>
    <w:rsid w:val="00493388"/>
    <w:rsid w:val="00495594"/>
    <w:rsid w:val="004A7C11"/>
    <w:rsid w:val="004C4BD6"/>
    <w:rsid w:val="004D0829"/>
    <w:rsid w:val="004E7E74"/>
    <w:rsid w:val="004F27FD"/>
    <w:rsid w:val="005017BD"/>
    <w:rsid w:val="00501FF2"/>
    <w:rsid w:val="005041D2"/>
    <w:rsid w:val="0050588F"/>
    <w:rsid w:val="00521734"/>
    <w:rsid w:val="0052342F"/>
    <w:rsid w:val="005309B3"/>
    <w:rsid w:val="00532B3B"/>
    <w:rsid w:val="00533306"/>
    <w:rsid w:val="00534C87"/>
    <w:rsid w:val="0053689C"/>
    <w:rsid w:val="00536AA4"/>
    <w:rsid w:val="0054047C"/>
    <w:rsid w:val="00546ADA"/>
    <w:rsid w:val="00556664"/>
    <w:rsid w:val="00564C62"/>
    <w:rsid w:val="0057171F"/>
    <w:rsid w:val="005729DF"/>
    <w:rsid w:val="00575384"/>
    <w:rsid w:val="00576015"/>
    <w:rsid w:val="005813EE"/>
    <w:rsid w:val="00587852"/>
    <w:rsid w:val="005914D1"/>
    <w:rsid w:val="0059677C"/>
    <w:rsid w:val="005A2B57"/>
    <w:rsid w:val="005A2CF1"/>
    <w:rsid w:val="005A3214"/>
    <w:rsid w:val="005B0D43"/>
    <w:rsid w:val="005B30EF"/>
    <w:rsid w:val="005B3228"/>
    <w:rsid w:val="005B72D0"/>
    <w:rsid w:val="005B7767"/>
    <w:rsid w:val="005C60D1"/>
    <w:rsid w:val="005D70D5"/>
    <w:rsid w:val="005F0048"/>
    <w:rsid w:val="005F3078"/>
    <w:rsid w:val="005F3815"/>
    <w:rsid w:val="005F423E"/>
    <w:rsid w:val="0060038E"/>
    <w:rsid w:val="006010D7"/>
    <w:rsid w:val="00601508"/>
    <w:rsid w:val="00601FE0"/>
    <w:rsid w:val="006061F0"/>
    <w:rsid w:val="00616A85"/>
    <w:rsid w:val="00617112"/>
    <w:rsid w:val="00630AEA"/>
    <w:rsid w:val="00631022"/>
    <w:rsid w:val="0065259E"/>
    <w:rsid w:val="00653349"/>
    <w:rsid w:val="00653AF1"/>
    <w:rsid w:val="00657237"/>
    <w:rsid w:val="006573A0"/>
    <w:rsid w:val="00666EE6"/>
    <w:rsid w:val="00695FF9"/>
    <w:rsid w:val="006B17FB"/>
    <w:rsid w:val="006B71FB"/>
    <w:rsid w:val="006C0EDC"/>
    <w:rsid w:val="006C3C30"/>
    <w:rsid w:val="006C56F3"/>
    <w:rsid w:val="006C5B52"/>
    <w:rsid w:val="006C6D75"/>
    <w:rsid w:val="006D0F0B"/>
    <w:rsid w:val="006D3148"/>
    <w:rsid w:val="006E4ACF"/>
    <w:rsid w:val="006F3A67"/>
    <w:rsid w:val="00703248"/>
    <w:rsid w:val="007049CB"/>
    <w:rsid w:val="00705138"/>
    <w:rsid w:val="00707B82"/>
    <w:rsid w:val="00720CF5"/>
    <w:rsid w:val="0072559E"/>
    <w:rsid w:val="0072665D"/>
    <w:rsid w:val="00726DEC"/>
    <w:rsid w:val="00732DB9"/>
    <w:rsid w:val="0073702C"/>
    <w:rsid w:val="00740F7F"/>
    <w:rsid w:val="0074155E"/>
    <w:rsid w:val="00742ACD"/>
    <w:rsid w:val="00744E28"/>
    <w:rsid w:val="0074728A"/>
    <w:rsid w:val="00761972"/>
    <w:rsid w:val="00763555"/>
    <w:rsid w:val="00770E8F"/>
    <w:rsid w:val="00771222"/>
    <w:rsid w:val="007747B6"/>
    <w:rsid w:val="00780144"/>
    <w:rsid w:val="007859B4"/>
    <w:rsid w:val="007937B0"/>
    <w:rsid w:val="00794A5A"/>
    <w:rsid w:val="007A2EC2"/>
    <w:rsid w:val="007A2F47"/>
    <w:rsid w:val="007A4CAC"/>
    <w:rsid w:val="007A5D10"/>
    <w:rsid w:val="007B3228"/>
    <w:rsid w:val="007B4120"/>
    <w:rsid w:val="007B5E1F"/>
    <w:rsid w:val="007C2C7D"/>
    <w:rsid w:val="007C3E5A"/>
    <w:rsid w:val="007D0B79"/>
    <w:rsid w:val="007D1A23"/>
    <w:rsid w:val="007D2616"/>
    <w:rsid w:val="007D56FD"/>
    <w:rsid w:val="007D7704"/>
    <w:rsid w:val="007E23EF"/>
    <w:rsid w:val="007E3F87"/>
    <w:rsid w:val="007E7DF5"/>
    <w:rsid w:val="007F1BC0"/>
    <w:rsid w:val="007F36EF"/>
    <w:rsid w:val="007F4C5F"/>
    <w:rsid w:val="008004D6"/>
    <w:rsid w:val="00801910"/>
    <w:rsid w:val="00801975"/>
    <w:rsid w:val="0080418A"/>
    <w:rsid w:val="00807774"/>
    <w:rsid w:val="00824A2E"/>
    <w:rsid w:val="00830AC5"/>
    <w:rsid w:val="008339ED"/>
    <w:rsid w:val="00842974"/>
    <w:rsid w:val="00855365"/>
    <w:rsid w:val="008562AC"/>
    <w:rsid w:val="00856923"/>
    <w:rsid w:val="00857FA8"/>
    <w:rsid w:val="00860650"/>
    <w:rsid w:val="00861D21"/>
    <w:rsid w:val="008630B5"/>
    <w:rsid w:val="008773D5"/>
    <w:rsid w:val="008822C0"/>
    <w:rsid w:val="0088514F"/>
    <w:rsid w:val="008B4647"/>
    <w:rsid w:val="008B4696"/>
    <w:rsid w:val="008B78A1"/>
    <w:rsid w:val="008C159E"/>
    <w:rsid w:val="008C4BC3"/>
    <w:rsid w:val="008C62C7"/>
    <w:rsid w:val="008D1C9B"/>
    <w:rsid w:val="008D7DBF"/>
    <w:rsid w:val="008E0E52"/>
    <w:rsid w:val="008F0284"/>
    <w:rsid w:val="008F4A58"/>
    <w:rsid w:val="008F7CFE"/>
    <w:rsid w:val="00900060"/>
    <w:rsid w:val="0090254C"/>
    <w:rsid w:val="00904E1E"/>
    <w:rsid w:val="0091424B"/>
    <w:rsid w:val="00914B1B"/>
    <w:rsid w:val="00916CC3"/>
    <w:rsid w:val="00921921"/>
    <w:rsid w:val="00925A57"/>
    <w:rsid w:val="009274B7"/>
    <w:rsid w:val="00933C65"/>
    <w:rsid w:val="009446E0"/>
    <w:rsid w:val="00951DCE"/>
    <w:rsid w:val="00956F52"/>
    <w:rsid w:val="009578B0"/>
    <w:rsid w:val="009765DD"/>
    <w:rsid w:val="00977E61"/>
    <w:rsid w:val="0098027E"/>
    <w:rsid w:val="00986DBC"/>
    <w:rsid w:val="00987755"/>
    <w:rsid w:val="009A0166"/>
    <w:rsid w:val="009A05D4"/>
    <w:rsid w:val="009A1F8F"/>
    <w:rsid w:val="009A6C00"/>
    <w:rsid w:val="009B1962"/>
    <w:rsid w:val="009B2737"/>
    <w:rsid w:val="009C4387"/>
    <w:rsid w:val="009D3EAD"/>
    <w:rsid w:val="009D7504"/>
    <w:rsid w:val="009E2D07"/>
    <w:rsid w:val="009E4B0A"/>
    <w:rsid w:val="009E5D58"/>
    <w:rsid w:val="009F6308"/>
    <w:rsid w:val="00A04035"/>
    <w:rsid w:val="00A1248A"/>
    <w:rsid w:val="00A1732D"/>
    <w:rsid w:val="00A252F4"/>
    <w:rsid w:val="00A369CC"/>
    <w:rsid w:val="00A41008"/>
    <w:rsid w:val="00A46D88"/>
    <w:rsid w:val="00A529F1"/>
    <w:rsid w:val="00A54F0A"/>
    <w:rsid w:val="00A646EC"/>
    <w:rsid w:val="00A71514"/>
    <w:rsid w:val="00A7472F"/>
    <w:rsid w:val="00A8033A"/>
    <w:rsid w:val="00A83756"/>
    <w:rsid w:val="00A91CE1"/>
    <w:rsid w:val="00A92051"/>
    <w:rsid w:val="00AA5690"/>
    <w:rsid w:val="00AB0A1E"/>
    <w:rsid w:val="00AB1633"/>
    <w:rsid w:val="00AB1AD5"/>
    <w:rsid w:val="00AB4362"/>
    <w:rsid w:val="00AB6D6B"/>
    <w:rsid w:val="00AC486F"/>
    <w:rsid w:val="00AC52AD"/>
    <w:rsid w:val="00AC7298"/>
    <w:rsid w:val="00AD1AE0"/>
    <w:rsid w:val="00AD57ED"/>
    <w:rsid w:val="00AD77B0"/>
    <w:rsid w:val="00AE051C"/>
    <w:rsid w:val="00AE0C31"/>
    <w:rsid w:val="00AF45AA"/>
    <w:rsid w:val="00AF56F2"/>
    <w:rsid w:val="00B01CAB"/>
    <w:rsid w:val="00B06389"/>
    <w:rsid w:val="00B07C2D"/>
    <w:rsid w:val="00B12136"/>
    <w:rsid w:val="00B13888"/>
    <w:rsid w:val="00B14096"/>
    <w:rsid w:val="00B145B9"/>
    <w:rsid w:val="00B16F29"/>
    <w:rsid w:val="00B22351"/>
    <w:rsid w:val="00B238C9"/>
    <w:rsid w:val="00B3487F"/>
    <w:rsid w:val="00B34E9B"/>
    <w:rsid w:val="00B352BD"/>
    <w:rsid w:val="00B41DCB"/>
    <w:rsid w:val="00B43490"/>
    <w:rsid w:val="00B50763"/>
    <w:rsid w:val="00B574E1"/>
    <w:rsid w:val="00B64179"/>
    <w:rsid w:val="00B6645B"/>
    <w:rsid w:val="00B6719F"/>
    <w:rsid w:val="00B673A9"/>
    <w:rsid w:val="00B7215B"/>
    <w:rsid w:val="00B862B4"/>
    <w:rsid w:val="00B876CE"/>
    <w:rsid w:val="00B87C7A"/>
    <w:rsid w:val="00B9568C"/>
    <w:rsid w:val="00B95F4F"/>
    <w:rsid w:val="00B968FC"/>
    <w:rsid w:val="00B96C38"/>
    <w:rsid w:val="00B974E9"/>
    <w:rsid w:val="00BA5A1B"/>
    <w:rsid w:val="00BA70E8"/>
    <w:rsid w:val="00BB26EE"/>
    <w:rsid w:val="00BB6ACC"/>
    <w:rsid w:val="00BB7841"/>
    <w:rsid w:val="00BC3F9D"/>
    <w:rsid w:val="00BC771E"/>
    <w:rsid w:val="00BD14F7"/>
    <w:rsid w:val="00BD2BEA"/>
    <w:rsid w:val="00BD3C72"/>
    <w:rsid w:val="00BD4A34"/>
    <w:rsid w:val="00BD4C45"/>
    <w:rsid w:val="00BE46BB"/>
    <w:rsid w:val="00BE4D58"/>
    <w:rsid w:val="00C011AC"/>
    <w:rsid w:val="00C06BF1"/>
    <w:rsid w:val="00C10DD1"/>
    <w:rsid w:val="00C17CD7"/>
    <w:rsid w:val="00C2058F"/>
    <w:rsid w:val="00C27B1F"/>
    <w:rsid w:val="00C37C64"/>
    <w:rsid w:val="00C40399"/>
    <w:rsid w:val="00C542DB"/>
    <w:rsid w:val="00C622A9"/>
    <w:rsid w:val="00C72291"/>
    <w:rsid w:val="00C80EFD"/>
    <w:rsid w:val="00C85BF5"/>
    <w:rsid w:val="00C863E1"/>
    <w:rsid w:val="00C90E32"/>
    <w:rsid w:val="00C93FFB"/>
    <w:rsid w:val="00CA044D"/>
    <w:rsid w:val="00CA1905"/>
    <w:rsid w:val="00CA2A6B"/>
    <w:rsid w:val="00CA5C98"/>
    <w:rsid w:val="00CB2367"/>
    <w:rsid w:val="00CB2F8F"/>
    <w:rsid w:val="00CC3AE5"/>
    <w:rsid w:val="00CC59AF"/>
    <w:rsid w:val="00CE2D62"/>
    <w:rsid w:val="00CE7852"/>
    <w:rsid w:val="00CF28F9"/>
    <w:rsid w:val="00D003F7"/>
    <w:rsid w:val="00D10719"/>
    <w:rsid w:val="00D14699"/>
    <w:rsid w:val="00D22EC3"/>
    <w:rsid w:val="00D271E0"/>
    <w:rsid w:val="00D33D70"/>
    <w:rsid w:val="00D36F45"/>
    <w:rsid w:val="00D4293A"/>
    <w:rsid w:val="00D4310F"/>
    <w:rsid w:val="00D4544D"/>
    <w:rsid w:val="00D47AF6"/>
    <w:rsid w:val="00D54D8A"/>
    <w:rsid w:val="00D615C4"/>
    <w:rsid w:val="00D62CC6"/>
    <w:rsid w:val="00D63E5C"/>
    <w:rsid w:val="00D72ABE"/>
    <w:rsid w:val="00D74166"/>
    <w:rsid w:val="00D749E3"/>
    <w:rsid w:val="00D82CF1"/>
    <w:rsid w:val="00D85037"/>
    <w:rsid w:val="00D87750"/>
    <w:rsid w:val="00D92827"/>
    <w:rsid w:val="00D95494"/>
    <w:rsid w:val="00DA637A"/>
    <w:rsid w:val="00DB1C5C"/>
    <w:rsid w:val="00DB1E06"/>
    <w:rsid w:val="00DB21A4"/>
    <w:rsid w:val="00DB25C3"/>
    <w:rsid w:val="00DB3E67"/>
    <w:rsid w:val="00DD0F57"/>
    <w:rsid w:val="00DD4D3F"/>
    <w:rsid w:val="00DD71AB"/>
    <w:rsid w:val="00DD72E6"/>
    <w:rsid w:val="00DE2ABC"/>
    <w:rsid w:val="00DE2F62"/>
    <w:rsid w:val="00DE7448"/>
    <w:rsid w:val="00DE7F21"/>
    <w:rsid w:val="00DF0012"/>
    <w:rsid w:val="00E0471E"/>
    <w:rsid w:val="00E13FC3"/>
    <w:rsid w:val="00E14D9F"/>
    <w:rsid w:val="00E17062"/>
    <w:rsid w:val="00E2317C"/>
    <w:rsid w:val="00E24149"/>
    <w:rsid w:val="00E26965"/>
    <w:rsid w:val="00E41323"/>
    <w:rsid w:val="00E428E1"/>
    <w:rsid w:val="00E44193"/>
    <w:rsid w:val="00E66DF5"/>
    <w:rsid w:val="00E70A18"/>
    <w:rsid w:val="00E741B1"/>
    <w:rsid w:val="00E74592"/>
    <w:rsid w:val="00E75D1E"/>
    <w:rsid w:val="00E924D9"/>
    <w:rsid w:val="00E9543F"/>
    <w:rsid w:val="00E954C0"/>
    <w:rsid w:val="00E970B3"/>
    <w:rsid w:val="00EA0281"/>
    <w:rsid w:val="00EA0C01"/>
    <w:rsid w:val="00EA1266"/>
    <w:rsid w:val="00EC0992"/>
    <w:rsid w:val="00EC37F6"/>
    <w:rsid w:val="00EC5668"/>
    <w:rsid w:val="00EC5A62"/>
    <w:rsid w:val="00EE14BE"/>
    <w:rsid w:val="00EE3956"/>
    <w:rsid w:val="00EE6F57"/>
    <w:rsid w:val="00EF2B70"/>
    <w:rsid w:val="00EF7352"/>
    <w:rsid w:val="00F013A5"/>
    <w:rsid w:val="00F029B4"/>
    <w:rsid w:val="00F03521"/>
    <w:rsid w:val="00F05768"/>
    <w:rsid w:val="00F10DE7"/>
    <w:rsid w:val="00F11159"/>
    <w:rsid w:val="00F14313"/>
    <w:rsid w:val="00F143DB"/>
    <w:rsid w:val="00F16E19"/>
    <w:rsid w:val="00F2017A"/>
    <w:rsid w:val="00F242A5"/>
    <w:rsid w:val="00F256FD"/>
    <w:rsid w:val="00F327EF"/>
    <w:rsid w:val="00F32F4C"/>
    <w:rsid w:val="00F4068B"/>
    <w:rsid w:val="00F40ABB"/>
    <w:rsid w:val="00F41003"/>
    <w:rsid w:val="00F533BE"/>
    <w:rsid w:val="00F544E9"/>
    <w:rsid w:val="00F564EB"/>
    <w:rsid w:val="00F57F04"/>
    <w:rsid w:val="00F61F84"/>
    <w:rsid w:val="00F64902"/>
    <w:rsid w:val="00F66B55"/>
    <w:rsid w:val="00F80DFA"/>
    <w:rsid w:val="00F9036D"/>
    <w:rsid w:val="00F91024"/>
    <w:rsid w:val="00F94CC2"/>
    <w:rsid w:val="00F95FF5"/>
    <w:rsid w:val="00F96F49"/>
    <w:rsid w:val="00FA16E8"/>
    <w:rsid w:val="00FB2167"/>
    <w:rsid w:val="00FB4346"/>
    <w:rsid w:val="00FB6F6B"/>
    <w:rsid w:val="00FC5C9D"/>
    <w:rsid w:val="00FC7860"/>
    <w:rsid w:val="00FD00A9"/>
    <w:rsid w:val="00FD0609"/>
    <w:rsid w:val="00FD22AB"/>
    <w:rsid w:val="00FD2B7C"/>
    <w:rsid w:val="00FD7494"/>
    <w:rsid w:val="00FE3F65"/>
    <w:rsid w:val="00FE6F3D"/>
    <w:rsid w:val="00FF6EF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6866">
      <o:colormenu v:ext="edit" fillcolor="none [13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367"/>
    <w:pPr>
      <w:tabs>
        <w:tab w:val="num" w:pos="720"/>
      </w:tabs>
      <w:autoSpaceDE w:val="0"/>
      <w:autoSpaceDN w:val="0"/>
      <w:adjustRightInd w:val="0"/>
      <w:spacing w:after="0"/>
      <w:jc w:val="both"/>
    </w:pPr>
    <w:rPr>
      <w:rFonts w:ascii="Calibri" w:eastAsia="Times New Roman" w:hAnsi="Calibri" w:cstheme="majorBid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uiPriority w:val="99"/>
    <w:unhideWhenUsed/>
    <w:rsid w:val="00E2317C"/>
    <w:pPr>
      <w:spacing w:after="120" w:line="480" w:lineRule="auto"/>
    </w:pPr>
    <w:rPr>
      <w:rFonts w:ascii="Arial" w:eastAsia="Calibri" w:hAnsi="Arial" w:cs="Arial"/>
      <w:sz w:val="18"/>
      <w:szCs w:val="18"/>
    </w:rPr>
  </w:style>
  <w:style w:type="character" w:customStyle="1" w:styleId="Corpsdetexte2Car">
    <w:name w:val="Corps de texte 2 Car"/>
    <w:basedOn w:val="Policepardfaut"/>
    <w:link w:val="Corpsdetexte2"/>
    <w:uiPriority w:val="99"/>
    <w:rsid w:val="00E2317C"/>
    <w:rPr>
      <w:rFonts w:ascii="Arial" w:eastAsia="Calibri" w:hAnsi="Arial" w:cs="Arial"/>
      <w:sz w:val="18"/>
      <w:szCs w:val="18"/>
    </w:rPr>
  </w:style>
  <w:style w:type="paragraph" w:styleId="Paragraphedeliste">
    <w:name w:val="List Paragraph"/>
    <w:basedOn w:val="Normal"/>
    <w:uiPriority w:val="34"/>
    <w:qFormat/>
    <w:rsid w:val="001B533A"/>
    <w:pPr>
      <w:ind w:left="720"/>
      <w:contextualSpacing/>
    </w:pPr>
  </w:style>
  <w:style w:type="paragraph" w:styleId="Corpsdetexte">
    <w:name w:val="Body Text"/>
    <w:basedOn w:val="Normal"/>
    <w:link w:val="CorpsdetexteCar"/>
    <w:uiPriority w:val="99"/>
    <w:unhideWhenUsed/>
    <w:rsid w:val="001B533A"/>
    <w:pPr>
      <w:spacing w:after="120"/>
    </w:pPr>
  </w:style>
  <w:style w:type="character" w:customStyle="1" w:styleId="CorpsdetexteCar">
    <w:name w:val="Corps de texte Car"/>
    <w:basedOn w:val="Policepardfaut"/>
    <w:link w:val="Corpsdetexte"/>
    <w:uiPriority w:val="99"/>
    <w:rsid w:val="001B533A"/>
  </w:style>
  <w:style w:type="paragraph" w:customStyle="1" w:styleId="ListepucesMien">
    <w:name w:val="Liste à puces (Mien)"/>
    <w:basedOn w:val="Normal"/>
    <w:link w:val="ListepucesMienCar"/>
    <w:qFormat/>
    <w:rsid w:val="001B533A"/>
    <w:pPr>
      <w:numPr>
        <w:numId w:val="3"/>
      </w:numPr>
      <w:spacing w:line="240" w:lineRule="auto"/>
    </w:pPr>
    <w:rPr>
      <w:rFonts w:cs="Times New Roman"/>
      <w:b/>
      <w:color w:val="0000FF"/>
      <w:lang w:eastAsia="fr-FR"/>
    </w:rPr>
  </w:style>
  <w:style w:type="character" w:customStyle="1" w:styleId="ListepucesMienCar">
    <w:name w:val="Liste à puces (Mien) Car"/>
    <w:basedOn w:val="Policepardfaut"/>
    <w:link w:val="ListepucesMien"/>
    <w:rsid w:val="001B533A"/>
    <w:rPr>
      <w:rFonts w:ascii="Calibri" w:eastAsia="Times New Roman" w:hAnsi="Calibri" w:cs="Times New Roman"/>
      <w:b/>
      <w:color w:val="0000FF"/>
      <w:sz w:val="24"/>
      <w:szCs w:val="24"/>
      <w:lang w:eastAsia="fr-FR"/>
    </w:rPr>
  </w:style>
  <w:style w:type="paragraph" w:styleId="En-tte">
    <w:name w:val="header"/>
    <w:basedOn w:val="Normal"/>
    <w:link w:val="En-tteCar"/>
    <w:uiPriority w:val="99"/>
    <w:semiHidden/>
    <w:unhideWhenUsed/>
    <w:rsid w:val="003C4A83"/>
    <w:pPr>
      <w:tabs>
        <w:tab w:val="center" w:pos="4536"/>
        <w:tab w:val="right" w:pos="9072"/>
      </w:tabs>
      <w:spacing w:line="240" w:lineRule="auto"/>
    </w:pPr>
  </w:style>
  <w:style w:type="character" w:customStyle="1" w:styleId="En-tteCar">
    <w:name w:val="En-tête Car"/>
    <w:basedOn w:val="Policepardfaut"/>
    <w:link w:val="En-tte"/>
    <w:uiPriority w:val="99"/>
    <w:semiHidden/>
    <w:rsid w:val="003C4A83"/>
  </w:style>
  <w:style w:type="paragraph" w:styleId="Pieddepage">
    <w:name w:val="footer"/>
    <w:basedOn w:val="Normal"/>
    <w:link w:val="PieddepageCar"/>
    <w:uiPriority w:val="99"/>
    <w:unhideWhenUsed/>
    <w:rsid w:val="003C4A83"/>
    <w:pPr>
      <w:tabs>
        <w:tab w:val="center" w:pos="4536"/>
        <w:tab w:val="right" w:pos="9072"/>
      </w:tabs>
      <w:spacing w:line="240" w:lineRule="auto"/>
    </w:pPr>
  </w:style>
  <w:style w:type="character" w:customStyle="1" w:styleId="PieddepageCar">
    <w:name w:val="Pied de page Car"/>
    <w:basedOn w:val="Policepardfaut"/>
    <w:link w:val="Pieddepage"/>
    <w:uiPriority w:val="99"/>
    <w:rsid w:val="003C4A83"/>
  </w:style>
  <w:style w:type="paragraph" w:styleId="Textedebulles">
    <w:name w:val="Balloon Text"/>
    <w:basedOn w:val="Normal"/>
    <w:link w:val="TextedebullesCar"/>
    <w:uiPriority w:val="99"/>
    <w:semiHidden/>
    <w:unhideWhenUsed/>
    <w:rsid w:val="00CC3AE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3AE5"/>
    <w:rPr>
      <w:rFonts w:ascii="Tahoma" w:hAnsi="Tahoma" w:cs="Tahoma"/>
      <w:sz w:val="16"/>
      <w:szCs w:val="16"/>
    </w:rPr>
  </w:style>
  <w:style w:type="paragraph" w:styleId="Notedebasdepage">
    <w:name w:val="footnote text"/>
    <w:basedOn w:val="Normal"/>
    <w:link w:val="NotedebasdepageCar"/>
    <w:uiPriority w:val="99"/>
    <w:semiHidden/>
    <w:unhideWhenUsed/>
    <w:rsid w:val="001B4E6A"/>
    <w:pPr>
      <w:spacing w:line="240" w:lineRule="auto"/>
    </w:pPr>
    <w:rPr>
      <w:sz w:val="20"/>
      <w:szCs w:val="20"/>
    </w:rPr>
  </w:style>
  <w:style w:type="character" w:customStyle="1" w:styleId="NotedebasdepageCar">
    <w:name w:val="Note de bas de page Car"/>
    <w:basedOn w:val="Policepardfaut"/>
    <w:link w:val="Notedebasdepage"/>
    <w:uiPriority w:val="99"/>
    <w:semiHidden/>
    <w:rsid w:val="001B4E6A"/>
    <w:rPr>
      <w:rFonts w:ascii="Calibri" w:eastAsia="Times New Roman" w:hAnsi="Calibri" w:cstheme="majorBidi"/>
      <w:sz w:val="20"/>
      <w:szCs w:val="20"/>
    </w:rPr>
  </w:style>
  <w:style w:type="character" w:styleId="Appelnotedebasdep">
    <w:name w:val="footnote reference"/>
    <w:basedOn w:val="Policepardfaut"/>
    <w:uiPriority w:val="99"/>
    <w:semiHidden/>
    <w:unhideWhenUsed/>
    <w:rsid w:val="001B4E6A"/>
    <w:rPr>
      <w:vertAlign w:val="superscript"/>
    </w:rPr>
  </w:style>
</w:styles>
</file>

<file path=word/webSettings.xml><?xml version="1.0" encoding="utf-8"?>
<w:webSettings xmlns:r="http://schemas.openxmlformats.org/officeDocument/2006/relationships" xmlns:w="http://schemas.openxmlformats.org/wordprocessingml/2006/main">
  <w:divs>
    <w:div w:id="192421918">
      <w:bodyDiv w:val="1"/>
      <w:marLeft w:val="0"/>
      <w:marRight w:val="0"/>
      <w:marTop w:val="0"/>
      <w:marBottom w:val="0"/>
      <w:divBdr>
        <w:top w:val="none" w:sz="0" w:space="0" w:color="auto"/>
        <w:left w:val="none" w:sz="0" w:space="0" w:color="auto"/>
        <w:bottom w:val="none" w:sz="0" w:space="0" w:color="auto"/>
        <w:right w:val="none" w:sz="0" w:space="0" w:color="auto"/>
      </w:divBdr>
    </w:div>
    <w:div w:id="205915263">
      <w:bodyDiv w:val="1"/>
      <w:marLeft w:val="0"/>
      <w:marRight w:val="0"/>
      <w:marTop w:val="0"/>
      <w:marBottom w:val="0"/>
      <w:divBdr>
        <w:top w:val="none" w:sz="0" w:space="0" w:color="auto"/>
        <w:left w:val="none" w:sz="0" w:space="0" w:color="auto"/>
        <w:bottom w:val="none" w:sz="0" w:space="0" w:color="auto"/>
        <w:right w:val="none" w:sz="0" w:space="0" w:color="auto"/>
      </w:divBdr>
    </w:div>
    <w:div w:id="335619601">
      <w:bodyDiv w:val="1"/>
      <w:marLeft w:val="0"/>
      <w:marRight w:val="0"/>
      <w:marTop w:val="0"/>
      <w:marBottom w:val="0"/>
      <w:divBdr>
        <w:top w:val="none" w:sz="0" w:space="0" w:color="auto"/>
        <w:left w:val="none" w:sz="0" w:space="0" w:color="auto"/>
        <w:bottom w:val="none" w:sz="0" w:space="0" w:color="auto"/>
        <w:right w:val="none" w:sz="0" w:space="0" w:color="auto"/>
      </w:divBdr>
    </w:div>
    <w:div w:id="563756999">
      <w:bodyDiv w:val="1"/>
      <w:marLeft w:val="0"/>
      <w:marRight w:val="0"/>
      <w:marTop w:val="0"/>
      <w:marBottom w:val="0"/>
      <w:divBdr>
        <w:top w:val="none" w:sz="0" w:space="0" w:color="auto"/>
        <w:left w:val="none" w:sz="0" w:space="0" w:color="auto"/>
        <w:bottom w:val="none" w:sz="0" w:space="0" w:color="auto"/>
        <w:right w:val="none" w:sz="0" w:space="0" w:color="auto"/>
      </w:divBdr>
    </w:div>
    <w:div w:id="600453147">
      <w:bodyDiv w:val="1"/>
      <w:marLeft w:val="0"/>
      <w:marRight w:val="0"/>
      <w:marTop w:val="0"/>
      <w:marBottom w:val="0"/>
      <w:divBdr>
        <w:top w:val="none" w:sz="0" w:space="0" w:color="auto"/>
        <w:left w:val="none" w:sz="0" w:space="0" w:color="auto"/>
        <w:bottom w:val="none" w:sz="0" w:space="0" w:color="auto"/>
        <w:right w:val="none" w:sz="0" w:space="0" w:color="auto"/>
      </w:divBdr>
    </w:div>
    <w:div w:id="1194541104">
      <w:bodyDiv w:val="1"/>
      <w:marLeft w:val="0"/>
      <w:marRight w:val="0"/>
      <w:marTop w:val="0"/>
      <w:marBottom w:val="0"/>
      <w:divBdr>
        <w:top w:val="none" w:sz="0" w:space="0" w:color="auto"/>
        <w:left w:val="none" w:sz="0" w:space="0" w:color="auto"/>
        <w:bottom w:val="none" w:sz="0" w:space="0" w:color="auto"/>
        <w:right w:val="none" w:sz="0" w:space="0" w:color="auto"/>
      </w:divBdr>
    </w:div>
    <w:div w:id="1456437740">
      <w:bodyDiv w:val="1"/>
      <w:marLeft w:val="0"/>
      <w:marRight w:val="0"/>
      <w:marTop w:val="0"/>
      <w:marBottom w:val="0"/>
      <w:divBdr>
        <w:top w:val="none" w:sz="0" w:space="0" w:color="auto"/>
        <w:left w:val="none" w:sz="0" w:space="0" w:color="auto"/>
        <w:bottom w:val="none" w:sz="0" w:space="0" w:color="auto"/>
        <w:right w:val="none" w:sz="0" w:space="0" w:color="auto"/>
      </w:divBdr>
    </w:div>
    <w:div w:id="145806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hbenayad\Desktop\SECTEUR%20INFORMEL%202014\premiers%20r&#233;sulta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view3D>
      <c:rAngAx val="1"/>
    </c:view3D>
    <c:plotArea>
      <c:layout/>
      <c:bar3DChart>
        <c:barDir val="col"/>
        <c:grouping val="clustered"/>
        <c:ser>
          <c:idx val="0"/>
          <c:order val="0"/>
          <c:tx>
            <c:strRef>
              <c:f>Feuil9!$B$65</c:f>
              <c:strCache>
                <c:ptCount val="1"/>
                <c:pt idx="0">
                  <c:v>2007</c:v>
                </c:pt>
              </c:strCache>
            </c:strRef>
          </c:tx>
          <c:spPr>
            <a:scene3d>
              <a:camera prst="orthographicFront"/>
              <a:lightRig rig="threePt" dir="t"/>
            </a:scene3d>
            <a:sp3d>
              <a:bevelT/>
            </a:sp3d>
          </c:spPr>
          <c:dLbls>
            <c:showVal val="1"/>
          </c:dLbls>
          <c:cat>
            <c:strRef>
              <c:f>Feuil9!$A$66:$A$69</c:f>
              <c:strCache>
                <c:ptCount val="4"/>
                <c:pt idx="0">
                  <c:v>BTP</c:v>
                </c:pt>
                <c:pt idx="1">
                  <c:v>Commerce</c:v>
                </c:pt>
                <c:pt idx="2">
                  <c:v>Industrie</c:v>
                </c:pt>
                <c:pt idx="3">
                  <c:v>Services</c:v>
                </c:pt>
              </c:strCache>
            </c:strRef>
          </c:cat>
          <c:val>
            <c:numRef>
              <c:f>Feuil9!$B$66:$B$69</c:f>
              <c:numCache>
                <c:formatCode>0.0%</c:formatCode>
                <c:ptCount val="4"/>
                <c:pt idx="0">
                  <c:v>0.12876022469535819</c:v>
                </c:pt>
                <c:pt idx="1">
                  <c:v>0.49000875975206137</c:v>
                </c:pt>
                <c:pt idx="2">
                  <c:v>0.20133716658448991</c:v>
                </c:pt>
                <c:pt idx="3">
                  <c:v>0.17989384896809191</c:v>
                </c:pt>
              </c:numCache>
            </c:numRef>
          </c:val>
        </c:ser>
        <c:ser>
          <c:idx val="1"/>
          <c:order val="1"/>
          <c:tx>
            <c:strRef>
              <c:f>Feuil9!$C$65</c:f>
              <c:strCache>
                <c:ptCount val="1"/>
                <c:pt idx="0">
                  <c:v>2013</c:v>
                </c:pt>
              </c:strCache>
            </c:strRef>
          </c:tx>
          <c:spPr>
            <a:scene3d>
              <a:camera prst="orthographicFront"/>
              <a:lightRig rig="threePt" dir="t"/>
            </a:scene3d>
            <a:sp3d>
              <a:bevelT/>
            </a:sp3d>
          </c:spPr>
          <c:dLbls>
            <c:dLbl>
              <c:idx val="1"/>
              <c:layout>
                <c:manualLayout>
                  <c:x val="4.2313516503104463E-2"/>
                  <c:y val="0"/>
                </c:manualLayout>
              </c:layout>
              <c:showVal val="1"/>
            </c:dLbl>
            <c:showVal val="1"/>
          </c:dLbls>
          <c:cat>
            <c:strRef>
              <c:f>Feuil9!$A$66:$A$69</c:f>
              <c:strCache>
                <c:ptCount val="4"/>
                <c:pt idx="0">
                  <c:v>BTP</c:v>
                </c:pt>
                <c:pt idx="1">
                  <c:v>Commerce</c:v>
                </c:pt>
                <c:pt idx="2">
                  <c:v>Industrie</c:v>
                </c:pt>
                <c:pt idx="3">
                  <c:v>Services</c:v>
                </c:pt>
              </c:strCache>
            </c:strRef>
          </c:cat>
          <c:val>
            <c:numRef>
              <c:f>Feuil9!$C$66:$C$69</c:f>
              <c:numCache>
                <c:formatCode>0.0%</c:formatCode>
                <c:ptCount val="4"/>
                <c:pt idx="0">
                  <c:v>0.14272236996140591</c:v>
                </c:pt>
                <c:pt idx="1">
                  <c:v>0.43061445103026802</c:v>
                </c:pt>
                <c:pt idx="2">
                  <c:v>0.22807058179419343</c:v>
                </c:pt>
                <c:pt idx="3">
                  <c:v>0.19859259721413389</c:v>
                </c:pt>
              </c:numCache>
            </c:numRef>
          </c:val>
        </c:ser>
        <c:dLbls>
          <c:showVal val="1"/>
        </c:dLbls>
        <c:gapWidth val="75"/>
        <c:shape val="box"/>
        <c:axId val="68594304"/>
        <c:axId val="68596096"/>
        <c:axId val="0"/>
      </c:bar3DChart>
      <c:catAx>
        <c:axId val="68594304"/>
        <c:scaling>
          <c:orientation val="minMax"/>
        </c:scaling>
        <c:axPos val="b"/>
        <c:majorTickMark val="none"/>
        <c:tickLblPos val="nextTo"/>
        <c:crossAx val="68596096"/>
        <c:crosses val="autoZero"/>
        <c:auto val="1"/>
        <c:lblAlgn val="ctr"/>
        <c:lblOffset val="100"/>
      </c:catAx>
      <c:valAx>
        <c:axId val="68596096"/>
        <c:scaling>
          <c:orientation val="minMax"/>
        </c:scaling>
        <c:delete val="1"/>
        <c:axPos val="l"/>
        <c:numFmt formatCode="0.0%" sourceLinked="1"/>
        <c:majorTickMark val="none"/>
        <c:tickLblPos val="none"/>
        <c:crossAx val="68594304"/>
        <c:crosses val="autoZero"/>
        <c:crossBetween val="between"/>
      </c:valAx>
    </c:plotArea>
    <c:legend>
      <c:legendPos val="r"/>
    </c:legend>
    <c:plotVisOnly val="1"/>
  </c:chart>
  <c:txPr>
    <a:bodyPr/>
    <a:lstStyle/>
    <a:p>
      <a:pPr>
        <a:defRPr b="1"/>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0425F-D7B1-49AD-8312-FC0ABA0E7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2289</Words>
  <Characters>12592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sdrissi</dc:creator>
  <cp:lastModifiedBy>hcp</cp:lastModifiedBy>
  <cp:revision>2</cp:revision>
  <cp:lastPrinted>2016-10-11T10:59:00Z</cp:lastPrinted>
  <dcterms:created xsi:type="dcterms:W3CDTF">2016-11-03T10:38:00Z</dcterms:created>
  <dcterms:modified xsi:type="dcterms:W3CDTF">2016-11-03T10:38:00Z</dcterms:modified>
</cp:coreProperties>
</file>