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8C0B0D" w:rsidP="006A31C1">
      <w:pPr>
        <w:bidi/>
        <w:jc w:val="center"/>
        <w:outlineLvl w:val="0"/>
      </w:pPr>
      <w:r>
        <w:t xml:space="preserve">                     </w:t>
      </w:r>
    </w:p>
    <w:p w:rsidR="006A31C1" w:rsidRDefault="006A31C1" w:rsidP="006A31C1">
      <w:pPr>
        <w:bidi/>
        <w:jc w:val="center"/>
        <w:outlineLvl w:val="0"/>
      </w:pPr>
    </w:p>
    <w:p w:rsidR="006A31C1" w:rsidRDefault="006A31C1" w:rsidP="006A31C1">
      <w:pPr>
        <w:bidi/>
        <w:jc w:val="center"/>
        <w:outlineLvl w:val="0"/>
      </w:pPr>
    </w:p>
    <w:p w:rsidR="00453FB2" w:rsidRDefault="00156155" w:rsidP="00E52CA4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16.9pt;width:655pt;height:354.8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49093922" r:id="rId8"/>
        </w:pict>
      </w: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E52CA4" w:rsidRDefault="00E52CA4" w:rsidP="00E52CA4">
      <w:pPr>
        <w:bidi/>
        <w:jc w:val="center"/>
        <w:rPr>
          <w:b/>
          <w:bCs/>
          <w:sz w:val="36"/>
          <w:szCs w:val="36"/>
          <w:lang w:bidi="ar-MA"/>
        </w:rPr>
      </w:pPr>
    </w:p>
    <w:p w:rsidR="00E52CA4" w:rsidRDefault="00E52CA4" w:rsidP="00E52CA4">
      <w:pPr>
        <w:bidi/>
        <w:jc w:val="center"/>
        <w:rPr>
          <w:b/>
          <w:bCs/>
          <w:sz w:val="36"/>
          <w:szCs w:val="36"/>
          <w:lang w:bidi="ar-MA"/>
        </w:rPr>
      </w:pPr>
    </w:p>
    <w:p w:rsidR="00E52CA4" w:rsidRPr="001867EA" w:rsidRDefault="00E52CA4" w:rsidP="00E52CA4">
      <w:pPr>
        <w:bidi/>
        <w:jc w:val="center"/>
        <w:rPr>
          <w:b/>
          <w:bCs/>
          <w:color w:val="FF0000"/>
          <w:sz w:val="36"/>
          <w:szCs w:val="36"/>
          <w:lang w:bidi="ar-MA"/>
        </w:rPr>
      </w:pPr>
      <w:r w:rsidRPr="001867EA">
        <w:rPr>
          <w:b/>
          <w:bCs/>
          <w:color w:val="FF0000"/>
          <w:sz w:val="36"/>
          <w:szCs w:val="36"/>
          <w:rtl/>
          <w:lang w:bidi="ar-MA"/>
        </w:rPr>
        <w:t>مذكرة إخبارية حول الحسابات الوطنية</w:t>
      </w:r>
    </w:p>
    <w:p w:rsidR="00E52CA4" w:rsidRPr="001867EA" w:rsidRDefault="00E52CA4" w:rsidP="00E52CA4">
      <w:pPr>
        <w:bidi/>
        <w:jc w:val="center"/>
        <w:rPr>
          <w:b/>
          <w:bCs/>
          <w:color w:val="FF0000"/>
          <w:sz w:val="36"/>
          <w:szCs w:val="36"/>
          <w:rtl/>
          <w:lang w:bidi="ar-MA"/>
        </w:rPr>
      </w:pPr>
      <w:r w:rsidRPr="001867EA">
        <w:rPr>
          <w:b/>
          <w:bCs/>
          <w:color w:val="FF0000"/>
          <w:sz w:val="36"/>
          <w:szCs w:val="36"/>
          <w:rtl/>
          <w:lang w:bidi="ar-MA"/>
        </w:rPr>
        <w:t>للقطاعات المؤسساتية لسنة 2015</w:t>
      </w:r>
    </w:p>
    <w:p w:rsidR="00E52CA4" w:rsidRPr="001867EA" w:rsidRDefault="00E52CA4" w:rsidP="00E52CA4">
      <w:pPr>
        <w:bidi/>
        <w:rPr>
          <w:color w:val="FF0000"/>
          <w:sz w:val="32"/>
          <w:szCs w:val="32"/>
          <w:rtl/>
          <w:lang w:bidi="ar-MA"/>
        </w:rPr>
      </w:pPr>
    </w:p>
    <w:p w:rsidR="00E52CA4" w:rsidRDefault="00E52CA4" w:rsidP="00E52CA4">
      <w:pPr>
        <w:bidi/>
        <w:rPr>
          <w:sz w:val="32"/>
          <w:szCs w:val="32"/>
          <w:lang w:bidi="ar-MA"/>
        </w:rPr>
      </w:pPr>
    </w:p>
    <w:p w:rsidR="00E52CA4" w:rsidRPr="001867EA" w:rsidRDefault="00391674" w:rsidP="001867EA">
      <w:p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rtl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للتذكير،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بلغ الناتج الداخلي الاجمالي للاقتصاد الوطني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بالقيمة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982,2 مليار درهم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سنة 2015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، مسجلا </w:t>
      </w:r>
      <w:r w:rsidR="0070523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بذلك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ارتفاعا نسبته 6,3</w:t>
      </w:r>
      <w:r w:rsidR="003D78B4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% مقارنة مع سنة 2014.</w:t>
      </w:r>
    </w:p>
    <w:p w:rsidR="00E52CA4" w:rsidRPr="001867EA" w:rsidRDefault="00E52CA4" w:rsidP="001867EA">
      <w:p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rtl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وتعتبر الحسابات الوطنية المؤقتة للقطاعات المؤسساتية تكملة لنتائج الحسابات التي نشرت خلال شهر يونيو 201</w:t>
      </w:r>
      <w:r w:rsidR="004D3AA8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6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، </w:t>
      </w:r>
      <w:r w:rsidR="0070523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إذ توفر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سلسلة متكاملة من الحسابات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غير المالية و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المالية للقطاعات المؤسساتية و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القطاعات الفرعية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بالنسبة لنفس السنة، وكذلك جدول الحسابات الاقتصادية المتكاملة وجدول العمليات المالية.</w:t>
      </w:r>
    </w:p>
    <w:p w:rsidR="0070523B" w:rsidRPr="001867EA" w:rsidRDefault="0070523B" w:rsidP="001867EA">
      <w:p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rtl/>
          <w:lang w:bidi="ar-MA"/>
        </w:rPr>
      </w:pPr>
    </w:p>
    <w:p w:rsidR="00E52CA4" w:rsidRPr="001867EA" w:rsidRDefault="00E52CA4" w:rsidP="001867EA">
      <w:pPr>
        <w:bidi/>
        <w:spacing w:line="276" w:lineRule="auto"/>
        <w:jc w:val="both"/>
        <w:rPr>
          <w:rFonts w:ascii="Book Antiqua" w:eastAsia="SimHei" w:hAnsi="Book Antiqua"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sz w:val="28"/>
          <w:szCs w:val="28"/>
          <w:lang w:bidi="ar-MA"/>
        </w:rPr>
        <w:t xml:space="preserve"> </w:t>
      </w:r>
      <w:r w:rsidRPr="001867EA">
        <w:rPr>
          <w:rFonts w:ascii="Book Antiqua" w:eastAsia="SimHei" w:hAnsi="Book Antiqua"/>
          <w:sz w:val="28"/>
          <w:szCs w:val="28"/>
          <w:rtl/>
          <w:lang w:bidi="ar-MA"/>
        </w:rPr>
        <w:t>وقد أظهرت نتائج هذه الحسابات خلال سنة 2015</w:t>
      </w:r>
      <w:r w:rsidR="00F07FEB" w:rsidRPr="001867EA">
        <w:rPr>
          <w:rFonts w:ascii="Book Antiqua" w:eastAsia="SimHei" w:hAnsi="Book Antiqua"/>
          <w:sz w:val="28"/>
          <w:szCs w:val="28"/>
          <w:rtl/>
          <w:lang w:bidi="ar-MA"/>
        </w:rPr>
        <w:t xml:space="preserve"> ما</w:t>
      </w:r>
      <w:r w:rsidR="00033A60" w:rsidRPr="001867EA">
        <w:rPr>
          <w:rFonts w:ascii="Book Antiqua" w:eastAsia="SimHei" w:hAnsi="Book Antiqua"/>
          <w:sz w:val="28"/>
          <w:szCs w:val="28"/>
          <w:lang w:bidi="ar-MA"/>
        </w:rPr>
        <w:t xml:space="preserve"> </w:t>
      </w:r>
      <w:r w:rsidR="00F07FEB" w:rsidRPr="001867EA">
        <w:rPr>
          <w:rFonts w:ascii="Book Antiqua" w:eastAsia="SimHei" w:hAnsi="Book Antiqua"/>
          <w:sz w:val="28"/>
          <w:szCs w:val="28"/>
          <w:rtl/>
          <w:lang w:bidi="ar-MA"/>
        </w:rPr>
        <w:t>يلي</w:t>
      </w:r>
      <w:r w:rsidRPr="001867EA">
        <w:rPr>
          <w:rFonts w:ascii="Book Antiqua" w:eastAsia="SimHei" w:hAnsi="Book Antiqua"/>
          <w:sz w:val="28"/>
          <w:szCs w:val="28"/>
          <w:rtl/>
          <w:lang w:bidi="ar-MA"/>
        </w:rPr>
        <w:t>:</w:t>
      </w:r>
    </w:p>
    <w:p w:rsidR="00E52CA4" w:rsidRPr="001867EA" w:rsidRDefault="00E52CA4" w:rsidP="001867EA">
      <w:pPr>
        <w:bidi/>
        <w:spacing w:line="276" w:lineRule="auto"/>
        <w:jc w:val="both"/>
        <w:rPr>
          <w:rFonts w:ascii="Book Antiqua" w:eastAsia="SimHei" w:hAnsi="Book Antiqua"/>
          <w:sz w:val="28"/>
          <w:szCs w:val="28"/>
          <w:lang w:bidi="ar-MA"/>
        </w:rPr>
      </w:pPr>
    </w:p>
    <w:p w:rsidR="00E52CA4" w:rsidRPr="001867EA" w:rsidRDefault="0014749E" w:rsidP="001867EA">
      <w:pPr>
        <w:numPr>
          <w:ilvl w:val="0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rtl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تساهم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الشركات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المالية وغير المالية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في خلق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42,1</w:t>
      </w:r>
      <w:r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من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الثروة الوطنية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كما تتوفر على 14</w:t>
      </w:r>
      <w:r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 من إجمالي الدخل الوطني المتاح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؛     </w:t>
      </w:r>
    </w:p>
    <w:p w:rsidR="00E52CA4" w:rsidRPr="001867EA" w:rsidRDefault="0014749E" w:rsidP="001867EA">
      <w:pPr>
        <w:numPr>
          <w:ilvl w:val="0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تنتج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الأسر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 والمؤسسات غير الهادفة للربح </w:t>
      </w:r>
      <w:r w:rsidR="00F467E9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في خدمة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الأسر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30,3 %  من القيمة المضافة الإجمالية كما تتوفر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على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64,3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من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إجمالي الدخل الوطني المتاح، مع تحسن القدرة الشرائية ب </w:t>
      </w:r>
      <w:r w:rsidR="00F467E9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>1,5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>%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في سياق يتسم بضبط التضخم؛</w:t>
      </w:r>
    </w:p>
    <w:p w:rsidR="0014749E" w:rsidRPr="001867EA" w:rsidRDefault="0014749E" w:rsidP="001867EA">
      <w:pPr>
        <w:numPr>
          <w:ilvl w:val="0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بخصوص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الادخار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:</w:t>
      </w:r>
    </w:p>
    <w:p w:rsidR="0014749E" w:rsidRPr="001867EA" w:rsidRDefault="006A2B3F" w:rsidP="001867EA">
      <w:pPr>
        <w:numPr>
          <w:ilvl w:val="1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ساهمت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الشركات المالية وغير المالية بما يعادل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51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,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2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</w:t>
      </w:r>
      <w:r w:rsidR="00D57F69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من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الادخار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الوطني؛</w:t>
      </w:r>
    </w:p>
    <w:p w:rsidR="00897784" w:rsidRPr="001867EA" w:rsidRDefault="006A2B3F" w:rsidP="001867EA">
      <w:pPr>
        <w:numPr>
          <w:ilvl w:val="1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حققت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الأسر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والمؤسسات غير الهادفة للربح </w:t>
      </w:r>
      <w:r w:rsidR="0091789F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في خدمة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الأسر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35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,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3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%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من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الادخار الوطني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؛</w:t>
      </w:r>
    </w:p>
    <w:p w:rsidR="00F07FEB" w:rsidRPr="001867EA" w:rsidRDefault="00F07FEB" w:rsidP="001867EA">
      <w:pPr>
        <w:numPr>
          <w:ilvl w:val="0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بخصوص الاستثمار:</w:t>
      </w:r>
    </w:p>
    <w:p w:rsidR="00F07FEB" w:rsidRPr="001867EA" w:rsidRDefault="006A2B3F" w:rsidP="001867EA">
      <w:pPr>
        <w:numPr>
          <w:ilvl w:val="1"/>
          <w:numId w:val="37"/>
        </w:numPr>
        <w:bidi/>
        <w:spacing w:line="276" w:lineRule="auto"/>
        <w:ind w:right="284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ساهمت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الشركات المالية وغير المالية ب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56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,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1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في إجمالي تكوين رأس المال الثابت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؛</w:t>
      </w:r>
    </w:p>
    <w:p w:rsidR="00E52CA4" w:rsidRPr="001867EA" w:rsidRDefault="006A2B3F" w:rsidP="001867EA">
      <w:pPr>
        <w:numPr>
          <w:ilvl w:val="1"/>
          <w:numId w:val="37"/>
        </w:numPr>
        <w:bidi/>
        <w:spacing w:line="276" w:lineRule="auto"/>
        <w:ind w:right="284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حققت الأسر 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والمؤسسات غير الهادفة للربح </w:t>
      </w:r>
      <w:r w:rsidR="0091789F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في خدمة 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الأسر </w:t>
      </w:r>
      <w:r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>28,4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%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من إجمالي</w:t>
      </w:r>
      <w:r w:rsidR="001867EA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تكوين رأس المال الثابت.</w:t>
      </w:r>
    </w:p>
    <w:p w:rsidR="006A2B3F" w:rsidRDefault="006A2B3F" w:rsidP="00D57F69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rtl/>
          <w:lang w:bidi="ar-MA"/>
        </w:rPr>
      </w:pPr>
    </w:p>
    <w:p w:rsidR="001867EA" w:rsidRPr="006A2B3F" w:rsidRDefault="001867EA" w:rsidP="001867EA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lang w:bidi="ar-MA"/>
        </w:rPr>
      </w:pPr>
    </w:p>
    <w:p w:rsidR="00E52CA4" w:rsidRPr="0070523B" w:rsidRDefault="00E52CA4" w:rsidP="00E52CA4">
      <w:pPr>
        <w:bidi/>
        <w:spacing w:line="276" w:lineRule="auto"/>
        <w:ind w:right="-426"/>
        <w:jc w:val="both"/>
        <w:rPr>
          <w:b/>
          <w:bCs/>
          <w:color w:val="C00000"/>
          <w:sz w:val="32"/>
          <w:szCs w:val="32"/>
          <w:rtl/>
          <w:lang w:bidi="ar-MA"/>
        </w:rPr>
      </w:pPr>
      <w:r w:rsidRPr="0070523B">
        <w:rPr>
          <w:b/>
          <w:bCs/>
          <w:color w:val="C00000"/>
          <w:sz w:val="32"/>
          <w:szCs w:val="32"/>
          <w:rtl/>
          <w:lang w:bidi="ar-MA"/>
        </w:rPr>
        <w:lastRenderedPageBreak/>
        <w:t xml:space="preserve">مساهمة القطاعات المؤسساتية في الناتج الداخلي </w:t>
      </w:r>
      <w:r w:rsidR="00033A60" w:rsidRPr="0070523B">
        <w:rPr>
          <w:rFonts w:hint="cs"/>
          <w:b/>
          <w:bCs/>
          <w:color w:val="C00000"/>
          <w:sz w:val="32"/>
          <w:szCs w:val="32"/>
          <w:rtl/>
          <w:lang w:bidi="ar-MA"/>
        </w:rPr>
        <w:t>الإجمالي</w:t>
      </w:r>
      <w:r w:rsidRPr="0070523B">
        <w:rPr>
          <w:b/>
          <w:bCs/>
          <w:color w:val="C00000"/>
          <w:sz w:val="32"/>
          <w:szCs w:val="32"/>
          <w:rtl/>
          <w:lang w:bidi="ar-MA"/>
        </w:rPr>
        <w:t xml:space="preserve"> وإجمالي الدخل الوطني المتاح</w:t>
      </w:r>
    </w:p>
    <w:p w:rsidR="006A2B3F" w:rsidRDefault="006A2B3F" w:rsidP="007F023E">
      <w:pPr>
        <w:bidi/>
        <w:spacing w:line="276" w:lineRule="auto"/>
        <w:jc w:val="both"/>
        <w:rPr>
          <w:sz w:val="28"/>
          <w:szCs w:val="28"/>
          <w:rtl/>
          <w:lang w:bidi="ar-MA"/>
        </w:rPr>
      </w:pP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بالرغم من التراجع </w:t>
      </w:r>
      <w:r w:rsidR="0070523B" w:rsidRPr="001867EA">
        <w:rPr>
          <w:rFonts w:ascii="Book Antiqua" w:hAnsi="Book Antiqua"/>
          <w:sz w:val="28"/>
          <w:szCs w:val="28"/>
          <w:rtl/>
          <w:lang w:bidi="ar-MA"/>
        </w:rPr>
        <w:t>الطفيف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في مساهمتها في الناتج الداخلي الإجمالي، </w:t>
      </w:r>
      <w:r w:rsidR="0070523B" w:rsidRPr="001867EA">
        <w:rPr>
          <w:rFonts w:ascii="Book Antiqua" w:hAnsi="Book Antiqua"/>
          <w:sz w:val="28"/>
          <w:szCs w:val="28"/>
          <w:rtl/>
          <w:lang w:bidi="ar-MA"/>
        </w:rPr>
        <w:t>حافظت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الشركات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 المالية وغير المالية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على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>مرتبتها الأولى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في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نتاج الثروة الوطنية</w:t>
      </w:r>
      <w:r w:rsidR="008C296D" w:rsidRPr="001867EA">
        <w:rPr>
          <w:rFonts w:ascii="Book Antiqua" w:hAnsi="Book Antiqua"/>
          <w:sz w:val="28"/>
          <w:szCs w:val="28"/>
          <w:rtl/>
          <w:lang w:bidi="ar-MA"/>
        </w:rPr>
        <w:t>،</w:t>
      </w:r>
      <w:r w:rsidR="0070523B" w:rsidRPr="001867EA">
        <w:rPr>
          <w:rFonts w:ascii="Book Antiqua" w:hAnsi="Book Antiqua"/>
          <w:sz w:val="28"/>
          <w:szCs w:val="28"/>
          <w:rtl/>
          <w:lang w:bidi="ar-MA"/>
        </w:rPr>
        <w:t xml:space="preserve"> إذ ساهمت ب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نسبة 42,1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في الناتج الداخلي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>الإجمالي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سنة 2015 عوض 43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 سنة 2014.</w:t>
      </w: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ومن جهتها، ارتفعت مساهمة الأسر </w:t>
      </w:r>
      <w:r w:rsidR="005B78FD" w:rsidRPr="001867EA">
        <w:rPr>
          <w:rFonts w:ascii="Book Antiqua" w:hAnsi="Book Antiqua"/>
          <w:sz w:val="28"/>
          <w:szCs w:val="28"/>
          <w:rtl/>
          <w:lang w:bidi="ar-MA"/>
        </w:rPr>
        <w:t xml:space="preserve">والمؤسسات غير الهادفة للربح </w:t>
      </w:r>
      <w:r w:rsidR="008C296D" w:rsidRPr="001867EA">
        <w:rPr>
          <w:rFonts w:ascii="Book Antiqua" w:hAnsi="Book Antiqua"/>
          <w:sz w:val="28"/>
          <w:szCs w:val="28"/>
          <w:rtl/>
          <w:lang w:bidi="ar-MA"/>
        </w:rPr>
        <w:t>في خدمة</w:t>
      </w:r>
      <w:r w:rsidR="005B78FD" w:rsidRPr="001867EA">
        <w:rPr>
          <w:rFonts w:ascii="Book Antiqua" w:hAnsi="Book Antiqua"/>
          <w:sz w:val="28"/>
          <w:szCs w:val="28"/>
          <w:rtl/>
          <w:lang w:bidi="ar-MA"/>
        </w:rPr>
        <w:t xml:space="preserve"> الأسر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في الناتج الداخلي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>الإجمالي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ب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0,3 نقطة لتصل 30,</w:t>
      </w:r>
      <w:r w:rsidR="005B78FD" w:rsidRPr="001867EA">
        <w:rPr>
          <w:rFonts w:ascii="Book Antiqua" w:hAnsi="Book Antiqua"/>
          <w:sz w:val="28"/>
          <w:szCs w:val="28"/>
          <w:rtl/>
          <w:lang w:bidi="ar-MA"/>
        </w:rPr>
        <w:t>3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 سنة 2015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.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بينما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انخفضت 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مساهمة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ال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دارات العمومية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من 16,7 % سنة 2014 إلى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15,9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 سنة 2015.</w:t>
      </w:r>
    </w:p>
    <w:p w:rsidR="00E52CA4" w:rsidRPr="001867EA" w:rsidRDefault="006A2B3F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وب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لغ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جمالي الدخل الوطني المتاح 1039,7 مليار درهم سنة 2015 عوض 985,9 مليار درهم سنة 2014، أي بزيادة قدرها 5,5% . ويرجع هذا التحسن الى ارتفاع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جمالي الدخل المتاح للشركات (المالية وغيرالمالية)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ب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نسب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ة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5B78FD" w:rsidRPr="001867EA">
        <w:rPr>
          <w:rFonts w:ascii="Book Antiqua" w:hAnsi="Book Antiqua"/>
          <w:sz w:val="28"/>
          <w:szCs w:val="28"/>
          <w:lang w:bidi="ar-MA"/>
        </w:rPr>
        <w:t>18,1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%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و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تزايد المداخيل المتاحة للأسر والإدارات العمومية ب 4,2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و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2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 على التوالي.</w:t>
      </w: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lang w:bidi="ar-MA"/>
        </w:rPr>
      </w:pPr>
      <w:r w:rsidRPr="001867EA">
        <w:rPr>
          <w:rFonts w:ascii="Book Antiqua" w:hAnsi="Book Antiqua"/>
          <w:sz w:val="28"/>
          <w:szCs w:val="28"/>
          <w:lang w:bidi="ar-MA"/>
        </w:rPr>
        <w:t xml:space="preserve"> </w:t>
      </w: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وبخصوص مساهمات القطاعات المؤسساتية في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إجمالي الدخل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الوطني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 المتاح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سنة 2015، يظهر أن: </w:t>
      </w:r>
    </w:p>
    <w:p w:rsidR="00E52CA4" w:rsidRPr="001867EA" w:rsidRDefault="00E52CA4" w:rsidP="001867EA">
      <w:pPr>
        <w:pStyle w:val="Paragraphedeliste"/>
        <w:numPr>
          <w:ilvl w:val="0"/>
          <w:numId w:val="35"/>
        </w:numPr>
        <w:bidi/>
        <w:spacing w:after="200"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الأسر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تساهم ب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64,3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، </w:t>
      </w:r>
    </w:p>
    <w:p w:rsidR="00E52CA4" w:rsidRPr="001867EA" w:rsidRDefault="00033A60" w:rsidP="001867EA">
      <w:pPr>
        <w:pStyle w:val="Paragraphedeliste"/>
        <w:numPr>
          <w:ilvl w:val="0"/>
          <w:numId w:val="35"/>
        </w:numPr>
        <w:bidi/>
        <w:spacing w:after="200"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الإدارات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العمومية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تساهم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بنسبة 21,7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%،</w:t>
      </w:r>
    </w:p>
    <w:p w:rsidR="00E52CA4" w:rsidRPr="001867EA" w:rsidRDefault="00E52CA4" w:rsidP="001867EA">
      <w:pPr>
        <w:pStyle w:val="Paragraphedeliste"/>
        <w:numPr>
          <w:ilvl w:val="0"/>
          <w:numId w:val="35"/>
        </w:numPr>
        <w:bidi/>
        <w:spacing w:after="200"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الشركات  </w:t>
      </w:r>
      <w:r w:rsidR="00737AE9" w:rsidRPr="001867EA">
        <w:rPr>
          <w:rFonts w:ascii="Book Antiqua" w:hAnsi="Book Antiqua"/>
          <w:sz w:val="28"/>
          <w:szCs w:val="28"/>
          <w:rtl/>
          <w:lang w:bidi="ar-MA"/>
        </w:rPr>
        <w:t>تساهم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بنسبة </w:t>
      </w:r>
      <w:r w:rsidR="005B78FD" w:rsidRPr="001867EA">
        <w:rPr>
          <w:rFonts w:ascii="Book Antiqua" w:hAnsi="Book Antiqua"/>
          <w:sz w:val="28"/>
          <w:szCs w:val="28"/>
          <w:rtl/>
          <w:lang w:bidi="ar-MA"/>
        </w:rPr>
        <w:t>14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(منها 2,4% </w:t>
      </w:r>
      <w:r w:rsidR="00827E1B" w:rsidRPr="001867EA">
        <w:rPr>
          <w:rFonts w:ascii="Book Antiqua" w:hAnsi="Book Antiqua"/>
          <w:sz w:val="28"/>
          <w:szCs w:val="28"/>
          <w:rtl/>
          <w:lang w:bidi="ar-MA"/>
        </w:rPr>
        <w:t xml:space="preserve">تعود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للشركات غير المالية).</w:t>
      </w:r>
    </w:p>
    <w:p w:rsidR="00E52CA4" w:rsidRPr="001867EA" w:rsidRDefault="009E2974" w:rsidP="008A6542">
      <w:pPr>
        <w:bidi/>
        <w:spacing w:line="400" w:lineRule="exact"/>
        <w:jc w:val="both"/>
        <w:rPr>
          <w:rFonts w:ascii="Book Antiqua" w:hAnsi="Book Antiqua"/>
          <w:b/>
          <w:bCs/>
          <w:sz w:val="28"/>
          <w:szCs w:val="28"/>
          <w:rtl/>
          <w:lang w:bidi="ar-MA"/>
        </w:rPr>
      </w:pPr>
      <w:r w:rsidRPr="001867EA">
        <w:rPr>
          <w:rFonts w:ascii="Book Antiqua" w:hAnsi="Book Antiqua"/>
          <w:b/>
          <w:bCs/>
          <w:color w:val="C00000"/>
          <w:sz w:val="32"/>
          <w:szCs w:val="32"/>
          <w:rtl/>
          <w:lang w:bidi="ar-MA"/>
        </w:rPr>
        <w:t>بنية</w:t>
      </w:r>
      <w:r w:rsidR="00E52CA4" w:rsidRPr="001867EA">
        <w:rPr>
          <w:rFonts w:ascii="Book Antiqua" w:hAnsi="Book Antiqua"/>
          <w:b/>
          <w:bCs/>
          <w:color w:val="C00000"/>
          <w:sz w:val="32"/>
          <w:szCs w:val="32"/>
          <w:rtl/>
          <w:lang w:bidi="ar-MA"/>
        </w:rPr>
        <w:t xml:space="preserve"> إجمالي الدخل المتاح للأسر والقدرة الشرائية</w:t>
      </w:r>
    </w:p>
    <w:p w:rsidR="009E2974" w:rsidRPr="001867EA" w:rsidRDefault="009E2974" w:rsidP="008A6542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تشكل الأجور المكون الأول لإجمالي الدخل المتاح للأسر بنسبة 47,4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متبوعة بالدخل المختلط (بما فيه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جمالي فائض خدمة السكن) بنسبة 42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.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كما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تساهم كل من دخول الملكية والمنافع الاجتماعية والتحويلات ال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أ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خرى بنسبة 26,2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</w:t>
      </w:r>
      <w:r w:rsidR="000B30F3" w:rsidRPr="001867EA">
        <w:rPr>
          <w:rFonts w:ascii="Book Antiqua" w:hAnsi="Book Antiqua"/>
          <w:sz w:val="28"/>
          <w:szCs w:val="28"/>
          <w:rtl/>
          <w:lang w:bidi="ar-MA"/>
        </w:rPr>
        <w:t xml:space="preserve">. 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فيما </w:t>
      </w:r>
      <w:r w:rsidR="000B30F3" w:rsidRPr="001867EA">
        <w:rPr>
          <w:rFonts w:ascii="Book Antiqua" w:hAnsi="Book Antiqua"/>
          <w:sz w:val="28"/>
          <w:szCs w:val="28"/>
          <w:rtl/>
          <w:lang w:bidi="ar-MA"/>
        </w:rPr>
        <w:t>تؤثر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الضرائب على الدخل والثروة والمساهمات الاجتماعية</w:t>
      </w:r>
      <w:r w:rsidR="000B30F3" w:rsidRPr="001867EA">
        <w:rPr>
          <w:rFonts w:ascii="Book Antiqua" w:hAnsi="Book Antiqua"/>
          <w:sz w:val="28"/>
          <w:szCs w:val="28"/>
          <w:rtl/>
          <w:lang w:bidi="ar-MA"/>
        </w:rPr>
        <w:t xml:space="preserve"> بنسبة سلبية بلغت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15,5 % </w:t>
      </w:r>
      <w:r w:rsidR="000B30F3" w:rsidRPr="001867EA">
        <w:rPr>
          <w:rFonts w:ascii="Book Antiqua" w:hAnsi="Book Antiqua"/>
          <w:sz w:val="28"/>
          <w:szCs w:val="28"/>
          <w:rtl/>
          <w:lang w:bidi="ar-MA"/>
        </w:rPr>
        <w:t>من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إجمالي الدخل المتاح للأسر.</w:t>
      </w: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وقد بلغ الدخل المتاح للأسر حسب الفرد 19285 درهما سنة 2015 مقابل 18721 درهما سنة 2014 مسجلا بذلك زيادة بنسبة 3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 (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عوض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0,5 % سنة 2014)</w:t>
      </w:r>
      <w:r w:rsidR="00801659" w:rsidRPr="001867EA">
        <w:rPr>
          <w:rFonts w:ascii="Book Antiqua" w:hAnsi="Book Antiqua"/>
          <w:sz w:val="28"/>
          <w:szCs w:val="28"/>
          <w:rtl/>
          <w:lang w:bidi="ar-MA"/>
        </w:rPr>
        <w:t xml:space="preserve">،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كما ارتفعت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الأسعار عند الاستهلاك بنسبة 1,6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سنة 2015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. ونتيجة لذلك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ازدادت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القدرة الشرائية للأسر بنسبة 1,5% أي بزيادة 1,4 نقطة مقارنة مع سنة 2014.</w:t>
      </w:r>
    </w:p>
    <w:p w:rsidR="00E52CA4" w:rsidRPr="001867EA" w:rsidRDefault="002B176B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وقد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خصصت نسبة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86,1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% من إجمالي الدخل المتاح للأسر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ل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لاستهلاك النهائي ال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ذ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ي بلغ 567,5 مليار درهم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مسجلا زيادة ب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2,6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مقارنة مع 2014.</w:t>
      </w:r>
    </w:p>
    <w:p w:rsidR="00E52CA4" w:rsidRPr="001867EA" w:rsidRDefault="00E73C3B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وقد ساهم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تزايد دخل الأسر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بنسبة مهمة بلغت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4,2%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في ارتفاع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معدل ادخار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لأسر ب 1,5 نقطة مسجلا 14,4% مقابل 12,9% </w:t>
      </w:r>
      <w:r w:rsidR="002B176B" w:rsidRPr="001867EA">
        <w:rPr>
          <w:rFonts w:ascii="Book Antiqua" w:hAnsi="Book Antiqua"/>
          <w:sz w:val="28"/>
          <w:szCs w:val="28"/>
          <w:rtl/>
          <w:lang w:bidi="ar-MA"/>
        </w:rPr>
        <w:t>ال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سنة </w:t>
      </w:r>
      <w:r w:rsidR="002B176B" w:rsidRPr="001867EA">
        <w:rPr>
          <w:rFonts w:ascii="Book Antiqua" w:hAnsi="Book Antiqua"/>
          <w:sz w:val="28"/>
          <w:szCs w:val="28"/>
          <w:rtl/>
          <w:lang w:bidi="ar-MA"/>
        </w:rPr>
        <w:t>المنصرمة</w:t>
      </w:r>
      <w:r w:rsidR="003A24CA" w:rsidRPr="001867EA">
        <w:rPr>
          <w:rFonts w:ascii="Book Antiqua" w:hAnsi="Book Antiqua"/>
          <w:sz w:val="28"/>
          <w:szCs w:val="28"/>
          <w:rtl/>
          <w:lang w:bidi="ar-MA"/>
        </w:rPr>
        <w:t>.</w:t>
      </w:r>
    </w:p>
    <w:p w:rsidR="00E52CA4" w:rsidRDefault="00E52CA4" w:rsidP="001867EA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1867EA" w:rsidRPr="001867EA" w:rsidRDefault="001867EA" w:rsidP="001867EA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Pr="001867EA" w:rsidRDefault="00E52CA4" w:rsidP="008A6542">
      <w:pPr>
        <w:bidi/>
        <w:spacing w:line="400" w:lineRule="exact"/>
        <w:jc w:val="both"/>
        <w:rPr>
          <w:rFonts w:ascii="Book Antiqua" w:hAnsi="Book Antiqua"/>
          <w:b/>
          <w:bCs/>
          <w:color w:val="C00000"/>
          <w:sz w:val="32"/>
          <w:szCs w:val="32"/>
          <w:rtl/>
          <w:lang w:bidi="ar-MA"/>
        </w:rPr>
      </w:pPr>
      <w:r w:rsidRPr="001867EA">
        <w:rPr>
          <w:rFonts w:ascii="Book Antiqua" w:hAnsi="Book Antiqua"/>
          <w:b/>
          <w:bCs/>
          <w:color w:val="C00000"/>
          <w:sz w:val="32"/>
          <w:szCs w:val="32"/>
          <w:rtl/>
          <w:lang w:bidi="ar-MA"/>
        </w:rPr>
        <w:lastRenderedPageBreak/>
        <w:t>بنية إجمالي تكوين رأس المال الثابت ووسائل تمويله</w:t>
      </w:r>
    </w:p>
    <w:p w:rsidR="00E52CA4" w:rsidRPr="001867EA" w:rsidRDefault="00073000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سجل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إجمالي تكوين رأس المال الثابت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281,5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مليار درهم سنة 2015 بزيادة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 xml:space="preserve">2,7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%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مقارنة مع سنة 2014. ويظهر توزيعه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حسب القطاعات المؤسساتية أن مساهمة الشركات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المالية وغير المالية خلال هاتين السنتين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بقيت مستقرة في حدود 56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%، </w:t>
      </w:r>
      <w:r w:rsidR="003A24CA" w:rsidRPr="001867EA">
        <w:rPr>
          <w:rFonts w:ascii="Book Antiqua" w:hAnsi="Book Antiqua"/>
          <w:sz w:val="28"/>
          <w:szCs w:val="28"/>
          <w:rtl/>
          <w:lang w:bidi="ar-MA"/>
        </w:rPr>
        <w:t xml:space="preserve">في حين عرفت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مساهمة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>الإدارات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العمومية تحسنا طفيفا ب 0,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>5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نقطة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(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15,</w:t>
      </w:r>
      <w:r w:rsidR="00E620C9" w:rsidRPr="001867EA">
        <w:rPr>
          <w:rFonts w:ascii="Book Antiqua" w:hAnsi="Book Antiqua"/>
          <w:sz w:val="28"/>
          <w:szCs w:val="28"/>
          <w:lang w:bidi="ar-MA"/>
        </w:rPr>
        <w:t>5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%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عوض 15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%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) بينما سجلت مساهمة الأسر تراجعا ب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 xml:space="preserve">0,5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نقطة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(28,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>4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 سنة 2015 مقابل 28,9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 سنة 2014) .</w:t>
      </w:r>
    </w:p>
    <w:p w:rsidR="00F45C18" w:rsidRPr="001867EA" w:rsidRDefault="00F45C18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وبلغ الادخار الوطني من جهته 278 مليار درهم سنة 2015 عوض</w:t>
      </w:r>
      <w:r w:rsidRPr="001867EA">
        <w:rPr>
          <w:rFonts w:ascii="Book Antiqua" w:hAnsi="Book Antiqua"/>
          <w:sz w:val="28"/>
          <w:szCs w:val="28"/>
          <w:lang w:bidi="ar-MA"/>
        </w:rPr>
        <w:t xml:space="preserve">243,9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مليار درهم سنة 2014  مسجلا تحسنا ب 14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 عوض </w:t>
      </w:r>
      <w:r w:rsidRPr="001867EA">
        <w:rPr>
          <w:rFonts w:ascii="Book Antiqua" w:hAnsi="Book Antiqua"/>
          <w:sz w:val="28"/>
          <w:szCs w:val="28"/>
          <w:lang w:bidi="ar-MA"/>
        </w:rPr>
        <w:t xml:space="preserve">0,7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سنة 2014. ويظهر توزيعه حسب القطاعات المؤسساتية أن الشركات المالية وغير المالية تساهم بنسبة </w:t>
      </w:r>
      <w:r w:rsidRPr="001867EA">
        <w:rPr>
          <w:rFonts w:ascii="Book Antiqua" w:hAnsi="Book Antiqua"/>
          <w:sz w:val="28"/>
          <w:szCs w:val="28"/>
          <w:lang w:bidi="ar-MA"/>
        </w:rPr>
        <w:t xml:space="preserve">51,2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 xml:space="preserve">%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 متبوعة بالأسر بنسبة </w:t>
      </w:r>
      <w:r w:rsidRPr="001867EA">
        <w:rPr>
          <w:rFonts w:ascii="Book Antiqua" w:hAnsi="Book Antiqua"/>
          <w:sz w:val="28"/>
          <w:szCs w:val="28"/>
          <w:lang w:bidi="ar-MA"/>
        </w:rPr>
        <w:t>35,3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 ثم الإدارات العمومية بنسبة </w:t>
      </w:r>
      <w:r w:rsidRPr="001867EA">
        <w:rPr>
          <w:rFonts w:ascii="Book Antiqua" w:hAnsi="Book Antiqua"/>
          <w:sz w:val="28"/>
          <w:szCs w:val="28"/>
          <w:lang w:bidi="ar-MA"/>
        </w:rPr>
        <w:t>13,5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.</w:t>
      </w:r>
    </w:p>
    <w:p w:rsidR="00E52CA4" w:rsidRPr="001867EA" w:rsidRDefault="00F45C18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إجمالا، فإن الحاجة إلى تمويل الاقتصاد الوطني، التي تمثل رصيد العمليات الاقتصادية مع الخارج، بلغت 18,9 مليار درهم سنة 2015  مقابل 53,3 مليار درهم سنة 2014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،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منخفضة بذلك بنسبة </w:t>
      </w:r>
      <w:r w:rsidR="00E620C9" w:rsidRPr="001867EA">
        <w:rPr>
          <w:rFonts w:ascii="Book Antiqua" w:hAnsi="Book Antiqua"/>
          <w:sz w:val="28"/>
          <w:szCs w:val="28"/>
          <w:lang w:bidi="ar-MA"/>
        </w:rPr>
        <w:t>64,4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.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>م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مث</w:t>
      </w:r>
      <w:r w:rsidR="003D504A" w:rsidRPr="001867EA">
        <w:rPr>
          <w:rFonts w:ascii="Book Antiqua" w:hAnsi="Book Antiqua"/>
          <w:sz w:val="28"/>
          <w:szCs w:val="28"/>
          <w:rtl/>
          <w:lang w:bidi="ar-MA"/>
        </w:rPr>
        <w:t>ــ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ل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2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% من الناتج الداخلي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>الإجمالي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عوض 6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 سنة من قبل.</w:t>
      </w:r>
    </w:p>
    <w:p w:rsidR="00E52CA4" w:rsidRPr="001867EA" w:rsidRDefault="003A24CA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و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يعزى انخفاض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الحاجة إلى تمويل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الاقتصاد الوطني أساسا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إلى تحسن القدرة التمويلية للأسر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 xml:space="preserve">والمؤسسات غير الهادفة للربح </w:t>
      </w:r>
      <w:r w:rsidR="003D504A" w:rsidRPr="001867EA">
        <w:rPr>
          <w:rFonts w:ascii="Book Antiqua" w:hAnsi="Book Antiqua"/>
          <w:sz w:val="28"/>
          <w:szCs w:val="28"/>
          <w:rtl/>
          <w:lang w:bidi="ar-MA"/>
        </w:rPr>
        <w:t>في خدمة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 xml:space="preserve"> الأسر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التي انتقلت من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620C9" w:rsidRPr="001867EA">
        <w:rPr>
          <w:rFonts w:ascii="Book Antiqua" w:hAnsi="Book Antiqua"/>
          <w:sz w:val="28"/>
          <w:szCs w:val="28"/>
          <w:lang w:bidi="ar-MA"/>
        </w:rPr>
        <w:t>2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,6 مليار درهم إلى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1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>6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,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>6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مليار درهم و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أيضا تلك الخاصة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للشركات المالية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التي انتقلت من 12 مليار درهم سنة 2014 إلى </w:t>
      </w:r>
      <w:r w:rsidR="008D2C71" w:rsidRPr="001867EA">
        <w:rPr>
          <w:rFonts w:ascii="Book Antiqua" w:hAnsi="Book Antiqua"/>
          <w:sz w:val="28"/>
          <w:szCs w:val="28"/>
          <w:lang w:bidi="ar-MA"/>
        </w:rPr>
        <w:t>15,4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مليار درهم سنة 2015، وإلى انخفاض الحاجة إلى التمويل بالنسبة للشركات غير المالية من </w:t>
      </w:r>
      <w:r w:rsidR="008D2C71" w:rsidRPr="001867EA">
        <w:rPr>
          <w:rFonts w:ascii="Book Antiqua" w:hAnsi="Book Antiqua"/>
          <w:sz w:val="28"/>
          <w:szCs w:val="28"/>
          <w:lang w:bidi="ar-MA"/>
        </w:rPr>
        <w:t xml:space="preserve"> 64,8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مليار درهم سنة 2014 إلى </w:t>
      </w:r>
      <w:r w:rsidR="008D2C71" w:rsidRPr="001867EA">
        <w:rPr>
          <w:rFonts w:ascii="Book Antiqua" w:hAnsi="Book Antiqua"/>
          <w:sz w:val="28"/>
          <w:szCs w:val="28"/>
          <w:lang w:bidi="ar-MA"/>
        </w:rPr>
        <w:t>40,1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مل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يار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درهم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>سنة 2015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. وبالمقابل، تفاقمت الحاجة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إلى التمويل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بالنسبة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للإدارات العمومية ب 4,1 مليار درهم بين سنتي 2014 و2015.</w:t>
      </w:r>
    </w:p>
    <w:p w:rsidR="00102449" w:rsidRPr="001867EA" w:rsidRDefault="00102449" w:rsidP="008A6542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8D2C71" w:rsidRPr="001867EA" w:rsidRDefault="008D2C71" w:rsidP="008D2C71">
      <w:pPr>
        <w:bidi/>
        <w:spacing w:line="276" w:lineRule="auto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Pr="001867EA" w:rsidRDefault="00102449" w:rsidP="00E52CA4">
      <w:pPr>
        <w:bidi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Pr="001867EA" w:rsidRDefault="00102449" w:rsidP="00102449">
      <w:pPr>
        <w:bidi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Pr="001867EA" w:rsidRDefault="00102449" w:rsidP="00102449">
      <w:pPr>
        <w:bidi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Pr="001867EA" w:rsidRDefault="00102449" w:rsidP="00102449">
      <w:pPr>
        <w:bidi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Default="00102449" w:rsidP="00102449">
      <w:pPr>
        <w:bidi/>
        <w:jc w:val="center"/>
        <w:rPr>
          <w:sz w:val="28"/>
          <w:szCs w:val="28"/>
          <w:rtl/>
          <w:lang w:bidi="ar-MA"/>
        </w:rPr>
      </w:pPr>
    </w:p>
    <w:p w:rsidR="00E52CA4" w:rsidRDefault="00E52CA4" w:rsidP="00102449">
      <w:pPr>
        <w:bidi/>
        <w:jc w:val="center"/>
        <w:rPr>
          <w:b/>
          <w:bCs/>
          <w:color w:val="002060"/>
          <w:sz w:val="28"/>
          <w:szCs w:val="28"/>
          <w:rtl/>
          <w:lang w:bidi="ar-MA"/>
        </w:rPr>
      </w:pPr>
      <w:r>
        <w:rPr>
          <w:sz w:val="32"/>
          <w:szCs w:val="32"/>
          <w:rtl/>
          <w:lang w:bidi="ar-MA"/>
        </w:rPr>
        <w:t xml:space="preserve">   </w:t>
      </w:r>
      <w:r>
        <w:rPr>
          <w:b/>
          <w:bCs/>
          <w:color w:val="002060"/>
          <w:sz w:val="28"/>
          <w:szCs w:val="28"/>
          <w:rtl/>
          <w:lang w:bidi="ar-MA"/>
        </w:rPr>
        <w:t>بعض عناصر جدول الحسابات الاقتصادية المتكاملة</w:t>
      </w:r>
    </w:p>
    <w:p w:rsidR="00E52CA4" w:rsidRDefault="00E52CA4" w:rsidP="00E52CA4">
      <w:pPr>
        <w:bidi/>
        <w:jc w:val="center"/>
        <w:rPr>
          <w:b/>
          <w:bCs/>
          <w:color w:val="002060"/>
          <w:sz w:val="28"/>
          <w:szCs w:val="28"/>
          <w:rtl/>
          <w:lang w:bidi="ar-MA"/>
        </w:rPr>
      </w:pPr>
    </w:p>
    <w:p w:rsidR="00E52CA4" w:rsidRDefault="00E52CA4" w:rsidP="00E52CA4">
      <w:pPr>
        <w:bidi/>
        <w:ind w:right="709"/>
        <w:jc w:val="right"/>
        <w:rPr>
          <w:b/>
          <w:bCs/>
          <w:i/>
          <w:iCs/>
          <w:sz w:val="22"/>
          <w:szCs w:val="22"/>
          <w:rtl/>
          <w:lang w:bidi="ar-MA"/>
        </w:rPr>
      </w:pPr>
      <w:r>
        <w:rPr>
          <w:b/>
          <w:bCs/>
          <w:i/>
          <w:iCs/>
          <w:sz w:val="20"/>
          <w:szCs w:val="20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Look w:val="04A0"/>
      </w:tblPr>
      <w:tblGrid>
        <w:gridCol w:w="4419"/>
        <w:gridCol w:w="1276"/>
        <w:gridCol w:w="1276"/>
        <w:gridCol w:w="1275"/>
      </w:tblGrid>
      <w:tr w:rsidR="00E52CA4" w:rsidRPr="009567C7" w:rsidTr="0028131C">
        <w:trPr>
          <w:jc w:val="center"/>
        </w:trPr>
        <w:tc>
          <w:tcPr>
            <w:tcW w:w="44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rtl/>
                <w:lang w:bidi="ar-MA"/>
              </w:rPr>
              <w:t>العمليات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2015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الناتج الداخلي الإجمالي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923 897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 xml:space="preserve">696 923 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223 982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413 818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028 829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178 868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صافي الضرائب على المنتجات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510 7</w:t>
            </w:r>
            <w:r w:rsidR="002C1472" w:rsidRPr="009567C7">
              <w:rPr>
                <w:rFonts w:hint="cs"/>
                <w:color w:val="000000"/>
                <w:sz w:val="18"/>
                <w:szCs w:val="18"/>
                <w:rtl/>
                <w:lang w:bidi="ar-MA"/>
              </w:rPr>
              <w:t>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668 94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045 114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532 341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352 353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284 370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989 42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003 44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571 43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233 149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183 154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177 156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659 284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490 277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146 298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عناصر توزيع القيمة المضافة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13"/>
              <w:rPr>
                <w:color w:val="FF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الأجور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392 125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556 132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979 137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615 8</w:t>
            </w:r>
            <w:r w:rsidR="0028131C" w:rsidRPr="00102449">
              <w:rPr>
                <w:rFonts w:hint="cs"/>
                <w:color w:val="002060"/>
                <w:sz w:val="18"/>
                <w:szCs w:val="18"/>
                <w:rtl/>
                <w:lang w:bidi="ar-MA"/>
              </w:rPr>
              <w:t xml:space="preserve">   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661 11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130 10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إجمالي فائض الاستغلال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525 207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135 209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175 222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13"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الشركات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 xml:space="preserve"> </w:t>
            </w: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المالية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 xml:space="preserve"> </w:t>
            </w: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الأجور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838 13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467 14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147 15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820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839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940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إجمالي فائض الاستغلال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331 28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697 28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484 27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13"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الأجور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621 135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937 138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107 139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401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428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484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إجمالي فائض الاستغلال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211 13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818 14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586 16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13"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الأجور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904 18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288 19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254 20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901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063 1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932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إجمالي فائض الاستغلال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854 264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139 257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960 276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628 958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917 985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742 039 1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الوطني الإجمالي المتاح حسب القطاعات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455 109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386 103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 xml:space="preserve"> 180 120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127 19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690 19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152 25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829 200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849 221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285 226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217 629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992 640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125 668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الادخار الوطني الإجمالي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174 242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866 243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048 278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color w:val="00B05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الادخار الوطني الإجمالي حسب القطاعات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455 109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386 103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180 120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732 16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180 17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186 22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520 22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008 38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565 37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467 93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292 85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117 98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ind w:left="567"/>
              <w:rPr>
                <w:color w:val="00B05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496 276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 xml:space="preserve">028 274 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492 281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B05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 xml:space="preserve">223 156 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300 151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660 154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436 1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593 2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345 3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541 39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071 41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575 43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296 79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064 79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912 79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183 69-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331 53-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994 18-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القدرة (+) أو الحاجة (-) إلى التمويل حسب القطاعات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589 71-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815 64-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277 40-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248 13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006 12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483 15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487 22-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770 6-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833 10-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645 11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248 6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633 16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9567C7">
            <w:pPr>
              <w:bidi/>
              <w:jc w:val="center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9567C7">
            <w:pPr>
              <w:bidi/>
              <w:jc w:val="center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9567C7">
            <w:pPr>
              <w:bidi/>
              <w:jc w:val="center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</w:tr>
    </w:tbl>
    <w:p w:rsidR="00E52CA4" w:rsidRPr="00E52CA4" w:rsidRDefault="00E52CA4" w:rsidP="00E52CA4">
      <w:pPr>
        <w:bidi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E52CA4">
      <w:pPr>
        <w:bidi/>
        <w:jc w:val="center"/>
        <w:rPr>
          <w:b/>
          <w:bCs/>
          <w:rtl/>
          <w:lang w:bidi="ar-MA"/>
        </w:rPr>
      </w:pPr>
    </w:p>
    <w:p w:rsidR="00102449" w:rsidRDefault="00102449" w:rsidP="00102449">
      <w:pPr>
        <w:bidi/>
        <w:jc w:val="center"/>
        <w:rPr>
          <w:b/>
          <w:bCs/>
          <w:rtl/>
          <w:lang w:bidi="ar-MA"/>
        </w:rPr>
      </w:pPr>
    </w:p>
    <w:p w:rsidR="00102449" w:rsidRDefault="00102449" w:rsidP="00102449">
      <w:pPr>
        <w:bidi/>
        <w:jc w:val="center"/>
        <w:rPr>
          <w:b/>
          <w:bCs/>
          <w:lang w:bidi="ar-MA"/>
        </w:rPr>
      </w:pPr>
    </w:p>
    <w:p w:rsidR="00E52CA4" w:rsidRDefault="00E52CA4" w:rsidP="00E52CA4">
      <w:pPr>
        <w:bidi/>
        <w:jc w:val="center"/>
        <w:rPr>
          <w:b/>
          <w:bCs/>
          <w:lang w:bidi="ar-MA"/>
        </w:rPr>
      </w:pPr>
      <w:r>
        <w:rPr>
          <w:b/>
          <w:bCs/>
          <w:rtl/>
          <w:lang w:bidi="ar-MA"/>
        </w:rPr>
        <w:t>بعض عناصر حساب الأسر</w:t>
      </w:r>
    </w:p>
    <w:p w:rsidR="00E52CA4" w:rsidRDefault="00E52CA4" w:rsidP="00E52CA4">
      <w:pPr>
        <w:bidi/>
        <w:jc w:val="center"/>
        <w:rPr>
          <w:b/>
          <w:bCs/>
          <w:rtl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4678"/>
        <w:gridCol w:w="1276"/>
        <w:gridCol w:w="1276"/>
        <w:gridCol w:w="1275"/>
      </w:tblGrid>
      <w:tr w:rsidR="00E52CA4" w:rsidRPr="009567C7" w:rsidTr="009567C7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rtl/>
                <w:lang w:bidi="ar-MA"/>
              </w:rPr>
              <w:t>العمليات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2015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843 621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389 632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297 659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903 533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287 553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535 567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الادخار الإجمالي (بمليون درهم)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335 90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612 81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728 94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معدل الادخار (</w:t>
            </w:r>
            <w:r w:rsidRPr="009567C7">
              <w:rPr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14.5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12.9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14.4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الإجمالي المتاح حسب الفرد (بالدرهم)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630 18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720 18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285 19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الدخل الإجمالي المتاح حسب الفرد (</w:t>
            </w:r>
            <w:r w:rsidRPr="009567C7">
              <w:rPr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5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0.5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3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الرقم الاستدلالي للأسعار عند الاستهلاك (</w:t>
            </w:r>
            <w:r w:rsidRPr="009567C7">
              <w:rPr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 xml:space="preserve">1.9 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0.4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1.6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القدرة الشرائية للأسر (</w:t>
            </w:r>
            <w:r w:rsidRPr="009567C7">
              <w:rPr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3.2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0.1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1.5</w:t>
            </w:r>
          </w:p>
        </w:tc>
      </w:tr>
    </w:tbl>
    <w:p w:rsidR="00E52CA4" w:rsidRPr="00E52CA4" w:rsidRDefault="00E52CA4" w:rsidP="00E52CA4">
      <w:pPr>
        <w:bidi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E52CA4">
      <w:pPr>
        <w:bidi/>
        <w:jc w:val="center"/>
        <w:rPr>
          <w:rtl/>
          <w:lang w:bidi="ar-MA"/>
        </w:rPr>
      </w:pPr>
    </w:p>
    <w:p w:rsidR="00E52CA4" w:rsidRDefault="00E52CA4" w:rsidP="00E52CA4">
      <w:pPr>
        <w:bidi/>
        <w:jc w:val="center"/>
        <w:rPr>
          <w:rtl/>
          <w:lang w:bidi="ar-MA"/>
        </w:rPr>
      </w:pPr>
    </w:p>
    <w:p w:rsidR="00E52CA4" w:rsidRDefault="00E52CA4" w:rsidP="00E52CA4">
      <w:pPr>
        <w:bidi/>
        <w:jc w:val="center"/>
        <w:rPr>
          <w:rtl/>
          <w:lang w:bidi="ar-MA"/>
        </w:rPr>
      </w:pPr>
    </w:p>
    <w:p w:rsidR="00E52CA4" w:rsidRDefault="00E52CA4" w:rsidP="00E52CA4">
      <w:pPr>
        <w:jc w:val="center"/>
        <w:rPr>
          <w:rtl/>
          <w:lang w:bidi="ar-MA"/>
        </w:rPr>
      </w:pPr>
    </w:p>
    <w:p w:rsidR="00E52CA4" w:rsidRDefault="00E52CA4" w:rsidP="00E52CA4">
      <w:pPr>
        <w:bidi/>
        <w:rPr>
          <w:sz w:val="32"/>
          <w:szCs w:val="32"/>
          <w:rtl/>
          <w:lang w:bidi="ar-MA"/>
        </w:rPr>
      </w:pPr>
    </w:p>
    <w:p w:rsidR="00957E66" w:rsidRDefault="00957E66" w:rsidP="00BD0B07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</w:p>
    <w:sectPr w:rsidR="00957E66" w:rsidSect="006A2B3F">
      <w:footerReference w:type="default" r:id="rId9"/>
      <w:pgSz w:w="11900" w:h="16840"/>
      <w:pgMar w:top="624" w:right="1191" w:bottom="1247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4DF" w:rsidRDefault="000644DF" w:rsidP="00611FF6">
      <w:r>
        <w:separator/>
      </w:r>
    </w:p>
  </w:endnote>
  <w:endnote w:type="continuationSeparator" w:id="1">
    <w:p w:rsidR="000644DF" w:rsidRDefault="000644DF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156155">
    <w:pPr>
      <w:pStyle w:val="Pieddepage"/>
      <w:jc w:val="center"/>
    </w:pPr>
    <w:fldSimple w:instr=" PAGE   \* MERGEFORMAT ">
      <w:r w:rsidR="002D56D8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4DF" w:rsidRDefault="000644DF" w:rsidP="00611FF6">
      <w:r>
        <w:separator/>
      </w:r>
    </w:p>
  </w:footnote>
  <w:footnote w:type="continuationSeparator" w:id="1">
    <w:p w:rsidR="000644DF" w:rsidRDefault="000644DF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7F6C"/>
    <w:rsid w:val="0001513B"/>
    <w:rsid w:val="0003047A"/>
    <w:rsid w:val="00033A60"/>
    <w:rsid w:val="00044FC6"/>
    <w:rsid w:val="000532E5"/>
    <w:rsid w:val="000535AB"/>
    <w:rsid w:val="0005395B"/>
    <w:rsid w:val="00053BAE"/>
    <w:rsid w:val="00053CCE"/>
    <w:rsid w:val="000604C4"/>
    <w:rsid w:val="000644DF"/>
    <w:rsid w:val="0006664F"/>
    <w:rsid w:val="00070FA9"/>
    <w:rsid w:val="0007102C"/>
    <w:rsid w:val="00073000"/>
    <w:rsid w:val="0007573E"/>
    <w:rsid w:val="000764F4"/>
    <w:rsid w:val="00085217"/>
    <w:rsid w:val="0008668A"/>
    <w:rsid w:val="000911F6"/>
    <w:rsid w:val="00091B25"/>
    <w:rsid w:val="0009383B"/>
    <w:rsid w:val="000A5F43"/>
    <w:rsid w:val="000B0B65"/>
    <w:rsid w:val="000B30F3"/>
    <w:rsid w:val="000C09AF"/>
    <w:rsid w:val="000C23CB"/>
    <w:rsid w:val="000C4F8C"/>
    <w:rsid w:val="000D0DFC"/>
    <w:rsid w:val="000D29AB"/>
    <w:rsid w:val="000D63C8"/>
    <w:rsid w:val="000E1B0A"/>
    <w:rsid w:val="000F3D3D"/>
    <w:rsid w:val="000F4FE7"/>
    <w:rsid w:val="000F5D97"/>
    <w:rsid w:val="000F75DC"/>
    <w:rsid w:val="00101BEE"/>
    <w:rsid w:val="00102449"/>
    <w:rsid w:val="0010418D"/>
    <w:rsid w:val="00111F64"/>
    <w:rsid w:val="00114E37"/>
    <w:rsid w:val="00115CC3"/>
    <w:rsid w:val="0011786F"/>
    <w:rsid w:val="00126DA6"/>
    <w:rsid w:val="00127952"/>
    <w:rsid w:val="00130493"/>
    <w:rsid w:val="0013085D"/>
    <w:rsid w:val="00131CEC"/>
    <w:rsid w:val="0014749E"/>
    <w:rsid w:val="00153501"/>
    <w:rsid w:val="00153F1B"/>
    <w:rsid w:val="00156155"/>
    <w:rsid w:val="0015763C"/>
    <w:rsid w:val="001610B6"/>
    <w:rsid w:val="00163195"/>
    <w:rsid w:val="001652A3"/>
    <w:rsid w:val="001704A9"/>
    <w:rsid w:val="00172297"/>
    <w:rsid w:val="001727AC"/>
    <w:rsid w:val="0017399D"/>
    <w:rsid w:val="001776B8"/>
    <w:rsid w:val="0018215F"/>
    <w:rsid w:val="001867EA"/>
    <w:rsid w:val="001940E6"/>
    <w:rsid w:val="001978BE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D181C"/>
    <w:rsid w:val="001D36CE"/>
    <w:rsid w:val="001D57E3"/>
    <w:rsid w:val="001E14D4"/>
    <w:rsid w:val="001E282C"/>
    <w:rsid w:val="001F1BDB"/>
    <w:rsid w:val="00204F31"/>
    <w:rsid w:val="002105CD"/>
    <w:rsid w:val="002138C2"/>
    <w:rsid w:val="00214114"/>
    <w:rsid w:val="00214222"/>
    <w:rsid w:val="0021605E"/>
    <w:rsid w:val="00220060"/>
    <w:rsid w:val="002325A2"/>
    <w:rsid w:val="002333D9"/>
    <w:rsid w:val="00235022"/>
    <w:rsid w:val="00242919"/>
    <w:rsid w:val="002434D0"/>
    <w:rsid w:val="002460AB"/>
    <w:rsid w:val="00252408"/>
    <w:rsid w:val="00261BD6"/>
    <w:rsid w:val="00264581"/>
    <w:rsid w:val="002649A4"/>
    <w:rsid w:val="002679E2"/>
    <w:rsid w:val="002706D3"/>
    <w:rsid w:val="0028131C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B176B"/>
    <w:rsid w:val="002B4871"/>
    <w:rsid w:val="002B61F1"/>
    <w:rsid w:val="002B6FC8"/>
    <w:rsid w:val="002C1472"/>
    <w:rsid w:val="002C1ACC"/>
    <w:rsid w:val="002C271E"/>
    <w:rsid w:val="002C3FFB"/>
    <w:rsid w:val="002C60F4"/>
    <w:rsid w:val="002C702F"/>
    <w:rsid w:val="002D51DB"/>
    <w:rsid w:val="002D56D8"/>
    <w:rsid w:val="002E0857"/>
    <w:rsid w:val="002E1150"/>
    <w:rsid w:val="002E140C"/>
    <w:rsid w:val="002E32E7"/>
    <w:rsid w:val="002E5B65"/>
    <w:rsid w:val="002E7900"/>
    <w:rsid w:val="002F06D0"/>
    <w:rsid w:val="002F2F51"/>
    <w:rsid w:val="002F3F44"/>
    <w:rsid w:val="00304E3D"/>
    <w:rsid w:val="00310172"/>
    <w:rsid w:val="0031028E"/>
    <w:rsid w:val="00310AC3"/>
    <w:rsid w:val="00315D02"/>
    <w:rsid w:val="003175CA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504B9"/>
    <w:rsid w:val="00353212"/>
    <w:rsid w:val="00354B44"/>
    <w:rsid w:val="00355B15"/>
    <w:rsid w:val="003607A5"/>
    <w:rsid w:val="003614BB"/>
    <w:rsid w:val="00365E93"/>
    <w:rsid w:val="003725F0"/>
    <w:rsid w:val="003726F2"/>
    <w:rsid w:val="00377E82"/>
    <w:rsid w:val="003811C4"/>
    <w:rsid w:val="00381C63"/>
    <w:rsid w:val="003844C1"/>
    <w:rsid w:val="00385F5C"/>
    <w:rsid w:val="0038626B"/>
    <w:rsid w:val="00387214"/>
    <w:rsid w:val="00391333"/>
    <w:rsid w:val="00391674"/>
    <w:rsid w:val="0039250E"/>
    <w:rsid w:val="003A24CA"/>
    <w:rsid w:val="003A298E"/>
    <w:rsid w:val="003A72BC"/>
    <w:rsid w:val="003B1D13"/>
    <w:rsid w:val="003B489D"/>
    <w:rsid w:val="003B70DB"/>
    <w:rsid w:val="003C0365"/>
    <w:rsid w:val="003C1E9B"/>
    <w:rsid w:val="003D144A"/>
    <w:rsid w:val="003D504A"/>
    <w:rsid w:val="003D78B4"/>
    <w:rsid w:val="003E1434"/>
    <w:rsid w:val="003E5B3C"/>
    <w:rsid w:val="003F0099"/>
    <w:rsid w:val="003F481F"/>
    <w:rsid w:val="003F520A"/>
    <w:rsid w:val="003F6E61"/>
    <w:rsid w:val="003F73D5"/>
    <w:rsid w:val="00406475"/>
    <w:rsid w:val="00411FF2"/>
    <w:rsid w:val="004125AD"/>
    <w:rsid w:val="00414945"/>
    <w:rsid w:val="00414ADC"/>
    <w:rsid w:val="004358B1"/>
    <w:rsid w:val="00440848"/>
    <w:rsid w:val="00445A67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119E"/>
    <w:rsid w:val="00483696"/>
    <w:rsid w:val="00483CA2"/>
    <w:rsid w:val="0049194E"/>
    <w:rsid w:val="00493A27"/>
    <w:rsid w:val="004B234D"/>
    <w:rsid w:val="004B3B96"/>
    <w:rsid w:val="004C6512"/>
    <w:rsid w:val="004D3AA8"/>
    <w:rsid w:val="004D509B"/>
    <w:rsid w:val="004E07C6"/>
    <w:rsid w:val="004E2BA5"/>
    <w:rsid w:val="004F5216"/>
    <w:rsid w:val="00500683"/>
    <w:rsid w:val="00501518"/>
    <w:rsid w:val="00502659"/>
    <w:rsid w:val="005171DC"/>
    <w:rsid w:val="00517558"/>
    <w:rsid w:val="005232D1"/>
    <w:rsid w:val="0052535A"/>
    <w:rsid w:val="00527898"/>
    <w:rsid w:val="0053489A"/>
    <w:rsid w:val="005361CB"/>
    <w:rsid w:val="00544E8F"/>
    <w:rsid w:val="005453AA"/>
    <w:rsid w:val="005460FF"/>
    <w:rsid w:val="005506AA"/>
    <w:rsid w:val="00552317"/>
    <w:rsid w:val="00552BA4"/>
    <w:rsid w:val="00560D21"/>
    <w:rsid w:val="0056297F"/>
    <w:rsid w:val="00566C3E"/>
    <w:rsid w:val="0057077B"/>
    <w:rsid w:val="00573D39"/>
    <w:rsid w:val="0057462D"/>
    <w:rsid w:val="00581388"/>
    <w:rsid w:val="00583738"/>
    <w:rsid w:val="00583AF0"/>
    <w:rsid w:val="005850D7"/>
    <w:rsid w:val="00591734"/>
    <w:rsid w:val="00593D95"/>
    <w:rsid w:val="00593DBB"/>
    <w:rsid w:val="00594AEB"/>
    <w:rsid w:val="005A0094"/>
    <w:rsid w:val="005A1757"/>
    <w:rsid w:val="005A1F0F"/>
    <w:rsid w:val="005A5125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309"/>
    <w:rsid w:val="005D4183"/>
    <w:rsid w:val="005D43C3"/>
    <w:rsid w:val="005D47CE"/>
    <w:rsid w:val="005D7DE5"/>
    <w:rsid w:val="005E3DDE"/>
    <w:rsid w:val="005E53C6"/>
    <w:rsid w:val="005E5F5A"/>
    <w:rsid w:val="005F3D36"/>
    <w:rsid w:val="005F4449"/>
    <w:rsid w:val="00601E93"/>
    <w:rsid w:val="00611FF6"/>
    <w:rsid w:val="00612AEC"/>
    <w:rsid w:val="00617CED"/>
    <w:rsid w:val="00624CC3"/>
    <w:rsid w:val="00627A37"/>
    <w:rsid w:val="00627F7F"/>
    <w:rsid w:val="00630ACF"/>
    <w:rsid w:val="00630E5D"/>
    <w:rsid w:val="00643C0E"/>
    <w:rsid w:val="00643E53"/>
    <w:rsid w:val="0064731F"/>
    <w:rsid w:val="00651B4A"/>
    <w:rsid w:val="00654239"/>
    <w:rsid w:val="006551CD"/>
    <w:rsid w:val="00655475"/>
    <w:rsid w:val="00655A5D"/>
    <w:rsid w:val="00662CA5"/>
    <w:rsid w:val="006709D1"/>
    <w:rsid w:val="00670F45"/>
    <w:rsid w:val="00677067"/>
    <w:rsid w:val="00684363"/>
    <w:rsid w:val="0068542A"/>
    <w:rsid w:val="00686ACA"/>
    <w:rsid w:val="00690DEE"/>
    <w:rsid w:val="0069351C"/>
    <w:rsid w:val="006973E9"/>
    <w:rsid w:val="006A015F"/>
    <w:rsid w:val="006A2B3F"/>
    <w:rsid w:val="006A31C1"/>
    <w:rsid w:val="006B1155"/>
    <w:rsid w:val="006B244E"/>
    <w:rsid w:val="006B4218"/>
    <w:rsid w:val="006B5299"/>
    <w:rsid w:val="006C14FB"/>
    <w:rsid w:val="006C17FF"/>
    <w:rsid w:val="006C2A4C"/>
    <w:rsid w:val="006C4535"/>
    <w:rsid w:val="006C4FF6"/>
    <w:rsid w:val="006C5CE1"/>
    <w:rsid w:val="006D1BD0"/>
    <w:rsid w:val="006D2CA1"/>
    <w:rsid w:val="006E31A1"/>
    <w:rsid w:val="006F5946"/>
    <w:rsid w:val="006F7E04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509B"/>
    <w:rsid w:val="00737AE9"/>
    <w:rsid w:val="00754ED7"/>
    <w:rsid w:val="00761185"/>
    <w:rsid w:val="00766767"/>
    <w:rsid w:val="007676F1"/>
    <w:rsid w:val="0077770A"/>
    <w:rsid w:val="007801D3"/>
    <w:rsid w:val="007810A5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2F5C"/>
    <w:rsid w:val="007B3948"/>
    <w:rsid w:val="007B4A23"/>
    <w:rsid w:val="007B4BED"/>
    <w:rsid w:val="007D105C"/>
    <w:rsid w:val="007D5451"/>
    <w:rsid w:val="007D7B3D"/>
    <w:rsid w:val="007E6293"/>
    <w:rsid w:val="007E7367"/>
    <w:rsid w:val="007F023E"/>
    <w:rsid w:val="00801659"/>
    <w:rsid w:val="00804FBF"/>
    <w:rsid w:val="00807C7B"/>
    <w:rsid w:val="00810202"/>
    <w:rsid w:val="008131FD"/>
    <w:rsid w:val="008160A2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52FA"/>
    <w:rsid w:val="00855C2B"/>
    <w:rsid w:val="00856A05"/>
    <w:rsid w:val="00856F76"/>
    <w:rsid w:val="00860B1F"/>
    <w:rsid w:val="0086299B"/>
    <w:rsid w:val="0086308A"/>
    <w:rsid w:val="00870C10"/>
    <w:rsid w:val="00873EF8"/>
    <w:rsid w:val="00882655"/>
    <w:rsid w:val="00884C62"/>
    <w:rsid w:val="00892303"/>
    <w:rsid w:val="00892C76"/>
    <w:rsid w:val="00897784"/>
    <w:rsid w:val="008A0B6A"/>
    <w:rsid w:val="008A1CEF"/>
    <w:rsid w:val="008A6542"/>
    <w:rsid w:val="008B0D42"/>
    <w:rsid w:val="008B72B0"/>
    <w:rsid w:val="008C0B0D"/>
    <w:rsid w:val="008C116A"/>
    <w:rsid w:val="008C292C"/>
    <w:rsid w:val="008C296D"/>
    <w:rsid w:val="008D128A"/>
    <w:rsid w:val="008D2C71"/>
    <w:rsid w:val="008E1A8F"/>
    <w:rsid w:val="008E5F0A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5A71"/>
    <w:rsid w:val="009160F6"/>
    <w:rsid w:val="0091789F"/>
    <w:rsid w:val="00917EA6"/>
    <w:rsid w:val="00922153"/>
    <w:rsid w:val="009304F3"/>
    <w:rsid w:val="00931202"/>
    <w:rsid w:val="00933CA5"/>
    <w:rsid w:val="00936D5A"/>
    <w:rsid w:val="00943A2F"/>
    <w:rsid w:val="00944ADD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33A9"/>
    <w:rsid w:val="009744F8"/>
    <w:rsid w:val="00976663"/>
    <w:rsid w:val="00976C97"/>
    <w:rsid w:val="00981C01"/>
    <w:rsid w:val="00984975"/>
    <w:rsid w:val="00986867"/>
    <w:rsid w:val="00990C65"/>
    <w:rsid w:val="00993477"/>
    <w:rsid w:val="0099779E"/>
    <w:rsid w:val="00997FB9"/>
    <w:rsid w:val="009A1922"/>
    <w:rsid w:val="009A6AD0"/>
    <w:rsid w:val="009B188D"/>
    <w:rsid w:val="009B5B8E"/>
    <w:rsid w:val="009C670F"/>
    <w:rsid w:val="009D02F6"/>
    <w:rsid w:val="009D2879"/>
    <w:rsid w:val="009D3DC5"/>
    <w:rsid w:val="009E2974"/>
    <w:rsid w:val="009F3C04"/>
    <w:rsid w:val="009F3D97"/>
    <w:rsid w:val="009F53CD"/>
    <w:rsid w:val="00A0020B"/>
    <w:rsid w:val="00A00613"/>
    <w:rsid w:val="00A01C87"/>
    <w:rsid w:val="00A044A5"/>
    <w:rsid w:val="00A04EE4"/>
    <w:rsid w:val="00A06624"/>
    <w:rsid w:val="00A10BB9"/>
    <w:rsid w:val="00A11E02"/>
    <w:rsid w:val="00A1223E"/>
    <w:rsid w:val="00A1415C"/>
    <w:rsid w:val="00A14A61"/>
    <w:rsid w:val="00A1530E"/>
    <w:rsid w:val="00A22A70"/>
    <w:rsid w:val="00A31489"/>
    <w:rsid w:val="00A32969"/>
    <w:rsid w:val="00A32AD0"/>
    <w:rsid w:val="00A35941"/>
    <w:rsid w:val="00A3667F"/>
    <w:rsid w:val="00A40F5A"/>
    <w:rsid w:val="00A47AA8"/>
    <w:rsid w:val="00A52295"/>
    <w:rsid w:val="00A53F63"/>
    <w:rsid w:val="00A559EF"/>
    <w:rsid w:val="00A6369B"/>
    <w:rsid w:val="00A6499F"/>
    <w:rsid w:val="00A66BCE"/>
    <w:rsid w:val="00A671AA"/>
    <w:rsid w:val="00A71820"/>
    <w:rsid w:val="00A72BDE"/>
    <w:rsid w:val="00A746C8"/>
    <w:rsid w:val="00A91B31"/>
    <w:rsid w:val="00A93EEC"/>
    <w:rsid w:val="00A96C5A"/>
    <w:rsid w:val="00AA51E8"/>
    <w:rsid w:val="00AA537F"/>
    <w:rsid w:val="00AB0640"/>
    <w:rsid w:val="00AB47DD"/>
    <w:rsid w:val="00AB47E1"/>
    <w:rsid w:val="00AB4BE9"/>
    <w:rsid w:val="00AC0648"/>
    <w:rsid w:val="00AC50E1"/>
    <w:rsid w:val="00AC528C"/>
    <w:rsid w:val="00AC7BB7"/>
    <w:rsid w:val="00AE3542"/>
    <w:rsid w:val="00AE5A6D"/>
    <w:rsid w:val="00AE6A7E"/>
    <w:rsid w:val="00AE7A99"/>
    <w:rsid w:val="00AF0E66"/>
    <w:rsid w:val="00AF15ED"/>
    <w:rsid w:val="00AF75D1"/>
    <w:rsid w:val="00B005FE"/>
    <w:rsid w:val="00B12374"/>
    <w:rsid w:val="00B1446A"/>
    <w:rsid w:val="00B15B9E"/>
    <w:rsid w:val="00B16B86"/>
    <w:rsid w:val="00B179A0"/>
    <w:rsid w:val="00B3013A"/>
    <w:rsid w:val="00B3138A"/>
    <w:rsid w:val="00B32235"/>
    <w:rsid w:val="00B33493"/>
    <w:rsid w:val="00B37D18"/>
    <w:rsid w:val="00B43A33"/>
    <w:rsid w:val="00B45BE1"/>
    <w:rsid w:val="00B462B3"/>
    <w:rsid w:val="00B463A1"/>
    <w:rsid w:val="00B53052"/>
    <w:rsid w:val="00B5600B"/>
    <w:rsid w:val="00B57AC9"/>
    <w:rsid w:val="00B6038F"/>
    <w:rsid w:val="00B61B9E"/>
    <w:rsid w:val="00B6467E"/>
    <w:rsid w:val="00B717A8"/>
    <w:rsid w:val="00B719B0"/>
    <w:rsid w:val="00B85FFD"/>
    <w:rsid w:val="00B8745B"/>
    <w:rsid w:val="00B87AE4"/>
    <w:rsid w:val="00B92222"/>
    <w:rsid w:val="00B9256A"/>
    <w:rsid w:val="00BA70D1"/>
    <w:rsid w:val="00BB2508"/>
    <w:rsid w:val="00BB3DB1"/>
    <w:rsid w:val="00BC20D1"/>
    <w:rsid w:val="00BC40FE"/>
    <w:rsid w:val="00BC4918"/>
    <w:rsid w:val="00BC5DBE"/>
    <w:rsid w:val="00BD034B"/>
    <w:rsid w:val="00BD0B07"/>
    <w:rsid w:val="00BD52F6"/>
    <w:rsid w:val="00BD69E5"/>
    <w:rsid w:val="00BE35F1"/>
    <w:rsid w:val="00BE3EE9"/>
    <w:rsid w:val="00BE45AF"/>
    <w:rsid w:val="00BE4C61"/>
    <w:rsid w:val="00BF04E0"/>
    <w:rsid w:val="00BF32FD"/>
    <w:rsid w:val="00BF5729"/>
    <w:rsid w:val="00BF6E55"/>
    <w:rsid w:val="00C00522"/>
    <w:rsid w:val="00C04E24"/>
    <w:rsid w:val="00C078B0"/>
    <w:rsid w:val="00C1055C"/>
    <w:rsid w:val="00C11221"/>
    <w:rsid w:val="00C13D2E"/>
    <w:rsid w:val="00C174AC"/>
    <w:rsid w:val="00C20029"/>
    <w:rsid w:val="00C303C0"/>
    <w:rsid w:val="00C350FE"/>
    <w:rsid w:val="00C3716C"/>
    <w:rsid w:val="00C37BF4"/>
    <w:rsid w:val="00C425C8"/>
    <w:rsid w:val="00C504BD"/>
    <w:rsid w:val="00C6365B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903EC"/>
    <w:rsid w:val="00C91943"/>
    <w:rsid w:val="00C957BE"/>
    <w:rsid w:val="00C959DB"/>
    <w:rsid w:val="00C95F2B"/>
    <w:rsid w:val="00CA3FF4"/>
    <w:rsid w:val="00CA6DC0"/>
    <w:rsid w:val="00CB09B6"/>
    <w:rsid w:val="00CB4635"/>
    <w:rsid w:val="00CB6F79"/>
    <w:rsid w:val="00CB7151"/>
    <w:rsid w:val="00CC51B6"/>
    <w:rsid w:val="00CD23CB"/>
    <w:rsid w:val="00CD5BCB"/>
    <w:rsid w:val="00CD6928"/>
    <w:rsid w:val="00CD7581"/>
    <w:rsid w:val="00CE2139"/>
    <w:rsid w:val="00CE4A9C"/>
    <w:rsid w:val="00CE7BED"/>
    <w:rsid w:val="00CF3FFC"/>
    <w:rsid w:val="00CF730F"/>
    <w:rsid w:val="00CF7DF7"/>
    <w:rsid w:val="00D03540"/>
    <w:rsid w:val="00D05E13"/>
    <w:rsid w:val="00D13135"/>
    <w:rsid w:val="00D2128F"/>
    <w:rsid w:val="00D24703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702FF"/>
    <w:rsid w:val="00D70381"/>
    <w:rsid w:val="00D70876"/>
    <w:rsid w:val="00D734D1"/>
    <w:rsid w:val="00D825FB"/>
    <w:rsid w:val="00D8622E"/>
    <w:rsid w:val="00D8789E"/>
    <w:rsid w:val="00D91246"/>
    <w:rsid w:val="00D97ACE"/>
    <w:rsid w:val="00DA0838"/>
    <w:rsid w:val="00DA2BB2"/>
    <w:rsid w:val="00DB164A"/>
    <w:rsid w:val="00DB1C94"/>
    <w:rsid w:val="00DB30DC"/>
    <w:rsid w:val="00DC5729"/>
    <w:rsid w:val="00DC5F53"/>
    <w:rsid w:val="00DD2554"/>
    <w:rsid w:val="00DD2F2B"/>
    <w:rsid w:val="00DE0BEB"/>
    <w:rsid w:val="00DE2212"/>
    <w:rsid w:val="00DE49FE"/>
    <w:rsid w:val="00DF08A0"/>
    <w:rsid w:val="00DF677F"/>
    <w:rsid w:val="00E00499"/>
    <w:rsid w:val="00E027DA"/>
    <w:rsid w:val="00E02EC7"/>
    <w:rsid w:val="00E04D01"/>
    <w:rsid w:val="00E10468"/>
    <w:rsid w:val="00E169B7"/>
    <w:rsid w:val="00E252DA"/>
    <w:rsid w:val="00E30AE6"/>
    <w:rsid w:val="00E318F1"/>
    <w:rsid w:val="00E37DB3"/>
    <w:rsid w:val="00E45B73"/>
    <w:rsid w:val="00E51788"/>
    <w:rsid w:val="00E52CA4"/>
    <w:rsid w:val="00E53C9E"/>
    <w:rsid w:val="00E545EF"/>
    <w:rsid w:val="00E60E05"/>
    <w:rsid w:val="00E620C9"/>
    <w:rsid w:val="00E6636B"/>
    <w:rsid w:val="00E70667"/>
    <w:rsid w:val="00E72285"/>
    <w:rsid w:val="00E73C3B"/>
    <w:rsid w:val="00E80038"/>
    <w:rsid w:val="00E8018B"/>
    <w:rsid w:val="00E86210"/>
    <w:rsid w:val="00E862FE"/>
    <w:rsid w:val="00EA1D95"/>
    <w:rsid w:val="00EA21E8"/>
    <w:rsid w:val="00EA42C5"/>
    <w:rsid w:val="00EA5C24"/>
    <w:rsid w:val="00EA6570"/>
    <w:rsid w:val="00EB1E5B"/>
    <w:rsid w:val="00EB69E8"/>
    <w:rsid w:val="00ED0F87"/>
    <w:rsid w:val="00ED3A44"/>
    <w:rsid w:val="00EE4D05"/>
    <w:rsid w:val="00EF33AD"/>
    <w:rsid w:val="00EF5D2A"/>
    <w:rsid w:val="00F00F4A"/>
    <w:rsid w:val="00F01170"/>
    <w:rsid w:val="00F061FC"/>
    <w:rsid w:val="00F07865"/>
    <w:rsid w:val="00F07FEB"/>
    <w:rsid w:val="00F12A8D"/>
    <w:rsid w:val="00F144B4"/>
    <w:rsid w:val="00F15AC5"/>
    <w:rsid w:val="00F26BD9"/>
    <w:rsid w:val="00F32A78"/>
    <w:rsid w:val="00F347A2"/>
    <w:rsid w:val="00F4207D"/>
    <w:rsid w:val="00F434D8"/>
    <w:rsid w:val="00F45C18"/>
    <w:rsid w:val="00F461D5"/>
    <w:rsid w:val="00F467E9"/>
    <w:rsid w:val="00F6025E"/>
    <w:rsid w:val="00F61069"/>
    <w:rsid w:val="00F610B1"/>
    <w:rsid w:val="00F640A6"/>
    <w:rsid w:val="00F71B74"/>
    <w:rsid w:val="00F76C50"/>
    <w:rsid w:val="00F81841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D2161"/>
    <w:rsid w:val="00FD7335"/>
    <w:rsid w:val="00FD7EC1"/>
    <w:rsid w:val="00FE39ED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2017-02-17T16:21:00Z</cp:lastPrinted>
  <dcterms:created xsi:type="dcterms:W3CDTF">2017-02-20T11:06:00Z</dcterms:created>
  <dcterms:modified xsi:type="dcterms:W3CDTF">2017-02-20T11:06:00Z</dcterms:modified>
</cp:coreProperties>
</file>