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2E3FC2" w:rsidP="002E3FC2">
      <w:pPr>
        <w:ind w:left="-286" w:right="-426"/>
        <w:jc w:val="center"/>
        <w:rPr>
          <w:rtl/>
        </w:rPr>
      </w:pPr>
      <w:r>
        <w:rPr>
          <w:rFonts w:hint="cs"/>
          <w:rtl/>
        </w:rPr>
        <w:t xml:space="preserve">            </w:t>
      </w: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A633E9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D2259E" w:rsidRDefault="00BA4E60" w:rsidP="00D2259E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Default="00BA4E60" w:rsidP="00D2259E">
      <w:pPr>
        <w:pStyle w:val="Corpsdetexte"/>
        <w:bidi/>
        <w:spacing w:line="420" w:lineRule="exact"/>
        <w:ind w:left="-286" w:right="-425"/>
        <w:jc w:val="center"/>
        <w:rPr>
          <w:rFonts w:cs="Simplified Arabic"/>
          <w:b/>
          <w:bCs/>
          <w:color w:val="0000FF"/>
          <w:sz w:val="36"/>
          <w:szCs w:val="36"/>
          <w:rtl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5D3BBE">
        <w:rPr>
          <w:rFonts w:cs="Simplified Arabic"/>
          <w:b/>
          <w:bCs/>
          <w:color w:val="0000FF"/>
          <w:sz w:val="36"/>
          <w:szCs w:val="36"/>
        </w:rPr>
        <w:t>6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A633E9" w:rsidRPr="00D2259E" w:rsidRDefault="00A633E9" w:rsidP="00A633E9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5511A2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9A6BAB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0367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نخفاضا ب 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 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9A6BAB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1,6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5511A2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BB4F28" w:rsidP="00FC5AB8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نخفاض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6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ب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0,1%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وا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رتفاع ب 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>0,2%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</w:p>
    <w:p w:rsidR="003846CD" w:rsidRPr="007F2F8F" w:rsidRDefault="00BA4E60" w:rsidP="00594542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 خلال شهر دجنبر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9A6BAB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D03676">
        <w:rPr>
          <w:rFonts w:cs="Simplified Arabic" w:hint="cs"/>
          <w:sz w:val="30"/>
          <w:szCs w:val="30"/>
          <w:rtl/>
          <w:lang w:bidi="ar-MA"/>
        </w:rPr>
        <w:t>ا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نخفاضا قدره </w:t>
      </w:r>
      <w:r w:rsidR="009A6BAB">
        <w:rPr>
          <w:rFonts w:cs="Simplified Arabic"/>
          <w:sz w:val="30"/>
          <w:szCs w:val="30"/>
          <w:lang w:bidi="ar-MA"/>
        </w:rPr>
        <w:t>0,1%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هذا </w:t>
      </w:r>
      <w:r w:rsidR="00D03676">
        <w:rPr>
          <w:rFonts w:cs="Simplified Arabic" w:hint="cs"/>
          <w:sz w:val="30"/>
          <w:szCs w:val="30"/>
          <w:rtl/>
          <w:lang w:bidi="ar-MA"/>
        </w:rPr>
        <w:t>ال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انخفاض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9A6BAB">
        <w:rPr>
          <w:rFonts w:cs="Simplified Arabic" w:hint="cs"/>
          <w:sz w:val="30"/>
          <w:szCs w:val="30"/>
          <w:rtl/>
          <w:lang w:bidi="ar-MA"/>
        </w:rPr>
        <w:t>تراجع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9A6BAB">
        <w:rPr>
          <w:rFonts w:cs="Simplified Arabic"/>
          <w:sz w:val="30"/>
          <w:szCs w:val="30"/>
          <w:lang w:bidi="ar-MA"/>
        </w:rPr>
        <w:t>0,2%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594542">
        <w:rPr>
          <w:rFonts w:cs="Simplified Arabic" w:hint="cs"/>
          <w:sz w:val="30"/>
          <w:szCs w:val="30"/>
          <w:rtl/>
          <w:lang w:bidi="ar-MA"/>
        </w:rPr>
        <w:t>تزايد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9A6BAB">
        <w:rPr>
          <w:rFonts w:cs="Simplified Arabic"/>
          <w:sz w:val="30"/>
          <w:szCs w:val="30"/>
          <w:lang w:bidi="ar-MA"/>
        </w:rPr>
        <w:t>0,1%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37323B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همت ا</w:t>
      </w:r>
      <w:r w:rsidR="00594542">
        <w:rPr>
          <w:rFonts w:cs="Simplified Arabic" w:hint="cs"/>
          <w:sz w:val="30"/>
          <w:szCs w:val="30"/>
          <w:rtl/>
          <w:lang w:bidi="ar-MA"/>
        </w:rPr>
        <w:t>نخفاضات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594542">
        <w:rPr>
          <w:rFonts w:cs="Simplified Arabic"/>
          <w:sz w:val="30"/>
          <w:szCs w:val="30"/>
          <w:lang w:val="en-US" w:bidi="ar-MA"/>
        </w:rPr>
        <w:t>6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أثمان </w:t>
      </w:r>
      <w:r w:rsidR="0037323B">
        <w:rPr>
          <w:rFonts w:cs="Simplified Arabic" w:hint="cs"/>
          <w:sz w:val="30"/>
          <w:szCs w:val="30"/>
          <w:rtl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</w:t>
      </w:r>
      <w:r w:rsidR="00594542">
        <w:rPr>
          <w:rFonts w:cs="Simplified Arabic" w:hint="cs"/>
          <w:sz w:val="30"/>
          <w:szCs w:val="30"/>
          <w:rtl/>
          <w:lang w:bidi="ar-MA"/>
        </w:rPr>
        <w:t>لفواكه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/>
          <w:sz w:val="30"/>
          <w:szCs w:val="30"/>
          <w:lang w:bidi="ar-MA"/>
        </w:rPr>
        <w:t>4,</w:t>
      </w:r>
      <w:r w:rsidR="00936DBA">
        <w:rPr>
          <w:rFonts w:cs="Simplified Arabic"/>
          <w:sz w:val="30"/>
          <w:szCs w:val="30"/>
          <w:lang w:bidi="ar-MA"/>
        </w:rPr>
        <w:t>9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و"الخضر" ب </w:t>
      </w:r>
      <w:r w:rsidR="00594542">
        <w:rPr>
          <w:rFonts w:cs="Simplified Arabic"/>
          <w:sz w:val="30"/>
          <w:szCs w:val="30"/>
          <w:lang w:bidi="ar-MA"/>
        </w:rPr>
        <w:t>1,</w:t>
      </w:r>
      <w:r w:rsidR="00936DBA">
        <w:rPr>
          <w:rFonts w:cs="Simplified Arabic"/>
          <w:sz w:val="30"/>
          <w:szCs w:val="30"/>
          <w:lang w:bidi="ar-MA"/>
        </w:rPr>
        <w:t>6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و"القهوة والشاي والكاكاو" ب </w:t>
      </w:r>
      <w:r w:rsidR="00594542">
        <w:rPr>
          <w:rFonts w:cs="Simplified Arabic"/>
          <w:sz w:val="30"/>
          <w:szCs w:val="30"/>
          <w:lang w:bidi="ar-MA"/>
        </w:rPr>
        <w:t>0,1%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E4B9C">
        <w:rPr>
          <w:rFonts w:cs="Simplified Arabic" w:hint="cs"/>
          <w:sz w:val="30"/>
          <w:szCs w:val="30"/>
          <w:rtl/>
          <w:lang w:bidi="ar-MA"/>
        </w:rPr>
        <w:t>ا</w:t>
      </w:r>
      <w:r w:rsidR="00594542">
        <w:rPr>
          <w:rFonts w:cs="Simplified Arabic" w:hint="cs"/>
          <w:sz w:val="30"/>
          <w:szCs w:val="30"/>
          <w:rtl/>
          <w:lang w:bidi="ar-MA"/>
        </w:rPr>
        <w:t>رتفعت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594542">
        <w:rPr>
          <w:rFonts w:cs="Simplified Arabic" w:hint="cs"/>
          <w:sz w:val="30"/>
          <w:szCs w:val="30"/>
          <w:rtl/>
          <w:lang w:bidi="ar-MA"/>
        </w:rPr>
        <w:t>الزيوت وال</w:t>
      </w:r>
      <w:r w:rsidR="00B2769F">
        <w:rPr>
          <w:rFonts w:cs="Simplified Arabic" w:hint="cs"/>
          <w:sz w:val="30"/>
          <w:szCs w:val="30"/>
          <w:rtl/>
          <w:lang w:bidi="ar-MA"/>
        </w:rPr>
        <w:t>ذ</w:t>
      </w:r>
      <w:r w:rsidR="00594542">
        <w:rPr>
          <w:rFonts w:cs="Simplified Arabic" w:hint="cs"/>
          <w:sz w:val="30"/>
          <w:szCs w:val="30"/>
          <w:rtl/>
          <w:lang w:bidi="ar-MA"/>
        </w:rPr>
        <w:t>هنيات"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594542">
        <w:rPr>
          <w:rFonts w:cs="Simplified Arabic"/>
          <w:sz w:val="30"/>
          <w:szCs w:val="30"/>
          <w:lang w:bidi="ar-MA"/>
        </w:rPr>
        <w:t>1</w:t>
      </w:r>
      <w:r w:rsidR="00E4318A">
        <w:rPr>
          <w:rFonts w:cs="Simplified Arabic"/>
          <w:sz w:val="30"/>
          <w:szCs w:val="30"/>
          <w:lang w:bidi="ar-MA"/>
        </w:rPr>
        <w:t>,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E4318A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و"الحليب والجبن والبيض" ب </w:t>
      </w:r>
      <w:r w:rsidR="00594542">
        <w:rPr>
          <w:rFonts w:cs="Simplified Arabic"/>
          <w:sz w:val="30"/>
          <w:szCs w:val="30"/>
          <w:lang w:bidi="ar-MA"/>
        </w:rPr>
        <w:t>0,8%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4318A">
        <w:rPr>
          <w:rFonts w:cs="Simplified Arabic" w:hint="cs"/>
          <w:sz w:val="30"/>
          <w:szCs w:val="30"/>
          <w:rtl/>
          <w:lang w:bidi="ar-MA"/>
        </w:rPr>
        <w:t>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594542">
        <w:rPr>
          <w:rFonts w:cs="Simplified Arabic" w:hint="cs"/>
          <w:sz w:val="30"/>
          <w:szCs w:val="30"/>
          <w:rtl/>
          <w:lang w:bidi="ar-MA"/>
        </w:rPr>
        <w:t>السمك وفواكه البحر"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594542">
        <w:rPr>
          <w:rFonts w:cs="Simplified Arabic"/>
          <w:sz w:val="30"/>
          <w:szCs w:val="30"/>
          <w:lang w:bidi="ar-MA"/>
        </w:rPr>
        <w:t>0,7</w:t>
      </w:r>
      <w:r w:rsidR="003846CD" w:rsidRPr="007F2F8F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و"اللحوم" ب </w:t>
      </w:r>
      <w:r w:rsidR="00594542">
        <w:rPr>
          <w:rFonts w:cs="Simplified Arabic"/>
          <w:sz w:val="30"/>
          <w:szCs w:val="30"/>
          <w:lang w:bidi="ar-MA"/>
        </w:rPr>
        <w:t>0,3%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FC5AB8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FC5AB8">
        <w:rPr>
          <w:rFonts w:cs="Simplified Arabic"/>
          <w:sz w:val="30"/>
          <w:szCs w:val="30"/>
          <w:lang w:bidi="ar-MA"/>
        </w:rPr>
        <w:t>0,2%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594542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5511A2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D00165">
        <w:rPr>
          <w:rFonts w:cs="Simplified Arabic"/>
          <w:b/>
          <w:bCs/>
          <w:color w:val="0000FF"/>
          <w:sz w:val="30"/>
          <w:szCs w:val="30"/>
          <w:lang w:bidi="ar-MA"/>
        </w:rPr>
        <w:t>1,6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5511A2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6D3C4E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594542">
        <w:rPr>
          <w:rFonts w:cs="Simplified Arabic"/>
          <w:sz w:val="30"/>
          <w:szCs w:val="30"/>
          <w:lang w:bidi="ar-MA"/>
        </w:rPr>
        <w:t>6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/>
          <w:sz w:val="30"/>
          <w:szCs w:val="30"/>
          <w:lang w:bidi="ar-MA"/>
        </w:rPr>
        <w:t>1,6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594542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D00BB9">
        <w:rPr>
          <w:rFonts w:cs="Simplified Arabic"/>
          <w:sz w:val="30"/>
          <w:szCs w:val="30"/>
          <w:lang w:bidi="ar-MA"/>
        </w:rPr>
        <w:t>2,7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D00BB9">
        <w:rPr>
          <w:rFonts w:cs="Simplified Arabic"/>
          <w:sz w:val="30"/>
          <w:szCs w:val="30"/>
          <w:lang w:bidi="ar-MA"/>
        </w:rPr>
        <w:t>0,7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6D3C4E">
        <w:rPr>
          <w:rFonts w:cs="Simplified Arabic"/>
          <w:sz w:val="30"/>
          <w:szCs w:val="30"/>
          <w:lang w:bidi="ar-MA"/>
        </w:rPr>
        <w:t>0</w:t>
      </w:r>
      <w:r w:rsidR="00D00BB9">
        <w:rPr>
          <w:rFonts w:cs="Simplified Arabic"/>
          <w:sz w:val="30"/>
          <w:szCs w:val="30"/>
          <w:lang w:bidi="ar-MA"/>
        </w:rPr>
        <w:t>,2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6D3C4E">
        <w:rPr>
          <w:rFonts w:cs="Simplified Arabic" w:hint="cs"/>
          <w:sz w:val="30"/>
          <w:szCs w:val="30"/>
          <w:rtl/>
          <w:lang w:bidi="ar-MA"/>
        </w:rPr>
        <w:t>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6D3C4E">
        <w:rPr>
          <w:rFonts w:cs="Simplified Arabic"/>
          <w:sz w:val="30"/>
          <w:szCs w:val="30"/>
          <w:lang w:bidi="ar-MA"/>
        </w:rPr>
        <w:t>2,5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6D3C4E">
        <w:rPr>
          <w:rFonts w:cs="Simplified Arabic" w:hint="cs"/>
          <w:sz w:val="30"/>
          <w:szCs w:val="30"/>
          <w:rtl/>
          <w:lang w:bidi="ar-MA"/>
        </w:rPr>
        <w:t>المطاعم والفنادق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5511A2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5511A2">
        <w:rPr>
          <w:rFonts w:cs="Simplified Arabic"/>
          <w:sz w:val="30"/>
          <w:szCs w:val="30"/>
          <w:lang w:bidi="ar-MA"/>
        </w:rPr>
        <w:t>3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6D3C4E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6D3C4E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FD6398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FD639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الحسيمة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وأقله بوجدة وآسفي</w:t>
      </w:r>
      <w:r w:rsidR="00936DBA">
        <w:rPr>
          <w:rFonts w:cs="Simplified Arabic" w:hint="cs"/>
          <w:b/>
          <w:bCs/>
          <w:color w:val="0000FF"/>
          <w:sz w:val="30"/>
          <w:szCs w:val="30"/>
          <w:lang w:bidi="ar-MA"/>
        </w:rPr>
        <w:t xml:space="preserve">  </w:t>
      </w:r>
    </w:p>
    <w:p w:rsidR="00BA4E60" w:rsidRPr="007F2F8F" w:rsidRDefault="00A22E37" w:rsidP="00217857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6D3C4E">
        <w:rPr>
          <w:rFonts w:cs="Simplified Arabic"/>
          <w:sz w:val="30"/>
          <w:szCs w:val="30"/>
          <w:lang w:bidi="ar-MA"/>
        </w:rPr>
        <w:t>6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FD6398">
        <w:rPr>
          <w:rFonts w:cs="Simplified Arabic" w:hint="cs"/>
          <w:sz w:val="30"/>
          <w:szCs w:val="30"/>
          <w:rtl/>
        </w:rPr>
        <w:t xml:space="preserve"> الحسيمة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2,3%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6D3C4E">
        <w:rPr>
          <w:rFonts w:cs="Simplified Arabic" w:hint="cs"/>
          <w:sz w:val="30"/>
          <w:szCs w:val="30"/>
          <w:rtl/>
          <w:lang w:bidi="ar-MA"/>
        </w:rPr>
        <w:t>سطات</w:t>
      </w:r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2,</w:t>
      </w:r>
      <w:r w:rsidR="00FD6398">
        <w:rPr>
          <w:rFonts w:cs="Simplified Arabic"/>
          <w:sz w:val="30"/>
          <w:szCs w:val="30"/>
          <w:lang w:bidi="ar-MA"/>
        </w:rPr>
        <w:t>1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>بني ملال</w:t>
      </w:r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bidi="ar-MA"/>
        </w:rPr>
        <w:t>2,0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FD6398">
        <w:rPr>
          <w:rFonts w:cs="Simplified Arabic" w:hint="cs"/>
          <w:sz w:val="30"/>
          <w:szCs w:val="30"/>
          <w:rtl/>
          <w:lang w:bidi="ar-MA"/>
        </w:rPr>
        <w:t>أكادير والداخلة ومكناس والرباط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val="en-US" w:bidi="ar-MA"/>
        </w:rPr>
        <w:t>1,</w:t>
      </w:r>
      <w:r w:rsidR="00FD6398">
        <w:rPr>
          <w:rFonts w:cs="Simplified Arabic"/>
          <w:sz w:val="30"/>
          <w:szCs w:val="30"/>
          <w:lang w:val="en-US" w:bidi="ar-MA"/>
        </w:rPr>
        <w:t>9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FD6398">
        <w:rPr>
          <w:rFonts w:cs="Simplified Arabic" w:hint="cs"/>
          <w:sz w:val="30"/>
          <w:szCs w:val="30"/>
          <w:rtl/>
          <w:lang w:bidi="ar-MA"/>
        </w:rPr>
        <w:t xml:space="preserve">في طنجة 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1,8</w:t>
      </w:r>
      <w:r w:rsidR="006D3C4E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كل من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>وجدة و</w:t>
      </w:r>
      <w:r w:rsidR="004B4EE6">
        <w:rPr>
          <w:rFonts w:cs="Simplified Arabic" w:hint="cs"/>
          <w:sz w:val="30"/>
          <w:szCs w:val="30"/>
          <w:rtl/>
          <w:lang w:bidi="ar-MA"/>
        </w:rPr>
        <w:t>آسفي</w:t>
      </w:r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FD6398">
        <w:rPr>
          <w:rFonts w:cs="Simplified Arabic"/>
          <w:sz w:val="30"/>
          <w:szCs w:val="30"/>
          <w:lang w:bidi="ar-MA"/>
        </w:rPr>
        <w:t>1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FD6398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FD6398">
        <w:rPr>
          <w:rFonts w:cs="Simplified Arabic" w:hint="cs"/>
          <w:sz w:val="30"/>
          <w:szCs w:val="30"/>
          <w:rtl/>
          <w:lang w:bidi="ar-MA"/>
        </w:rPr>
        <w:t>العيون والقنيطرة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1,</w:t>
      </w:r>
      <w:r w:rsidR="00FD6398">
        <w:rPr>
          <w:rFonts w:cs="Simplified Arabic"/>
          <w:sz w:val="30"/>
          <w:szCs w:val="30"/>
          <w:lang w:bidi="ar-MA"/>
        </w:rPr>
        <w:t>2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>وكلميم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bidi="ar-MA"/>
        </w:rPr>
        <w:t>1,</w:t>
      </w:r>
      <w:r w:rsidR="00FD6398">
        <w:rPr>
          <w:rFonts w:cs="Simplified Arabic"/>
          <w:sz w:val="30"/>
          <w:szCs w:val="30"/>
          <w:lang w:bidi="ar-MA"/>
        </w:rPr>
        <w:t>3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>والدار البيضاء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bidi="ar-MA"/>
        </w:rPr>
        <w:t>1,</w:t>
      </w:r>
      <w:r w:rsidR="00FD6398">
        <w:rPr>
          <w:rFonts w:cs="Simplified Arabic"/>
          <w:sz w:val="30"/>
          <w:szCs w:val="30"/>
          <w:lang w:bidi="ar-MA"/>
        </w:rPr>
        <w:t>4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Pr="00FD6398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8B49E3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A633E9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05EC4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5EC4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CD270B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405EC4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05EC4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405EC4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05EC4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05EC4" w:rsidRPr="008631BC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05EC4">
              <w:rPr>
                <w:rFonts w:ascii="Arial" w:hAnsi="Arial" w:cs="Arial"/>
                <w:b/>
                <w:bCs/>
              </w:rPr>
              <w:t>6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05EC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05EC4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405EC4" w:rsidRPr="00CD270B" w:rsidRDefault="00405EC4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05EC4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405EC4" w:rsidRPr="00A153EC" w:rsidRDefault="00405EC4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5EC4" w:rsidRDefault="00405E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00010D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04" w:rsidRDefault="00140D04">
      <w:r>
        <w:separator/>
      </w:r>
    </w:p>
  </w:endnote>
  <w:endnote w:type="continuationSeparator" w:id="1">
    <w:p w:rsidR="00140D04" w:rsidRDefault="00140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04" w:rsidRDefault="00140D04">
      <w:r>
        <w:separator/>
      </w:r>
    </w:p>
  </w:footnote>
  <w:footnote w:type="continuationSeparator" w:id="1">
    <w:p w:rsidR="00140D04" w:rsidRDefault="00140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010D"/>
    <w:rsid w:val="00002AE4"/>
    <w:rsid w:val="00030C76"/>
    <w:rsid w:val="000570C6"/>
    <w:rsid w:val="00064152"/>
    <w:rsid w:val="00065E5A"/>
    <w:rsid w:val="000714A9"/>
    <w:rsid w:val="000A52E4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24654"/>
    <w:rsid w:val="00124E24"/>
    <w:rsid w:val="00140D04"/>
    <w:rsid w:val="00141B86"/>
    <w:rsid w:val="00153F03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2E3FC2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323B"/>
    <w:rsid w:val="003733ED"/>
    <w:rsid w:val="0038325A"/>
    <w:rsid w:val="003846CD"/>
    <w:rsid w:val="0039389C"/>
    <w:rsid w:val="00397967"/>
    <w:rsid w:val="003A2B46"/>
    <w:rsid w:val="003C0039"/>
    <w:rsid w:val="003C2426"/>
    <w:rsid w:val="003C2C8D"/>
    <w:rsid w:val="003D21BB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933"/>
    <w:rsid w:val="00617BC2"/>
    <w:rsid w:val="00626737"/>
    <w:rsid w:val="006322E1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2CB2"/>
    <w:rsid w:val="006E5CEC"/>
    <w:rsid w:val="006F3813"/>
    <w:rsid w:val="007032A5"/>
    <w:rsid w:val="00704F21"/>
    <w:rsid w:val="007339A7"/>
    <w:rsid w:val="0075318B"/>
    <w:rsid w:val="0076573B"/>
    <w:rsid w:val="00770119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96D0D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633E9"/>
    <w:rsid w:val="00A91337"/>
    <w:rsid w:val="00A93D94"/>
    <w:rsid w:val="00AB7955"/>
    <w:rsid w:val="00AC3AF4"/>
    <w:rsid w:val="00AE3942"/>
    <w:rsid w:val="00AF01C2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A7C8D"/>
    <w:rsid w:val="00CB3947"/>
    <w:rsid w:val="00CC7F1A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2259E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7C4"/>
    <w:rsid w:val="00DF7F64"/>
    <w:rsid w:val="00E00017"/>
    <w:rsid w:val="00E21B44"/>
    <w:rsid w:val="00E225F7"/>
    <w:rsid w:val="00E256FD"/>
    <w:rsid w:val="00E34573"/>
    <w:rsid w:val="00E4318A"/>
    <w:rsid w:val="00E56DBC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14736"/>
    <w:rsid w:val="00F14C54"/>
    <w:rsid w:val="00F304FA"/>
    <w:rsid w:val="00F650FE"/>
    <w:rsid w:val="00F74A7A"/>
    <w:rsid w:val="00F825C1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2017-01-18T08:56:00Z</cp:lastPrinted>
  <dcterms:created xsi:type="dcterms:W3CDTF">2017-04-21T10:59:00Z</dcterms:created>
  <dcterms:modified xsi:type="dcterms:W3CDTF">2017-04-21T10:59:00Z</dcterms:modified>
</cp:coreProperties>
</file>