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8B" w:rsidRDefault="00F31454" w:rsidP="007629F1">
      <w:pPr>
        <w:spacing w:after="240"/>
        <w:jc w:val="center"/>
        <w:outlineLvl w:val="0"/>
        <w:rPr>
          <w:rFonts w:ascii="Cambria" w:hAnsi="Cambria"/>
          <w:b/>
          <w:bCs/>
          <w:sz w:val="28"/>
          <w:szCs w:val="28"/>
        </w:rPr>
      </w:pPr>
      <w:r>
        <w:rPr>
          <w:rFonts w:ascii="Cambria" w:hAnsi="Cambria"/>
          <w:b/>
          <w:bCs/>
          <w:sz w:val="28"/>
          <w:szCs w:val="28"/>
        </w:rPr>
        <w:t xml:space="preserve">Note d’information du Haut Commissariat au Plan </w:t>
      </w:r>
      <w:r w:rsidR="007629F1">
        <w:rPr>
          <w:rFonts w:ascii="Cambria" w:hAnsi="Cambria"/>
          <w:b/>
          <w:bCs/>
          <w:sz w:val="28"/>
          <w:szCs w:val="28"/>
        </w:rPr>
        <w:t>relative à</w:t>
      </w:r>
      <w:r>
        <w:rPr>
          <w:rFonts w:ascii="Cambria" w:hAnsi="Cambria"/>
          <w:b/>
          <w:bCs/>
          <w:sz w:val="28"/>
          <w:szCs w:val="28"/>
        </w:rPr>
        <w:t xml:space="preserve"> l</w:t>
      </w:r>
      <w:r w:rsidR="00BA4A24">
        <w:rPr>
          <w:rFonts w:ascii="Cambria" w:hAnsi="Cambria"/>
          <w:b/>
          <w:bCs/>
          <w:sz w:val="28"/>
          <w:szCs w:val="28"/>
        </w:rPr>
        <w:t>a</w:t>
      </w:r>
      <w:r w:rsidR="00AF758B">
        <w:rPr>
          <w:rFonts w:ascii="Cambria" w:hAnsi="Cambria"/>
          <w:b/>
          <w:bCs/>
          <w:sz w:val="28"/>
          <w:szCs w:val="28"/>
        </w:rPr>
        <w:t xml:space="preserve"> violence à l’égard des femmes dans les espaces publics</w:t>
      </w:r>
      <w:r w:rsidR="00340F28">
        <w:rPr>
          <w:rFonts w:ascii="Cambria" w:hAnsi="Cambria"/>
          <w:b/>
          <w:bCs/>
          <w:sz w:val="28"/>
          <w:szCs w:val="28"/>
        </w:rPr>
        <w:t xml:space="preserve"> </w:t>
      </w:r>
      <w:r>
        <w:rPr>
          <w:rFonts w:ascii="Cambria" w:hAnsi="Cambria"/>
          <w:b/>
          <w:bCs/>
          <w:sz w:val="28"/>
          <w:szCs w:val="28"/>
        </w:rPr>
        <w:t>urbains</w:t>
      </w:r>
      <w:r w:rsidR="007629F1">
        <w:rPr>
          <w:rFonts w:ascii="Cambria" w:hAnsi="Cambria"/>
          <w:b/>
          <w:bCs/>
          <w:sz w:val="28"/>
          <w:szCs w:val="28"/>
        </w:rPr>
        <w:t xml:space="preserve"> (année 2009)</w:t>
      </w:r>
    </w:p>
    <w:p w:rsidR="004E0703" w:rsidRDefault="00F31454" w:rsidP="00F31454">
      <w:pPr>
        <w:spacing w:after="240"/>
        <w:jc w:val="center"/>
        <w:outlineLvl w:val="0"/>
        <w:rPr>
          <w:rFonts w:ascii="Cambria" w:hAnsi="Cambria"/>
          <w:b/>
          <w:bCs/>
          <w:sz w:val="28"/>
          <w:szCs w:val="28"/>
        </w:rPr>
      </w:pPr>
      <w:r>
        <w:rPr>
          <w:rFonts w:ascii="Cambria" w:hAnsi="Cambria"/>
          <w:b/>
          <w:bCs/>
          <w:sz w:val="28"/>
          <w:szCs w:val="28"/>
        </w:rPr>
        <w:t>L</w:t>
      </w:r>
      <w:r w:rsidR="00AF758B">
        <w:rPr>
          <w:rFonts w:ascii="Cambria" w:hAnsi="Cambria"/>
          <w:b/>
          <w:bCs/>
          <w:sz w:val="28"/>
          <w:szCs w:val="28"/>
        </w:rPr>
        <w:t>es</w:t>
      </w:r>
      <w:r w:rsidR="004E0703" w:rsidRPr="009A1F09">
        <w:rPr>
          <w:rFonts w:ascii="Cambria" w:hAnsi="Cambria"/>
          <w:b/>
          <w:bCs/>
          <w:sz w:val="28"/>
          <w:szCs w:val="28"/>
        </w:rPr>
        <w:t xml:space="preserve"> </w:t>
      </w:r>
      <w:r w:rsidR="004E0703">
        <w:rPr>
          <w:rFonts w:ascii="Cambria" w:hAnsi="Cambria"/>
          <w:b/>
          <w:bCs/>
          <w:sz w:val="28"/>
          <w:szCs w:val="28"/>
        </w:rPr>
        <w:t xml:space="preserve">espaces </w:t>
      </w:r>
      <w:r>
        <w:rPr>
          <w:rFonts w:ascii="Cambria" w:hAnsi="Cambria"/>
          <w:b/>
          <w:bCs/>
          <w:sz w:val="28"/>
          <w:szCs w:val="28"/>
        </w:rPr>
        <w:t xml:space="preserve">publics urbains </w:t>
      </w:r>
      <w:r w:rsidR="004E0703">
        <w:rPr>
          <w:rFonts w:ascii="Cambria" w:hAnsi="Cambria"/>
          <w:b/>
          <w:bCs/>
          <w:sz w:val="28"/>
          <w:szCs w:val="28"/>
        </w:rPr>
        <w:t xml:space="preserve">sont-ils des lieux </w:t>
      </w:r>
      <w:r w:rsidR="00AF758B">
        <w:rPr>
          <w:rFonts w:ascii="Cambria" w:hAnsi="Cambria"/>
          <w:b/>
          <w:bCs/>
          <w:sz w:val="28"/>
          <w:szCs w:val="28"/>
        </w:rPr>
        <w:t xml:space="preserve">hostiles et </w:t>
      </w:r>
      <w:r w:rsidR="004E0703">
        <w:rPr>
          <w:rFonts w:ascii="Cambria" w:hAnsi="Cambria"/>
          <w:b/>
          <w:bCs/>
          <w:sz w:val="28"/>
          <w:szCs w:val="28"/>
        </w:rPr>
        <w:t xml:space="preserve">non sûrs </w:t>
      </w:r>
      <w:r w:rsidR="00AF758B">
        <w:rPr>
          <w:rFonts w:ascii="Cambria" w:hAnsi="Cambria"/>
          <w:b/>
          <w:bCs/>
          <w:sz w:val="28"/>
          <w:szCs w:val="28"/>
        </w:rPr>
        <w:t>pour les</w:t>
      </w:r>
      <w:r w:rsidR="004E0703">
        <w:rPr>
          <w:rFonts w:ascii="Cambria" w:hAnsi="Cambria"/>
          <w:b/>
          <w:bCs/>
          <w:sz w:val="28"/>
          <w:szCs w:val="28"/>
        </w:rPr>
        <w:t xml:space="preserve"> femmes</w:t>
      </w:r>
      <w:r w:rsidR="00AF758B">
        <w:rPr>
          <w:rFonts w:ascii="Cambria" w:hAnsi="Cambria"/>
          <w:b/>
          <w:bCs/>
          <w:sz w:val="28"/>
          <w:szCs w:val="28"/>
        </w:rPr>
        <w:t>?</w:t>
      </w:r>
    </w:p>
    <w:p w:rsidR="00340F28" w:rsidRPr="00340F28" w:rsidRDefault="00340F28" w:rsidP="00340F28">
      <w:pPr>
        <w:tabs>
          <w:tab w:val="left" w:pos="3540"/>
        </w:tabs>
        <w:spacing w:after="240"/>
        <w:jc w:val="both"/>
        <w:rPr>
          <w:rFonts w:ascii="Cambria" w:hAnsi="Cambria"/>
          <w:sz w:val="36"/>
          <w:szCs w:val="36"/>
        </w:rPr>
      </w:pPr>
    </w:p>
    <w:p w:rsidR="004E0703" w:rsidRPr="00B66151" w:rsidRDefault="004E0703" w:rsidP="00594E4B">
      <w:pPr>
        <w:spacing w:after="240"/>
        <w:jc w:val="both"/>
        <w:rPr>
          <w:rFonts w:ascii="Cambria" w:hAnsi="Cambria"/>
          <w:sz w:val="24"/>
          <w:szCs w:val="24"/>
        </w:rPr>
      </w:pPr>
      <w:r w:rsidRPr="00A132EF">
        <w:rPr>
          <w:rFonts w:ascii="Cambria" w:hAnsi="Cambria"/>
          <w:sz w:val="24"/>
          <w:szCs w:val="24"/>
        </w:rPr>
        <w:t>Bien que les diverses formes de violence à l’égard des femmes soient une réalité ancienne</w:t>
      </w:r>
      <w:r w:rsidR="00594E4B">
        <w:rPr>
          <w:rFonts w:ascii="Cambria" w:hAnsi="Cambria"/>
          <w:sz w:val="24"/>
          <w:szCs w:val="24"/>
        </w:rPr>
        <w:t>,</w:t>
      </w:r>
      <w:r>
        <w:rPr>
          <w:rFonts w:ascii="Cambria" w:hAnsi="Cambria"/>
          <w:sz w:val="24"/>
          <w:szCs w:val="24"/>
        </w:rPr>
        <w:t xml:space="preserve"> </w:t>
      </w:r>
      <w:r w:rsidRPr="00B66151">
        <w:rPr>
          <w:rFonts w:ascii="Cambria" w:hAnsi="Cambria"/>
          <w:sz w:val="24"/>
          <w:szCs w:val="24"/>
        </w:rPr>
        <w:t>la présence des femmes dans l</w:t>
      </w:r>
      <w:r w:rsidR="00CC5ECA">
        <w:rPr>
          <w:rFonts w:ascii="Cambria" w:hAnsi="Cambria"/>
          <w:sz w:val="24"/>
          <w:szCs w:val="24"/>
        </w:rPr>
        <w:t xml:space="preserve">es </w:t>
      </w:r>
      <w:r w:rsidRPr="00B66151">
        <w:rPr>
          <w:rFonts w:ascii="Cambria" w:hAnsi="Cambria"/>
          <w:sz w:val="24"/>
          <w:szCs w:val="24"/>
        </w:rPr>
        <w:t>espace</w:t>
      </w:r>
      <w:r w:rsidR="00CC5ECA">
        <w:rPr>
          <w:rFonts w:ascii="Cambria" w:hAnsi="Cambria"/>
          <w:sz w:val="24"/>
          <w:szCs w:val="24"/>
        </w:rPr>
        <w:t>s</w:t>
      </w:r>
      <w:r w:rsidRPr="00B66151">
        <w:rPr>
          <w:rFonts w:ascii="Cambria" w:hAnsi="Cambria"/>
          <w:sz w:val="24"/>
          <w:szCs w:val="24"/>
        </w:rPr>
        <w:t xml:space="preserve"> public</w:t>
      </w:r>
      <w:r w:rsidR="00CC5ECA">
        <w:rPr>
          <w:rFonts w:ascii="Cambria" w:hAnsi="Cambria"/>
          <w:sz w:val="24"/>
          <w:szCs w:val="24"/>
        </w:rPr>
        <w:t>s</w:t>
      </w:r>
      <w:r w:rsidR="00340F28">
        <w:rPr>
          <w:rStyle w:val="Appelnotedebasdep"/>
          <w:rFonts w:ascii="Cambria" w:hAnsi="Cambria"/>
          <w:sz w:val="24"/>
          <w:szCs w:val="24"/>
        </w:rPr>
        <w:footnoteReference w:id="2"/>
      </w:r>
      <w:r w:rsidRPr="00B66151">
        <w:rPr>
          <w:rFonts w:ascii="Cambria" w:hAnsi="Cambria"/>
          <w:sz w:val="24"/>
          <w:szCs w:val="24"/>
        </w:rPr>
        <w:t xml:space="preserve"> évoque obligatoirement la question de la violence et plus particulièrement celle du harcèlement sexuel. Les violences </w:t>
      </w:r>
      <w:r>
        <w:rPr>
          <w:rFonts w:ascii="Cambria" w:hAnsi="Cambria"/>
          <w:sz w:val="24"/>
          <w:szCs w:val="24"/>
        </w:rPr>
        <w:t>perpétrées dans les lieux publics</w:t>
      </w:r>
      <w:r w:rsidR="00594E4B">
        <w:rPr>
          <w:rFonts w:ascii="Cambria" w:hAnsi="Cambria"/>
          <w:sz w:val="24"/>
          <w:szCs w:val="24"/>
        </w:rPr>
        <w:t>, à l’inverse des violences familiales ou domestiques,</w:t>
      </w:r>
      <w:r>
        <w:rPr>
          <w:rFonts w:ascii="Cambria" w:hAnsi="Cambria"/>
          <w:sz w:val="24"/>
          <w:szCs w:val="24"/>
        </w:rPr>
        <w:t xml:space="preserve"> </w:t>
      </w:r>
      <w:r w:rsidRPr="00A132EF">
        <w:rPr>
          <w:rFonts w:ascii="Cambria" w:hAnsi="Cambria"/>
          <w:sz w:val="24"/>
          <w:szCs w:val="24"/>
        </w:rPr>
        <w:t>f</w:t>
      </w:r>
      <w:r>
        <w:rPr>
          <w:rFonts w:ascii="Cambria" w:hAnsi="Cambria"/>
          <w:sz w:val="24"/>
          <w:szCs w:val="24"/>
        </w:rPr>
        <w:t>ont</w:t>
      </w:r>
      <w:r w:rsidRPr="00A132EF">
        <w:rPr>
          <w:rFonts w:ascii="Cambria" w:hAnsi="Cambria"/>
          <w:sz w:val="24"/>
          <w:szCs w:val="24"/>
        </w:rPr>
        <w:t xml:space="preserve"> </w:t>
      </w:r>
      <w:r>
        <w:rPr>
          <w:rFonts w:ascii="Cambria" w:hAnsi="Cambria"/>
          <w:sz w:val="24"/>
          <w:szCs w:val="24"/>
        </w:rPr>
        <w:t xml:space="preserve">souvent </w:t>
      </w:r>
      <w:r w:rsidRPr="00A132EF">
        <w:rPr>
          <w:rFonts w:ascii="Cambria" w:hAnsi="Cambria"/>
          <w:sz w:val="24"/>
          <w:szCs w:val="24"/>
        </w:rPr>
        <w:t xml:space="preserve">l’objet d’une attention </w:t>
      </w:r>
      <w:r>
        <w:rPr>
          <w:rFonts w:ascii="Cambria" w:hAnsi="Cambria"/>
          <w:sz w:val="24"/>
          <w:szCs w:val="24"/>
        </w:rPr>
        <w:t xml:space="preserve">particulière car elles sont généralement commises au su et au vu du public. </w:t>
      </w:r>
      <w:r w:rsidRPr="00B66151">
        <w:rPr>
          <w:rFonts w:ascii="Cambria" w:hAnsi="Cambria"/>
          <w:sz w:val="24"/>
          <w:szCs w:val="24"/>
        </w:rPr>
        <w:t>Au-delà de jouir pleinement de leurs droits en toute liberté et en toute sécurité, c’est le principe même de l’égalité entre les hommes et les femmes dans les espaces publics qui nous interpelle.</w:t>
      </w:r>
    </w:p>
    <w:p w:rsidR="004E0703" w:rsidRPr="00A132EF" w:rsidRDefault="004E0703" w:rsidP="008B0E3A">
      <w:pPr>
        <w:spacing w:after="240"/>
        <w:jc w:val="both"/>
        <w:rPr>
          <w:rFonts w:ascii="Cambria" w:hAnsi="Cambria"/>
          <w:sz w:val="24"/>
          <w:szCs w:val="24"/>
        </w:rPr>
      </w:pPr>
      <w:r w:rsidRPr="00EE0602">
        <w:rPr>
          <w:rFonts w:ascii="Cambria" w:hAnsi="Cambria"/>
          <w:sz w:val="24"/>
          <w:szCs w:val="24"/>
        </w:rPr>
        <w:t>Selon les résultats de l’ENPVEF</w:t>
      </w:r>
      <w:r w:rsidR="00340F28">
        <w:rPr>
          <w:rFonts w:ascii="Cambria" w:hAnsi="Cambria"/>
          <w:sz w:val="24"/>
          <w:szCs w:val="24"/>
        </w:rPr>
        <w:t xml:space="preserve"> (</w:t>
      </w:r>
      <w:r w:rsidR="00340F28" w:rsidRPr="00916F7C">
        <w:rPr>
          <w:rFonts w:ascii="Cambria" w:hAnsi="Cambria"/>
          <w:sz w:val="24"/>
          <w:szCs w:val="24"/>
        </w:rPr>
        <w:t>enquête nationale sur la prévalence de la violence à l’égard des femmes</w:t>
      </w:r>
      <w:r w:rsidR="00340F28">
        <w:rPr>
          <w:rFonts w:ascii="Cambria" w:hAnsi="Cambria"/>
          <w:sz w:val="24"/>
          <w:szCs w:val="24"/>
        </w:rPr>
        <w:t>)</w:t>
      </w:r>
      <w:r w:rsidR="00340F28" w:rsidRPr="00916F7C">
        <w:rPr>
          <w:rFonts w:ascii="Cambria" w:hAnsi="Cambria"/>
          <w:sz w:val="24"/>
          <w:szCs w:val="24"/>
        </w:rPr>
        <w:t xml:space="preserve"> réalisée par le HCP en 2009</w:t>
      </w:r>
      <w:r w:rsidRPr="00EE0602">
        <w:rPr>
          <w:rFonts w:ascii="Cambria" w:hAnsi="Cambria"/>
          <w:sz w:val="24"/>
          <w:szCs w:val="24"/>
        </w:rPr>
        <w:t xml:space="preserve">, il semble que les femmes ne sont pas toujours en sécurité dans </w:t>
      </w:r>
      <w:r w:rsidR="008B0E3A">
        <w:rPr>
          <w:rFonts w:ascii="Cambria" w:hAnsi="Cambria"/>
          <w:sz w:val="24"/>
          <w:szCs w:val="24"/>
        </w:rPr>
        <w:t>les</w:t>
      </w:r>
      <w:r w:rsidRPr="00EE0602">
        <w:rPr>
          <w:rFonts w:ascii="Cambria" w:hAnsi="Cambria"/>
          <w:sz w:val="24"/>
          <w:szCs w:val="24"/>
        </w:rPr>
        <w:t xml:space="preserve"> espaces publics, </w:t>
      </w:r>
      <w:r w:rsidR="008B0E3A">
        <w:rPr>
          <w:rFonts w:ascii="Cambria" w:hAnsi="Cambria"/>
          <w:sz w:val="24"/>
          <w:szCs w:val="24"/>
        </w:rPr>
        <w:t xml:space="preserve">plus particulièrement </w:t>
      </w:r>
      <w:r w:rsidRPr="00EE0602">
        <w:rPr>
          <w:rFonts w:ascii="Cambria" w:hAnsi="Cambria"/>
          <w:sz w:val="24"/>
          <w:szCs w:val="24"/>
        </w:rPr>
        <w:t xml:space="preserve">dans les villes, et ne </w:t>
      </w:r>
      <w:r w:rsidR="008B0E3A">
        <w:rPr>
          <w:rFonts w:ascii="Cambria" w:hAnsi="Cambria"/>
          <w:sz w:val="24"/>
          <w:szCs w:val="24"/>
        </w:rPr>
        <w:t xml:space="preserve">peuvent pas </w:t>
      </w:r>
      <w:r w:rsidRPr="00EE0602">
        <w:rPr>
          <w:rFonts w:ascii="Cambria" w:hAnsi="Cambria"/>
          <w:sz w:val="24"/>
          <w:szCs w:val="24"/>
        </w:rPr>
        <w:t>joui</w:t>
      </w:r>
      <w:r w:rsidR="008B0E3A">
        <w:rPr>
          <w:rFonts w:ascii="Cambria" w:hAnsi="Cambria"/>
          <w:sz w:val="24"/>
          <w:szCs w:val="24"/>
        </w:rPr>
        <w:t>re</w:t>
      </w:r>
      <w:r>
        <w:rPr>
          <w:rFonts w:ascii="Cambria" w:hAnsi="Cambria"/>
          <w:sz w:val="24"/>
          <w:szCs w:val="24"/>
        </w:rPr>
        <w:t xml:space="preserve">, </w:t>
      </w:r>
      <w:r w:rsidRPr="00EE0602">
        <w:rPr>
          <w:rFonts w:ascii="Cambria" w:hAnsi="Cambria"/>
          <w:sz w:val="24"/>
          <w:szCs w:val="24"/>
        </w:rPr>
        <w:t>au même titre que les hommes</w:t>
      </w:r>
      <w:r>
        <w:rPr>
          <w:rFonts w:ascii="Cambria" w:hAnsi="Cambria"/>
          <w:sz w:val="24"/>
          <w:szCs w:val="24"/>
        </w:rPr>
        <w:t>, de ces lieux en raison des violences de toutes les formes perpétrées à leur égard.</w:t>
      </w:r>
      <w:r w:rsidRPr="00EE0602">
        <w:rPr>
          <w:rFonts w:ascii="Cambria" w:hAnsi="Cambria"/>
          <w:sz w:val="24"/>
          <w:szCs w:val="24"/>
        </w:rPr>
        <w:t xml:space="preserve"> </w:t>
      </w:r>
      <w:r w:rsidR="00594E4B">
        <w:rPr>
          <w:rFonts w:ascii="Cambria" w:hAnsi="Cambria"/>
          <w:sz w:val="24"/>
          <w:szCs w:val="24"/>
        </w:rPr>
        <w:t>L</w:t>
      </w:r>
      <w:r w:rsidRPr="00EE0602">
        <w:rPr>
          <w:rFonts w:ascii="Cambria" w:hAnsi="Cambria"/>
          <w:sz w:val="24"/>
          <w:szCs w:val="24"/>
        </w:rPr>
        <w:t xml:space="preserve">'enquête </w:t>
      </w:r>
      <w:r>
        <w:rPr>
          <w:rFonts w:ascii="Cambria" w:hAnsi="Cambria"/>
          <w:sz w:val="24"/>
          <w:szCs w:val="24"/>
        </w:rPr>
        <w:t xml:space="preserve">révèle </w:t>
      </w:r>
      <w:r w:rsidRPr="00EE0602">
        <w:rPr>
          <w:rFonts w:ascii="Cambria" w:hAnsi="Cambria"/>
          <w:sz w:val="24"/>
          <w:szCs w:val="24"/>
        </w:rPr>
        <w:t>qu</w:t>
      </w:r>
      <w:r>
        <w:rPr>
          <w:rFonts w:ascii="Cambria" w:hAnsi="Cambria"/>
          <w:sz w:val="24"/>
          <w:szCs w:val="24"/>
        </w:rPr>
        <w:t>’en milieu urbain</w:t>
      </w:r>
      <w:r w:rsidRPr="00EE0602">
        <w:rPr>
          <w:rFonts w:ascii="Cambria" w:hAnsi="Cambria"/>
          <w:sz w:val="24"/>
          <w:szCs w:val="24"/>
        </w:rPr>
        <w:t>, sur une population de 5,7 millions de femmes âgées</w:t>
      </w:r>
      <w:r w:rsidRPr="00A132EF">
        <w:rPr>
          <w:rFonts w:ascii="Cambria" w:hAnsi="Cambria"/>
          <w:sz w:val="24"/>
          <w:szCs w:val="24"/>
        </w:rPr>
        <w:t xml:space="preserve">  de 18 à 64 ans, 2,3 millions, soit 40,6%, ont </w:t>
      </w:r>
      <w:r w:rsidR="00594E4B">
        <w:rPr>
          <w:rFonts w:ascii="Cambria" w:hAnsi="Cambria"/>
          <w:sz w:val="24"/>
          <w:szCs w:val="24"/>
        </w:rPr>
        <w:t>été victimes au moins une fois</w:t>
      </w:r>
      <w:r w:rsidRPr="00A132EF">
        <w:rPr>
          <w:rFonts w:ascii="Cambria" w:hAnsi="Cambria"/>
          <w:sz w:val="24"/>
          <w:szCs w:val="24"/>
        </w:rPr>
        <w:t xml:space="preserve"> </w:t>
      </w:r>
      <w:r w:rsidR="00594E4B">
        <w:rPr>
          <w:rFonts w:ascii="Cambria" w:hAnsi="Cambria"/>
          <w:sz w:val="24"/>
          <w:szCs w:val="24"/>
        </w:rPr>
        <w:t>d’</w:t>
      </w:r>
      <w:r w:rsidRPr="00A132EF">
        <w:rPr>
          <w:rFonts w:ascii="Cambria" w:hAnsi="Cambria"/>
          <w:sz w:val="24"/>
          <w:szCs w:val="24"/>
        </w:rPr>
        <w:t>un  acte de violence</w:t>
      </w:r>
      <w:r>
        <w:rPr>
          <w:rFonts w:ascii="Cambria" w:hAnsi="Cambria"/>
          <w:sz w:val="24"/>
          <w:szCs w:val="24"/>
        </w:rPr>
        <w:t>,</w:t>
      </w:r>
      <w:r w:rsidRPr="00A132EF">
        <w:rPr>
          <w:rFonts w:ascii="Cambria" w:hAnsi="Cambria"/>
          <w:sz w:val="24"/>
          <w:szCs w:val="24"/>
        </w:rPr>
        <w:t xml:space="preserve"> sous une  forme  ou  une  autre</w:t>
      </w:r>
      <w:r>
        <w:rPr>
          <w:rFonts w:ascii="Cambria" w:hAnsi="Cambria"/>
          <w:sz w:val="24"/>
          <w:szCs w:val="24"/>
        </w:rPr>
        <w:t>,</w:t>
      </w:r>
      <w:r w:rsidRPr="00A132EF">
        <w:rPr>
          <w:rFonts w:ascii="Cambria" w:hAnsi="Cambria"/>
          <w:sz w:val="24"/>
          <w:szCs w:val="24"/>
        </w:rPr>
        <w:t xml:space="preserve"> dans un espace public </w:t>
      </w:r>
      <w:r>
        <w:rPr>
          <w:rFonts w:ascii="Cambria" w:hAnsi="Cambria"/>
          <w:sz w:val="24"/>
          <w:szCs w:val="24"/>
        </w:rPr>
        <w:t xml:space="preserve">de leur ville </w:t>
      </w:r>
      <w:r w:rsidRPr="00A132EF">
        <w:rPr>
          <w:rFonts w:ascii="Cambria" w:hAnsi="Cambria"/>
          <w:sz w:val="24"/>
          <w:szCs w:val="24"/>
        </w:rPr>
        <w:t>durant les douze mois  précédant l'enquête.</w:t>
      </w:r>
    </w:p>
    <w:p w:rsidR="004E0703" w:rsidRDefault="004E0703" w:rsidP="00340F28">
      <w:pPr>
        <w:widowControl w:val="0"/>
        <w:spacing w:after="360"/>
        <w:jc w:val="both"/>
      </w:pPr>
      <w:r w:rsidRPr="00A132EF">
        <w:rPr>
          <w:rFonts w:ascii="Cambria" w:hAnsi="Cambria"/>
          <w:sz w:val="24"/>
          <w:szCs w:val="24"/>
        </w:rPr>
        <w:t>Par forme de violence, la plus fréquente est la violence psychologique</w:t>
      </w:r>
      <w:r>
        <w:rPr>
          <w:rStyle w:val="Appelnotedebasdep"/>
          <w:rFonts w:ascii="Cambria" w:hAnsi="Cambria"/>
          <w:sz w:val="24"/>
          <w:szCs w:val="24"/>
        </w:rPr>
        <w:footnoteReference w:id="3"/>
      </w:r>
      <w:r w:rsidRPr="00A132EF">
        <w:rPr>
          <w:rFonts w:ascii="Cambria" w:hAnsi="Cambria"/>
          <w:sz w:val="24"/>
          <w:szCs w:val="24"/>
        </w:rPr>
        <w:t xml:space="preserve"> qui touche </w:t>
      </w:r>
      <w:r>
        <w:rPr>
          <w:rFonts w:ascii="Cambria" w:hAnsi="Cambria"/>
          <w:sz w:val="24"/>
          <w:szCs w:val="24"/>
        </w:rPr>
        <w:t xml:space="preserve">1,9 millions de femmes, soit </w:t>
      </w:r>
      <w:r w:rsidRPr="00A132EF">
        <w:rPr>
          <w:rFonts w:ascii="Cambria" w:hAnsi="Cambria"/>
          <w:sz w:val="24"/>
          <w:szCs w:val="24"/>
        </w:rPr>
        <w:t>près du tiers</w:t>
      </w:r>
      <w:r>
        <w:rPr>
          <w:rFonts w:ascii="Cambria" w:hAnsi="Cambria"/>
          <w:sz w:val="24"/>
          <w:szCs w:val="24"/>
        </w:rPr>
        <w:t xml:space="preserve"> (32,1%)</w:t>
      </w:r>
      <w:r w:rsidRPr="00A132EF">
        <w:rPr>
          <w:rFonts w:ascii="Cambria" w:hAnsi="Cambria"/>
          <w:sz w:val="24"/>
          <w:szCs w:val="24"/>
        </w:rPr>
        <w:t xml:space="preserve"> des citadines</w:t>
      </w:r>
      <w:r>
        <w:rPr>
          <w:rFonts w:ascii="Cambria" w:hAnsi="Cambria"/>
          <w:sz w:val="24"/>
          <w:szCs w:val="24"/>
        </w:rPr>
        <w:t>. Les violences physiques</w:t>
      </w:r>
      <w:r>
        <w:rPr>
          <w:rStyle w:val="Appelnotedebasdep"/>
          <w:rFonts w:ascii="Cambria" w:hAnsi="Cambria"/>
          <w:sz w:val="24"/>
          <w:szCs w:val="24"/>
        </w:rPr>
        <w:footnoteReference w:id="4"/>
      </w:r>
      <w:r>
        <w:rPr>
          <w:rFonts w:ascii="Cambria" w:hAnsi="Cambria"/>
          <w:sz w:val="24"/>
          <w:szCs w:val="24"/>
        </w:rPr>
        <w:t xml:space="preserve"> occupent la deuxième position avec 808 mille victimes ou 14,2% de citadines. Dans les</w:t>
      </w:r>
      <w:r w:rsidR="00340F28">
        <w:rPr>
          <w:rFonts w:ascii="Cambria" w:hAnsi="Cambria"/>
          <w:sz w:val="24"/>
          <w:szCs w:val="24"/>
        </w:rPr>
        <w:t xml:space="preserve"> l</w:t>
      </w:r>
      <w:r>
        <w:rPr>
          <w:rFonts w:ascii="Cambria" w:hAnsi="Cambria"/>
          <w:sz w:val="24"/>
          <w:szCs w:val="24"/>
        </w:rPr>
        <w:t>ieux publics, les atteintes à la liberté individuelle</w:t>
      </w:r>
      <w:r>
        <w:rPr>
          <w:rStyle w:val="Appelnotedebasdep"/>
          <w:rFonts w:ascii="Cambria" w:hAnsi="Cambria"/>
          <w:sz w:val="24"/>
          <w:szCs w:val="24"/>
        </w:rPr>
        <w:footnoteReference w:id="5"/>
      </w:r>
      <w:r>
        <w:rPr>
          <w:rFonts w:ascii="Cambria" w:hAnsi="Cambria"/>
          <w:sz w:val="24"/>
          <w:szCs w:val="24"/>
        </w:rPr>
        <w:t xml:space="preserve"> et les violences sexuelles</w:t>
      </w:r>
      <w:r>
        <w:rPr>
          <w:rStyle w:val="Appelnotedebasdep"/>
          <w:rFonts w:ascii="Cambria" w:hAnsi="Cambria"/>
          <w:sz w:val="24"/>
          <w:szCs w:val="24"/>
        </w:rPr>
        <w:footnoteReference w:id="6"/>
      </w:r>
      <w:r>
        <w:rPr>
          <w:rFonts w:ascii="Cambria" w:hAnsi="Cambria"/>
          <w:sz w:val="24"/>
          <w:szCs w:val="24"/>
        </w:rPr>
        <w:t xml:space="preserve">, non </w:t>
      </w:r>
      <w:r>
        <w:rPr>
          <w:rFonts w:ascii="Cambria" w:hAnsi="Cambria"/>
          <w:sz w:val="24"/>
          <w:szCs w:val="24"/>
        </w:rPr>
        <w:lastRenderedPageBreak/>
        <w:t xml:space="preserve">compris le harcèlement sans attouchement, touchent, respectivement, 4,5% </w:t>
      </w:r>
      <w:r w:rsidR="00594E4B">
        <w:rPr>
          <w:rFonts w:ascii="Cambria" w:hAnsi="Cambria"/>
          <w:sz w:val="24"/>
          <w:szCs w:val="24"/>
        </w:rPr>
        <w:t xml:space="preserve">(427 mille victimes) </w:t>
      </w:r>
      <w:r>
        <w:rPr>
          <w:rFonts w:ascii="Cambria" w:hAnsi="Cambria"/>
          <w:sz w:val="24"/>
          <w:szCs w:val="24"/>
        </w:rPr>
        <w:t xml:space="preserve">et 3,9% </w:t>
      </w:r>
      <w:r w:rsidR="00594E4B">
        <w:rPr>
          <w:rFonts w:ascii="Cambria" w:hAnsi="Cambria"/>
          <w:sz w:val="24"/>
          <w:szCs w:val="24"/>
        </w:rPr>
        <w:t>(</w:t>
      </w:r>
      <w:r>
        <w:rPr>
          <w:rFonts w:ascii="Cambria" w:hAnsi="Cambria"/>
          <w:sz w:val="24"/>
          <w:szCs w:val="24"/>
        </w:rPr>
        <w:t xml:space="preserve">372 mille </w:t>
      </w:r>
      <w:r w:rsidR="00594E4B">
        <w:rPr>
          <w:rFonts w:ascii="Cambria" w:hAnsi="Cambria"/>
          <w:sz w:val="24"/>
          <w:szCs w:val="24"/>
        </w:rPr>
        <w:t xml:space="preserve">victimes) des femmes </w:t>
      </w:r>
      <w:r w:rsidRPr="00A648AB">
        <w:rPr>
          <w:rFonts w:ascii="Cambria" w:hAnsi="Cambria"/>
          <w:sz w:val="24"/>
          <w:szCs w:val="24"/>
        </w:rPr>
        <w:t>en</w:t>
      </w:r>
      <w:r>
        <w:rPr>
          <w:rFonts w:ascii="Cambria" w:hAnsi="Cambria"/>
          <w:sz w:val="24"/>
          <w:szCs w:val="24"/>
        </w:rPr>
        <w:t xml:space="preserve"> milieu urbain.</w:t>
      </w:r>
    </w:p>
    <w:p w:rsidR="004E0703" w:rsidRDefault="004E0703" w:rsidP="00594E4B">
      <w:pPr>
        <w:spacing w:after="240"/>
        <w:jc w:val="both"/>
        <w:rPr>
          <w:rFonts w:ascii="Cambria" w:hAnsi="Cambria"/>
          <w:sz w:val="24"/>
          <w:szCs w:val="24"/>
        </w:rPr>
      </w:pPr>
      <w:r>
        <w:rPr>
          <w:rFonts w:ascii="Cambria" w:hAnsi="Cambria"/>
          <w:sz w:val="24"/>
          <w:szCs w:val="24"/>
        </w:rPr>
        <w:t>L</w:t>
      </w:r>
      <w:r w:rsidRPr="00517B03">
        <w:rPr>
          <w:rFonts w:ascii="Cambria" w:hAnsi="Cambria"/>
          <w:sz w:val="24"/>
          <w:szCs w:val="24"/>
        </w:rPr>
        <w:t xml:space="preserve">es femmes victimes de violences </w:t>
      </w:r>
      <w:r>
        <w:rPr>
          <w:rFonts w:ascii="Cambria" w:hAnsi="Cambria"/>
          <w:sz w:val="24"/>
          <w:szCs w:val="24"/>
        </w:rPr>
        <w:t xml:space="preserve">dans les lieux publics de nos villes </w:t>
      </w:r>
      <w:r w:rsidRPr="00517B03">
        <w:rPr>
          <w:rFonts w:ascii="Cambria" w:hAnsi="Cambria"/>
          <w:sz w:val="24"/>
          <w:szCs w:val="24"/>
        </w:rPr>
        <w:t>appartiennent à  toutes les tranches d’âge</w:t>
      </w:r>
      <w:r>
        <w:rPr>
          <w:rFonts w:ascii="Cambria" w:hAnsi="Cambria"/>
          <w:sz w:val="24"/>
          <w:szCs w:val="24"/>
        </w:rPr>
        <w:t xml:space="preserve"> </w:t>
      </w:r>
      <w:r w:rsidRPr="00517B03">
        <w:rPr>
          <w:rFonts w:ascii="Cambria" w:hAnsi="Cambria"/>
          <w:sz w:val="24"/>
          <w:szCs w:val="24"/>
        </w:rPr>
        <w:t>e</w:t>
      </w:r>
      <w:r>
        <w:rPr>
          <w:rFonts w:ascii="Cambria" w:hAnsi="Cambria"/>
          <w:sz w:val="24"/>
          <w:szCs w:val="24"/>
        </w:rPr>
        <w:t xml:space="preserve">t toutes les </w:t>
      </w:r>
      <w:r w:rsidR="00594E4B">
        <w:rPr>
          <w:rFonts w:ascii="Cambria" w:hAnsi="Cambria"/>
          <w:sz w:val="24"/>
          <w:szCs w:val="24"/>
        </w:rPr>
        <w:t>catégories</w:t>
      </w:r>
      <w:r>
        <w:rPr>
          <w:rFonts w:ascii="Cambria" w:hAnsi="Cambria"/>
          <w:sz w:val="24"/>
          <w:szCs w:val="24"/>
        </w:rPr>
        <w:t xml:space="preserve"> sociales.</w:t>
      </w:r>
    </w:p>
    <w:p w:rsidR="004E0703" w:rsidRDefault="004E0703" w:rsidP="008B0E3A">
      <w:pPr>
        <w:spacing w:after="240"/>
        <w:jc w:val="both"/>
        <w:rPr>
          <w:rFonts w:ascii="Cambria" w:hAnsi="Cambria"/>
          <w:sz w:val="24"/>
          <w:szCs w:val="24"/>
        </w:rPr>
      </w:pPr>
      <w:r>
        <w:rPr>
          <w:rFonts w:ascii="Cambria" w:hAnsi="Cambria"/>
          <w:sz w:val="24"/>
          <w:szCs w:val="24"/>
        </w:rPr>
        <w:t>Par âge, le taux de prévalence passe de près de 25% parmi les citadines de 50 à 64 ans à 58,3% parmi les plus jeunes (femmes de 18 à 24 ans).</w:t>
      </w:r>
      <w:r w:rsidR="008B0E3A">
        <w:rPr>
          <w:rFonts w:ascii="Cambria" w:hAnsi="Cambria"/>
          <w:sz w:val="24"/>
          <w:szCs w:val="24"/>
        </w:rPr>
        <w:t xml:space="preserve"> </w:t>
      </w:r>
      <w:r>
        <w:rPr>
          <w:rFonts w:ascii="Cambria" w:hAnsi="Cambria"/>
          <w:sz w:val="24"/>
          <w:szCs w:val="24"/>
        </w:rPr>
        <w:t>Par forme de violence, ce sont toujours les femmes jeunes qui sont les plus touchées. Ainsi, le taux de prévalence des violences parmi les jeunes de 18 à 24 ans est de 51,1% pour les violences psychologiques, 18,2% pour les violences physiques et de 8,8% pour les violences sexuelles. Pour les femmes plus âgées (50-64 ans), ces taux sont respectivement de 15,1%, 11,8% et 1,9%.</w:t>
      </w:r>
    </w:p>
    <w:p w:rsidR="00594E4B" w:rsidRDefault="004E0703" w:rsidP="008A0EBB">
      <w:pPr>
        <w:spacing w:after="240"/>
        <w:jc w:val="both"/>
        <w:rPr>
          <w:rFonts w:ascii="Cambria" w:hAnsi="Cambria"/>
          <w:sz w:val="24"/>
          <w:szCs w:val="24"/>
        </w:rPr>
      </w:pPr>
      <w:r>
        <w:rPr>
          <w:rFonts w:ascii="Cambria" w:hAnsi="Cambria"/>
          <w:sz w:val="24"/>
          <w:szCs w:val="24"/>
        </w:rPr>
        <w:t xml:space="preserve">Etre mariée semble un facteur modérateur mais qui ne préserve pas les femmes des violences dans les espaces publics. </w:t>
      </w:r>
      <w:r w:rsidR="00594E4B">
        <w:rPr>
          <w:rFonts w:ascii="Cambria" w:hAnsi="Cambria"/>
          <w:sz w:val="24"/>
          <w:szCs w:val="24"/>
        </w:rPr>
        <w:t>Le taux de prévalence a atteint 33,4% parmi les femmes mariées contre 46,3% parmi les divorcées et 66,3% parmi les célibataires. Les femmes</w:t>
      </w:r>
      <w:r w:rsidR="008A0EBB">
        <w:rPr>
          <w:rFonts w:ascii="Cambria" w:hAnsi="Cambria"/>
          <w:sz w:val="24"/>
          <w:szCs w:val="24"/>
        </w:rPr>
        <w:t xml:space="preserve"> veuves sont tou</w:t>
      </w:r>
      <w:r w:rsidR="00594E4B">
        <w:rPr>
          <w:rFonts w:ascii="Cambria" w:hAnsi="Cambria"/>
          <w:sz w:val="24"/>
          <w:szCs w:val="24"/>
        </w:rPr>
        <w:t>chées par la violence dans les espaces publics urbains à hauteur de 27% probablement en raison de leur âge.</w:t>
      </w:r>
    </w:p>
    <w:p w:rsidR="004E0703" w:rsidRDefault="004E0703" w:rsidP="004E0703">
      <w:pPr>
        <w:spacing w:after="240"/>
        <w:jc w:val="both"/>
        <w:rPr>
          <w:rFonts w:ascii="Cambria" w:hAnsi="Cambria"/>
          <w:sz w:val="24"/>
          <w:szCs w:val="24"/>
        </w:rPr>
      </w:pPr>
      <w:r>
        <w:rPr>
          <w:rFonts w:ascii="Cambria" w:hAnsi="Cambria"/>
          <w:sz w:val="24"/>
          <w:szCs w:val="24"/>
        </w:rPr>
        <w:t>Les femmes citadines qui ont un niveau d’enseignement supérieur rapportent plus d’actes de violences que les autres femmes. En effet, plus le niveau d’instruction de la femme est élevé plus le taux de prévalence augmente. Il varie ainsi de 29% parmi celles n’ayant aucun niveau d’instruction, à 40,6% parmi celles ayant le niveau de l’enseignement primaire et à 57,9% parmi celles ayant un niveau de l’enseignement supérieur.</w:t>
      </w:r>
    </w:p>
    <w:p w:rsidR="004E0703" w:rsidRPr="00C50548" w:rsidRDefault="004E0703" w:rsidP="008A0EBB">
      <w:pPr>
        <w:spacing w:after="240"/>
        <w:jc w:val="both"/>
        <w:rPr>
          <w:rFonts w:ascii="Cambria" w:hAnsi="Cambria"/>
          <w:sz w:val="24"/>
          <w:szCs w:val="24"/>
        </w:rPr>
      </w:pPr>
      <w:r w:rsidRPr="00C50548">
        <w:rPr>
          <w:rFonts w:ascii="Cambria" w:hAnsi="Cambria"/>
          <w:sz w:val="24"/>
          <w:szCs w:val="24"/>
        </w:rPr>
        <w:t>La prévalence est particulièrement élevée parmi les femmes citadines en situation de chômage avec 2 femmes sur 3, et les citadines pourvues d’un travail avec un taux de près d’une femme sur deux (54,5%)</w:t>
      </w:r>
      <w:r w:rsidR="008A0EBB">
        <w:rPr>
          <w:rFonts w:ascii="Cambria" w:hAnsi="Cambria" w:hint="cs"/>
          <w:sz w:val="24"/>
          <w:szCs w:val="24"/>
          <w:rtl/>
        </w:rPr>
        <w:t xml:space="preserve"> </w:t>
      </w:r>
      <w:r w:rsidR="008A0EBB">
        <w:rPr>
          <w:rFonts w:ascii="Cambria" w:hAnsi="Cambria"/>
          <w:sz w:val="24"/>
          <w:szCs w:val="24"/>
        </w:rPr>
        <w:t xml:space="preserve"> et 35,6% parmi les inactives</w:t>
      </w:r>
      <w:r w:rsidRPr="00C50548">
        <w:rPr>
          <w:rFonts w:ascii="Cambria" w:hAnsi="Cambria"/>
          <w:sz w:val="24"/>
          <w:szCs w:val="24"/>
        </w:rPr>
        <w:t xml:space="preserve">. </w:t>
      </w:r>
      <w:r w:rsidR="008A0EBB">
        <w:rPr>
          <w:rFonts w:ascii="Cambria" w:hAnsi="Cambria"/>
          <w:sz w:val="24"/>
          <w:szCs w:val="24"/>
        </w:rPr>
        <w:t xml:space="preserve">Par type d’inactivité, le taux de prévalence est très variable. Il est de </w:t>
      </w:r>
      <w:r w:rsidRPr="00C50548">
        <w:rPr>
          <w:rFonts w:ascii="Cambria" w:hAnsi="Cambria"/>
          <w:sz w:val="24"/>
          <w:szCs w:val="24"/>
        </w:rPr>
        <w:t xml:space="preserve">près de 72% </w:t>
      </w:r>
      <w:r w:rsidR="008A0EBB">
        <w:rPr>
          <w:rFonts w:ascii="Cambria" w:hAnsi="Cambria"/>
          <w:sz w:val="24"/>
          <w:szCs w:val="24"/>
        </w:rPr>
        <w:t>parmi les</w:t>
      </w:r>
      <w:r w:rsidRPr="00C50548">
        <w:rPr>
          <w:rFonts w:ascii="Cambria" w:hAnsi="Cambria"/>
          <w:sz w:val="24"/>
          <w:szCs w:val="24"/>
        </w:rPr>
        <w:t xml:space="preserve"> élèves et </w:t>
      </w:r>
      <w:r w:rsidR="008A0EBB">
        <w:rPr>
          <w:rFonts w:ascii="Cambria" w:hAnsi="Cambria"/>
          <w:sz w:val="24"/>
          <w:szCs w:val="24"/>
        </w:rPr>
        <w:t xml:space="preserve">les </w:t>
      </w:r>
      <w:r w:rsidRPr="00C50548">
        <w:rPr>
          <w:rFonts w:ascii="Cambria" w:hAnsi="Cambria"/>
          <w:sz w:val="24"/>
          <w:szCs w:val="24"/>
        </w:rPr>
        <w:t xml:space="preserve">étudiantes </w:t>
      </w:r>
      <w:r w:rsidR="008A0EBB">
        <w:rPr>
          <w:rFonts w:ascii="Cambria" w:hAnsi="Cambria"/>
          <w:sz w:val="24"/>
          <w:szCs w:val="24"/>
        </w:rPr>
        <w:t>et de 33% parmi les femmes au foyer</w:t>
      </w:r>
      <w:r w:rsidRPr="00C50548">
        <w:rPr>
          <w:rFonts w:ascii="Cambria" w:hAnsi="Cambria"/>
          <w:sz w:val="24"/>
          <w:szCs w:val="24"/>
        </w:rPr>
        <w:t>.</w:t>
      </w:r>
    </w:p>
    <w:p w:rsidR="004E0703" w:rsidRDefault="008A0EBB" w:rsidP="008A0EBB">
      <w:pPr>
        <w:spacing w:after="240"/>
        <w:jc w:val="both"/>
        <w:rPr>
          <w:rFonts w:ascii="Cambria" w:hAnsi="Cambria"/>
          <w:sz w:val="24"/>
          <w:szCs w:val="24"/>
        </w:rPr>
      </w:pPr>
      <w:r>
        <w:rPr>
          <w:rFonts w:ascii="Cambria" w:hAnsi="Cambria"/>
          <w:sz w:val="24"/>
          <w:szCs w:val="24"/>
        </w:rPr>
        <w:t>Même s</w:t>
      </w:r>
      <w:r w:rsidR="004E0703" w:rsidRPr="00A648AB">
        <w:rPr>
          <w:rFonts w:ascii="Cambria" w:hAnsi="Cambria"/>
          <w:sz w:val="24"/>
          <w:szCs w:val="24"/>
        </w:rPr>
        <w:t xml:space="preserve">i la tenue vestimentaire est une liberté individuelle de la femme, il semble que cette liberté est souvent bafouée dans les espaces publics </w:t>
      </w:r>
      <w:r>
        <w:rPr>
          <w:rFonts w:ascii="Cambria" w:hAnsi="Cambria"/>
          <w:sz w:val="24"/>
          <w:szCs w:val="24"/>
        </w:rPr>
        <w:t>en raison notamment des critiques adressées à la femme selon qu’elle prote tel ou tel type de vêtements. L</w:t>
      </w:r>
      <w:r w:rsidR="004E0703" w:rsidRPr="00A648AB">
        <w:rPr>
          <w:rFonts w:ascii="Cambria" w:hAnsi="Cambria"/>
          <w:sz w:val="24"/>
          <w:szCs w:val="24"/>
        </w:rPr>
        <w:t xml:space="preserve">e taux de prévalence </w:t>
      </w:r>
      <w:r>
        <w:rPr>
          <w:rFonts w:ascii="Cambria" w:hAnsi="Cambria"/>
          <w:sz w:val="24"/>
          <w:szCs w:val="24"/>
        </w:rPr>
        <w:t>varie sensiblement</w:t>
      </w:r>
      <w:r w:rsidR="004E0703" w:rsidRPr="00A648AB">
        <w:rPr>
          <w:rFonts w:ascii="Cambria" w:hAnsi="Cambria"/>
          <w:sz w:val="24"/>
          <w:szCs w:val="24"/>
        </w:rPr>
        <w:t xml:space="preserve"> selon le type de vêtements souvent portés par la femme en dehors de son foyer. Cependant, quelle que soit sa tenue vestimentaire, la </w:t>
      </w:r>
      <w:r w:rsidR="004E0703" w:rsidRPr="00A648AB">
        <w:rPr>
          <w:rFonts w:ascii="Cambria" w:hAnsi="Cambria"/>
          <w:sz w:val="24"/>
          <w:szCs w:val="24"/>
        </w:rPr>
        <w:lastRenderedPageBreak/>
        <w:t>femme reste exposée aux violences dans les espaces publics. Mais il semble que les femmes qui, en dehors de leur foyer, portent souvent des tenues modernes courtes rapportent plus d’actes de violences commis à leur encontre dans ces espaces. Pour cette catégorie, le taux de prévalence, en milieu urbain, culmine à 75,5% pour descendre à 61% parmi celles qui portent souvent des tenues modernes longues mais sans voile, à près de 34% parmi celles qui portent des Djellabas ou équivalents.</w:t>
      </w:r>
    </w:p>
    <w:p w:rsidR="004E0703" w:rsidRDefault="004E0703" w:rsidP="004E0703">
      <w:pPr>
        <w:spacing w:after="240"/>
        <w:jc w:val="both"/>
        <w:rPr>
          <w:rFonts w:ascii="Cambria" w:hAnsi="Cambria"/>
          <w:sz w:val="24"/>
          <w:szCs w:val="24"/>
        </w:rPr>
      </w:pPr>
      <w:r w:rsidRPr="008C015A">
        <w:rPr>
          <w:rFonts w:ascii="Cambria" w:hAnsi="Cambria"/>
          <w:sz w:val="24"/>
          <w:szCs w:val="24"/>
        </w:rPr>
        <w:t>Une autre réalité révélée par l’ENPVEF c’est que même si la femme présente un handicap, son état ne l’épargne pas de la violence perpétrée dans les espaces publics. Ainsi, le taux de prévalence de la violence dans les lieux publics urbains parmi les femmes qui ne présentent aucun handicap ne dépasse que de 6 points celui enregistré parmi celles qui présentent un handicap.</w:t>
      </w:r>
    </w:p>
    <w:p w:rsidR="004E0703" w:rsidRDefault="004E0703" w:rsidP="004E0703">
      <w:pPr>
        <w:spacing w:after="240"/>
        <w:jc w:val="both"/>
        <w:rPr>
          <w:rFonts w:ascii="Cambria" w:hAnsi="Cambria"/>
          <w:sz w:val="24"/>
          <w:szCs w:val="24"/>
        </w:rPr>
      </w:pPr>
      <w:r>
        <w:rPr>
          <w:rFonts w:ascii="Cambria" w:hAnsi="Cambria"/>
          <w:sz w:val="24"/>
          <w:szCs w:val="24"/>
        </w:rPr>
        <w:t>Par acte de violence, le harcèlement sans qu’il y ait attouchement vient en première position avec un taux de prévalence de 26,7%. Il est suivi par les insultes et les dénigrements et le vol d’objets personnels avec usage de la force (avec un taux 11,6% chacun), les agressions physiques (gifles, coups, etc.) avec 1,8% et les agressions avec un objet contondant ou un produit dangereux (acide par exemple) avec 1,5%. Les menaces d’agressions avec un objet contondant ou un produit dangereux dans les espaces publics urbains touchent 1,5% des femmes citadines.</w:t>
      </w:r>
    </w:p>
    <w:p w:rsidR="004E0703" w:rsidRPr="008A289B" w:rsidRDefault="00404695" w:rsidP="001974D3">
      <w:pPr>
        <w:spacing w:after="240"/>
        <w:jc w:val="both"/>
        <w:rPr>
          <w:rFonts w:ascii="Cambria" w:hAnsi="Cambria"/>
          <w:sz w:val="24"/>
          <w:szCs w:val="24"/>
        </w:rPr>
      </w:pPr>
      <w:r>
        <w:rPr>
          <w:rFonts w:ascii="Cambria" w:hAnsi="Cambria"/>
          <w:sz w:val="24"/>
          <w:szCs w:val="24"/>
        </w:rPr>
        <w:t xml:space="preserve">L’ENPVEF a révélé que la majorité des auteurs des violences dans les espaces publics urbains sont jeunes ne dépassant pas 35 ans et il en est de même des victimes de ces violences, et que </w:t>
      </w:r>
      <w:r w:rsidR="004E0703">
        <w:rPr>
          <w:rFonts w:ascii="Cambria" w:hAnsi="Cambria"/>
          <w:sz w:val="24"/>
          <w:szCs w:val="24"/>
        </w:rPr>
        <w:t xml:space="preserve">la majorité des </w:t>
      </w:r>
      <w:r>
        <w:rPr>
          <w:rFonts w:ascii="Cambria" w:hAnsi="Cambria"/>
          <w:sz w:val="24"/>
          <w:szCs w:val="24"/>
        </w:rPr>
        <w:t>victimes</w:t>
      </w:r>
      <w:r w:rsidR="004E0703">
        <w:rPr>
          <w:rFonts w:ascii="Cambria" w:hAnsi="Cambria"/>
          <w:sz w:val="24"/>
          <w:szCs w:val="24"/>
        </w:rPr>
        <w:t xml:space="preserve"> (67,6%) parlent de la violence subie dans ces </w:t>
      </w:r>
      <w:r>
        <w:rPr>
          <w:rFonts w:ascii="Cambria" w:hAnsi="Cambria"/>
          <w:sz w:val="24"/>
          <w:szCs w:val="24"/>
        </w:rPr>
        <w:t>espaces,</w:t>
      </w:r>
      <w:r w:rsidR="004E0703">
        <w:rPr>
          <w:rFonts w:ascii="Cambria" w:hAnsi="Cambria"/>
          <w:sz w:val="24"/>
          <w:szCs w:val="24"/>
        </w:rPr>
        <w:t xml:space="preserve"> le plus souvent</w:t>
      </w:r>
      <w:r>
        <w:rPr>
          <w:rFonts w:ascii="Cambria" w:hAnsi="Cambria"/>
          <w:sz w:val="24"/>
          <w:szCs w:val="24"/>
        </w:rPr>
        <w:t>,</w:t>
      </w:r>
      <w:r w:rsidR="004E0703">
        <w:rPr>
          <w:rFonts w:ascii="Cambria" w:hAnsi="Cambria"/>
          <w:sz w:val="24"/>
          <w:szCs w:val="24"/>
        </w:rPr>
        <w:t xml:space="preserve"> à un membre de la famille</w:t>
      </w:r>
      <w:r>
        <w:rPr>
          <w:rFonts w:ascii="Cambria" w:hAnsi="Cambria"/>
          <w:sz w:val="24"/>
          <w:szCs w:val="24"/>
        </w:rPr>
        <w:t xml:space="preserve">. Cependant, l’enquête a révélé également que </w:t>
      </w:r>
      <w:r w:rsidR="004E0703">
        <w:rPr>
          <w:rFonts w:ascii="Cambria" w:hAnsi="Cambria"/>
          <w:sz w:val="24"/>
          <w:szCs w:val="24"/>
        </w:rPr>
        <w:t>seules 18,8% des</w:t>
      </w:r>
      <w:r w:rsidR="004E0703" w:rsidRPr="008A289B">
        <w:rPr>
          <w:rFonts w:ascii="Cambria" w:hAnsi="Cambria"/>
          <w:sz w:val="24"/>
          <w:szCs w:val="24"/>
        </w:rPr>
        <w:t xml:space="preserve"> </w:t>
      </w:r>
      <w:r>
        <w:rPr>
          <w:rFonts w:ascii="Cambria" w:hAnsi="Cambria"/>
          <w:sz w:val="24"/>
          <w:szCs w:val="24"/>
        </w:rPr>
        <w:t xml:space="preserve">victimes </w:t>
      </w:r>
      <w:r w:rsidR="00792651">
        <w:rPr>
          <w:rFonts w:ascii="Cambria" w:hAnsi="Cambria"/>
          <w:sz w:val="24"/>
          <w:szCs w:val="24"/>
        </w:rPr>
        <w:t xml:space="preserve">de ces violences </w:t>
      </w:r>
      <w:r w:rsidR="00792651" w:rsidRPr="008A289B">
        <w:rPr>
          <w:rFonts w:ascii="Cambria" w:hAnsi="Cambria"/>
          <w:sz w:val="24"/>
          <w:szCs w:val="24"/>
        </w:rPr>
        <w:t xml:space="preserve">survenues dans les lieux publics urbains </w:t>
      </w:r>
      <w:r>
        <w:rPr>
          <w:rFonts w:ascii="Cambria" w:hAnsi="Cambria"/>
          <w:sz w:val="24"/>
          <w:szCs w:val="24"/>
        </w:rPr>
        <w:t>s’adressent à une autorité compétente pour déposer plainte</w:t>
      </w:r>
      <w:r w:rsidR="004E0703" w:rsidRPr="008A289B">
        <w:rPr>
          <w:rFonts w:ascii="Cambria" w:hAnsi="Cambria"/>
          <w:sz w:val="24"/>
          <w:szCs w:val="24"/>
        </w:rPr>
        <w:t xml:space="preserve">. Les actes les plus  rapportés </w:t>
      </w:r>
      <w:r w:rsidR="00792651">
        <w:rPr>
          <w:rFonts w:ascii="Cambria" w:hAnsi="Cambria"/>
          <w:sz w:val="24"/>
          <w:szCs w:val="24"/>
        </w:rPr>
        <w:t xml:space="preserve">aux autorités compétentes </w:t>
      </w:r>
      <w:r w:rsidR="004E0703" w:rsidRPr="008A289B">
        <w:rPr>
          <w:rFonts w:ascii="Cambria" w:hAnsi="Cambria"/>
          <w:sz w:val="24"/>
          <w:szCs w:val="24"/>
        </w:rPr>
        <w:t xml:space="preserve">sont les agressions avec un objet  contondant ou produit dangereux (43,5% des cas), la menace avec un objet contondant ou produit dangereux  (37,7%), les gifles, </w:t>
      </w:r>
      <w:r w:rsidR="00340F28">
        <w:rPr>
          <w:rFonts w:ascii="Cambria" w:hAnsi="Cambria"/>
          <w:sz w:val="24"/>
          <w:szCs w:val="24"/>
        </w:rPr>
        <w:t xml:space="preserve">les </w:t>
      </w:r>
      <w:r w:rsidR="004E0703" w:rsidRPr="008A289B">
        <w:rPr>
          <w:rFonts w:ascii="Cambria" w:hAnsi="Cambria"/>
          <w:sz w:val="24"/>
          <w:szCs w:val="24"/>
        </w:rPr>
        <w:t>coups</w:t>
      </w:r>
      <w:r w:rsidR="00340F28">
        <w:rPr>
          <w:rFonts w:ascii="Cambria" w:hAnsi="Cambria"/>
          <w:sz w:val="24"/>
          <w:szCs w:val="24"/>
        </w:rPr>
        <w:t xml:space="preserve"> de poigne ou de pied</w:t>
      </w:r>
      <w:r w:rsidR="004E0703" w:rsidRPr="008A289B">
        <w:rPr>
          <w:rFonts w:ascii="Cambria" w:hAnsi="Cambria"/>
          <w:sz w:val="24"/>
          <w:szCs w:val="24"/>
        </w:rPr>
        <w:t xml:space="preserve"> et autres violences physiques (23,7%), le vol avec force (22,4%) et les insultes (7,4%).</w:t>
      </w:r>
    </w:p>
    <w:p w:rsidR="001546DE" w:rsidRPr="004E0703" w:rsidRDefault="004E0703" w:rsidP="001974D3">
      <w:pPr>
        <w:spacing w:after="240"/>
        <w:jc w:val="both"/>
        <w:rPr>
          <w:szCs w:val="24"/>
        </w:rPr>
      </w:pPr>
      <w:r w:rsidRPr="008A289B">
        <w:rPr>
          <w:rFonts w:ascii="Cambria" w:hAnsi="Cambria"/>
          <w:sz w:val="24"/>
          <w:szCs w:val="24"/>
        </w:rPr>
        <w:t>En guise de conclusion</w:t>
      </w:r>
      <w:r>
        <w:rPr>
          <w:rFonts w:ascii="Cambria" w:hAnsi="Cambria"/>
          <w:sz w:val="24"/>
          <w:szCs w:val="24"/>
        </w:rPr>
        <w:t>, les résultats de l’ENPVEF montrent que l</w:t>
      </w:r>
      <w:r w:rsidRPr="008A289B">
        <w:rPr>
          <w:rFonts w:ascii="Cambria" w:hAnsi="Cambria"/>
          <w:sz w:val="24"/>
          <w:szCs w:val="24"/>
        </w:rPr>
        <w:t xml:space="preserve">a violence à l’égard des femmes </w:t>
      </w:r>
      <w:r>
        <w:rPr>
          <w:rFonts w:ascii="Cambria" w:hAnsi="Cambria"/>
          <w:sz w:val="24"/>
          <w:szCs w:val="24"/>
        </w:rPr>
        <w:t>dans les espaces publics</w:t>
      </w:r>
      <w:r w:rsidRPr="008A289B">
        <w:rPr>
          <w:rFonts w:ascii="Cambria" w:hAnsi="Cambria"/>
          <w:sz w:val="24"/>
          <w:szCs w:val="24"/>
        </w:rPr>
        <w:t xml:space="preserve"> </w:t>
      </w:r>
      <w:r>
        <w:rPr>
          <w:rFonts w:ascii="Cambria" w:hAnsi="Cambria"/>
          <w:sz w:val="24"/>
          <w:szCs w:val="24"/>
        </w:rPr>
        <w:t xml:space="preserve">urbains </w:t>
      </w:r>
      <w:r w:rsidRPr="008A289B">
        <w:rPr>
          <w:rFonts w:ascii="Cambria" w:hAnsi="Cambria"/>
          <w:sz w:val="24"/>
          <w:szCs w:val="24"/>
        </w:rPr>
        <w:t xml:space="preserve">est en particulier le fait des jeunes, tant en termes de victimes qu’en termes d’agresseurs, et que la saisie des autorités compétentes </w:t>
      </w:r>
      <w:r>
        <w:rPr>
          <w:rFonts w:ascii="Cambria" w:hAnsi="Cambria"/>
          <w:sz w:val="24"/>
          <w:szCs w:val="24"/>
        </w:rPr>
        <w:t xml:space="preserve">par les victimes </w:t>
      </w:r>
      <w:r w:rsidRPr="008A289B">
        <w:rPr>
          <w:rFonts w:ascii="Cambria" w:hAnsi="Cambria"/>
          <w:sz w:val="24"/>
          <w:szCs w:val="24"/>
        </w:rPr>
        <w:t>pour déposer plainte reste encore faible.</w:t>
      </w:r>
    </w:p>
    <w:sectPr w:rsidR="001546DE" w:rsidRPr="004E0703" w:rsidSect="0085146D">
      <w:footerReference w:type="default" r:id="rId8"/>
      <w:pgSz w:w="11900" w:h="16840"/>
      <w:pgMar w:top="1400" w:right="1300" w:bottom="280" w:left="1600" w:header="0" w:footer="133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8F2" w:rsidRDefault="005E38F2">
      <w:pPr>
        <w:spacing w:after="0" w:line="240" w:lineRule="auto"/>
      </w:pPr>
      <w:r>
        <w:separator/>
      </w:r>
    </w:p>
  </w:endnote>
  <w:endnote w:type="continuationSeparator" w:id="1">
    <w:p w:rsidR="005E38F2" w:rsidRDefault="005E3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6DE" w:rsidRDefault="0085146D">
    <w:pPr>
      <w:widowControl w:val="0"/>
      <w:autoSpaceDE w:val="0"/>
      <w:autoSpaceDN w:val="0"/>
      <w:adjustRightInd w:val="0"/>
      <w:spacing w:after="0" w:line="200" w:lineRule="exact"/>
      <w:rPr>
        <w:rFonts w:ascii="Times New Roman" w:hAnsi="Times New Roman" w:cs="Times New Roman"/>
        <w:sz w:val="20"/>
        <w:szCs w:val="20"/>
      </w:rPr>
    </w:pPr>
    <w:r w:rsidRPr="0085146D">
      <w:rPr>
        <w:noProof/>
      </w:rPr>
      <w:pict>
        <v:shapetype id="_x0000_t202" coordsize="21600,21600" o:spt="202" path="m,l,21600r21600,l21600,xe">
          <v:stroke joinstyle="miter"/>
          <v:path gradientshapeok="t" o:connecttype="rect"/>
        </v:shapetype>
        <v:shape id="_x0000_s2051" type="#_x0000_t202" style="position:absolute;margin-left:511.1pt;margin-top:756.7pt;width:15.25pt;height:13pt;z-index:-251658752;mso-position-horizontal-relative:page;mso-position-vertical-relative:page" o:allowincell="f" filled="f" stroked="f">
          <v:textbox inset="0,0,0,0">
            <w:txbxContent>
              <w:p w:rsidR="001546DE" w:rsidRDefault="0085146D">
                <w:pPr>
                  <w:widowControl w:val="0"/>
                  <w:autoSpaceDE w:val="0"/>
                  <w:autoSpaceDN w:val="0"/>
                  <w:adjustRightInd w:val="0"/>
                  <w:spacing w:after="0" w:line="233" w:lineRule="exact"/>
                  <w:ind w:left="40"/>
                  <w:rPr>
                    <w:rFonts w:ascii="Times New Roman" w:hAnsi="Times New Roman" w:cs="Times New Roman"/>
                  </w:rPr>
                </w:pPr>
                <w:r>
                  <w:rPr>
                    <w:rFonts w:ascii="Times New Roman" w:hAnsi="Times New Roman" w:cs="Times New Roman"/>
                    <w:w w:val="101"/>
                  </w:rPr>
                  <w:fldChar w:fldCharType="begin"/>
                </w:r>
                <w:r w:rsidR="001546DE">
                  <w:rPr>
                    <w:rFonts w:ascii="Times New Roman" w:hAnsi="Times New Roman" w:cs="Times New Roman"/>
                    <w:w w:val="101"/>
                  </w:rPr>
                  <w:instrText xml:space="preserve"> PAGE </w:instrText>
                </w:r>
                <w:r>
                  <w:rPr>
                    <w:rFonts w:ascii="Times New Roman" w:hAnsi="Times New Roman" w:cs="Times New Roman"/>
                    <w:w w:val="101"/>
                  </w:rPr>
                  <w:fldChar w:fldCharType="separate"/>
                </w:r>
                <w:r w:rsidR="008C6B34">
                  <w:rPr>
                    <w:rFonts w:ascii="Times New Roman" w:hAnsi="Times New Roman" w:cs="Times New Roman"/>
                    <w:noProof/>
                    <w:w w:val="101"/>
                  </w:rPr>
                  <w:t>1</w:t>
                </w:r>
                <w:r>
                  <w:rPr>
                    <w:rFonts w:ascii="Times New Roman" w:hAnsi="Times New Roman" w:cs="Times New Roman"/>
                    <w:w w:val="10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8F2" w:rsidRDefault="005E38F2">
      <w:pPr>
        <w:spacing w:after="0" w:line="240" w:lineRule="auto"/>
      </w:pPr>
      <w:r>
        <w:separator/>
      </w:r>
    </w:p>
  </w:footnote>
  <w:footnote w:type="continuationSeparator" w:id="1">
    <w:p w:rsidR="005E38F2" w:rsidRDefault="005E38F2">
      <w:pPr>
        <w:spacing w:after="0" w:line="240" w:lineRule="auto"/>
      </w:pPr>
      <w:r>
        <w:continuationSeparator/>
      </w:r>
    </w:p>
  </w:footnote>
  <w:footnote w:id="2">
    <w:p w:rsidR="00340F28" w:rsidRDefault="00340F28" w:rsidP="00340F28">
      <w:pPr>
        <w:spacing w:after="240"/>
        <w:jc w:val="both"/>
      </w:pPr>
      <w:r>
        <w:rPr>
          <w:rStyle w:val="Appelnotedebasdep"/>
        </w:rPr>
        <w:footnoteRef/>
      </w:r>
      <w:r>
        <w:t xml:space="preserve"> </w:t>
      </w:r>
      <w:r w:rsidRPr="00340F28">
        <w:rPr>
          <w:sz w:val="20"/>
          <w:szCs w:val="20"/>
        </w:rPr>
        <w:t>L</w:t>
      </w:r>
      <w:r w:rsidRPr="00340F28">
        <w:rPr>
          <w:rFonts w:ascii="Cambria" w:hAnsi="Cambria"/>
          <w:sz w:val="20"/>
          <w:szCs w:val="20"/>
        </w:rPr>
        <w:t>e terme « espace public » évoque souvent « la rue », il se réfère ici à des lieux aussi divers que les marchés, les magasins, les cafés et restaurants, les jardins publics, les transports en commun, les locaux administratifs en tant qu’usager, etc.</w:t>
      </w:r>
    </w:p>
  </w:footnote>
  <w:footnote w:id="3">
    <w:p w:rsidR="004E0703" w:rsidRPr="00340F28" w:rsidRDefault="004E0703" w:rsidP="004E0703">
      <w:pPr>
        <w:widowControl w:val="0"/>
        <w:tabs>
          <w:tab w:val="left" w:pos="9214"/>
        </w:tabs>
        <w:autoSpaceDE w:val="0"/>
        <w:autoSpaceDN w:val="0"/>
        <w:adjustRightInd w:val="0"/>
        <w:spacing w:after="120" w:line="240" w:lineRule="auto"/>
        <w:jc w:val="both"/>
        <w:rPr>
          <w:sz w:val="20"/>
          <w:szCs w:val="20"/>
        </w:rPr>
      </w:pPr>
      <w:r w:rsidRPr="007956E7">
        <w:rPr>
          <w:rStyle w:val="Appelnotedebasdep"/>
          <w:rFonts w:ascii="Cambria" w:hAnsi="Cambria"/>
        </w:rPr>
        <w:footnoteRef/>
      </w:r>
      <w:r w:rsidRPr="007956E7">
        <w:rPr>
          <w:rFonts w:ascii="Cambria" w:hAnsi="Cambria"/>
        </w:rPr>
        <w:t xml:space="preserve"> </w:t>
      </w:r>
      <w:r w:rsidRPr="00340F28">
        <w:rPr>
          <w:rFonts w:ascii="Cambria" w:hAnsi="Cambria"/>
          <w:sz w:val="20"/>
          <w:szCs w:val="20"/>
        </w:rPr>
        <w:t>La violence psychologique est d</w:t>
      </w:r>
      <w:r w:rsidRPr="00340F28">
        <w:rPr>
          <w:rFonts w:ascii="Cambria" w:hAnsi="Cambria" w:cs="Times New Roman"/>
          <w:sz w:val="20"/>
          <w:szCs w:val="20"/>
        </w:rPr>
        <w:t>é</w:t>
      </w:r>
      <w:r w:rsidRPr="00340F28">
        <w:rPr>
          <w:rFonts w:ascii="Cambria" w:hAnsi="Cambria" w:cs="Times New Roman"/>
          <w:spacing w:val="1"/>
          <w:sz w:val="20"/>
          <w:szCs w:val="20"/>
        </w:rPr>
        <w:t>f</w:t>
      </w:r>
      <w:r w:rsidRPr="00340F28">
        <w:rPr>
          <w:rFonts w:ascii="Cambria" w:hAnsi="Cambria" w:cs="Times New Roman"/>
          <w:spacing w:val="-2"/>
          <w:sz w:val="20"/>
          <w:szCs w:val="20"/>
        </w:rPr>
        <w:t>i</w:t>
      </w:r>
      <w:r w:rsidRPr="00340F28">
        <w:rPr>
          <w:rFonts w:ascii="Cambria" w:hAnsi="Cambria" w:cs="Times New Roman"/>
          <w:spacing w:val="1"/>
          <w:sz w:val="20"/>
          <w:szCs w:val="20"/>
        </w:rPr>
        <w:t>ni</w:t>
      </w:r>
      <w:r w:rsidRPr="00340F28">
        <w:rPr>
          <w:rFonts w:ascii="Cambria" w:hAnsi="Cambria" w:cs="Times New Roman"/>
          <w:sz w:val="20"/>
          <w:szCs w:val="20"/>
        </w:rPr>
        <w:t xml:space="preserve">e </w:t>
      </w:r>
      <w:r w:rsidRPr="00340F28">
        <w:rPr>
          <w:rFonts w:ascii="Cambria" w:hAnsi="Cambria" w:cs="Times New Roman"/>
          <w:spacing w:val="19"/>
          <w:sz w:val="20"/>
          <w:szCs w:val="20"/>
        </w:rPr>
        <w:t xml:space="preserve"> </w:t>
      </w:r>
      <w:r w:rsidRPr="00340F28">
        <w:rPr>
          <w:rFonts w:ascii="Cambria" w:hAnsi="Cambria" w:cs="Times New Roman"/>
          <w:sz w:val="20"/>
          <w:szCs w:val="20"/>
        </w:rPr>
        <w:t xml:space="preserve">comme </w:t>
      </w:r>
      <w:r w:rsidRPr="00340F28">
        <w:rPr>
          <w:rFonts w:ascii="Cambria" w:hAnsi="Cambria" w:cs="Times New Roman"/>
          <w:spacing w:val="33"/>
          <w:sz w:val="20"/>
          <w:szCs w:val="20"/>
        </w:rPr>
        <w:t xml:space="preserve"> </w:t>
      </w:r>
      <w:r w:rsidRPr="00340F28">
        <w:rPr>
          <w:rFonts w:ascii="Cambria" w:hAnsi="Cambria" w:cs="Times New Roman"/>
          <w:sz w:val="20"/>
          <w:szCs w:val="20"/>
        </w:rPr>
        <w:t>ét</w:t>
      </w:r>
      <w:r w:rsidRPr="00340F28">
        <w:rPr>
          <w:rFonts w:ascii="Cambria" w:hAnsi="Cambria" w:cs="Times New Roman"/>
          <w:spacing w:val="-2"/>
          <w:sz w:val="20"/>
          <w:szCs w:val="20"/>
        </w:rPr>
        <w:t>a</w:t>
      </w:r>
      <w:r w:rsidRPr="00340F28">
        <w:rPr>
          <w:rFonts w:ascii="Cambria" w:hAnsi="Cambria" w:cs="Times New Roman"/>
          <w:spacing w:val="1"/>
          <w:sz w:val="20"/>
          <w:szCs w:val="20"/>
        </w:rPr>
        <w:t>n</w:t>
      </w:r>
      <w:r w:rsidRPr="00340F28">
        <w:rPr>
          <w:rFonts w:ascii="Cambria" w:hAnsi="Cambria" w:cs="Times New Roman"/>
          <w:sz w:val="20"/>
          <w:szCs w:val="20"/>
        </w:rPr>
        <w:t xml:space="preserve">t </w:t>
      </w:r>
      <w:r w:rsidRPr="00340F28">
        <w:rPr>
          <w:rFonts w:ascii="Cambria" w:hAnsi="Cambria" w:cs="Times New Roman"/>
          <w:spacing w:val="29"/>
          <w:sz w:val="20"/>
          <w:szCs w:val="20"/>
        </w:rPr>
        <w:t xml:space="preserve"> </w:t>
      </w:r>
      <w:r w:rsidRPr="00340F28">
        <w:rPr>
          <w:rFonts w:ascii="Cambria" w:hAnsi="Cambria" w:cs="Times New Roman"/>
          <w:sz w:val="20"/>
          <w:szCs w:val="20"/>
        </w:rPr>
        <w:t>t</w:t>
      </w:r>
      <w:r w:rsidRPr="00340F28">
        <w:rPr>
          <w:rFonts w:ascii="Cambria" w:hAnsi="Cambria" w:cs="Times New Roman"/>
          <w:spacing w:val="-3"/>
          <w:sz w:val="20"/>
          <w:szCs w:val="20"/>
        </w:rPr>
        <w:t>o</w:t>
      </w:r>
      <w:r w:rsidRPr="00340F28">
        <w:rPr>
          <w:rFonts w:ascii="Cambria" w:hAnsi="Cambria" w:cs="Times New Roman"/>
          <w:spacing w:val="-1"/>
          <w:sz w:val="20"/>
          <w:szCs w:val="20"/>
        </w:rPr>
        <w:t>u</w:t>
      </w:r>
      <w:r w:rsidRPr="00340F28">
        <w:rPr>
          <w:rFonts w:ascii="Cambria" w:hAnsi="Cambria" w:cs="Times New Roman"/>
          <w:sz w:val="20"/>
          <w:szCs w:val="20"/>
        </w:rPr>
        <w:t xml:space="preserve">t </w:t>
      </w:r>
      <w:r w:rsidRPr="00340F28">
        <w:rPr>
          <w:rFonts w:ascii="Cambria" w:hAnsi="Cambria" w:cs="Times New Roman"/>
          <w:spacing w:val="25"/>
          <w:sz w:val="20"/>
          <w:szCs w:val="20"/>
        </w:rPr>
        <w:t xml:space="preserve"> </w:t>
      </w:r>
      <w:r w:rsidRPr="00340F28">
        <w:rPr>
          <w:rFonts w:ascii="Cambria" w:hAnsi="Cambria" w:cs="Times New Roman"/>
          <w:sz w:val="20"/>
          <w:szCs w:val="20"/>
        </w:rPr>
        <w:t xml:space="preserve">acte  </w:t>
      </w:r>
      <w:r w:rsidRPr="00340F28">
        <w:rPr>
          <w:rFonts w:ascii="Cambria" w:hAnsi="Cambria" w:cs="Times New Roman"/>
          <w:spacing w:val="1"/>
          <w:sz w:val="20"/>
          <w:szCs w:val="20"/>
        </w:rPr>
        <w:t>q</w:t>
      </w:r>
      <w:r w:rsidRPr="00340F28">
        <w:rPr>
          <w:rFonts w:ascii="Cambria" w:hAnsi="Cambria" w:cs="Times New Roman"/>
          <w:spacing w:val="-1"/>
          <w:sz w:val="20"/>
          <w:szCs w:val="20"/>
        </w:rPr>
        <w:t>u</w:t>
      </w:r>
      <w:r w:rsidRPr="00340F28">
        <w:rPr>
          <w:rFonts w:ascii="Cambria" w:hAnsi="Cambria" w:cs="Times New Roman"/>
          <w:sz w:val="20"/>
          <w:szCs w:val="20"/>
        </w:rPr>
        <w:t xml:space="preserve">i </w:t>
      </w:r>
      <w:r w:rsidRPr="00340F28">
        <w:rPr>
          <w:rFonts w:ascii="Cambria" w:hAnsi="Cambria" w:cs="Times New Roman"/>
          <w:spacing w:val="10"/>
          <w:sz w:val="20"/>
          <w:szCs w:val="20"/>
        </w:rPr>
        <w:t xml:space="preserve"> </w:t>
      </w:r>
      <w:r w:rsidRPr="00340F28">
        <w:rPr>
          <w:rFonts w:ascii="Cambria" w:hAnsi="Cambria" w:cs="Times New Roman"/>
          <w:sz w:val="20"/>
          <w:szCs w:val="20"/>
        </w:rPr>
        <w:t>«</w:t>
      </w:r>
      <w:r w:rsidRPr="00340F28">
        <w:rPr>
          <w:rFonts w:ascii="Cambria" w:hAnsi="Cambria" w:cs="Times New Roman"/>
          <w:spacing w:val="-1"/>
          <w:sz w:val="20"/>
          <w:szCs w:val="20"/>
        </w:rPr>
        <w:t>c</w:t>
      </w:r>
      <w:r w:rsidRPr="00340F28">
        <w:rPr>
          <w:rFonts w:ascii="Cambria" w:hAnsi="Cambria" w:cs="Times New Roman"/>
          <w:sz w:val="20"/>
          <w:szCs w:val="20"/>
        </w:rPr>
        <w:t>o</w:t>
      </w:r>
      <w:r w:rsidRPr="00340F28">
        <w:rPr>
          <w:rFonts w:ascii="Cambria" w:hAnsi="Cambria" w:cs="Times New Roman"/>
          <w:spacing w:val="-3"/>
          <w:sz w:val="20"/>
          <w:szCs w:val="20"/>
        </w:rPr>
        <w:t>n</w:t>
      </w:r>
      <w:r w:rsidRPr="00340F28">
        <w:rPr>
          <w:rFonts w:ascii="Cambria" w:hAnsi="Cambria" w:cs="Times New Roman"/>
          <w:sz w:val="20"/>
          <w:szCs w:val="20"/>
        </w:rPr>
        <w:t>s</w:t>
      </w:r>
      <w:r w:rsidRPr="00340F28">
        <w:rPr>
          <w:rFonts w:ascii="Cambria" w:hAnsi="Cambria" w:cs="Times New Roman"/>
          <w:spacing w:val="1"/>
          <w:sz w:val="20"/>
          <w:szCs w:val="20"/>
        </w:rPr>
        <w:t>i</w:t>
      </w:r>
      <w:r w:rsidRPr="00340F28">
        <w:rPr>
          <w:rFonts w:ascii="Cambria" w:hAnsi="Cambria" w:cs="Times New Roman"/>
          <w:spacing w:val="-2"/>
          <w:sz w:val="20"/>
          <w:szCs w:val="20"/>
        </w:rPr>
        <w:t>s</w:t>
      </w:r>
      <w:r w:rsidRPr="00340F28">
        <w:rPr>
          <w:rFonts w:ascii="Cambria" w:hAnsi="Cambria" w:cs="Times New Roman"/>
          <w:spacing w:val="1"/>
          <w:sz w:val="20"/>
          <w:szCs w:val="20"/>
        </w:rPr>
        <w:t>t</w:t>
      </w:r>
      <w:r w:rsidRPr="00340F28">
        <w:rPr>
          <w:rFonts w:ascii="Cambria" w:hAnsi="Cambria" w:cs="Times New Roman"/>
          <w:sz w:val="20"/>
          <w:szCs w:val="20"/>
        </w:rPr>
        <w:t>e</w:t>
      </w:r>
      <w:r w:rsidRPr="00340F28">
        <w:rPr>
          <w:rFonts w:ascii="Cambria" w:hAnsi="Cambria" w:cs="Times New Roman"/>
          <w:spacing w:val="17"/>
          <w:sz w:val="20"/>
          <w:szCs w:val="20"/>
        </w:rPr>
        <w:t xml:space="preserve"> </w:t>
      </w:r>
      <w:r w:rsidRPr="00340F28">
        <w:rPr>
          <w:rFonts w:ascii="Cambria" w:hAnsi="Cambria" w:cs="Times New Roman"/>
          <w:sz w:val="20"/>
          <w:szCs w:val="20"/>
        </w:rPr>
        <w:t>à</w:t>
      </w:r>
      <w:r w:rsidRPr="00340F28">
        <w:rPr>
          <w:rFonts w:ascii="Cambria" w:hAnsi="Cambria" w:cs="Times New Roman"/>
          <w:spacing w:val="27"/>
          <w:sz w:val="20"/>
          <w:szCs w:val="20"/>
        </w:rPr>
        <w:t xml:space="preserve"> </w:t>
      </w:r>
      <w:r w:rsidRPr="00340F28">
        <w:rPr>
          <w:rFonts w:ascii="Cambria" w:hAnsi="Cambria" w:cs="Times New Roman"/>
          <w:spacing w:val="-2"/>
          <w:sz w:val="20"/>
          <w:szCs w:val="20"/>
        </w:rPr>
        <w:t>do</w:t>
      </w:r>
      <w:r w:rsidRPr="00340F28">
        <w:rPr>
          <w:rFonts w:ascii="Cambria" w:hAnsi="Cambria" w:cs="Times New Roman"/>
          <w:spacing w:val="1"/>
          <w:sz w:val="20"/>
          <w:szCs w:val="20"/>
        </w:rPr>
        <w:t>mi</w:t>
      </w:r>
      <w:r w:rsidRPr="00340F28">
        <w:rPr>
          <w:rFonts w:ascii="Cambria" w:hAnsi="Cambria" w:cs="Times New Roman"/>
          <w:spacing w:val="-3"/>
          <w:sz w:val="20"/>
          <w:szCs w:val="20"/>
        </w:rPr>
        <w:t>n</w:t>
      </w:r>
      <w:r w:rsidRPr="00340F28">
        <w:rPr>
          <w:rFonts w:ascii="Cambria" w:hAnsi="Cambria" w:cs="Times New Roman"/>
          <w:sz w:val="20"/>
          <w:szCs w:val="20"/>
        </w:rPr>
        <w:t>er</w:t>
      </w:r>
      <w:r w:rsidRPr="00340F28">
        <w:rPr>
          <w:rFonts w:ascii="Cambria" w:hAnsi="Cambria" w:cs="Times New Roman"/>
          <w:spacing w:val="27"/>
          <w:sz w:val="20"/>
          <w:szCs w:val="20"/>
        </w:rPr>
        <w:t xml:space="preserve"> </w:t>
      </w:r>
      <w:r w:rsidRPr="00340F28">
        <w:rPr>
          <w:rFonts w:ascii="Cambria" w:hAnsi="Cambria" w:cs="Times New Roman"/>
          <w:spacing w:val="-2"/>
          <w:sz w:val="20"/>
          <w:szCs w:val="20"/>
        </w:rPr>
        <w:t>o</w:t>
      </w:r>
      <w:r w:rsidRPr="00340F28">
        <w:rPr>
          <w:rFonts w:ascii="Cambria" w:hAnsi="Cambria" w:cs="Times New Roman"/>
          <w:sz w:val="20"/>
          <w:szCs w:val="20"/>
        </w:rPr>
        <w:t>u</w:t>
      </w:r>
      <w:r w:rsidRPr="00340F28">
        <w:rPr>
          <w:rFonts w:ascii="Cambria" w:hAnsi="Cambria" w:cs="Times New Roman"/>
          <w:spacing w:val="26"/>
          <w:sz w:val="20"/>
          <w:szCs w:val="20"/>
        </w:rPr>
        <w:t xml:space="preserve"> </w:t>
      </w:r>
      <w:r w:rsidRPr="00340F28">
        <w:rPr>
          <w:rFonts w:ascii="Cambria" w:hAnsi="Cambria" w:cs="Times New Roman"/>
          <w:sz w:val="20"/>
          <w:szCs w:val="20"/>
        </w:rPr>
        <w:t>à</w:t>
      </w:r>
      <w:r w:rsidRPr="00340F28">
        <w:rPr>
          <w:rFonts w:ascii="Cambria" w:hAnsi="Cambria" w:cs="Times New Roman"/>
          <w:spacing w:val="25"/>
          <w:sz w:val="20"/>
          <w:szCs w:val="20"/>
        </w:rPr>
        <w:t xml:space="preserve"> </w:t>
      </w:r>
      <w:r w:rsidRPr="00340F28">
        <w:rPr>
          <w:rFonts w:ascii="Cambria" w:hAnsi="Cambria" w:cs="Times New Roman"/>
          <w:spacing w:val="1"/>
          <w:sz w:val="20"/>
          <w:szCs w:val="20"/>
        </w:rPr>
        <w:t>i</w:t>
      </w:r>
      <w:r w:rsidRPr="00340F28">
        <w:rPr>
          <w:rFonts w:ascii="Cambria" w:hAnsi="Cambria" w:cs="Times New Roman"/>
          <w:spacing w:val="-2"/>
          <w:sz w:val="20"/>
          <w:szCs w:val="20"/>
        </w:rPr>
        <w:t>s</w:t>
      </w:r>
      <w:r w:rsidRPr="00340F28">
        <w:rPr>
          <w:rFonts w:ascii="Cambria" w:hAnsi="Cambria" w:cs="Times New Roman"/>
          <w:sz w:val="20"/>
          <w:szCs w:val="20"/>
        </w:rPr>
        <w:t>o</w:t>
      </w:r>
      <w:r w:rsidRPr="00340F28">
        <w:rPr>
          <w:rFonts w:ascii="Cambria" w:hAnsi="Cambria" w:cs="Times New Roman"/>
          <w:spacing w:val="1"/>
          <w:sz w:val="20"/>
          <w:szCs w:val="20"/>
        </w:rPr>
        <w:t>l</w:t>
      </w:r>
      <w:r w:rsidRPr="00340F28">
        <w:rPr>
          <w:rFonts w:ascii="Cambria" w:hAnsi="Cambria" w:cs="Times New Roman"/>
          <w:spacing w:val="-2"/>
          <w:sz w:val="20"/>
          <w:szCs w:val="20"/>
        </w:rPr>
        <w:t>e</w:t>
      </w:r>
      <w:r w:rsidRPr="00340F28">
        <w:rPr>
          <w:rFonts w:ascii="Cambria" w:hAnsi="Cambria" w:cs="Times New Roman"/>
          <w:sz w:val="20"/>
          <w:szCs w:val="20"/>
        </w:rPr>
        <w:t>r</w:t>
      </w:r>
      <w:r w:rsidRPr="00340F28">
        <w:rPr>
          <w:rFonts w:ascii="Cambria" w:hAnsi="Cambria" w:cs="Times New Roman"/>
          <w:spacing w:val="15"/>
          <w:sz w:val="20"/>
          <w:szCs w:val="20"/>
        </w:rPr>
        <w:t xml:space="preserve"> </w:t>
      </w:r>
      <w:r w:rsidRPr="00340F28">
        <w:rPr>
          <w:rFonts w:ascii="Cambria" w:hAnsi="Cambria" w:cs="Times New Roman"/>
          <w:sz w:val="20"/>
          <w:szCs w:val="20"/>
        </w:rPr>
        <w:t>une</w:t>
      </w:r>
      <w:r w:rsidRPr="00340F28">
        <w:rPr>
          <w:rFonts w:ascii="Cambria" w:hAnsi="Cambria" w:cs="Times New Roman"/>
          <w:spacing w:val="37"/>
          <w:sz w:val="20"/>
          <w:szCs w:val="20"/>
        </w:rPr>
        <w:t xml:space="preserve"> </w:t>
      </w:r>
      <w:r w:rsidRPr="00340F28">
        <w:rPr>
          <w:rFonts w:ascii="Cambria" w:hAnsi="Cambria" w:cs="Times New Roman"/>
          <w:spacing w:val="-1"/>
          <w:w w:val="94"/>
          <w:sz w:val="20"/>
          <w:szCs w:val="20"/>
        </w:rPr>
        <w:t>f</w:t>
      </w:r>
      <w:r w:rsidRPr="00340F28">
        <w:rPr>
          <w:rFonts w:ascii="Cambria" w:hAnsi="Cambria" w:cs="Times New Roman"/>
          <w:w w:val="94"/>
          <w:sz w:val="20"/>
          <w:szCs w:val="20"/>
        </w:rPr>
        <w:t>e</w:t>
      </w:r>
      <w:r w:rsidRPr="00340F28">
        <w:rPr>
          <w:rFonts w:ascii="Cambria" w:hAnsi="Cambria" w:cs="Times New Roman"/>
          <w:spacing w:val="-1"/>
          <w:w w:val="94"/>
          <w:sz w:val="20"/>
          <w:szCs w:val="20"/>
        </w:rPr>
        <w:t>m</w:t>
      </w:r>
      <w:r w:rsidRPr="00340F28">
        <w:rPr>
          <w:rFonts w:ascii="Cambria" w:hAnsi="Cambria" w:cs="Times New Roman"/>
          <w:spacing w:val="1"/>
          <w:w w:val="94"/>
          <w:sz w:val="20"/>
          <w:szCs w:val="20"/>
        </w:rPr>
        <w:t>me</w:t>
      </w:r>
      <w:r w:rsidRPr="00340F28">
        <w:rPr>
          <w:rFonts w:ascii="Cambria" w:hAnsi="Cambria" w:cs="Times New Roman"/>
          <w:w w:val="94"/>
          <w:sz w:val="20"/>
          <w:szCs w:val="20"/>
        </w:rPr>
        <w:t>,</w:t>
      </w:r>
      <w:r w:rsidRPr="00340F28">
        <w:rPr>
          <w:rFonts w:ascii="Cambria" w:hAnsi="Cambria" w:cs="Times New Roman"/>
          <w:spacing w:val="31"/>
          <w:w w:val="94"/>
          <w:sz w:val="20"/>
          <w:szCs w:val="20"/>
        </w:rPr>
        <w:t xml:space="preserve"> </w:t>
      </w:r>
      <w:r w:rsidRPr="00340F28">
        <w:rPr>
          <w:rFonts w:ascii="Cambria" w:hAnsi="Cambria" w:cs="Times New Roman"/>
          <w:sz w:val="20"/>
          <w:szCs w:val="20"/>
        </w:rPr>
        <w:t>a</w:t>
      </w:r>
      <w:r w:rsidRPr="00340F28">
        <w:rPr>
          <w:rFonts w:ascii="Cambria" w:hAnsi="Cambria" w:cs="Times New Roman"/>
          <w:spacing w:val="1"/>
          <w:sz w:val="20"/>
          <w:szCs w:val="20"/>
        </w:rPr>
        <w:t>i</w:t>
      </w:r>
      <w:r w:rsidRPr="00340F28">
        <w:rPr>
          <w:rFonts w:ascii="Cambria" w:hAnsi="Cambria" w:cs="Times New Roman"/>
          <w:spacing w:val="-3"/>
          <w:sz w:val="20"/>
          <w:szCs w:val="20"/>
        </w:rPr>
        <w:t>n</w:t>
      </w:r>
      <w:r w:rsidRPr="00340F28">
        <w:rPr>
          <w:rFonts w:ascii="Cambria" w:hAnsi="Cambria" w:cs="Times New Roman"/>
          <w:sz w:val="20"/>
          <w:szCs w:val="20"/>
        </w:rPr>
        <w:t>si</w:t>
      </w:r>
      <w:r w:rsidRPr="00340F28">
        <w:rPr>
          <w:rFonts w:ascii="Cambria" w:hAnsi="Cambria" w:cs="Times New Roman"/>
          <w:spacing w:val="37"/>
          <w:sz w:val="20"/>
          <w:szCs w:val="20"/>
        </w:rPr>
        <w:t xml:space="preserve"> </w:t>
      </w:r>
      <w:r w:rsidRPr="00340F28">
        <w:rPr>
          <w:rFonts w:ascii="Cambria" w:hAnsi="Cambria" w:cs="Times New Roman"/>
          <w:spacing w:val="1"/>
          <w:w w:val="92"/>
          <w:sz w:val="20"/>
          <w:szCs w:val="20"/>
        </w:rPr>
        <w:t>q</w:t>
      </w:r>
      <w:r w:rsidRPr="00340F28">
        <w:rPr>
          <w:rFonts w:ascii="Cambria" w:hAnsi="Cambria" w:cs="Times New Roman"/>
          <w:spacing w:val="-3"/>
          <w:w w:val="111"/>
          <w:sz w:val="20"/>
          <w:szCs w:val="20"/>
        </w:rPr>
        <w:t>u</w:t>
      </w:r>
      <w:r w:rsidRPr="00340F28">
        <w:rPr>
          <w:rFonts w:ascii="Cambria" w:hAnsi="Cambria" w:cs="Times New Roman"/>
          <w:spacing w:val="1"/>
          <w:w w:val="83"/>
          <w:sz w:val="20"/>
          <w:szCs w:val="20"/>
        </w:rPr>
        <w:t>’</w:t>
      </w:r>
      <w:r w:rsidRPr="00340F28">
        <w:rPr>
          <w:rFonts w:ascii="Cambria" w:hAnsi="Cambria" w:cs="Times New Roman"/>
          <w:sz w:val="20"/>
          <w:szCs w:val="20"/>
        </w:rPr>
        <w:t xml:space="preserve">à </w:t>
      </w:r>
      <w:r w:rsidRPr="00340F28">
        <w:rPr>
          <w:rFonts w:ascii="Cambria" w:hAnsi="Cambria" w:cs="Times New Roman"/>
          <w:spacing w:val="1"/>
          <w:sz w:val="20"/>
          <w:szCs w:val="20"/>
        </w:rPr>
        <w:t>l</w:t>
      </w:r>
      <w:r w:rsidRPr="00340F28">
        <w:rPr>
          <w:rFonts w:ascii="Cambria" w:hAnsi="Cambria" w:cs="Times New Roman"/>
          <w:spacing w:val="1"/>
          <w:w w:val="83"/>
          <w:sz w:val="20"/>
          <w:szCs w:val="20"/>
        </w:rPr>
        <w:t>’</w:t>
      </w:r>
      <w:r w:rsidRPr="00340F28">
        <w:rPr>
          <w:rFonts w:ascii="Cambria" w:hAnsi="Cambria" w:cs="Times New Roman"/>
          <w:sz w:val="20"/>
          <w:szCs w:val="20"/>
        </w:rPr>
        <w:t>h</w:t>
      </w:r>
      <w:r w:rsidRPr="00340F28">
        <w:rPr>
          <w:rFonts w:ascii="Cambria" w:hAnsi="Cambria" w:cs="Times New Roman"/>
          <w:spacing w:val="-3"/>
          <w:w w:val="111"/>
          <w:sz w:val="20"/>
          <w:szCs w:val="20"/>
        </w:rPr>
        <w:t>u</w:t>
      </w:r>
      <w:r w:rsidRPr="00340F28">
        <w:rPr>
          <w:rFonts w:ascii="Cambria" w:hAnsi="Cambria" w:cs="Times New Roman"/>
          <w:spacing w:val="1"/>
          <w:sz w:val="20"/>
          <w:szCs w:val="20"/>
        </w:rPr>
        <w:t>m</w:t>
      </w:r>
      <w:r w:rsidRPr="00340F28">
        <w:rPr>
          <w:rFonts w:ascii="Cambria" w:hAnsi="Cambria" w:cs="Times New Roman"/>
          <w:spacing w:val="-1"/>
          <w:sz w:val="20"/>
          <w:szCs w:val="20"/>
        </w:rPr>
        <w:t>il</w:t>
      </w:r>
      <w:r w:rsidRPr="00340F28">
        <w:rPr>
          <w:rFonts w:ascii="Cambria" w:hAnsi="Cambria" w:cs="Times New Roman"/>
          <w:spacing w:val="1"/>
          <w:sz w:val="20"/>
          <w:szCs w:val="20"/>
        </w:rPr>
        <w:t>i</w:t>
      </w:r>
      <w:r w:rsidRPr="00340F28">
        <w:rPr>
          <w:rFonts w:ascii="Cambria" w:hAnsi="Cambria" w:cs="Times New Roman"/>
          <w:w w:val="88"/>
          <w:sz w:val="20"/>
          <w:szCs w:val="20"/>
        </w:rPr>
        <w:t>e</w:t>
      </w:r>
      <w:r w:rsidRPr="00340F28">
        <w:rPr>
          <w:rFonts w:ascii="Cambria" w:hAnsi="Cambria" w:cs="Times New Roman"/>
          <w:w w:val="117"/>
          <w:sz w:val="20"/>
          <w:szCs w:val="20"/>
        </w:rPr>
        <w:t>r</w:t>
      </w:r>
      <w:r w:rsidRPr="00340F28">
        <w:rPr>
          <w:rFonts w:ascii="Cambria" w:hAnsi="Cambria" w:cs="Times New Roman"/>
          <w:spacing w:val="-2"/>
          <w:sz w:val="20"/>
          <w:szCs w:val="20"/>
        </w:rPr>
        <w:t xml:space="preserve"> </w:t>
      </w:r>
      <w:r w:rsidRPr="00340F28">
        <w:rPr>
          <w:rFonts w:ascii="Cambria" w:hAnsi="Cambria" w:cs="Times New Roman"/>
          <w:sz w:val="20"/>
          <w:szCs w:val="20"/>
        </w:rPr>
        <w:t>ou à</w:t>
      </w:r>
      <w:r w:rsidRPr="00340F28">
        <w:rPr>
          <w:rFonts w:ascii="Cambria" w:hAnsi="Cambria" w:cs="Times New Roman"/>
          <w:spacing w:val="-2"/>
          <w:sz w:val="20"/>
          <w:szCs w:val="20"/>
        </w:rPr>
        <w:t xml:space="preserve"> </w:t>
      </w:r>
      <w:r w:rsidRPr="00340F28">
        <w:rPr>
          <w:rFonts w:ascii="Cambria" w:hAnsi="Cambria" w:cs="Times New Roman"/>
          <w:spacing w:val="1"/>
          <w:sz w:val="20"/>
          <w:szCs w:val="20"/>
        </w:rPr>
        <w:t>l</w:t>
      </w:r>
      <w:r w:rsidRPr="00340F28">
        <w:rPr>
          <w:rFonts w:ascii="Cambria" w:hAnsi="Cambria" w:cs="Times New Roman"/>
          <w:sz w:val="20"/>
          <w:szCs w:val="20"/>
        </w:rPr>
        <w:t>a</w:t>
      </w:r>
      <w:r w:rsidRPr="00340F28">
        <w:rPr>
          <w:rFonts w:ascii="Cambria" w:hAnsi="Cambria" w:cs="Times New Roman"/>
          <w:spacing w:val="-2"/>
          <w:sz w:val="20"/>
          <w:szCs w:val="20"/>
        </w:rPr>
        <w:t xml:space="preserve"> </w:t>
      </w:r>
      <w:r w:rsidRPr="00340F28">
        <w:rPr>
          <w:rFonts w:ascii="Cambria" w:hAnsi="Cambria" w:cs="Times New Roman"/>
          <w:spacing w:val="1"/>
          <w:sz w:val="20"/>
          <w:szCs w:val="20"/>
        </w:rPr>
        <w:t>m</w:t>
      </w:r>
      <w:r w:rsidRPr="00340F28">
        <w:rPr>
          <w:rFonts w:ascii="Cambria" w:hAnsi="Cambria" w:cs="Times New Roman"/>
          <w:sz w:val="20"/>
          <w:szCs w:val="20"/>
        </w:rPr>
        <w:t>e</w:t>
      </w:r>
      <w:r w:rsidRPr="00340F28">
        <w:rPr>
          <w:rFonts w:ascii="Cambria" w:hAnsi="Cambria" w:cs="Times New Roman"/>
          <w:spacing w:val="-1"/>
          <w:sz w:val="20"/>
          <w:szCs w:val="20"/>
        </w:rPr>
        <w:t>t</w:t>
      </w:r>
      <w:r w:rsidRPr="00340F28">
        <w:rPr>
          <w:rFonts w:ascii="Cambria" w:hAnsi="Cambria" w:cs="Times New Roman"/>
          <w:spacing w:val="1"/>
          <w:sz w:val="20"/>
          <w:szCs w:val="20"/>
        </w:rPr>
        <w:t>t</w:t>
      </w:r>
      <w:r w:rsidRPr="00340F28">
        <w:rPr>
          <w:rFonts w:ascii="Cambria" w:hAnsi="Cambria" w:cs="Times New Roman"/>
          <w:spacing w:val="-2"/>
          <w:sz w:val="20"/>
          <w:szCs w:val="20"/>
        </w:rPr>
        <w:t>r</w:t>
      </w:r>
      <w:r w:rsidRPr="00340F28">
        <w:rPr>
          <w:rFonts w:ascii="Cambria" w:hAnsi="Cambria" w:cs="Times New Roman"/>
          <w:sz w:val="20"/>
          <w:szCs w:val="20"/>
        </w:rPr>
        <w:t>e</w:t>
      </w:r>
      <w:r w:rsidRPr="00340F28">
        <w:rPr>
          <w:rFonts w:ascii="Cambria" w:hAnsi="Cambria" w:cs="Times New Roman"/>
          <w:spacing w:val="14"/>
          <w:sz w:val="20"/>
          <w:szCs w:val="20"/>
        </w:rPr>
        <w:t xml:space="preserve"> </w:t>
      </w:r>
      <w:r w:rsidRPr="00340F28">
        <w:rPr>
          <w:rFonts w:ascii="Cambria" w:hAnsi="Cambria" w:cs="Times New Roman"/>
          <w:spacing w:val="-1"/>
          <w:sz w:val="20"/>
          <w:szCs w:val="20"/>
        </w:rPr>
        <w:t>m</w:t>
      </w:r>
      <w:r w:rsidRPr="00340F28">
        <w:rPr>
          <w:rFonts w:ascii="Cambria" w:hAnsi="Cambria" w:cs="Times New Roman"/>
          <w:sz w:val="20"/>
          <w:szCs w:val="20"/>
        </w:rPr>
        <w:t>al</w:t>
      </w:r>
      <w:r w:rsidRPr="00340F28">
        <w:rPr>
          <w:rFonts w:ascii="Cambria" w:hAnsi="Cambria" w:cs="Times New Roman"/>
          <w:spacing w:val="1"/>
          <w:sz w:val="20"/>
          <w:szCs w:val="20"/>
        </w:rPr>
        <w:t xml:space="preserve"> </w:t>
      </w:r>
      <w:r w:rsidRPr="00340F28">
        <w:rPr>
          <w:rFonts w:ascii="Cambria" w:hAnsi="Cambria" w:cs="Times New Roman"/>
          <w:sz w:val="20"/>
          <w:szCs w:val="20"/>
        </w:rPr>
        <w:t>à</w:t>
      </w:r>
      <w:r w:rsidRPr="00340F28">
        <w:rPr>
          <w:rFonts w:ascii="Cambria" w:hAnsi="Cambria" w:cs="Times New Roman"/>
          <w:spacing w:val="-2"/>
          <w:sz w:val="20"/>
          <w:szCs w:val="20"/>
        </w:rPr>
        <w:t xml:space="preserve"> </w:t>
      </w:r>
      <w:r w:rsidRPr="00340F28">
        <w:rPr>
          <w:rFonts w:ascii="Cambria" w:hAnsi="Cambria" w:cs="Times New Roman"/>
          <w:spacing w:val="1"/>
          <w:sz w:val="20"/>
          <w:szCs w:val="20"/>
        </w:rPr>
        <w:t>l</w:t>
      </w:r>
      <w:r w:rsidRPr="00340F28">
        <w:rPr>
          <w:rFonts w:ascii="Cambria" w:hAnsi="Cambria" w:cs="Times New Roman"/>
          <w:spacing w:val="-1"/>
          <w:w w:val="83"/>
          <w:sz w:val="20"/>
          <w:szCs w:val="20"/>
        </w:rPr>
        <w:t>’</w:t>
      </w:r>
      <w:r w:rsidRPr="00340F28">
        <w:rPr>
          <w:rFonts w:ascii="Cambria" w:hAnsi="Cambria" w:cs="Times New Roman"/>
          <w:sz w:val="20"/>
          <w:szCs w:val="20"/>
        </w:rPr>
        <w:t>a</w:t>
      </w:r>
      <w:r w:rsidRPr="00340F28">
        <w:rPr>
          <w:rFonts w:ascii="Cambria" w:hAnsi="Cambria" w:cs="Times New Roman"/>
          <w:spacing w:val="-1"/>
          <w:sz w:val="20"/>
          <w:szCs w:val="20"/>
        </w:rPr>
        <w:t>i</w:t>
      </w:r>
      <w:r w:rsidRPr="00340F28">
        <w:rPr>
          <w:rFonts w:ascii="Cambria" w:hAnsi="Cambria" w:cs="Times New Roman"/>
          <w:sz w:val="20"/>
          <w:szCs w:val="20"/>
        </w:rPr>
        <w:t>s</w:t>
      </w:r>
      <w:r w:rsidRPr="00340F28">
        <w:rPr>
          <w:rFonts w:ascii="Cambria" w:hAnsi="Cambria" w:cs="Times New Roman"/>
          <w:w w:val="88"/>
          <w:sz w:val="20"/>
          <w:szCs w:val="20"/>
        </w:rPr>
        <w:t>e</w:t>
      </w:r>
      <w:r w:rsidRPr="00340F28">
        <w:rPr>
          <w:rFonts w:ascii="Cambria" w:hAnsi="Cambria" w:cs="Times New Roman"/>
          <w:sz w:val="20"/>
          <w:szCs w:val="20"/>
        </w:rPr>
        <w:t>». Elle regroupe également les expressions verbales à connotation sexuelles mais sans que l’auteur touche à l’intégrité corporelle de la victime (sans attouchements).</w:t>
      </w:r>
    </w:p>
  </w:footnote>
  <w:footnote w:id="4">
    <w:p w:rsidR="004E0703" w:rsidRPr="00340F28" w:rsidRDefault="004E0703" w:rsidP="004E0703">
      <w:pPr>
        <w:widowControl w:val="0"/>
        <w:autoSpaceDE w:val="0"/>
        <w:autoSpaceDN w:val="0"/>
        <w:adjustRightInd w:val="0"/>
        <w:spacing w:after="120" w:line="240" w:lineRule="auto"/>
        <w:jc w:val="both"/>
        <w:rPr>
          <w:sz w:val="20"/>
          <w:szCs w:val="20"/>
        </w:rPr>
      </w:pPr>
      <w:r w:rsidRPr="007956E7">
        <w:rPr>
          <w:rFonts w:ascii="Cambria" w:hAnsi="Cambria" w:cs="Times New Roman"/>
          <w:vertAlign w:val="superscript"/>
        </w:rPr>
        <w:footnoteRef/>
      </w:r>
      <w:r w:rsidRPr="007956E7">
        <w:rPr>
          <w:rFonts w:ascii="Cambria" w:hAnsi="Cambria" w:cs="Times New Roman"/>
          <w:vertAlign w:val="superscript"/>
        </w:rPr>
        <w:t xml:space="preserve"> </w:t>
      </w:r>
      <w:r w:rsidRPr="00340F28">
        <w:rPr>
          <w:rFonts w:ascii="Cambria" w:hAnsi="Cambria" w:cs="Times New Roman"/>
          <w:sz w:val="20"/>
          <w:szCs w:val="20"/>
        </w:rPr>
        <w:t>La violence physique regroupe  tous  les actes qui  causent  une  blessure physique ou  un  traumatisme  non accidentel qui porte atteinte directement à l’intégrité physique de la femme.</w:t>
      </w:r>
    </w:p>
  </w:footnote>
  <w:footnote w:id="5">
    <w:p w:rsidR="004E0703" w:rsidRPr="00340F28" w:rsidRDefault="004E0703" w:rsidP="004E0703">
      <w:pPr>
        <w:widowControl w:val="0"/>
        <w:autoSpaceDE w:val="0"/>
        <w:autoSpaceDN w:val="0"/>
        <w:adjustRightInd w:val="0"/>
        <w:spacing w:after="120" w:line="240" w:lineRule="auto"/>
        <w:jc w:val="both"/>
        <w:rPr>
          <w:rFonts w:ascii="Cambria" w:hAnsi="Cambria" w:cs="Times New Roman"/>
          <w:sz w:val="20"/>
          <w:szCs w:val="20"/>
        </w:rPr>
      </w:pPr>
      <w:r w:rsidRPr="009A1F09">
        <w:rPr>
          <w:rFonts w:ascii="Cambria" w:hAnsi="Cambria" w:cs="Times New Roman"/>
          <w:vertAlign w:val="superscript"/>
        </w:rPr>
        <w:footnoteRef/>
      </w:r>
      <w:r w:rsidRPr="009A1F09">
        <w:rPr>
          <w:rFonts w:ascii="Cambria" w:hAnsi="Cambria" w:cs="Times New Roman"/>
          <w:vertAlign w:val="superscript"/>
        </w:rPr>
        <w:t xml:space="preserve"> </w:t>
      </w:r>
      <w:r w:rsidRPr="00340F28">
        <w:rPr>
          <w:rFonts w:ascii="Cambria" w:hAnsi="Cambria" w:cs="Times New Roman"/>
          <w:sz w:val="20"/>
          <w:szCs w:val="20"/>
        </w:rPr>
        <w:t>Cette forme de violence se manifeste notamment par le pouvoir de s’habiller librement sans être critiquées par les passants, etc.</w:t>
      </w:r>
    </w:p>
  </w:footnote>
  <w:footnote w:id="6">
    <w:p w:rsidR="004E0703" w:rsidRPr="00340F28" w:rsidRDefault="004E0703" w:rsidP="004E0703">
      <w:pPr>
        <w:widowControl w:val="0"/>
        <w:autoSpaceDE w:val="0"/>
        <w:autoSpaceDN w:val="0"/>
        <w:adjustRightInd w:val="0"/>
        <w:spacing w:after="120" w:line="240" w:lineRule="auto"/>
        <w:jc w:val="both"/>
        <w:rPr>
          <w:rFonts w:ascii="Cambria" w:hAnsi="Cambria" w:cs="Times New Roman"/>
          <w:sz w:val="20"/>
          <w:szCs w:val="20"/>
        </w:rPr>
      </w:pPr>
      <w:r>
        <w:rPr>
          <w:rStyle w:val="Appelnotedebasdep"/>
        </w:rPr>
        <w:footnoteRef/>
      </w:r>
      <w:r>
        <w:t xml:space="preserve"> </w:t>
      </w:r>
      <w:r w:rsidRPr="00340F28">
        <w:rPr>
          <w:rFonts w:ascii="Cambria" w:hAnsi="Cambria" w:cs="Times New Roman"/>
          <w:sz w:val="20"/>
          <w:szCs w:val="20"/>
        </w:rPr>
        <w:t xml:space="preserve">La violence sexuelle englobe les rapports sexuels forcés, le harcèlement sexuel avec attouchements, l’exposition à  des actes indécents,  l’incitation  à  la  prostitution  et  les </w:t>
      </w:r>
      <w:r w:rsidRPr="009A1F09">
        <w:rPr>
          <w:rFonts w:ascii="Cambria" w:hAnsi="Cambria" w:cs="Times New Roman"/>
        </w:rPr>
        <w:t xml:space="preserve">pratiques  sexuelles subies </w:t>
      </w:r>
      <w:r w:rsidRPr="00340F28">
        <w:rPr>
          <w:rFonts w:ascii="Cambria" w:hAnsi="Cambria" w:cs="Times New Roman"/>
          <w:sz w:val="20"/>
          <w:szCs w:val="20"/>
        </w:rPr>
        <w:t>sans consentement, etc.</w:t>
      </w:r>
    </w:p>
    <w:p w:rsidR="004E0703" w:rsidRDefault="004E0703" w:rsidP="004E0703">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12C6C"/>
    <w:multiLevelType w:val="hybridMultilevel"/>
    <w:tmpl w:val="715EB66C"/>
    <w:lvl w:ilvl="0" w:tplc="7A9E833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
  <w:rsids>
    <w:rsidRoot w:val="00506C14"/>
    <w:rsid w:val="00083A4B"/>
    <w:rsid w:val="00085A92"/>
    <w:rsid w:val="000A564C"/>
    <w:rsid w:val="001004E6"/>
    <w:rsid w:val="001546DE"/>
    <w:rsid w:val="0015521F"/>
    <w:rsid w:val="001974D3"/>
    <w:rsid w:val="00293C24"/>
    <w:rsid w:val="00340F28"/>
    <w:rsid w:val="00380B17"/>
    <w:rsid w:val="00404695"/>
    <w:rsid w:val="00416FAF"/>
    <w:rsid w:val="00425FDF"/>
    <w:rsid w:val="004E0703"/>
    <w:rsid w:val="00506C14"/>
    <w:rsid w:val="00517B03"/>
    <w:rsid w:val="00557E6C"/>
    <w:rsid w:val="00576FD8"/>
    <w:rsid w:val="00594E4B"/>
    <w:rsid w:val="005E38F2"/>
    <w:rsid w:val="006633D1"/>
    <w:rsid w:val="0068044A"/>
    <w:rsid w:val="00692BDD"/>
    <w:rsid w:val="007629F1"/>
    <w:rsid w:val="00792651"/>
    <w:rsid w:val="007956E7"/>
    <w:rsid w:val="008039D8"/>
    <w:rsid w:val="0085146D"/>
    <w:rsid w:val="008A0EBB"/>
    <w:rsid w:val="008B0E3A"/>
    <w:rsid w:val="008C6B34"/>
    <w:rsid w:val="00914CF6"/>
    <w:rsid w:val="009331BE"/>
    <w:rsid w:val="0096673E"/>
    <w:rsid w:val="00982E24"/>
    <w:rsid w:val="009A1F09"/>
    <w:rsid w:val="00A132EF"/>
    <w:rsid w:val="00AF758B"/>
    <w:rsid w:val="00B559B7"/>
    <w:rsid w:val="00BA4A24"/>
    <w:rsid w:val="00C177E0"/>
    <w:rsid w:val="00C47637"/>
    <w:rsid w:val="00C50548"/>
    <w:rsid w:val="00CC5ECA"/>
    <w:rsid w:val="00D162B7"/>
    <w:rsid w:val="00DA7832"/>
    <w:rsid w:val="00EB3B22"/>
    <w:rsid w:val="00EE3CD8"/>
    <w:rsid w:val="00F11236"/>
    <w:rsid w:val="00F314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D"/>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956E7"/>
    <w:rPr>
      <w:sz w:val="20"/>
      <w:szCs w:val="20"/>
    </w:rPr>
  </w:style>
  <w:style w:type="character" w:customStyle="1" w:styleId="NotedebasdepageCar">
    <w:name w:val="Note de bas de page Car"/>
    <w:basedOn w:val="Policepardfaut"/>
    <w:link w:val="Notedebasdepage"/>
    <w:uiPriority w:val="99"/>
    <w:semiHidden/>
    <w:rsid w:val="007956E7"/>
  </w:style>
  <w:style w:type="character" w:styleId="Appelnotedebasdep">
    <w:name w:val="footnote reference"/>
    <w:basedOn w:val="Policepardfaut"/>
    <w:uiPriority w:val="99"/>
    <w:semiHidden/>
    <w:unhideWhenUsed/>
    <w:rsid w:val="007956E7"/>
    <w:rPr>
      <w:vertAlign w:val="superscript"/>
    </w:rPr>
  </w:style>
  <w:style w:type="character" w:styleId="Marquedecommentaire">
    <w:name w:val="annotation reference"/>
    <w:basedOn w:val="Policepardfaut"/>
    <w:uiPriority w:val="99"/>
    <w:semiHidden/>
    <w:unhideWhenUsed/>
    <w:rsid w:val="004E0703"/>
    <w:rPr>
      <w:sz w:val="18"/>
      <w:szCs w:val="18"/>
    </w:rPr>
  </w:style>
  <w:style w:type="paragraph" w:styleId="Commentaire">
    <w:name w:val="annotation text"/>
    <w:basedOn w:val="Normal"/>
    <w:link w:val="CommentaireCar"/>
    <w:uiPriority w:val="99"/>
    <w:semiHidden/>
    <w:unhideWhenUsed/>
    <w:rsid w:val="004E0703"/>
    <w:pPr>
      <w:spacing w:line="240" w:lineRule="auto"/>
    </w:pPr>
    <w:rPr>
      <w:sz w:val="24"/>
      <w:szCs w:val="24"/>
    </w:rPr>
  </w:style>
  <w:style w:type="character" w:customStyle="1" w:styleId="CommentaireCar">
    <w:name w:val="Commentaire Car"/>
    <w:basedOn w:val="Policepardfaut"/>
    <w:link w:val="Commentaire"/>
    <w:uiPriority w:val="99"/>
    <w:semiHidden/>
    <w:rsid w:val="004E0703"/>
    <w:rPr>
      <w:sz w:val="24"/>
      <w:szCs w:val="24"/>
    </w:rPr>
  </w:style>
  <w:style w:type="paragraph" w:styleId="Textedebulles">
    <w:name w:val="Balloon Text"/>
    <w:basedOn w:val="Normal"/>
    <w:link w:val="TextedebullesCar"/>
    <w:uiPriority w:val="99"/>
    <w:semiHidden/>
    <w:unhideWhenUsed/>
    <w:rsid w:val="004E07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0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41292-C5DA-4667-8073-B4580AB8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1070</Words>
  <Characters>5890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Microsoft Word - Intervention_Ministre.doc</vt:lpstr>
    </vt:vector>
  </TitlesOfParts>
  <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Intervention_Ministre.doc</dc:title>
  <dc:creator>Administrateur</dc:creator>
  <dc:description>Document créé par {applicationname}, version: {version}</dc:description>
  <cp:lastModifiedBy>hcp</cp:lastModifiedBy>
  <cp:revision>2</cp:revision>
  <cp:lastPrinted>2017-08-28T11:02:00Z</cp:lastPrinted>
  <dcterms:created xsi:type="dcterms:W3CDTF">2017-09-05T10:16:00Z</dcterms:created>
  <dcterms:modified xsi:type="dcterms:W3CDTF">2017-09-05T10:16:00Z</dcterms:modified>
</cp:coreProperties>
</file>