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15" w:rsidRDefault="00D80AFE" w:rsidP="003D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fr-FR"/>
        </w:rPr>
        <w:pict>
          <v:rect id="_x0000_s1026" style="position:absolute;left:0;text-align:left;margin-left:-108pt;margin-top:-68.55pt;width:685.25pt;height:425.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568442390" r:id="rId8"/>
        </w:pict>
      </w:r>
    </w:p>
    <w:p w:rsidR="00AB0915" w:rsidRDefault="00AB0915" w:rsidP="003D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0915" w:rsidRDefault="00AB0915" w:rsidP="003D1B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B0915" w:rsidRDefault="00AB0915" w:rsidP="00596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644D1" w:rsidRDefault="001644D1" w:rsidP="00596B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9F1AE1" w:rsidRPr="00CB3BDD" w:rsidRDefault="009F1AE1" w:rsidP="004D4DA3">
      <w:pPr>
        <w:spacing w:after="0" w:line="240" w:lineRule="auto"/>
        <w:jc w:val="center"/>
        <w:rPr>
          <w:b/>
          <w:bCs/>
          <w:smallCaps/>
          <w:color w:val="0000FF"/>
          <w:sz w:val="28"/>
          <w:szCs w:val="28"/>
        </w:rPr>
      </w:pPr>
      <w:r w:rsidRPr="00CB3BDD">
        <w:rPr>
          <w:b/>
          <w:bCs/>
          <w:smallCaps/>
          <w:color w:val="0000FF"/>
          <w:sz w:val="28"/>
          <w:szCs w:val="28"/>
        </w:rPr>
        <w:t xml:space="preserve">Note d’information </w:t>
      </w:r>
      <w:r w:rsidRPr="00CB3BDD">
        <w:rPr>
          <w:b/>
          <w:bCs/>
          <w:smallCaps/>
          <w:color w:val="0000FF"/>
          <w:sz w:val="28"/>
          <w:szCs w:val="28"/>
        </w:rPr>
        <w:br/>
        <w:t>du Haut-Commissariat au Plan</w:t>
      </w:r>
      <w:r w:rsidR="00DA7590">
        <w:rPr>
          <w:rFonts w:hint="cs"/>
          <w:b/>
          <w:bCs/>
          <w:smallCaps/>
          <w:color w:val="0000FF"/>
          <w:sz w:val="28"/>
          <w:szCs w:val="28"/>
          <w:rtl/>
        </w:rPr>
        <w:br/>
      </w:r>
      <w:r w:rsidR="00DA7590">
        <w:rPr>
          <w:b/>
          <w:bCs/>
          <w:smallCaps/>
          <w:color w:val="0000FF"/>
          <w:sz w:val="28"/>
          <w:szCs w:val="28"/>
        </w:rPr>
        <w:t>sur le parc de logements au Maroc</w:t>
      </w:r>
      <w:r w:rsidRPr="00CB3BDD">
        <w:rPr>
          <w:b/>
          <w:bCs/>
          <w:smallCaps/>
          <w:color w:val="0000FF"/>
          <w:sz w:val="28"/>
          <w:szCs w:val="28"/>
        </w:rPr>
        <w:br/>
        <w:t xml:space="preserve">A l’occasion de la journée </w:t>
      </w:r>
      <w:r w:rsidR="00336855">
        <w:rPr>
          <w:b/>
          <w:bCs/>
          <w:smallCaps/>
          <w:color w:val="0000FF"/>
          <w:sz w:val="28"/>
          <w:szCs w:val="28"/>
        </w:rPr>
        <w:t>mondiale</w:t>
      </w:r>
      <w:r w:rsidR="00FB4D73">
        <w:rPr>
          <w:b/>
          <w:bCs/>
          <w:smallCaps/>
          <w:color w:val="0000FF"/>
          <w:sz w:val="28"/>
          <w:szCs w:val="28"/>
        </w:rPr>
        <w:br/>
        <w:t>DE</w:t>
      </w:r>
      <w:r w:rsidRPr="00CB3BDD">
        <w:rPr>
          <w:b/>
          <w:bCs/>
          <w:smallCaps/>
          <w:color w:val="0000FF"/>
          <w:sz w:val="28"/>
          <w:szCs w:val="28"/>
        </w:rPr>
        <w:t xml:space="preserve"> l’habitat du 2 octobre 2017</w:t>
      </w:r>
    </w:p>
    <w:p w:rsidR="009F1AE1" w:rsidRDefault="009F1AE1" w:rsidP="009F1AE1">
      <w:pPr>
        <w:jc w:val="center"/>
        <w:rPr>
          <w:b/>
          <w:bCs/>
          <w:sz w:val="28"/>
          <w:szCs w:val="28"/>
        </w:rPr>
      </w:pPr>
    </w:p>
    <w:p w:rsidR="00CF042F" w:rsidRDefault="00CF042F" w:rsidP="00132A4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l’occ</w:t>
      </w:r>
      <w:r w:rsidR="00FB4D73">
        <w:rPr>
          <w:rFonts w:ascii="Times New Roman" w:hAnsi="Times New Roman" w:cs="Times New Roman"/>
          <w:sz w:val="24"/>
          <w:szCs w:val="24"/>
        </w:rPr>
        <w:t>asion de la journée mondiale de</w:t>
      </w:r>
      <w:r>
        <w:rPr>
          <w:rFonts w:ascii="Times New Roman" w:hAnsi="Times New Roman" w:cs="Times New Roman"/>
          <w:sz w:val="24"/>
          <w:szCs w:val="24"/>
        </w:rPr>
        <w:t xml:space="preserve"> l’habitat, le Haut-Commissariat au Plan (HCP) présente quelques aspects d</w:t>
      </w:r>
      <w:r w:rsidR="00132A4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parc d</w:t>
      </w:r>
      <w:r w:rsidR="00132A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logement</w:t>
      </w:r>
      <w:r w:rsidR="00EC1FE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selon les données issues du Recensement Général de la Population de l’Habitat de 2014.</w:t>
      </w:r>
    </w:p>
    <w:p w:rsidR="00CA4638" w:rsidRDefault="009F1AE1" w:rsidP="00EC1FE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2014, le parc national de logements s’élevait à 8,86 millions d’unités d’habitation, dont 6,19 millions en milieu urbain</w:t>
      </w:r>
      <w:r w:rsidR="00C43DB9">
        <w:rPr>
          <w:rFonts w:ascii="Times New Roman" w:hAnsi="Times New Roman" w:cs="Times New Roman"/>
          <w:sz w:val="24"/>
          <w:szCs w:val="24"/>
        </w:rPr>
        <w:t xml:space="preserve"> (69,8%) </w:t>
      </w:r>
      <w:r>
        <w:rPr>
          <w:rFonts w:ascii="Times New Roman" w:hAnsi="Times New Roman" w:cs="Times New Roman"/>
          <w:sz w:val="24"/>
          <w:szCs w:val="24"/>
        </w:rPr>
        <w:t xml:space="preserve"> et 2,68 millions en milieu rural</w:t>
      </w:r>
      <w:r w:rsidR="00C43DB9">
        <w:rPr>
          <w:rFonts w:ascii="Times New Roman" w:hAnsi="Times New Roman" w:cs="Times New Roman"/>
          <w:sz w:val="24"/>
          <w:szCs w:val="24"/>
        </w:rPr>
        <w:t xml:space="preserve"> (30,2%)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A4638">
        <w:rPr>
          <w:rFonts w:ascii="Times New Roman" w:hAnsi="Times New Roman" w:cs="Times New Roman"/>
          <w:sz w:val="24"/>
          <w:szCs w:val="24"/>
        </w:rPr>
        <w:t xml:space="preserve"> Les logements occupés représentent 79,8% de ce parc, les logements vacants 12,2% et ceux secondaires et saisonniers 8%. Le milieu rural se caractérise par la prédominance des logements occupés, soit 91,3% au lieu de 74,8% en milieu </w:t>
      </w:r>
      <w:r w:rsidR="00EC1FE2">
        <w:rPr>
          <w:rFonts w:ascii="Times New Roman" w:hAnsi="Times New Roman" w:cs="Times New Roman"/>
          <w:sz w:val="24"/>
          <w:szCs w:val="24"/>
        </w:rPr>
        <w:t>urbain</w:t>
      </w:r>
      <w:r w:rsidR="00CA4638">
        <w:rPr>
          <w:rFonts w:ascii="Times New Roman" w:hAnsi="Times New Roman" w:cs="Times New Roman"/>
          <w:sz w:val="24"/>
          <w:szCs w:val="24"/>
        </w:rPr>
        <w:t>.</w:t>
      </w:r>
    </w:p>
    <w:p w:rsidR="00CA4638" w:rsidRDefault="00CA4638" w:rsidP="00CA4638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L’effectif des logements occupés est passé de 5367178 unités en 2004 à 7071118 en 2014, dont la part du milieu urbain est passée de 60,1% à 65,4%.</w:t>
      </w:r>
    </w:p>
    <w:p w:rsidR="00EE7733" w:rsidRDefault="00EC1FE2" w:rsidP="00EC1FE2">
      <w:pPr>
        <w:spacing w:before="120" w:after="120" w:line="240" w:lineRule="auto"/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</w:pPr>
      <w:bookmarkStart w:id="0" w:name="_Toc306293755"/>
      <w:r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 xml:space="preserve">Tendance d’accroissement de l’habitation dans des </w:t>
      </w:r>
      <w:r w:rsidR="00EE7733"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maisons marocaines modernes</w:t>
      </w:r>
    </w:p>
    <w:bookmarkEnd w:id="0"/>
    <w:p w:rsidR="00EE7733" w:rsidRDefault="00EE7733" w:rsidP="00541E8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</w:t>
      </w:r>
      <w:r w:rsidR="009F1AE1">
        <w:rPr>
          <w:rFonts w:ascii="Times New Roman" w:hAnsi="Times New Roman" w:cs="Times New Roman"/>
          <w:sz w:val="24"/>
          <w:szCs w:val="24"/>
        </w:rPr>
        <w:t xml:space="preserve"> répartition </w:t>
      </w:r>
      <w:r>
        <w:rPr>
          <w:rFonts w:ascii="Times New Roman" w:hAnsi="Times New Roman" w:cs="Times New Roman"/>
          <w:sz w:val="24"/>
          <w:szCs w:val="24"/>
        </w:rPr>
        <w:t xml:space="preserve">des ménages </w:t>
      </w:r>
      <w:r w:rsidR="009F1AE1">
        <w:rPr>
          <w:rFonts w:ascii="Times New Roman" w:hAnsi="Times New Roman" w:cs="Times New Roman"/>
          <w:sz w:val="24"/>
          <w:szCs w:val="24"/>
        </w:rPr>
        <w:t>selon le type de logement</w:t>
      </w:r>
      <w:r w:rsidR="00541E8A">
        <w:rPr>
          <w:rFonts w:ascii="Times New Roman" w:hAnsi="Times New Roman" w:cs="Times New Roman"/>
          <w:sz w:val="24"/>
          <w:szCs w:val="24"/>
        </w:rPr>
        <w:t>s</w:t>
      </w:r>
      <w:r w:rsidR="009F1AE1">
        <w:rPr>
          <w:rFonts w:ascii="Times New Roman" w:hAnsi="Times New Roman" w:cs="Times New Roman"/>
          <w:sz w:val="24"/>
          <w:szCs w:val="24"/>
        </w:rPr>
        <w:t xml:space="preserve"> occupé </w:t>
      </w:r>
      <w:r>
        <w:rPr>
          <w:rFonts w:ascii="Times New Roman" w:hAnsi="Times New Roman" w:cs="Times New Roman"/>
          <w:sz w:val="24"/>
          <w:szCs w:val="24"/>
        </w:rPr>
        <w:t xml:space="preserve">en milieu urbain </w:t>
      </w:r>
      <w:r w:rsidR="009F1AE1">
        <w:rPr>
          <w:rFonts w:ascii="Times New Roman" w:hAnsi="Times New Roman" w:cs="Times New Roman"/>
          <w:sz w:val="24"/>
          <w:szCs w:val="24"/>
        </w:rPr>
        <w:t xml:space="preserve">montre une augmentation de la part des maisons marocaines modernes </w:t>
      </w:r>
      <w:r w:rsidR="00D559DC">
        <w:rPr>
          <w:rFonts w:ascii="Times New Roman" w:hAnsi="Times New Roman" w:cs="Times New Roman"/>
          <w:sz w:val="24"/>
          <w:szCs w:val="24"/>
        </w:rPr>
        <w:t xml:space="preserve">de </w:t>
      </w:r>
      <w:r w:rsidR="009F1AE1">
        <w:rPr>
          <w:rFonts w:ascii="Times New Roman" w:hAnsi="Times New Roman" w:cs="Times New Roman"/>
          <w:sz w:val="24"/>
          <w:szCs w:val="24"/>
        </w:rPr>
        <w:t xml:space="preserve">62,6% en 2004 à 65% en 2014 et celle des appartements </w:t>
      </w:r>
      <w:r w:rsidR="00D559DC">
        <w:rPr>
          <w:rFonts w:ascii="Times New Roman" w:hAnsi="Times New Roman" w:cs="Times New Roman"/>
          <w:sz w:val="24"/>
          <w:szCs w:val="24"/>
        </w:rPr>
        <w:t xml:space="preserve">de </w:t>
      </w:r>
      <w:r w:rsidR="00541E8A">
        <w:rPr>
          <w:rFonts w:ascii="Times New Roman" w:hAnsi="Times New Roman" w:cs="Times New Roman"/>
          <w:sz w:val="24"/>
          <w:szCs w:val="24"/>
        </w:rPr>
        <w:t xml:space="preserve">12,4% </w:t>
      </w:r>
      <w:r w:rsidR="009F1AE1">
        <w:rPr>
          <w:rFonts w:ascii="Times New Roman" w:hAnsi="Times New Roman" w:cs="Times New Roman"/>
          <w:sz w:val="24"/>
          <w:szCs w:val="24"/>
        </w:rPr>
        <w:t>à 17,5%</w:t>
      </w:r>
      <w:r>
        <w:rPr>
          <w:rFonts w:ascii="Times New Roman" w:hAnsi="Times New Roman" w:cs="Times New Roman"/>
          <w:sz w:val="24"/>
          <w:szCs w:val="24"/>
        </w:rPr>
        <w:t xml:space="preserve"> et une baisse de celles des maisons traditionnelles de 8,1% à 5,5% et de l’habitat sommaire ou bidonville</w:t>
      </w:r>
      <w:r w:rsidR="00541E8A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8,2% à 5,2%.</w:t>
      </w:r>
    </w:p>
    <w:p w:rsidR="00EE7733" w:rsidRDefault="00EE7733" w:rsidP="00541E8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revanche, la répartition des ménages selon le type de logement</w:t>
      </w:r>
      <w:r w:rsidR="00541E8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dans le milieu rural </w:t>
      </w:r>
      <w:r w:rsidR="00541E8A">
        <w:rPr>
          <w:rFonts w:ascii="Times New Roman" w:hAnsi="Times New Roman" w:cs="Times New Roman"/>
          <w:sz w:val="24"/>
          <w:szCs w:val="24"/>
        </w:rPr>
        <w:t>fait apparaitre</w:t>
      </w:r>
      <w:r>
        <w:rPr>
          <w:rFonts w:ascii="Times New Roman" w:hAnsi="Times New Roman" w:cs="Times New Roman"/>
          <w:sz w:val="24"/>
          <w:szCs w:val="24"/>
        </w:rPr>
        <w:t xml:space="preserve"> une tendance à la baisse de la part des logements ruraux de 72,8% en 2004 à 64,0% en 2014 et une augmentation de celle des maisons marocaines modernes de 13,6% à 25,9%.</w:t>
      </w:r>
    </w:p>
    <w:p w:rsidR="00843653" w:rsidRDefault="001A4B5B" w:rsidP="00692A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Selon les régions</w:t>
      </w:r>
      <w:r w:rsidR="00843653">
        <w:rPr>
          <w:rFonts w:ascii="Times New Roman" w:hAnsi="Times New Roman" w:cs="Times New Roman"/>
          <w:sz w:val="24"/>
          <w:szCs w:val="24"/>
        </w:rPr>
        <w:t>, la répartition des ménages selon le type de logement</w:t>
      </w:r>
      <w:r>
        <w:rPr>
          <w:rFonts w:ascii="Times New Roman" w:hAnsi="Times New Roman" w:cs="Times New Roman"/>
          <w:sz w:val="24"/>
          <w:szCs w:val="24"/>
        </w:rPr>
        <w:t>s</w:t>
      </w:r>
      <w:r w:rsidR="00843653">
        <w:rPr>
          <w:rFonts w:ascii="Times New Roman" w:hAnsi="Times New Roman" w:cs="Times New Roman"/>
          <w:sz w:val="24"/>
          <w:szCs w:val="24"/>
        </w:rPr>
        <w:t xml:space="preserve"> en milieu urbain montre que 3 grandes régions se caractérisent par une part des ménages occupant les maisons marocains modernes </w:t>
      </w:r>
      <w:r w:rsidR="00D477A2">
        <w:rPr>
          <w:rFonts w:ascii="Times New Roman" w:hAnsi="Times New Roman" w:cs="Times New Roman"/>
          <w:sz w:val="24"/>
          <w:szCs w:val="24"/>
        </w:rPr>
        <w:t>inférieure à</w:t>
      </w:r>
      <w:r w:rsidR="00843653">
        <w:rPr>
          <w:rFonts w:ascii="Times New Roman" w:hAnsi="Times New Roman" w:cs="Times New Roman"/>
          <w:sz w:val="24"/>
          <w:szCs w:val="24"/>
        </w:rPr>
        <w:t xml:space="preserve"> la moyenne nationale. Il s’agit de Casablanca-Settat avec 50,1%, Rabat-Salé-Kénitra avec 60,9% et Marrakech-Safi avec 62,8%. Néanmoins, les deux premières régions disposent des parts les plus élevées en ménages habitants des appartements (30% et 20,5%) et des habitats sommaires ou bidonvilles (9,7% et 8,0%).</w:t>
      </w:r>
    </w:p>
    <w:p w:rsidR="009F1AE1" w:rsidRPr="000D3AD0" w:rsidRDefault="00650905" w:rsidP="001A4B5B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Plus d’un million de l</w:t>
      </w:r>
      <w:r w:rsidR="009F1AE1" w:rsidRPr="000D3AD0"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 xml:space="preserve">ogements </w:t>
      </w:r>
      <w:r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vacant</w:t>
      </w:r>
      <w:r w:rsidR="001A4B5B"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s</w:t>
      </w:r>
    </w:p>
    <w:p w:rsidR="009F1AE1" w:rsidRDefault="009F1AE1" w:rsidP="00692A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logements vacants comptent 1087146 unités </w:t>
      </w:r>
      <w:r w:rsidR="00A77E0A">
        <w:rPr>
          <w:rFonts w:ascii="Times New Roman" w:hAnsi="Times New Roman" w:cs="Times New Roman"/>
          <w:sz w:val="24"/>
          <w:szCs w:val="24"/>
        </w:rPr>
        <w:t>en 2014</w:t>
      </w:r>
      <w:r>
        <w:rPr>
          <w:rFonts w:ascii="Times New Roman" w:hAnsi="Times New Roman" w:cs="Times New Roman"/>
          <w:sz w:val="24"/>
          <w:szCs w:val="24"/>
        </w:rPr>
        <w:t xml:space="preserve">, dont 90,7% en milieu urbain et 9,3% en milieu rural. </w:t>
      </w:r>
    </w:p>
    <w:p w:rsidR="009F1AE1" w:rsidRDefault="009F1AE1" w:rsidP="007C651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grande dispersion est constatée </w:t>
      </w:r>
      <w:r w:rsidR="007C6516">
        <w:rPr>
          <w:rFonts w:ascii="Times New Roman" w:hAnsi="Times New Roman" w:cs="Times New Roman"/>
          <w:sz w:val="24"/>
          <w:szCs w:val="24"/>
        </w:rPr>
        <w:t xml:space="preserve">dans le milieu urbain </w:t>
      </w:r>
      <w:r>
        <w:rPr>
          <w:rFonts w:ascii="Times New Roman" w:hAnsi="Times New Roman" w:cs="Times New Roman"/>
          <w:sz w:val="24"/>
          <w:szCs w:val="24"/>
        </w:rPr>
        <w:t>au niveau régional</w:t>
      </w:r>
      <w:r w:rsidR="00A77E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516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proportion </w:t>
      </w:r>
      <w:r w:rsidR="007C6516">
        <w:rPr>
          <w:rFonts w:ascii="Times New Roman" w:hAnsi="Times New Roman" w:cs="Times New Roman"/>
          <w:sz w:val="24"/>
          <w:szCs w:val="24"/>
        </w:rPr>
        <w:t xml:space="preserve">des logements vacants </w:t>
      </w:r>
      <w:r w:rsidR="00CC6CA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atteint 24,1% dans la région du Grand Casablanca-Settat, 15,9% dans la région de Tanger-Tétouan-Al Hoceima, 12,7% à Rabat-Salé-Kénitra, 12% à Fès-Meknès, 9,8% à Marrakech-Safi, 8% à Souss-Massa et 7,5% à l’Oriental. Cette proportion n’est que de 4,6% à Béni Mellal-Khénifra, 2,3 % à Draa-Tafilalet et moins de 1,5% dans chacune des régions du Sud.</w:t>
      </w:r>
    </w:p>
    <w:p w:rsidR="009F1AE1" w:rsidRDefault="00CC6CA0" w:rsidP="001A4B5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48,5% </w:t>
      </w:r>
      <w:r w:rsidR="009F1AE1">
        <w:rPr>
          <w:rFonts w:ascii="Times New Roman" w:hAnsi="Times New Roman" w:cs="Times New Roman"/>
          <w:sz w:val="24"/>
          <w:szCs w:val="24"/>
        </w:rPr>
        <w:t xml:space="preserve">des logements vacants en milieu urbain sont </w:t>
      </w:r>
      <w:r>
        <w:rPr>
          <w:rFonts w:ascii="Times New Roman" w:hAnsi="Times New Roman" w:cs="Times New Roman"/>
          <w:sz w:val="24"/>
          <w:szCs w:val="24"/>
        </w:rPr>
        <w:t>d</w:t>
      </w:r>
      <w:r w:rsidR="009F1AE1">
        <w:rPr>
          <w:rFonts w:ascii="Times New Roman" w:hAnsi="Times New Roman" w:cs="Times New Roman"/>
          <w:sz w:val="24"/>
          <w:szCs w:val="24"/>
        </w:rPr>
        <w:t>es appartements</w:t>
      </w:r>
      <w:r>
        <w:rPr>
          <w:rFonts w:ascii="Times New Roman" w:hAnsi="Times New Roman" w:cs="Times New Roman"/>
          <w:sz w:val="24"/>
          <w:szCs w:val="24"/>
        </w:rPr>
        <w:t xml:space="preserve">, soit </w:t>
      </w:r>
      <w:r w:rsidR="009F1AE1">
        <w:rPr>
          <w:rFonts w:ascii="Times New Roman" w:hAnsi="Times New Roman" w:cs="Times New Roman"/>
          <w:sz w:val="24"/>
          <w:szCs w:val="24"/>
        </w:rPr>
        <w:t>478124 unités. Les maisons marocaines modernes viennent en second lieu avec 40,9%</w:t>
      </w:r>
      <w:r w:rsidR="001A4B5B">
        <w:rPr>
          <w:rFonts w:ascii="Times New Roman" w:hAnsi="Times New Roman" w:cs="Times New Roman"/>
          <w:sz w:val="24"/>
          <w:szCs w:val="24"/>
        </w:rPr>
        <w:t xml:space="preserve"> et l</w:t>
      </w:r>
      <w:r w:rsidR="009F1AE1">
        <w:rPr>
          <w:rFonts w:ascii="Times New Roman" w:hAnsi="Times New Roman" w:cs="Times New Roman"/>
          <w:sz w:val="24"/>
          <w:szCs w:val="24"/>
        </w:rPr>
        <w:t xml:space="preserve">es Villas ou étage de villa en troisième </w:t>
      </w:r>
      <w:r>
        <w:rPr>
          <w:rFonts w:ascii="Times New Roman" w:hAnsi="Times New Roman" w:cs="Times New Roman"/>
          <w:sz w:val="24"/>
          <w:szCs w:val="24"/>
        </w:rPr>
        <w:t>position</w:t>
      </w:r>
      <w:r w:rsidR="009F1AE1">
        <w:rPr>
          <w:rFonts w:ascii="Times New Roman" w:hAnsi="Times New Roman" w:cs="Times New Roman"/>
          <w:sz w:val="24"/>
          <w:szCs w:val="24"/>
        </w:rPr>
        <w:t xml:space="preserve"> avec 4,4%. Alors que les maisons marocaines traditionnelles ne représentent que 3,3%.</w:t>
      </w:r>
    </w:p>
    <w:p w:rsidR="009F1AE1" w:rsidRDefault="00CC6CA0" w:rsidP="0067517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nombre d</w:t>
      </w:r>
      <w:r w:rsidR="009F1AE1">
        <w:rPr>
          <w:rFonts w:ascii="Times New Roman" w:hAnsi="Times New Roman" w:cs="Times New Roman"/>
          <w:sz w:val="24"/>
          <w:szCs w:val="24"/>
        </w:rPr>
        <w:t xml:space="preserve">es appartements vacants </w:t>
      </w:r>
      <w:r w:rsidR="00DF485A">
        <w:rPr>
          <w:rFonts w:ascii="Times New Roman" w:hAnsi="Times New Roman" w:cs="Times New Roman"/>
          <w:sz w:val="24"/>
          <w:szCs w:val="24"/>
        </w:rPr>
        <w:t>est en nette</w:t>
      </w:r>
      <w:r w:rsidR="009F1AE1">
        <w:rPr>
          <w:rFonts w:ascii="Times New Roman" w:hAnsi="Times New Roman" w:cs="Times New Roman"/>
          <w:sz w:val="24"/>
          <w:szCs w:val="24"/>
        </w:rPr>
        <w:t xml:space="preserve"> augmentation</w:t>
      </w:r>
      <w:r w:rsidR="00692AF3">
        <w:rPr>
          <w:rFonts w:ascii="Times New Roman" w:hAnsi="Times New Roman" w:cs="Times New Roman"/>
          <w:sz w:val="24"/>
          <w:szCs w:val="24"/>
        </w:rPr>
        <w:t xml:space="preserve"> en milieu urbain</w:t>
      </w:r>
      <w:r w:rsidR="00DF485A">
        <w:rPr>
          <w:rFonts w:ascii="Times New Roman" w:hAnsi="Times New Roman" w:cs="Times New Roman"/>
          <w:sz w:val="24"/>
          <w:szCs w:val="24"/>
        </w:rPr>
        <w:t>,</w:t>
      </w:r>
      <w:r w:rsidR="004A31A9">
        <w:rPr>
          <w:rFonts w:ascii="Times New Roman" w:hAnsi="Times New Roman" w:cs="Times New Roman"/>
          <w:sz w:val="24"/>
          <w:szCs w:val="24"/>
        </w:rPr>
        <w:t xml:space="preserve"> avec une</w:t>
      </w:r>
      <w:r w:rsidR="00DF485A">
        <w:rPr>
          <w:rFonts w:ascii="Times New Roman" w:hAnsi="Times New Roman" w:cs="Times New Roman"/>
          <w:sz w:val="24"/>
          <w:szCs w:val="24"/>
        </w:rPr>
        <w:t xml:space="preserve"> multiplication par plus de 3</w:t>
      </w:r>
      <w:r w:rsidR="0067517F">
        <w:rPr>
          <w:rFonts w:ascii="Times New Roman" w:hAnsi="Times New Roman" w:cs="Times New Roman"/>
          <w:sz w:val="24"/>
          <w:szCs w:val="24"/>
        </w:rPr>
        <w:t xml:space="preserve"> fois</w:t>
      </w:r>
      <w:r w:rsidR="00DF485A">
        <w:rPr>
          <w:rFonts w:ascii="Times New Roman" w:hAnsi="Times New Roman" w:cs="Times New Roman"/>
          <w:sz w:val="24"/>
          <w:szCs w:val="24"/>
        </w:rPr>
        <w:t>,</w:t>
      </w:r>
      <w:r w:rsidR="009F1AE1">
        <w:rPr>
          <w:rFonts w:ascii="Times New Roman" w:hAnsi="Times New Roman" w:cs="Times New Roman"/>
          <w:sz w:val="24"/>
          <w:szCs w:val="24"/>
        </w:rPr>
        <w:t xml:space="preserve"> passant de 144397 </w:t>
      </w:r>
      <w:r w:rsidR="0067517F">
        <w:rPr>
          <w:rFonts w:ascii="Times New Roman" w:hAnsi="Times New Roman" w:cs="Times New Roman"/>
          <w:sz w:val="24"/>
          <w:szCs w:val="24"/>
        </w:rPr>
        <w:t xml:space="preserve">unités </w:t>
      </w:r>
      <w:r w:rsidR="009F1AE1">
        <w:rPr>
          <w:rFonts w:ascii="Times New Roman" w:hAnsi="Times New Roman" w:cs="Times New Roman"/>
          <w:sz w:val="24"/>
          <w:szCs w:val="24"/>
        </w:rPr>
        <w:t>en 2004 à 478124 en 2014. Ce</w:t>
      </w:r>
      <w:r w:rsidR="00DF485A">
        <w:rPr>
          <w:rFonts w:ascii="Times New Roman" w:hAnsi="Times New Roman" w:cs="Times New Roman"/>
          <w:sz w:val="24"/>
          <w:szCs w:val="24"/>
        </w:rPr>
        <w:t>lu</w:t>
      </w:r>
      <w:r w:rsidR="009F1AE1">
        <w:rPr>
          <w:rFonts w:ascii="Times New Roman" w:hAnsi="Times New Roman" w:cs="Times New Roman"/>
          <w:sz w:val="24"/>
          <w:szCs w:val="24"/>
        </w:rPr>
        <w:t>i</w:t>
      </w:r>
      <w:r w:rsidR="00DF485A">
        <w:rPr>
          <w:rFonts w:ascii="Times New Roman" w:hAnsi="Times New Roman" w:cs="Times New Roman"/>
          <w:sz w:val="24"/>
          <w:szCs w:val="24"/>
        </w:rPr>
        <w:t xml:space="preserve"> </w:t>
      </w:r>
      <w:r w:rsidR="009F1AE1">
        <w:rPr>
          <w:rFonts w:ascii="Times New Roman" w:hAnsi="Times New Roman" w:cs="Times New Roman"/>
          <w:sz w:val="24"/>
          <w:szCs w:val="24"/>
        </w:rPr>
        <w:t xml:space="preserve">des villas ou étage de villa vacants a été </w:t>
      </w:r>
      <w:r w:rsidR="00DF485A">
        <w:rPr>
          <w:rFonts w:ascii="Times New Roman" w:hAnsi="Times New Roman" w:cs="Times New Roman"/>
          <w:sz w:val="24"/>
          <w:szCs w:val="24"/>
        </w:rPr>
        <w:t xml:space="preserve">également </w:t>
      </w:r>
      <w:r w:rsidR="009F1AE1">
        <w:rPr>
          <w:rFonts w:ascii="Times New Roman" w:hAnsi="Times New Roman" w:cs="Times New Roman"/>
          <w:sz w:val="24"/>
          <w:szCs w:val="24"/>
        </w:rPr>
        <w:t>multiplié par</w:t>
      </w:r>
      <w:r w:rsidR="00DF485A">
        <w:rPr>
          <w:rFonts w:ascii="Times New Roman" w:hAnsi="Times New Roman" w:cs="Times New Roman"/>
          <w:sz w:val="24"/>
          <w:szCs w:val="24"/>
        </w:rPr>
        <w:t xml:space="preserve"> plus de </w:t>
      </w:r>
      <w:r w:rsidR="009F1AE1">
        <w:rPr>
          <w:rFonts w:ascii="Times New Roman" w:hAnsi="Times New Roman" w:cs="Times New Roman"/>
          <w:sz w:val="24"/>
          <w:szCs w:val="24"/>
        </w:rPr>
        <w:t xml:space="preserve">2 </w:t>
      </w:r>
      <w:r w:rsidR="0067517F">
        <w:rPr>
          <w:rFonts w:ascii="Times New Roman" w:hAnsi="Times New Roman" w:cs="Times New Roman"/>
          <w:sz w:val="24"/>
          <w:szCs w:val="24"/>
        </w:rPr>
        <w:t xml:space="preserve">fois </w:t>
      </w:r>
      <w:r w:rsidR="009F1AE1">
        <w:rPr>
          <w:rFonts w:ascii="Times New Roman" w:hAnsi="Times New Roman" w:cs="Times New Roman"/>
          <w:sz w:val="24"/>
          <w:szCs w:val="24"/>
        </w:rPr>
        <w:t xml:space="preserve">pendant la même période, en passant de 16632 à 42942 unités, </w:t>
      </w:r>
      <w:r w:rsidR="00DF485A">
        <w:rPr>
          <w:rFonts w:ascii="Times New Roman" w:hAnsi="Times New Roman" w:cs="Times New Roman"/>
          <w:sz w:val="24"/>
          <w:szCs w:val="24"/>
        </w:rPr>
        <w:t xml:space="preserve">alors que celui des maisons marocaines modernes n’a progressé que </w:t>
      </w:r>
      <w:r w:rsidR="00692AF3">
        <w:rPr>
          <w:rFonts w:ascii="Times New Roman" w:hAnsi="Times New Roman" w:cs="Times New Roman"/>
          <w:sz w:val="24"/>
          <w:szCs w:val="24"/>
        </w:rPr>
        <w:t xml:space="preserve">de </w:t>
      </w:r>
      <w:r w:rsidR="00DF485A">
        <w:rPr>
          <w:rFonts w:ascii="Times New Roman" w:hAnsi="Times New Roman" w:cs="Times New Roman"/>
          <w:sz w:val="24"/>
          <w:szCs w:val="24"/>
        </w:rPr>
        <w:t>61%.</w:t>
      </w:r>
    </w:p>
    <w:p w:rsidR="009F1AE1" w:rsidRPr="005C75B1" w:rsidRDefault="00FD7465" w:rsidP="00FD7465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Huit l</w:t>
      </w:r>
      <w:r w:rsidR="009F1AE1" w:rsidRPr="005C75B1"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 xml:space="preserve">ogements secondaires </w:t>
      </w:r>
      <w:r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sur dix se trouvent en ville</w:t>
      </w:r>
    </w:p>
    <w:p w:rsidR="009F1AE1" w:rsidRDefault="005C75B1" w:rsidP="00BC30F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2014, le Maroc comptait </w:t>
      </w:r>
      <w:r w:rsidR="009F1AE1">
        <w:rPr>
          <w:rFonts w:ascii="Times New Roman" w:hAnsi="Times New Roman" w:cs="Times New Roman"/>
          <w:sz w:val="24"/>
          <w:szCs w:val="24"/>
        </w:rPr>
        <w:t xml:space="preserve">706121 unités de logements </w:t>
      </w:r>
      <w:r>
        <w:rPr>
          <w:rFonts w:ascii="Times New Roman" w:hAnsi="Times New Roman" w:cs="Times New Roman"/>
          <w:sz w:val="24"/>
          <w:szCs w:val="24"/>
        </w:rPr>
        <w:t>secondaires ou saisonniers</w:t>
      </w:r>
      <w:r w:rsidR="009F1AE1">
        <w:rPr>
          <w:rFonts w:ascii="Times New Roman" w:hAnsi="Times New Roman" w:cs="Times New Roman"/>
          <w:sz w:val="24"/>
          <w:szCs w:val="24"/>
        </w:rPr>
        <w:t xml:space="preserve">, dont 81,4% en milieu urbain et 18,6% en milieu rural. </w:t>
      </w:r>
    </w:p>
    <w:p w:rsidR="00A54DFB" w:rsidRDefault="00A54DFB" w:rsidP="00A54DF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répartition de l’ensemble des logements secondaires ou saisonniers selon le type de logements montre une prépondérance de la part des maisons marocaines modernes (46,4% ou 327622 unités), suivie des appartements (35,3% ou 249344) et des villas (4,4% ou 46977). Cependant, l’effectif des appartements secondaires ou saisonniers a été multiplié par 4 fois passant de 62478 en 2004 à 249344 unités en 2014.</w:t>
      </w:r>
    </w:p>
    <w:p w:rsidR="009F1AE1" w:rsidRDefault="00E77976" w:rsidP="002F68E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Trois régions abritent plus de 55% de logements secondaire</w:t>
      </w:r>
      <w:r w:rsidR="00246F3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ou saisonnier</w:t>
      </w:r>
      <w:r w:rsidR="00246F3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9F1AE1">
        <w:rPr>
          <w:rFonts w:ascii="Times New Roman" w:hAnsi="Times New Roman" w:cs="Times New Roman"/>
          <w:sz w:val="24"/>
          <w:szCs w:val="24"/>
        </w:rPr>
        <w:t>n milieu urbain</w:t>
      </w:r>
      <w:r>
        <w:rPr>
          <w:rFonts w:ascii="Times New Roman" w:hAnsi="Times New Roman" w:cs="Times New Roman"/>
          <w:sz w:val="24"/>
          <w:szCs w:val="24"/>
        </w:rPr>
        <w:t xml:space="preserve">. Il s’agit de </w:t>
      </w:r>
      <w:r w:rsidR="00246F3B">
        <w:rPr>
          <w:rFonts w:ascii="Times New Roman" w:hAnsi="Times New Roman" w:cs="Times New Roman"/>
          <w:sz w:val="24"/>
          <w:szCs w:val="24"/>
        </w:rPr>
        <w:t xml:space="preserve">la région du Grand Casablanca-Settat avec </w:t>
      </w:r>
      <w:r w:rsidR="009F1AE1">
        <w:rPr>
          <w:rFonts w:ascii="Times New Roman" w:hAnsi="Times New Roman" w:cs="Times New Roman"/>
          <w:sz w:val="24"/>
          <w:szCs w:val="24"/>
        </w:rPr>
        <w:t>24,4%,</w:t>
      </w:r>
      <w:r w:rsidR="00246F3B">
        <w:rPr>
          <w:rFonts w:ascii="Times New Roman" w:hAnsi="Times New Roman" w:cs="Times New Roman"/>
          <w:sz w:val="24"/>
          <w:szCs w:val="24"/>
        </w:rPr>
        <w:t xml:space="preserve"> de Tanger-Tétouan-Al Hoceima avec </w:t>
      </w:r>
      <w:r w:rsidR="009F1AE1">
        <w:rPr>
          <w:rFonts w:ascii="Times New Roman" w:hAnsi="Times New Roman" w:cs="Times New Roman"/>
          <w:sz w:val="24"/>
          <w:szCs w:val="24"/>
        </w:rPr>
        <w:t>17,6%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46F3B">
        <w:rPr>
          <w:rFonts w:ascii="Times New Roman" w:hAnsi="Times New Roman" w:cs="Times New Roman"/>
          <w:sz w:val="24"/>
          <w:szCs w:val="24"/>
        </w:rPr>
        <w:t xml:space="preserve">de Rabat-Salé-Kénitra avec </w:t>
      </w:r>
      <w:r>
        <w:rPr>
          <w:rFonts w:ascii="Times New Roman" w:hAnsi="Times New Roman" w:cs="Times New Roman"/>
          <w:sz w:val="24"/>
          <w:szCs w:val="24"/>
        </w:rPr>
        <w:t>13,2%.</w:t>
      </w:r>
    </w:p>
    <w:p w:rsidR="009F1AE1" w:rsidRDefault="009F1AE1" w:rsidP="00E57A0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milieu rural, l</w:t>
      </w:r>
      <w:r w:rsidR="00A4069F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région</w:t>
      </w:r>
      <w:r w:rsidR="00A4069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Souss-Massa</w:t>
      </w:r>
      <w:r w:rsidR="00B675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502">
        <w:rPr>
          <w:rFonts w:ascii="Times New Roman" w:hAnsi="Times New Roman" w:cs="Times New Roman"/>
          <w:sz w:val="24"/>
          <w:szCs w:val="24"/>
        </w:rPr>
        <w:t xml:space="preserve">du Grand Casablanca-Settat et de Marrakech-Safi abritent presque </w:t>
      </w:r>
      <w:r w:rsidR="00F76F8D">
        <w:rPr>
          <w:rFonts w:ascii="Times New Roman" w:hAnsi="Times New Roman" w:cs="Times New Roman"/>
          <w:sz w:val="24"/>
          <w:szCs w:val="24"/>
        </w:rPr>
        <w:t>6</w:t>
      </w:r>
      <w:r w:rsidR="00B67502">
        <w:rPr>
          <w:rFonts w:ascii="Times New Roman" w:hAnsi="Times New Roman" w:cs="Times New Roman"/>
          <w:sz w:val="24"/>
          <w:szCs w:val="24"/>
        </w:rPr>
        <w:t xml:space="preserve">0% des logements secondaires ou saisonniers, avec </w:t>
      </w:r>
      <w:r w:rsidR="00E57A01">
        <w:rPr>
          <w:rFonts w:ascii="Times New Roman" w:hAnsi="Times New Roman" w:cs="Times New Roman"/>
          <w:sz w:val="24"/>
          <w:szCs w:val="24"/>
        </w:rPr>
        <w:t>comme part</w:t>
      </w:r>
      <w:r w:rsidR="002F68E4">
        <w:rPr>
          <w:rFonts w:ascii="Times New Roman" w:hAnsi="Times New Roman" w:cs="Times New Roman"/>
          <w:sz w:val="24"/>
          <w:szCs w:val="24"/>
        </w:rPr>
        <w:t>s</w:t>
      </w:r>
      <w:r w:rsidR="00E57A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24,9%, </w:t>
      </w:r>
      <w:r w:rsidR="00B67502">
        <w:rPr>
          <w:rFonts w:ascii="Times New Roman" w:hAnsi="Times New Roman" w:cs="Times New Roman"/>
          <w:sz w:val="24"/>
          <w:szCs w:val="24"/>
        </w:rPr>
        <w:t>17,9</w:t>
      </w:r>
      <w:r w:rsidR="002F68E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502">
        <w:rPr>
          <w:rFonts w:ascii="Times New Roman" w:hAnsi="Times New Roman" w:cs="Times New Roman"/>
          <w:sz w:val="24"/>
          <w:szCs w:val="24"/>
        </w:rPr>
        <w:t>et 16,8%</w:t>
      </w:r>
      <w:r w:rsidR="00E57A01" w:rsidRPr="00E57A01">
        <w:rPr>
          <w:rFonts w:ascii="Times New Roman" w:hAnsi="Times New Roman" w:cs="Times New Roman"/>
          <w:sz w:val="24"/>
          <w:szCs w:val="24"/>
        </w:rPr>
        <w:t xml:space="preserve"> </w:t>
      </w:r>
      <w:r w:rsidR="00E57A01">
        <w:rPr>
          <w:rFonts w:ascii="Times New Roman" w:hAnsi="Times New Roman" w:cs="Times New Roman"/>
          <w:sz w:val="24"/>
          <w:szCs w:val="24"/>
        </w:rPr>
        <w:t>respectivement.</w:t>
      </w:r>
    </w:p>
    <w:p w:rsidR="00C6368E" w:rsidRPr="00464C1D" w:rsidRDefault="00C6368E" w:rsidP="00C6368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</w:pPr>
      <w:r w:rsidRPr="00464C1D"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U</w:t>
      </w:r>
      <w:r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n parc de logement vieillissant</w:t>
      </w:r>
    </w:p>
    <w:p w:rsidR="00C6368E" w:rsidRDefault="00C6368E" w:rsidP="005C44CF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20,5% du parc </w:t>
      </w:r>
      <w:r w:rsidR="005C44CF">
        <w:rPr>
          <w:rFonts w:ascii="Times New Roman" w:hAnsi="Times New Roman" w:cs="Times New Roman"/>
          <w:sz w:val="24"/>
          <w:szCs w:val="24"/>
        </w:rPr>
        <w:t xml:space="preserve">national de </w:t>
      </w:r>
      <w:r>
        <w:rPr>
          <w:rFonts w:ascii="Times New Roman" w:hAnsi="Times New Roman" w:cs="Times New Roman"/>
          <w:sz w:val="24"/>
          <w:szCs w:val="24"/>
        </w:rPr>
        <w:t>logement</w:t>
      </w:r>
      <w:r w:rsidR="005C44C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est âgé de moins de 10 ans, avec 21,2% en milieu urbain et 19,2% en milieu rural. En outre, 19,8% sont âgés de 50 ans et plus, avec 30,5% en milieu rural et 14,2% en milieu urbain. Plus du tiers des logements est âgé de 20 à 50 ans au niveau national </w:t>
      </w:r>
      <w:r w:rsidR="005C44CF">
        <w:rPr>
          <w:rFonts w:ascii="Times New Roman" w:hAnsi="Times New Roman" w:cs="Times New Roman"/>
          <w:sz w:val="24"/>
          <w:szCs w:val="24"/>
        </w:rPr>
        <w:t xml:space="preserve">avec </w:t>
      </w:r>
      <w:r>
        <w:rPr>
          <w:rFonts w:ascii="Times New Roman" w:hAnsi="Times New Roman" w:cs="Times New Roman"/>
          <w:sz w:val="24"/>
          <w:szCs w:val="24"/>
        </w:rPr>
        <w:t>40,6% en milieu urbain et 30,8% en milieu rural et presque 43% de logement</w:t>
      </w:r>
      <w:r w:rsidR="000A64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ont moins de 20 ans.</w:t>
      </w:r>
    </w:p>
    <w:p w:rsidR="00C6368E" w:rsidRPr="00D93DFD" w:rsidRDefault="00C6368E" w:rsidP="00C6368E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</w:pPr>
      <w:bookmarkStart w:id="1" w:name="_Toc306293757"/>
      <w:r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A</w:t>
      </w:r>
      <w:r w:rsidRPr="00D93DFD"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 xml:space="preserve">ccès </w:t>
      </w:r>
      <w:r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p</w:t>
      </w:r>
      <w:r w:rsidRPr="00D93DFD"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lus large à la propriété du logement</w:t>
      </w:r>
      <w:bookmarkEnd w:id="1"/>
      <w:r>
        <w:rPr>
          <w:rFonts w:ascii="Times New Roman" w:hAnsi="Times New Roman" w:cs="Times New Roman"/>
          <w:b/>
          <w:bCs/>
          <w:i/>
          <w:iCs/>
          <w:smallCaps/>
          <w:color w:val="0000FF"/>
          <w:sz w:val="24"/>
          <w:szCs w:val="24"/>
        </w:rPr>
        <w:t> : 6 ménages sur 10</w:t>
      </w:r>
    </w:p>
    <w:p w:rsidR="00C6368E" w:rsidRDefault="00C6368E" w:rsidP="00C6368E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 2004 et 2014, le nombre de ménages urbains propriétaires de leur logement est en augmentation de 57,7% à 61,9% au détriment des locataires de 29,6% à 27,3%.</w:t>
      </w:r>
    </w:p>
    <w:p w:rsidR="00C6368E" w:rsidRDefault="00C6368E" w:rsidP="009D39B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D39B1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part</w:t>
      </w:r>
      <w:r w:rsidR="009D39B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des ménages propriétaires de leur</w:t>
      </w:r>
      <w:r w:rsidR="000A64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logement</w:t>
      </w:r>
      <w:r w:rsidR="000A64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39B1">
        <w:rPr>
          <w:rFonts w:ascii="Times New Roman" w:hAnsi="Times New Roman" w:cs="Times New Roman"/>
          <w:sz w:val="24"/>
          <w:szCs w:val="24"/>
        </w:rPr>
        <w:t xml:space="preserve">dépassant la moyenne nationale se trouvent </w:t>
      </w:r>
      <w:r>
        <w:rPr>
          <w:rFonts w:ascii="Times New Roman" w:hAnsi="Times New Roman" w:cs="Times New Roman"/>
          <w:sz w:val="24"/>
          <w:szCs w:val="24"/>
        </w:rPr>
        <w:t>dans les régions de l’Oriental (68,6%), Béni Mellal-Khénifra (64,9%), Draa-Tafilalet (64,6%), Marrakech-Safi (62,8%),) et Fès-Meknès (62,7%). L</w:t>
      </w:r>
      <w:r w:rsidR="00586F71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plus faible</w:t>
      </w:r>
      <w:r w:rsidR="00586F7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part</w:t>
      </w:r>
      <w:r w:rsidR="00586F71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s</w:t>
      </w:r>
      <w:r w:rsidR="009D39B1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>t</w:t>
      </w:r>
      <w:r w:rsidR="009D39B1">
        <w:rPr>
          <w:rFonts w:ascii="Times New Roman" w:hAnsi="Times New Roman" w:cs="Times New Roman"/>
          <w:sz w:val="24"/>
          <w:szCs w:val="24"/>
        </w:rPr>
        <w:t xml:space="preserve"> observées </w:t>
      </w:r>
      <w:r>
        <w:rPr>
          <w:rFonts w:ascii="Times New Roman" w:hAnsi="Times New Roman" w:cs="Times New Roman"/>
          <w:sz w:val="24"/>
          <w:szCs w:val="24"/>
        </w:rPr>
        <w:t>dans les régions du sud, allant de 42,3% à Eddakhla-Oued Eddahab, à 56,1% à Guelmim-Oued Noun. En revanche, les plus importantes parts de ménages locataires se trouvent dans les régions de Dakhla-Oued Ed Dahab (48,6%), Laâyoune-Sakia El Hamra (44,1%), Guelmim-Oued Noun (35,1%), Tanger-Tétouan-Al Hoceïma (31,1%) et Souss-Massa (30%).</w:t>
      </w:r>
    </w:p>
    <w:p w:rsidR="003101D1" w:rsidRPr="00FB49E5" w:rsidRDefault="009F1AE1" w:rsidP="005206A8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Le rapport d’analyse de cette étude, intitulé « </w:t>
      </w:r>
      <w:r w:rsidR="00E51D56" w:rsidRPr="00A24B70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Habitat au Maroc : Situation du parc de </w:t>
      </w:r>
      <w:bookmarkStart w:id="2" w:name="_GoBack"/>
      <w:r w:rsidR="00E51D56" w:rsidRPr="00A24B70">
        <w:rPr>
          <w:rFonts w:asciiTheme="majorBidi" w:hAnsiTheme="majorBidi" w:cstheme="majorBidi"/>
          <w:b/>
          <w:bCs/>
          <w:color w:val="0000FF"/>
          <w:sz w:val="24"/>
          <w:szCs w:val="24"/>
        </w:rPr>
        <w:t>logement</w:t>
      </w:r>
      <w:bookmarkEnd w:id="2"/>
      <w:r w:rsidR="00E51D56" w:rsidRPr="00A24B70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s </w:t>
      </w:r>
      <w:r w:rsidR="00967F23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et </w:t>
      </w:r>
      <w:r w:rsidR="00E51D56" w:rsidRPr="00A24B70">
        <w:rPr>
          <w:rFonts w:asciiTheme="majorBidi" w:hAnsiTheme="majorBidi" w:cstheme="majorBidi"/>
          <w:b/>
          <w:bCs/>
          <w:color w:val="0000FF"/>
          <w:sz w:val="24"/>
          <w:szCs w:val="24"/>
        </w:rPr>
        <w:t>s</w:t>
      </w:r>
      <w:r w:rsidR="00967F23">
        <w:rPr>
          <w:rFonts w:asciiTheme="majorBidi" w:hAnsiTheme="majorBidi" w:cstheme="majorBidi"/>
          <w:b/>
          <w:bCs/>
          <w:color w:val="0000FF"/>
          <w:sz w:val="24"/>
          <w:szCs w:val="24"/>
        </w:rPr>
        <w:t xml:space="preserve">tatut </w:t>
      </w:r>
      <w:r w:rsidR="00E51D56" w:rsidRPr="00A24B70">
        <w:rPr>
          <w:rFonts w:asciiTheme="majorBidi" w:hAnsiTheme="majorBidi" w:cstheme="majorBidi"/>
          <w:b/>
          <w:bCs/>
          <w:color w:val="0000FF"/>
          <w:sz w:val="24"/>
          <w:szCs w:val="24"/>
        </w:rPr>
        <w:t>d’occupation</w:t>
      </w:r>
      <w:r>
        <w:rPr>
          <w:rFonts w:asciiTheme="majorBidi" w:hAnsiTheme="majorBidi" w:cstheme="majorBidi"/>
          <w:color w:val="000000"/>
        </w:rPr>
        <w:t> 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», </w:t>
      </w:r>
      <w:r>
        <w:rPr>
          <w:rFonts w:asciiTheme="majorBidi" w:hAnsiTheme="majorBidi" w:cstheme="majorBidi"/>
          <w:sz w:val="24"/>
          <w:szCs w:val="24"/>
        </w:rPr>
        <w:t>est téléchargeable sur le site</w:t>
      </w:r>
      <w:r w:rsidR="005206A8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hyperlink r:id="rId9" w:history="1">
        <w:r w:rsidR="005206A8" w:rsidRPr="00B335C0">
          <w:rPr>
            <w:rStyle w:val="Lienhypertexte"/>
            <w:rFonts w:asciiTheme="majorBidi" w:hAnsiTheme="majorBidi" w:cstheme="majorBidi"/>
            <w:i/>
            <w:iCs/>
            <w:sz w:val="24"/>
            <w:szCs w:val="24"/>
          </w:rPr>
          <w:t>www.hcp.ma</w:t>
        </w:r>
      </w:hyperlink>
      <w:r w:rsidR="005206A8">
        <w:rPr>
          <w:rFonts w:asciiTheme="majorBidi" w:hAnsiTheme="majorBidi" w:cstheme="majorBidi"/>
          <w:i/>
          <w:iCs/>
          <w:sz w:val="24"/>
          <w:szCs w:val="24"/>
        </w:rPr>
        <w:t xml:space="preserve"> .</w:t>
      </w:r>
    </w:p>
    <w:sectPr w:rsidR="003101D1" w:rsidRPr="00FB49E5" w:rsidSect="00632783"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98A" w:rsidRDefault="0041298A" w:rsidP="00A01B4E">
      <w:pPr>
        <w:spacing w:after="0" w:line="240" w:lineRule="auto"/>
      </w:pPr>
      <w:r>
        <w:separator/>
      </w:r>
    </w:p>
  </w:endnote>
  <w:endnote w:type="continuationSeparator" w:id="1">
    <w:p w:rsidR="0041298A" w:rsidRDefault="0041298A" w:rsidP="00A01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323999"/>
      <w:docPartObj>
        <w:docPartGallery w:val="Page Numbers (Bottom of Page)"/>
        <w:docPartUnique/>
      </w:docPartObj>
    </w:sdtPr>
    <w:sdtContent>
      <w:p w:rsidR="00B67502" w:rsidRDefault="00D80AFE">
        <w:pPr>
          <w:pStyle w:val="Pieddepage"/>
          <w:jc w:val="center"/>
        </w:pPr>
        <w:r>
          <w:fldChar w:fldCharType="begin"/>
        </w:r>
        <w:r w:rsidR="00E12347">
          <w:instrText xml:space="preserve"> PAGE   \* MERGEFORMAT </w:instrText>
        </w:r>
        <w:r>
          <w:fldChar w:fldCharType="separate"/>
        </w:r>
        <w:r w:rsidR="00DE69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7502" w:rsidRDefault="00B675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98A" w:rsidRDefault="0041298A" w:rsidP="00A01B4E">
      <w:pPr>
        <w:spacing w:after="0" w:line="240" w:lineRule="auto"/>
      </w:pPr>
      <w:r>
        <w:separator/>
      </w:r>
    </w:p>
  </w:footnote>
  <w:footnote w:type="continuationSeparator" w:id="1">
    <w:p w:rsidR="0041298A" w:rsidRDefault="0041298A" w:rsidP="00A01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428F1"/>
    <w:multiLevelType w:val="hybridMultilevel"/>
    <w:tmpl w:val="472237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077E2"/>
    <w:multiLevelType w:val="hybridMultilevel"/>
    <w:tmpl w:val="CEBC7688"/>
    <w:lvl w:ilvl="0" w:tplc="6CD22D1A">
      <w:start w:val="1"/>
      <w:numFmt w:val="upperRoman"/>
      <w:lvlText w:val="%1."/>
      <w:lvlJc w:val="left"/>
      <w:pPr>
        <w:ind w:left="1080" w:hanging="72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F15C9"/>
    <w:multiLevelType w:val="hybridMultilevel"/>
    <w:tmpl w:val="C95427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2BC"/>
    <w:rsid w:val="0000029E"/>
    <w:rsid w:val="00003814"/>
    <w:rsid w:val="00004598"/>
    <w:rsid w:val="00030909"/>
    <w:rsid w:val="00032A10"/>
    <w:rsid w:val="00041715"/>
    <w:rsid w:val="00042862"/>
    <w:rsid w:val="00055F0E"/>
    <w:rsid w:val="000678E2"/>
    <w:rsid w:val="00070E45"/>
    <w:rsid w:val="00074386"/>
    <w:rsid w:val="00080790"/>
    <w:rsid w:val="00090AAD"/>
    <w:rsid w:val="000927B4"/>
    <w:rsid w:val="0009413B"/>
    <w:rsid w:val="0009615A"/>
    <w:rsid w:val="000A2187"/>
    <w:rsid w:val="000A640E"/>
    <w:rsid w:val="000C0967"/>
    <w:rsid w:val="000C0E72"/>
    <w:rsid w:val="000C5DAA"/>
    <w:rsid w:val="000D2F2C"/>
    <w:rsid w:val="000D3AD0"/>
    <w:rsid w:val="000D4729"/>
    <w:rsid w:val="000F0B13"/>
    <w:rsid w:val="000F14DF"/>
    <w:rsid w:val="00106D9C"/>
    <w:rsid w:val="001162EA"/>
    <w:rsid w:val="00123A78"/>
    <w:rsid w:val="0013148C"/>
    <w:rsid w:val="00132A4C"/>
    <w:rsid w:val="00137275"/>
    <w:rsid w:val="00147CFB"/>
    <w:rsid w:val="00150AE5"/>
    <w:rsid w:val="00150DA9"/>
    <w:rsid w:val="00151336"/>
    <w:rsid w:val="001644D1"/>
    <w:rsid w:val="0016455A"/>
    <w:rsid w:val="001734BE"/>
    <w:rsid w:val="00173D24"/>
    <w:rsid w:val="00187824"/>
    <w:rsid w:val="00191CB3"/>
    <w:rsid w:val="001959DB"/>
    <w:rsid w:val="001A0C2E"/>
    <w:rsid w:val="001A4B5B"/>
    <w:rsid w:val="001A4FC1"/>
    <w:rsid w:val="001A5FE9"/>
    <w:rsid w:val="001A62A3"/>
    <w:rsid w:val="001D4630"/>
    <w:rsid w:val="001E4AF7"/>
    <w:rsid w:val="00213853"/>
    <w:rsid w:val="0021597D"/>
    <w:rsid w:val="002432EE"/>
    <w:rsid w:val="00246F3B"/>
    <w:rsid w:val="00252E6B"/>
    <w:rsid w:val="002615D5"/>
    <w:rsid w:val="0027083A"/>
    <w:rsid w:val="00271D92"/>
    <w:rsid w:val="00297119"/>
    <w:rsid w:val="002A336A"/>
    <w:rsid w:val="002A585B"/>
    <w:rsid w:val="002B3EAB"/>
    <w:rsid w:val="002B7FD0"/>
    <w:rsid w:val="002D08EC"/>
    <w:rsid w:val="002D61ED"/>
    <w:rsid w:val="002F68E4"/>
    <w:rsid w:val="003101D1"/>
    <w:rsid w:val="00311577"/>
    <w:rsid w:val="00315318"/>
    <w:rsid w:val="00336855"/>
    <w:rsid w:val="00344CAD"/>
    <w:rsid w:val="00347D6A"/>
    <w:rsid w:val="003824B1"/>
    <w:rsid w:val="00384212"/>
    <w:rsid w:val="00387365"/>
    <w:rsid w:val="003877C3"/>
    <w:rsid w:val="003A53FD"/>
    <w:rsid w:val="003B46EA"/>
    <w:rsid w:val="003D1BF4"/>
    <w:rsid w:val="0041298A"/>
    <w:rsid w:val="00413150"/>
    <w:rsid w:val="00415EFB"/>
    <w:rsid w:val="00437232"/>
    <w:rsid w:val="00440F54"/>
    <w:rsid w:val="004573B7"/>
    <w:rsid w:val="00464C1D"/>
    <w:rsid w:val="00471730"/>
    <w:rsid w:val="00477D6A"/>
    <w:rsid w:val="004858D0"/>
    <w:rsid w:val="004A31A9"/>
    <w:rsid w:val="004B43E3"/>
    <w:rsid w:val="004B572B"/>
    <w:rsid w:val="004D4DA3"/>
    <w:rsid w:val="004E467D"/>
    <w:rsid w:val="004F7BF9"/>
    <w:rsid w:val="005206A8"/>
    <w:rsid w:val="00521FCF"/>
    <w:rsid w:val="00527956"/>
    <w:rsid w:val="00536625"/>
    <w:rsid w:val="00537FB1"/>
    <w:rsid w:val="00541C23"/>
    <w:rsid w:val="00541E8A"/>
    <w:rsid w:val="005420E3"/>
    <w:rsid w:val="005522F0"/>
    <w:rsid w:val="0055727A"/>
    <w:rsid w:val="00563964"/>
    <w:rsid w:val="00585FB5"/>
    <w:rsid w:val="00586F71"/>
    <w:rsid w:val="00596B2A"/>
    <w:rsid w:val="005A7990"/>
    <w:rsid w:val="005B1FE7"/>
    <w:rsid w:val="005B3EA1"/>
    <w:rsid w:val="005C44CF"/>
    <w:rsid w:val="005C4D1D"/>
    <w:rsid w:val="005C75B1"/>
    <w:rsid w:val="005F1893"/>
    <w:rsid w:val="005F410B"/>
    <w:rsid w:val="00624623"/>
    <w:rsid w:val="00625497"/>
    <w:rsid w:val="00626D71"/>
    <w:rsid w:val="0062790A"/>
    <w:rsid w:val="00632783"/>
    <w:rsid w:val="006430B4"/>
    <w:rsid w:val="006503AC"/>
    <w:rsid w:val="00650905"/>
    <w:rsid w:val="006547AC"/>
    <w:rsid w:val="006716F8"/>
    <w:rsid w:val="0067354F"/>
    <w:rsid w:val="0067517F"/>
    <w:rsid w:val="00684E53"/>
    <w:rsid w:val="00691394"/>
    <w:rsid w:val="00692936"/>
    <w:rsid w:val="00692AF3"/>
    <w:rsid w:val="0069645D"/>
    <w:rsid w:val="006B7A1B"/>
    <w:rsid w:val="006C7296"/>
    <w:rsid w:val="006D18EB"/>
    <w:rsid w:val="006F473D"/>
    <w:rsid w:val="006F4D57"/>
    <w:rsid w:val="00713A5E"/>
    <w:rsid w:val="00727FE4"/>
    <w:rsid w:val="00731CB6"/>
    <w:rsid w:val="007503CE"/>
    <w:rsid w:val="00753840"/>
    <w:rsid w:val="00753F0C"/>
    <w:rsid w:val="00755401"/>
    <w:rsid w:val="007668C6"/>
    <w:rsid w:val="00780582"/>
    <w:rsid w:val="007A591C"/>
    <w:rsid w:val="007B43F6"/>
    <w:rsid w:val="007C235F"/>
    <w:rsid w:val="007C290F"/>
    <w:rsid w:val="007C60FC"/>
    <w:rsid w:val="007C6516"/>
    <w:rsid w:val="007D06BF"/>
    <w:rsid w:val="007D253D"/>
    <w:rsid w:val="00804678"/>
    <w:rsid w:val="0080519C"/>
    <w:rsid w:val="00817232"/>
    <w:rsid w:val="0082247F"/>
    <w:rsid w:val="00843653"/>
    <w:rsid w:val="008447E1"/>
    <w:rsid w:val="00873947"/>
    <w:rsid w:val="00875194"/>
    <w:rsid w:val="00875C57"/>
    <w:rsid w:val="00882762"/>
    <w:rsid w:val="00885819"/>
    <w:rsid w:val="00892E83"/>
    <w:rsid w:val="008A304E"/>
    <w:rsid w:val="008B621F"/>
    <w:rsid w:val="008C08E3"/>
    <w:rsid w:val="008C24B2"/>
    <w:rsid w:val="008C47BD"/>
    <w:rsid w:val="008D6CAB"/>
    <w:rsid w:val="008F71F2"/>
    <w:rsid w:val="0090286A"/>
    <w:rsid w:val="00905CBC"/>
    <w:rsid w:val="009128AE"/>
    <w:rsid w:val="00923C87"/>
    <w:rsid w:val="00935B48"/>
    <w:rsid w:val="00963AFB"/>
    <w:rsid w:val="00967F23"/>
    <w:rsid w:val="00973FC9"/>
    <w:rsid w:val="009926B2"/>
    <w:rsid w:val="009A1476"/>
    <w:rsid w:val="009A3D7F"/>
    <w:rsid w:val="009A3E2F"/>
    <w:rsid w:val="009B2285"/>
    <w:rsid w:val="009C0D5A"/>
    <w:rsid w:val="009C2B55"/>
    <w:rsid w:val="009D39B1"/>
    <w:rsid w:val="009F1AE1"/>
    <w:rsid w:val="00A01B4E"/>
    <w:rsid w:val="00A04E3A"/>
    <w:rsid w:val="00A054C1"/>
    <w:rsid w:val="00A057A4"/>
    <w:rsid w:val="00A24B70"/>
    <w:rsid w:val="00A4069F"/>
    <w:rsid w:val="00A46D58"/>
    <w:rsid w:val="00A54DFB"/>
    <w:rsid w:val="00A66842"/>
    <w:rsid w:val="00A7233E"/>
    <w:rsid w:val="00A76190"/>
    <w:rsid w:val="00A77E0A"/>
    <w:rsid w:val="00A872BC"/>
    <w:rsid w:val="00A932AD"/>
    <w:rsid w:val="00A96950"/>
    <w:rsid w:val="00AA5850"/>
    <w:rsid w:val="00AB0915"/>
    <w:rsid w:val="00AB440C"/>
    <w:rsid w:val="00AD439E"/>
    <w:rsid w:val="00AD5DF9"/>
    <w:rsid w:val="00AD6488"/>
    <w:rsid w:val="00AD7375"/>
    <w:rsid w:val="00AF3F70"/>
    <w:rsid w:val="00B0523D"/>
    <w:rsid w:val="00B12EFB"/>
    <w:rsid w:val="00B21873"/>
    <w:rsid w:val="00B274BC"/>
    <w:rsid w:val="00B305E4"/>
    <w:rsid w:val="00B36ACD"/>
    <w:rsid w:val="00B4347F"/>
    <w:rsid w:val="00B528DF"/>
    <w:rsid w:val="00B536A3"/>
    <w:rsid w:val="00B55889"/>
    <w:rsid w:val="00B67502"/>
    <w:rsid w:val="00B67EF4"/>
    <w:rsid w:val="00B836E7"/>
    <w:rsid w:val="00B96098"/>
    <w:rsid w:val="00BA00F2"/>
    <w:rsid w:val="00BA7607"/>
    <w:rsid w:val="00BC30FB"/>
    <w:rsid w:val="00BD1431"/>
    <w:rsid w:val="00BD3B32"/>
    <w:rsid w:val="00C00087"/>
    <w:rsid w:val="00C13594"/>
    <w:rsid w:val="00C135CA"/>
    <w:rsid w:val="00C27264"/>
    <w:rsid w:val="00C307C6"/>
    <w:rsid w:val="00C43DB9"/>
    <w:rsid w:val="00C4483D"/>
    <w:rsid w:val="00C47912"/>
    <w:rsid w:val="00C6368E"/>
    <w:rsid w:val="00CA295B"/>
    <w:rsid w:val="00CA4638"/>
    <w:rsid w:val="00CA5B12"/>
    <w:rsid w:val="00CB3BDD"/>
    <w:rsid w:val="00CC4936"/>
    <w:rsid w:val="00CC6CA0"/>
    <w:rsid w:val="00CD117B"/>
    <w:rsid w:val="00CE0A93"/>
    <w:rsid w:val="00CF042F"/>
    <w:rsid w:val="00D16385"/>
    <w:rsid w:val="00D313EB"/>
    <w:rsid w:val="00D35CD7"/>
    <w:rsid w:val="00D477A2"/>
    <w:rsid w:val="00D542FA"/>
    <w:rsid w:val="00D559DC"/>
    <w:rsid w:val="00D75316"/>
    <w:rsid w:val="00D766F2"/>
    <w:rsid w:val="00D769C3"/>
    <w:rsid w:val="00D80AFE"/>
    <w:rsid w:val="00D93DFD"/>
    <w:rsid w:val="00DA7590"/>
    <w:rsid w:val="00DC1D13"/>
    <w:rsid w:val="00DE6925"/>
    <w:rsid w:val="00DF100A"/>
    <w:rsid w:val="00DF368B"/>
    <w:rsid w:val="00DF485A"/>
    <w:rsid w:val="00E12347"/>
    <w:rsid w:val="00E51D56"/>
    <w:rsid w:val="00E54870"/>
    <w:rsid w:val="00E57A01"/>
    <w:rsid w:val="00E77976"/>
    <w:rsid w:val="00E843B9"/>
    <w:rsid w:val="00E924C0"/>
    <w:rsid w:val="00EA226C"/>
    <w:rsid w:val="00EB07BB"/>
    <w:rsid w:val="00EC0B52"/>
    <w:rsid w:val="00EC1FE2"/>
    <w:rsid w:val="00EC3D56"/>
    <w:rsid w:val="00EE7733"/>
    <w:rsid w:val="00EF72D3"/>
    <w:rsid w:val="00F0248B"/>
    <w:rsid w:val="00F255C8"/>
    <w:rsid w:val="00F32786"/>
    <w:rsid w:val="00F40C40"/>
    <w:rsid w:val="00F4192C"/>
    <w:rsid w:val="00F43302"/>
    <w:rsid w:val="00F4379C"/>
    <w:rsid w:val="00F45048"/>
    <w:rsid w:val="00F5113C"/>
    <w:rsid w:val="00F76F8D"/>
    <w:rsid w:val="00F835BC"/>
    <w:rsid w:val="00F85A93"/>
    <w:rsid w:val="00FB49E5"/>
    <w:rsid w:val="00FB4D73"/>
    <w:rsid w:val="00FC50CE"/>
    <w:rsid w:val="00FC6E24"/>
    <w:rsid w:val="00FD7465"/>
    <w:rsid w:val="00FE0186"/>
    <w:rsid w:val="00FE5D30"/>
    <w:rsid w:val="00FF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BF4"/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1AE1"/>
    <w:pPr>
      <w:keepNext/>
      <w:spacing w:before="240" w:after="60"/>
      <w:outlineLvl w:val="2"/>
    </w:pPr>
    <w:rPr>
      <w:rFonts w:ascii="Calibri" w:eastAsia="MS Gothic" w:hAnsi="Calibri" w:cs="Times New Roman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21">
    <w:name w:val="A2+1"/>
    <w:uiPriority w:val="99"/>
    <w:rsid w:val="00003814"/>
    <w:rPr>
      <w:color w:val="000000"/>
      <w:sz w:val="26"/>
      <w:szCs w:val="26"/>
    </w:rPr>
  </w:style>
  <w:style w:type="table" w:styleId="Grilledutableau">
    <w:name w:val="Table Grid"/>
    <w:basedOn w:val="TableauNormal"/>
    <w:uiPriority w:val="59"/>
    <w:rsid w:val="007C2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7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58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01B4E"/>
  </w:style>
  <w:style w:type="paragraph" w:styleId="Pieddepage">
    <w:name w:val="footer"/>
    <w:basedOn w:val="Normal"/>
    <w:link w:val="PieddepageCar"/>
    <w:uiPriority w:val="99"/>
    <w:unhideWhenUsed/>
    <w:rsid w:val="00A0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1B4E"/>
  </w:style>
  <w:style w:type="paragraph" w:styleId="Rvision">
    <w:name w:val="Revision"/>
    <w:hidden/>
    <w:uiPriority w:val="99"/>
    <w:semiHidden/>
    <w:rsid w:val="00935B48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9F1AE1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F1AE1"/>
    <w:rPr>
      <w:rFonts w:ascii="Calibri" w:eastAsia="Calibri" w:hAnsi="Calibri" w:cs="Arial"/>
    </w:rPr>
  </w:style>
  <w:style w:type="paragraph" w:styleId="Paragraphedeliste">
    <w:name w:val="List Paragraph"/>
    <w:basedOn w:val="Normal"/>
    <w:link w:val="ParagraphedelisteCar"/>
    <w:uiPriority w:val="34"/>
    <w:qFormat/>
    <w:rsid w:val="009F1AE1"/>
    <w:pPr>
      <w:ind w:left="720"/>
      <w:contextualSpacing/>
    </w:pPr>
    <w:rPr>
      <w:rFonts w:ascii="Calibri" w:eastAsia="Calibri" w:hAnsi="Calibri" w:cs="Arial"/>
    </w:rPr>
  </w:style>
  <w:style w:type="character" w:styleId="Lienhypertexte">
    <w:name w:val="Hyperlink"/>
    <w:basedOn w:val="Policepardfaut"/>
    <w:uiPriority w:val="99"/>
    <w:unhideWhenUsed/>
    <w:rsid w:val="005206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cp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917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ROUIHA</dc:creator>
  <cp:lastModifiedBy>hcp</cp:lastModifiedBy>
  <cp:revision>2</cp:revision>
  <cp:lastPrinted>2017-10-01T08:55:00Z</cp:lastPrinted>
  <dcterms:created xsi:type="dcterms:W3CDTF">2017-10-02T09:40:00Z</dcterms:created>
  <dcterms:modified xsi:type="dcterms:W3CDTF">2017-10-02T09:40:00Z</dcterms:modified>
</cp:coreProperties>
</file>