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505F30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0.05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8442421" r:id="rId8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F58BF" w:rsidRDefault="001644D1" w:rsidP="00AF58BF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A2EC2" w:rsidRDefault="006A2EC2" w:rsidP="003651B9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3651B9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ذكرة اخبارية </w:t>
      </w:r>
      <w:r w:rsidR="00CD00D7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 السامية للتخطيط</w:t>
      </w:r>
      <w:r w:rsidR="00652C8B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652C8B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حول السكن بالمغرب</w:t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br/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بمناسبة اليوم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="00620436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</w:t>
      </w:r>
      <w:r w:rsidR="00620436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سكن</w:t>
      </w:r>
      <w:r w:rsidR="00AF58BF"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2 </w:t>
      </w:r>
      <w:r w:rsidR="00AB0D3B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أكتوبر</w:t>
      </w:r>
      <w:r w:rsidR="00AF58BF" w:rsidRPr="00051F82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Pr="00051F82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2017</w:t>
      </w:r>
      <w:r w:rsidR="00AF58BF" w:rsidRPr="00051F82">
        <w:rPr>
          <w:rFonts w:ascii="Simplified Arabic" w:hAnsi="Simplified Arabic" w:cs="Simplified Arabic"/>
          <w:b/>
          <w:bCs/>
          <w:color w:val="0000FF"/>
          <w:sz w:val="36"/>
          <w:szCs w:val="36"/>
        </w:rPr>
        <w:br/>
      </w:r>
    </w:p>
    <w:p w:rsidR="008E2F51" w:rsidRPr="00051F82" w:rsidRDefault="008E2F51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/>
          <w:sz w:val="24"/>
          <w:szCs w:val="24"/>
          <w:rtl/>
        </w:rPr>
        <w:t>بمناسبة اليوم العالمي لل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سكن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، تقدم المندوبية السامية للتخطيط بعض ال</w:t>
      </w:r>
      <w:r w:rsidR="00A05FA1"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>خصائص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المتعلقة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حظيرة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السكن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الوطنية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،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وذلك حسب معطيات الاحصاء العام للسكان والسكنى لسنة 2014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. </w:t>
      </w:r>
    </w:p>
    <w:p w:rsidR="0041458B" w:rsidRPr="00051F82" w:rsidRDefault="00A05FA1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خلال سنة 2014،</w:t>
      </w:r>
      <w:r w:rsidR="008E2F51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بلغت حظيرة السكن الوطنية 8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86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مليون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وحدة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سكنية،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مليون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منها متواجدة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الوسط الحضري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69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) مقابل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68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مليون في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الوسط القروي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).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تشكل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المأهولة 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79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8</w:t>
      </w:r>
      <w:r w:rsidR="0041458B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هذه الحظيرة،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أما المساكن 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فارغة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فتمثل 12</w:t>
      </w:r>
      <w:r w:rsidR="005F7B91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E553ED"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5F7B91" w:rsidRPr="00051F82">
        <w:rPr>
          <w:rFonts w:ascii="Simplified Arabic" w:hAnsi="Simplified Arabic" w:cs="Simplified Arabic"/>
          <w:sz w:val="24"/>
          <w:szCs w:val="24"/>
        </w:rPr>
        <w:t>%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F7B9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في حين تشكل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الثانوية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1458B" w:rsidRPr="00051F82">
        <w:rPr>
          <w:rFonts w:ascii="Simplified Arabic" w:hAnsi="Simplified Arabic" w:cs="Simplified Arabic" w:hint="cs"/>
          <w:sz w:val="24"/>
          <w:szCs w:val="24"/>
          <w:rtl/>
        </w:rPr>
        <w:t>والموسمية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 xml:space="preserve"> 8</w:t>
      </w:r>
      <w:r w:rsidR="005F7B91" w:rsidRPr="00051F82">
        <w:rPr>
          <w:rFonts w:ascii="Simplified Arabic" w:hAnsi="Simplified Arabic" w:cs="Simplified Arabic"/>
          <w:sz w:val="24"/>
          <w:szCs w:val="24"/>
        </w:rPr>
        <w:t>%</w:t>
      </w:r>
      <w:r w:rsidR="0041458B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يتميز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الوسط القروي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بهيمنة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وذلك بنسبة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91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2B6B90" w:rsidRPr="00051F82">
        <w:rPr>
          <w:rFonts w:ascii="Simplified Arabic" w:hAnsi="Simplified Arabic" w:cs="Simplified Arabic"/>
          <w:sz w:val="24"/>
          <w:szCs w:val="24"/>
        </w:rPr>
        <w:t>%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مقابل</w:t>
      </w:r>
      <w:r w:rsidR="00AE3F9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74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2B6B90" w:rsidRPr="00051F82">
        <w:rPr>
          <w:rFonts w:ascii="Simplified Arabic" w:hAnsi="Simplified Arabic" w:cs="Simplified Arabic"/>
          <w:sz w:val="24"/>
          <w:szCs w:val="24"/>
        </w:rPr>
        <w:t>%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B6B90" w:rsidRPr="00051F82">
        <w:rPr>
          <w:rFonts w:ascii="Simplified Arabic" w:hAnsi="Simplified Arabic" w:cs="Simplified Arabic" w:hint="cs"/>
          <w:sz w:val="24"/>
          <w:szCs w:val="24"/>
          <w:rtl/>
        </w:rPr>
        <w:t>الوسط الحضري</w:t>
      </w:r>
      <w:r w:rsidR="00AE3F94"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6B90" w:rsidRPr="00051F82" w:rsidRDefault="002B6B90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انتقل عدد المساكن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من 5367178 وحدة سكنية سنة 2004 إلى 7071118 سنة </w:t>
      </w:r>
      <w:r w:rsidR="00F375D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2014، منتقلة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بذلك نسبتها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 الحضري من60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E6946"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6</w:t>
      </w:r>
      <w:r w:rsidR="00707FC1"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A57E8" w:rsidRPr="008B5B1D" w:rsidRDefault="00343975" w:rsidP="004A57E8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اتجاه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ت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>ز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يد المساكن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 xml:space="preserve">في شكل </w:t>
      </w:r>
      <w:r w:rsidR="00A93023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منازل مغربية عصري</w:t>
      </w:r>
      <w:r w:rsidR="008A1D94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ة</w:t>
      </w:r>
    </w:p>
    <w:p w:rsidR="004A57E8" w:rsidRPr="00051F82" w:rsidRDefault="004A57E8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8A1D94" w:rsidRPr="00051F82">
        <w:rPr>
          <w:rFonts w:ascii="Simplified Arabic" w:hAnsi="Simplified Arabic" w:cs="Simplified Arabic" w:hint="cs"/>
          <w:sz w:val="24"/>
          <w:szCs w:val="24"/>
          <w:rtl/>
        </w:rPr>
        <w:t>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التوزيع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المساكن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E1C2F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المأهولة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الحضري زيادة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المنازل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العصرية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62,6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وأيضا في نسبة الشقق 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كما يظهر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انخفاضا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منازل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2226B"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="0082226B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تقليدية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وأيضا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نسبة </w:t>
      </w:r>
      <w:r w:rsidR="0082226B" w:rsidRPr="00051F82">
        <w:rPr>
          <w:rFonts w:ascii="Simplified Arabic" w:hAnsi="Simplified Arabic" w:cs="Simplified Arabic" w:hint="cs"/>
          <w:sz w:val="24"/>
          <w:szCs w:val="24"/>
          <w:rtl/>
        </w:rPr>
        <w:t>السكن البدائي أو مدن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342FD" w:rsidRPr="00051F82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صفيح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E2F51" w:rsidRPr="00051F82" w:rsidRDefault="00D342FD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من ناحية أخرى، يبين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توزيع الأسر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السكن في الوسط القروي انخفاضا في نسبة المساكن القروية حيث انتقلت من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2,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2004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6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كما يظهر ارتفاعا في نسبة المنازل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المغربية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العصرية من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13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6822C7" w:rsidRPr="00051F82">
        <w:rPr>
          <w:rFonts w:ascii="Simplified Arabic" w:hAnsi="Simplified Arabic" w:cs="Simplified Arabic"/>
          <w:sz w:val="24"/>
          <w:szCs w:val="24"/>
        </w:rPr>
        <w:t>%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25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6822C7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6822C7" w:rsidRPr="00051F82">
        <w:rPr>
          <w:rFonts w:ascii="Simplified Arabic" w:hAnsi="Simplified Arabic" w:cs="Simplified Arabic"/>
          <w:sz w:val="24"/>
          <w:szCs w:val="24"/>
        </w:rPr>
        <w:t>%</w:t>
      </w:r>
      <w:r w:rsidR="006822C7" w:rsidRPr="00051F82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87679" w:rsidRPr="00051F82" w:rsidRDefault="00EB3264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وحسب الجهات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، يظهر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توزيع الأسر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>نوع</w:t>
      </w:r>
      <w:r w:rsidR="00387679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767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السكن في الوسط الحضري أن ثلاثة جهات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تتميز بكون نسب الأسر التي تقطن بمنازل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مغربية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عصرية أقل من المعدل الوطني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تعلق الأمر بكل من جهة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 xml:space="preserve"> الدار البيضاء – سطات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50</w:t>
      </w:r>
      <w:r w:rsidR="009E19A2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="009E19A2" w:rsidRPr="00051F82">
        <w:rPr>
          <w:rFonts w:ascii="Simplified Arabic" w:hAnsi="Simplified Arabic" w:cs="Simplified Arabic"/>
          <w:sz w:val="24"/>
          <w:szCs w:val="24"/>
        </w:rPr>
        <w:t>%</w:t>
      </w:r>
      <w:r w:rsidR="009E19A2"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جهة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الرباط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-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سلا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–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القنيطرة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60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F51EDE" w:rsidRPr="00051F82">
        <w:rPr>
          <w:rFonts w:ascii="Simplified Arabic" w:hAnsi="Simplified Arabic" w:cs="Simplified Arabic"/>
          <w:sz w:val="24"/>
          <w:szCs w:val="24"/>
        </w:rPr>
        <w:t>%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مراكش –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آسفي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 62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F51EDE" w:rsidRPr="00051F82">
        <w:rPr>
          <w:rFonts w:ascii="Simplified Arabic" w:hAnsi="Simplified Arabic" w:cs="Simplified Arabic"/>
          <w:sz w:val="24"/>
          <w:szCs w:val="24"/>
        </w:rPr>
        <w:t>%</w:t>
      </w:r>
      <w:r w:rsidR="00F51EDE" w:rsidRPr="00051F82">
        <w:rPr>
          <w:rFonts w:ascii="Simplified Arabic" w:hAnsi="Simplified Arabic" w:cs="Simplified Arabic"/>
          <w:sz w:val="24"/>
          <w:szCs w:val="24"/>
          <w:rtl/>
        </w:rPr>
        <w:t>.</w:t>
      </w:r>
      <w:r w:rsidR="00F51EDE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ومع ذلك،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تتوفر الجهتين الأوليتين على نسب مرتفعة من الأسر التي تقطن الشقق</w:t>
      </w:r>
      <w:r w:rsidR="00861D74" w:rsidRPr="00051F82">
        <w:rPr>
          <w:rFonts w:ascii="Simplified Arabic" w:hAnsi="Simplified Arabic" w:cs="Simplified Arabic"/>
          <w:sz w:val="24"/>
          <w:szCs w:val="24"/>
        </w:rPr>
        <w:t xml:space="preserve"> 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="00E656C1" w:rsidRPr="00051F82">
        <w:rPr>
          <w:rFonts w:ascii="Simplified Arabic" w:hAnsi="Simplified Arabic" w:cs="Simplified Arabic"/>
          <w:sz w:val="24"/>
          <w:szCs w:val="24"/>
        </w:rPr>
        <w:t>%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و20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E656C1" w:rsidRPr="00051F82">
        <w:rPr>
          <w:rFonts w:ascii="Simplified Arabic" w:hAnsi="Simplified Arabic" w:cs="Simplified Arabic"/>
          <w:sz w:val="24"/>
          <w:szCs w:val="24"/>
        </w:rPr>
        <w:t>%</w:t>
      </w:r>
      <w:r w:rsidR="00E656C1"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="00E656C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السكن البدائي أو مدن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الصفيح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="002A22F9" w:rsidRPr="00051F82">
        <w:rPr>
          <w:rFonts w:ascii="Simplified Arabic" w:hAnsi="Simplified Arabic" w:cs="Simplified Arabic"/>
          <w:sz w:val="24"/>
          <w:szCs w:val="24"/>
        </w:rPr>
        <w:t>%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و8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="002A22F9" w:rsidRPr="00051F82">
        <w:rPr>
          <w:rFonts w:ascii="Simplified Arabic" w:hAnsi="Simplified Arabic" w:cs="Simplified Arabic"/>
          <w:sz w:val="24"/>
          <w:szCs w:val="24"/>
        </w:rPr>
        <w:t>%</w:t>
      </w:r>
      <w:r w:rsidR="002A22F9" w:rsidRPr="00051F82">
        <w:rPr>
          <w:rFonts w:ascii="Simplified Arabic" w:hAnsi="Simplified Arabic" w:cs="Simplified Arabic"/>
          <w:sz w:val="24"/>
          <w:szCs w:val="24"/>
          <w:rtl/>
        </w:rPr>
        <w:t>).</w:t>
      </w:r>
      <w:r w:rsidR="002A22F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8E2F51" w:rsidRPr="008B5B1D" w:rsidRDefault="00A81579" w:rsidP="0008640A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أكثر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من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مليون</w:t>
      </w:r>
      <w:r w:rsidRPr="008B5B1D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</w:t>
      </w: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مسكن شاغر</w:t>
      </w:r>
    </w:p>
    <w:p w:rsidR="00A81579" w:rsidRPr="008B5B1D" w:rsidRDefault="00A81579" w:rsidP="00BB4A3A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B5B1D">
        <w:rPr>
          <w:rFonts w:ascii="Simplified Arabic" w:hAnsi="Simplified Arabic" w:cs="Simplified Arabic" w:hint="cs"/>
          <w:sz w:val="24"/>
          <w:szCs w:val="24"/>
          <w:rtl/>
        </w:rPr>
        <w:t>بلغ عدد المساكن الفارغة 1087146 وحدة سنة 2014، 90</w:t>
      </w:r>
      <w:r w:rsidRPr="008B5B1D">
        <w:rPr>
          <w:rFonts w:ascii="Simplified Arabic" w:hAnsi="Simplified Arabic" w:cs="Simplified Arabic"/>
          <w:sz w:val="24"/>
          <w:szCs w:val="24"/>
          <w:rtl/>
        </w:rPr>
        <w:t>,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8B5B1D">
        <w:rPr>
          <w:rFonts w:ascii="Simplified Arabic" w:hAnsi="Simplified Arabic" w:cs="Simplified Arabic"/>
          <w:sz w:val="24"/>
          <w:szCs w:val="24"/>
        </w:rPr>
        <w:t>%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B4A3A">
        <w:rPr>
          <w:rFonts w:ascii="Simplified Arabic" w:hAnsi="Simplified Arabic" w:cs="Simplified Arabic" w:hint="cs"/>
          <w:sz w:val="24"/>
          <w:szCs w:val="24"/>
          <w:rtl/>
          <w:lang w:bidi="ar-MA"/>
        </w:rPr>
        <w:t>ف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ي الوسط الحضري و9</w:t>
      </w:r>
      <w:r w:rsidRPr="008B5B1D">
        <w:rPr>
          <w:rFonts w:ascii="Simplified Arabic" w:hAnsi="Simplified Arabic" w:cs="Simplified Arabic"/>
          <w:sz w:val="24"/>
          <w:szCs w:val="24"/>
          <w:rtl/>
        </w:rPr>
        <w:t>,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8B5B1D">
        <w:rPr>
          <w:rFonts w:ascii="Simplified Arabic" w:hAnsi="Simplified Arabic" w:cs="Simplified Arabic"/>
          <w:sz w:val="24"/>
          <w:szCs w:val="24"/>
        </w:rPr>
        <w:t>%</w:t>
      </w:r>
      <w:r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</w:t>
      </w:r>
      <w:r w:rsidR="001405E2" w:rsidRPr="008B5B1D">
        <w:rPr>
          <w:rFonts w:ascii="Simplified Arabic" w:hAnsi="Simplified Arabic" w:cs="Simplified Arabic" w:hint="cs"/>
          <w:sz w:val="24"/>
          <w:szCs w:val="24"/>
          <w:rtl/>
        </w:rPr>
        <w:t xml:space="preserve"> القروي</w:t>
      </w:r>
      <w:r w:rsidR="001405E2" w:rsidRPr="008B5B1D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D17E17" w:rsidRPr="00051F82" w:rsidRDefault="001405E2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على المستوى الجهوي، </w:t>
      </w:r>
      <w:r w:rsidR="00395688" w:rsidRPr="00051F82">
        <w:rPr>
          <w:rFonts w:ascii="Simplified Arabic" w:hAnsi="Simplified Arabic" w:cs="Simplified Arabic" w:hint="cs"/>
          <w:sz w:val="24"/>
          <w:szCs w:val="24"/>
          <w:rtl/>
        </w:rPr>
        <w:t>تم تسجيل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تباينات كبيرة في الوسط الحضري. 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بلغت نسبة المساكن الفارغة 1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الدار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البيضاء-سطات،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طنجة-تطوان-الحسيمة، 7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الرباط سلا-القنيطرة، 12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فاس-مكناس، 8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مراكش-أسفي، 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سوس-ماسة و5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الشرق. هذه النسبة لا تتعدى 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بني ملال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>-خنيفرة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3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درعة-تافيلالت وأقل من 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بكل جهة من </w:t>
      </w:r>
      <w:r w:rsidR="00242B54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جهات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الأقاليم الجنوبية.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الفارغة بالوسط الحضري هي عبارة عن شقق</w:t>
      </w:r>
      <w:r w:rsidRPr="00051F82">
        <w:rPr>
          <w:rFonts w:ascii="Simplified Arabic" w:hAnsi="Simplified Arabic" w:cs="Simplified Arabic" w:hint="cs"/>
          <w:sz w:val="24"/>
          <w:szCs w:val="24"/>
          <w:rtl/>
          <w:lang w:bidi="ar-MA"/>
        </w:rPr>
        <w:t>،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أي 478124 وحدة.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يأتي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صنف المنازل المغربية العصرية في المرتبة الثانية ب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40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صنف الفيلات أو طابق فيلا يأتي في المرتبة الثالثة ب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 فيما لا يمثل صنف المنازل المغربية التقليدية إلا 3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56C99" w:rsidRPr="00051F82" w:rsidRDefault="00856C99" w:rsidP="00A84F1B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لقد سجل عدد الشقق الفارغة</w:t>
      </w:r>
      <w:r w:rsidR="00A84F1B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الحضري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ارتفاعا واضحا، حيث تضاعف ب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 xml:space="preserve">حوالي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ثلاث مرات، منتقلا من 144397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وحدة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سنة 2004 إلى 478124 سنة 2014. هذا في الوقت الذي تضاعف فيه عدد المساكن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صنف الفيلا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أو طابق فيلا بأكثر من 2 </w:t>
      </w:r>
      <w:r w:rsidR="00573F0A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مرات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 نفس الفترة، منتقلا من 16632 إلى 42942 وحدة، في حين أن المنازل المغربية العصرية الفارغة لم ترتفع إلا بنسبة 61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فقط.</w:t>
      </w:r>
    </w:p>
    <w:p w:rsidR="00856C99" w:rsidRPr="008B5B1D" w:rsidRDefault="00856C99" w:rsidP="00856C99">
      <w:pPr>
        <w:bidi/>
        <w:spacing w:after="0" w:line="240" w:lineRule="auto"/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ثمان مساكن ثانوية من أصل عشرة توجد بالمدينة</w:t>
      </w:r>
    </w:p>
    <w:p w:rsidR="00856C99" w:rsidRPr="00051F82" w:rsidRDefault="00856C99" w:rsidP="00AE1BB1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سجل المغرب سنة 2014 ما مجموعه 706121 وحدة من المساكن الثانوية أو الموسمية، منها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الحضري و6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بالوسط القروي.</w:t>
      </w:r>
    </w:p>
    <w:p w:rsidR="00811E02" w:rsidRPr="00051F82" w:rsidRDefault="00811E02" w:rsidP="00811E0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يبين توزيع مجموع المساكن الثانوية أو الموسمية حسب نوع السكن هيمنة صنف المنازل المغربية العصرية (</w:t>
      </w:r>
      <w:r w:rsidRPr="00051F82">
        <w:rPr>
          <w:rFonts w:ascii="Simplified Arabic" w:hAnsi="Simplified Arabic" w:cs="Simplified Arabic"/>
          <w:sz w:val="24"/>
          <w:szCs w:val="24"/>
        </w:rPr>
        <w:t>%46,4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327622 وحدة)، متبوعا بصنف الشقق (35,3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249344 وحدة)، ثم صنف الفيلات (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4,4، 46977 وحدة).  غير أن عدد الشقق الثانوية أو الموسمية تضاعف </w:t>
      </w:r>
      <w:r w:rsidRPr="00051F82">
        <w:rPr>
          <w:rFonts w:ascii="Simplified Arabic" w:hAnsi="Simplified Arabic" w:cs="Simplified Arabic"/>
          <w:sz w:val="24"/>
          <w:szCs w:val="24"/>
        </w:rPr>
        <w:t>4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مرات، بحيث انتقل من 62478 سنة 2004 إلى 249344 وحدة سنة 2014.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تضم ثلاثة جهات أكثر من 55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الثانوية أو الموسمية في الوسط الحضري. يتعلق الأمر بجهة الدار</w:t>
      </w:r>
      <w:r w:rsidR="003925C5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</w:t>
      </w:r>
      <w:r w:rsidR="003925C5" w:rsidRPr="00051F82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ضاء-سطات بنسبة 4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024041" w:rsidRPr="00051F82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جهة طنجة-تطوان-الحسيمة بنسبة 6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الرباط-سلا-القنيطرة بنسبة 2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في الوسط القروي، تضم جهات سوس-ماسة، الدار</w:t>
      </w:r>
      <w:r w:rsidR="00024041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البيضاء-سطات ومراكش-أسفي تقريبا 61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الثانوية أو الموسمية، بنسب 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24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و9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و8</w:t>
      </w:r>
      <w:r w:rsidRPr="00051F82">
        <w:rPr>
          <w:rFonts w:ascii="Simplified Arabic" w:hAnsi="Simplified Arabic" w:cs="Simplified Arabic"/>
          <w:sz w:val="24"/>
          <w:szCs w:val="24"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التوالي.</w:t>
      </w:r>
    </w:p>
    <w:p w:rsidR="00856C99" w:rsidRPr="008B5B1D" w:rsidRDefault="00856C99" w:rsidP="00856C99">
      <w:pPr>
        <w:bidi/>
        <w:spacing w:after="0" w:line="240" w:lineRule="auto"/>
        <w:jc w:val="both"/>
        <w:rPr>
          <w:rFonts w:ascii="Times New Roman" w:hAnsi="Times New Roman" w:cs="Times New Roman"/>
        </w:rPr>
      </w:pPr>
      <w:r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حظيرة سكنية متقادمة</w:t>
      </w:r>
    </w:p>
    <w:p w:rsidR="00856C99" w:rsidRPr="00051F82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>يبلغ عمر 20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حظيرة السكن الوطنية أقل من 10 سنوات، 21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 و19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القروي. في حين تمثل نسبة المساكن التي يبلغ عمرها 50 سنة فأكثر حوال</w:t>
      </w:r>
      <w:r w:rsidRPr="00051F82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 xml:space="preserve">ي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2B6156" w:rsidRPr="00051F82">
        <w:rPr>
          <w:rFonts w:ascii="Simplified Arabic" w:hAnsi="Simplified Arabic" w:cs="Simplified Arabic"/>
          <w:sz w:val="24"/>
          <w:szCs w:val="24"/>
        </w:rPr>
        <w:t xml:space="preserve"> </w:t>
      </w:r>
      <w:r w:rsidR="002B6156" w:rsidRPr="00051F82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منها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القروي و14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الحضري. </w:t>
      </w:r>
      <w:r w:rsidR="002B6156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بينما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تتراوح أعمار أكثر من ثلث المساكن ما بين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0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و50 سنة على الصعيد الوطني (40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 الوسط الحضري مقابل 30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في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الوسط القروي)، كما تتراوح أعمار حوالي 43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من المساكن أقل من 20 سنة.</w:t>
      </w:r>
    </w:p>
    <w:p w:rsidR="00856C99" w:rsidRPr="008B5B1D" w:rsidRDefault="007A2694" w:rsidP="00856C99">
      <w:pPr>
        <w:bidi/>
        <w:spacing w:after="0" w:line="240" w:lineRule="auto"/>
        <w:jc w:val="both"/>
        <w:rPr>
          <w:rFonts w:ascii="Times New Roman" w:hAnsi="Times New Roman" w:cs="Times New Roman"/>
          <w:rtl/>
        </w:rPr>
      </w:pPr>
      <w:r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ولوج واسع النطاق ل</w:t>
      </w:r>
      <w:r w:rsidR="00856C99"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 xml:space="preserve">ملكية </w:t>
      </w:r>
      <w:r w:rsidRPr="00861D74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ا</w:t>
      </w:r>
      <w:r w:rsidR="00856C99" w:rsidRPr="008B5B1D">
        <w:rPr>
          <w:rFonts w:ascii="Simplified Arabic" w:hAnsi="Simplified Arabic" w:cs="Simplified Arabic" w:hint="cs"/>
          <w:b/>
          <w:bCs/>
          <w:i/>
          <w:iCs/>
          <w:color w:val="0000FF"/>
          <w:sz w:val="24"/>
          <w:szCs w:val="24"/>
          <w:rtl/>
          <w:lang w:bidi="ar-MA"/>
        </w:rPr>
        <w:t>لمساكن: 6 أسر من أصل 10</w:t>
      </w:r>
    </w:p>
    <w:p w:rsidR="00856C99" w:rsidRPr="00051F82" w:rsidRDefault="00015631" w:rsidP="00051F82">
      <w:pPr>
        <w:bidi/>
        <w:spacing w:after="120" w:line="360" w:lineRule="exact"/>
        <w:jc w:val="both"/>
        <w:rPr>
          <w:rFonts w:ascii="Times New Roman" w:hAnsi="Times New Roman" w:cs="Times New Roman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خلال الفترة ما بين 2004 و2014، 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>عرف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ت 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الأسر الحضرية المالكة لمساكنها ارتفاعا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ملموسا حيث انتقلت نسبتها من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%57,7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%61,9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على حساب الأسر المكترية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التي انتقلت من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%29,6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إلى </w:t>
      </w:r>
      <w:r w:rsidR="00856C99" w:rsidRPr="00051F82">
        <w:rPr>
          <w:rFonts w:ascii="Simplified Arabic" w:hAnsi="Simplified Arabic" w:cs="Simplified Arabic"/>
          <w:sz w:val="24"/>
          <w:szCs w:val="24"/>
        </w:rPr>
        <w:t>27,3</w:t>
      </w:r>
      <w:r w:rsidR="00856C99" w:rsidRPr="00051F82">
        <w:rPr>
          <w:rFonts w:ascii="Simplified Arabic" w:hAnsi="Simplified Arabic" w:cs="Simplified Arabic" w:hint="cs"/>
          <w:sz w:val="24"/>
          <w:szCs w:val="24"/>
          <w:rtl/>
        </w:rPr>
        <w:t>%.</w:t>
      </w:r>
    </w:p>
    <w:p w:rsidR="00856C99" w:rsidRPr="00051F82" w:rsidRDefault="00856C99" w:rsidP="008F3752">
      <w:pPr>
        <w:keepLines/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51F82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تتواجد النسب المهمة من الأسر المالكة لمساكنها بجهة الشرق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)، بجهة بني ملال-خنيفرة (64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، بجهة درعة تافيلالت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)، بجهة مراكش-أسفي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وبجهة فاس-مكناس 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(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7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)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. في حين سجلت جهات الجنوب أدنى النسب، حيث تتراوح بين 42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</w:t>
      </w:r>
      <w:r w:rsidR="00BF4C53"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جهة 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الداخلة-واد الذهب و56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بجهة كلميم-واد نون. أما الأسر المكترية لمساكنها فتتواجد أكثر بجهات الداخلة-واد الذهب 48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العيون الساقية الحمراء 44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كلميم واد نون 35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، طنجة-تطوان-الحسيمة 31</w:t>
      </w:r>
      <w:r w:rsidRPr="00051F82">
        <w:rPr>
          <w:rFonts w:ascii="Simplified Arabic" w:hAnsi="Simplified Arabic" w:cs="Simplified Arabic"/>
          <w:sz w:val="24"/>
          <w:szCs w:val="24"/>
          <w:rtl/>
        </w:rPr>
        <w:t>,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 وجهة سوس-ماسة 30</w:t>
      </w:r>
      <w:r w:rsidRPr="00051F82">
        <w:rPr>
          <w:rFonts w:ascii="Simplified Arabic" w:hAnsi="Simplified Arabic" w:cs="Simplified Arabic"/>
          <w:sz w:val="24"/>
          <w:szCs w:val="24"/>
        </w:rPr>
        <w:t>%</w:t>
      </w:r>
      <w:r w:rsidRPr="00051F82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</w:p>
    <w:p w:rsidR="0093374B" w:rsidRPr="00044B10" w:rsidRDefault="00856C99" w:rsidP="00051F82">
      <w:pPr>
        <w:bidi/>
        <w:spacing w:after="12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bookmarkStart w:id="0" w:name="_GoBack"/>
      <w:r w:rsidRPr="00044B10">
        <w:rPr>
          <w:rFonts w:ascii="Simplified Arabic" w:hAnsi="Simplified Arabic" w:cs="Simplified Arabic"/>
          <w:sz w:val="24"/>
          <w:szCs w:val="24"/>
          <w:rtl/>
        </w:rPr>
        <w:t>يمكن تحميل التقرير التحليلي لهذه الدراسة، تحت عنوان: "</w:t>
      </w:r>
      <w:r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</w:rPr>
        <w:t>السكن في المغرب</w:t>
      </w:r>
      <w:r w:rsidR="00BF4C53"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</w:rPr>
        <w:t>: وضعية حظيرة المساكن</w:t>
      </w:r>
      <w:r w:rsidR="00044B10" w:rsidRPr="00F24754">
        <w:rPr>
          <w:rFonts w:ascii="Simplified Arabic" w:hAnsi="Simplified Arabic" w:cs="Simplified Arabic"/>
          <w:b/>
          <w:bCs/>
          <w:i/>
          <w:iCs/>
          <w:color w:val="0000FF"/>
          <w:sz w:val="24"/>
          <w:szCs w:val="24"/>
          <w:rtl/>
          <w:lang w:bidi="ar-MA"/>
        </w:rPr>
        <w:t xml:space="preserve"> وصفة الحيازة</w:t>
      </w:r>
      <w:r w:rsidRPr="00044B10">
        <w:rPr>
          <w:rFonts w:ascii="Simplified Arabic" w:hAnsi="Simplified Arabic" w:cs="Simplified Arabic"/>
          <w:sz w:val="24"/>
          <w:szCs w:val="24"/>
          <w:rtl/>
        </w:rPr>
        <w:t xml:space="preserve">"، عبر الموقع </w:t>
      </w:r>
      <w:r w:rsidRPr="00044B10">
        <w:rPr>
          <w:rFonts w:ascii="Simplified Arabic" w:hAnsi="Simplified Arabic" w:cs="Simplified Arabic"/>
          <w:i/>
          <w:iCs/>
          <w:sz w:val="24"/>
          <w:szCs w:val="24"/>
        </w:rPr>
        <w:t>www.hcp.ma</w:t>
      </w:r>
      <w:r w:rsidRPr="00044B10">
        <w:rPr>
          <w:rFonts w:ascii="Simplified Arabic" w:hAnsi="Simplified Arabic" w:cs="Simplified Arabic"/>
          <w:i/>
          <w:iCs/>
          <w:sz w:val="24"/>
          <w:szCs w:val="24"/>
          <w:rtl/>
        </w:rPr>
        <w:t>.</w:t>
      </w:r>
    </w:p>
    <w:bookmarkEnd w:id="0"/>
    <w:p w:rsidR="0093374B" w:rsidRPr="00856C99" w:rsidRDefault="0093374B" w:rsidP="0093374B">
      <w:pPr>
        <w:bidi/>
        <w:spacing w:line="360" w:lineRule="exact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9A0F5C" w:rsidRPr="00A27154" w:rsidRDefault="001405E2" w:rsidP="00A27154">
      <w:pPr>
        <w:rPr>
          <w:rFonts w:ascii="Simplified Arabic" w:hAnsi="Simplified Arabic" w:cs="Simplified Arabic"/>
          <w:sz w:val="28"/>
          <w:szCs w:val="28"/>
        </w:rPr>
      </w:pPr>
      <w:bookmarkStart w:id="1" w:name="_Hlk494578497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End w:id="1"/>
    </w:p>
    <w:p w:rsidR="00AE3F94" w:rsidRPr="000D44BF" w:rsidRDefault="00AE3F94" w:rsidP="00AE3F94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AE3F94" w:rsidRPr="000D44BF" w:rsidSect="001162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7E" w:rsidRDefault="00EC7C7E" w:rsidP="00A01B4E">
      <w:pPr>
        <w:spacing w:after="0" w:line="240" w:lineRule="auto"/>
      </w:pPr>
      <w:r>
        <w:separator/>
      </w:r>
    </w:p>
  </w:endnote>
  <w:endnote w:type="continuationSeparator" w:id="1">
    <w:p w:rsidR="00EC7C7E" w:rsidRDefault="00EC7C7E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225B06" w:rsidRDefault="00505F30">
        <w:pPr>
          <w:pStyle w:val="Pieddepage"/>
          <w:jc w:val="center"/>
        </w:pPr>
        <w:r>
          <w:fldChar w:fldCharType="begin"/>
        </w:r>
        <w:r w:rsidR="00C80E2A">
          <w:instrText xml:space="preserve"> PAGE   \* MERGEFORMAT </w:instrText>
        </w:r>
        <w:r>
          <w:fldChar w:fldCharType="separate"/>
        </w:r>
        <w:r w:rsidR="00F67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5B06" w:rsidRDefault="00225B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7E" w:rsidRDefault="00EC7C7E" w:rsidP="00A01B4E">
      <w:pPr>
        <w:spacing w:after="0" w:line="240" w:lineRule="auto"/>
      </w:pPr>
      <w:r>
        <w:separator/>
      </w:r>
    </w:p>
  </w:footnote>
  <w:footnote w:type="continuationSeparator" w:id="1">
    <w:p w:rsidR="00EC7C7E" w:rsidRDefault="00EC7C7E" w:rsidP="00A0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15631"/>
    <w:rsid w:val="00024041"/>
    <w:rsid w:val="00030909"/>
    <w:rsid w:val="00041715"/>
    <w:rsid w:val="00042862"/>
    <w:rsid w:val="00044B10"/>
    <w:rsid w:val="00051F82"/>
    <w:rsid w:val="000545AE"/>
    <w:rsid w:val="000678E2"/>
    <w:rsid w:val="00070E45"/>
    <w:rsid w:val="00074386"/>
    <w:rsid w:val="00081E96"/>
    <w:rsid w:val="0008640A"/>
    <w:rsid w:val="00090AAD"/>
    <w:rsid w:val="000927B4"/>
    <w:rsid w:val="0009413B"/>
    <w:rsid w:val="00095C35"/>
    <w:rsid w:val="00096DBD"/>
    <w:rsid w:val="000A2187"/>
    <w:rsid w:val="000C0E72"/>
    <w:rsid w:val="000C5DAA"/>
    <w:rsid w:val="000D41A0"/>
    <w:rsid w:val="000D44BF"/>
    <w:rsid w:val="000E6826"/>
    <w:rsid w:val="000F0B13"/>
    <w:rsid w:val="000F14DF"/>
    <w:rsid w:val="000F3732"/>
    <w:rsid w:val="00106D9C"/>
    <w:rsid w:val="001162EA"/>
    <w:rsid w:val="00136FF0"/>
    <w:rsid w:val="00137F95"/>
    <w:rsid w:val="001405E2"/>
    <w:rsid w:val="001447B3"/>
    <w:rsid w:val="00150DA9"/>
    <w:rsid w:val="00151336"/>
    <w:rsid w:val="001644D1"/>
    <w:rsid w:val="0016455A"/>
    <w:rsid w:val="00173D24"/>
    <w:rsid w:val="001777B3"/>
    <w:rsid w:val="00191CB3"/>
    <w:rsid w:val="001959DB"/>
    <w:rsid w:val="001969E5"/>
    <w:rsid w:val="001A316E"/>
    <w:rsid w:val="001A6007"/>
    <w:rsid w:val="001A62A3"/>
    <w:rsid w:val="001A6D89"/>
    <w:rsid w:val="001B3C3D"/>
    <w:rsid w:val="001C7E87"/>
    <w:rsid w:val="001D4630"/>
    <w:rsid w:val="001E14B9"/>
    <w:rsid w:val="001E26EE"/>
    <w:rsid w:val="001E4AF7"/>
    <w:rsid w:val="001F216C"/>
    <w:rsid w:val="002121D7"/>
    <w:rsid w:val="00213853"/>
    <w:rsid w:val="00225B06"/>
    <w:rsid w:val="002327DE"/>
    <w:rsid w:val="00242B54"/>
    <w:rsid w:val="00245139"/>
    <w:rsid w:val="00252E6B"/>
    <w:rsid w:val="002615D5"/>
    <w:rsid w:val="00261B97"/>
    <w:rsid w:val="00270208"/>
    <w:rsid w:val="00271D92"/>
    <w:rsid w:val="00280B48"/>
    <w:rsid w:val="00297119"/>
    <w:rsid w:val="002A22F9"/>
    <w:rsid w:val="002A336A"/>
    <w:rsid w:val="002A4CC9"/>
    <w:rsid w:val="002A585B"/>
    <w:rsid w:val="002B3EAB"/>
    <w:rsid w:val="002B6156"/>
    <w:rsid w:val="002B6B90"/>
    <w:rsid w:val="002B7FD0"/>
    <w:rsid w:val="002D08EC"/>
    <w:rsid w:val="002E0320"/>
    <w:rsid w:val="00303774"/>
    <w:rsid w:val="003101D1"/>
    <w:rsid w:val="00311577"/>
    <w:rsid w:val="00315318"/>
    <w:rsid w:val="00323240"/>
    <w:rsid w:val="003434EF"/>
    <w:rsid w:val="00343975"/>
    <w:rsid w:val="0034468B"/>
    <w:rsid w:val="00344CAD"/>
    <w:rsid w:val="00360864"/>
    <w:rsid w:val="0036455C"/>
    <w:rsid w:val="003651B9"/>
    <w:rsid w:val="003652AE"/>
    <w:rsid w:val="00387365"/>
    <w:rsid w:val="00387679"/>
    <w:rsid w:val="003925C5"/>
    <w:rsid w:val="00395688"/>
    <w:rsid w:val="003A53FD"/>
    <w:rsid w:val="003C4885"/>
    <w:rsid w:val="003D1BF4"/>
    <w:rsid w:val="003E6933"/>
    <w:rsid w:val="003F31FD"/>
    <w:rsid w:val="00413150"/>
    <w:rsid w:val="0041458B"/>
    <w:rsid w:val="00415EFB"/>
    <w:rsid w:val="00430C11"/>
    <w:rsid w:val="00437232"/>
    <w:rsid w:val="00440F54"/>
    <w:rsid w:val="004573B7"/>
    <w:rsid w:val="00457960"/>
    <w:rsid w:val="004709C3"/>
    <w:rsid w:val="00471651"/>
    <w:rsid w:val="004717AE"/>
    <w:rsid w:val="00477D6A"/>
    <w:rsid w:val="004A57E8"/>
    <w:rsid w:val="004B0BA2"/>
    <w:rsid w:val="004B3D83"/>
    <w:rsid w:val="004B572B"/>
    <w:rsid w:val="004E467D"/>
    <w:rsid w:val="004F5DB7"/>
    <w:rsid w:val="00505F30"/>
    <w:rsid w:val="00513D76"/>
    <w:rsid w:val="00521FCF"/>
    <w:rsid w:val="005225C2"/>
    <w:rsid w:val="00536625"/>
    <w:rsid w:val="00541C23"/>
    <w:rsid w:val="0055727A"/>
    <w:rsid w:val="00562202"/>
    <w:rsid w:val="00563964"/>
    <w:rsid w:val="0057083C"/>
    <w:rsid w:val="00573F0A"/>
    <w:rsid w:val="00585FB5"/>
    <w:rsid w:val="00592F23"/>
    <w:rsid w:val="00596B2A"/>
    <w:rsid w:val="005A7990"/>
    <w:rsid w:val="005B1FE7"/>
    <w:rsid w:val="005B3559"/>
    <w:rsid w:val="005B3EA1"/>
    <w:rsid w:val="005D20EB"/>
    <w:rsid w:val="005D4DBB"/>
    <w:rsid w:val="005F6507"/>
    <w:rsid w:val="005F7B91"/>
    <w:rsid w:val="00620436"/>
    <w:rsid w:val="00624623"/>
    <w:rsid w:val="00625497"/>
    <w:rsid w:val="0062790A"/>
    <w:rsid w:val="00652C8B"/>
    <w:rsid w:val="006547AC"/>
    <w:rsid w:val="0067354F"/>
    <w:rsid w:val="006822C7"/>
    <w:rsid w:val="00684E53"/>
    <w:rsid w:val="006918D0"/>
    <w:rsid w:val="00692936"/>
    <w:rsid w:val="00696132"/>
    <w:rsid w:val="0069645D"/>
    <w:rsid w:val="006A2EC2"/>
    <w:rsid w:val="006B5EA6"/>
    <w:rsid w:val="006B687B"/>
    <w:rsid w:val="006B7A1B"/>
    <w:rsid w:val="006C7296"/>
    <w:rsid w:val="006D5C41"/>
    <w:rsid w:val="006E13FF"/>
    <w:rsid w:val="006F473D"/>
    <w:rsid w:val="006F4D57"/>
    <w:rsid w:val="0070224E"/>
    <w:rsid w:val="00706309"/>
    <w:rsid w:val="00707FC1"/>
    <w:rsid w:val="007244FA"/>
    <w:rsid w:val="00726D36"/>
    <w:rsid w:val="00727FE4"/>
    <w:rsid w:val="007326EA"/>
    <w:rsid w:val="007503CE"/>
    <w:rsid w:val="00753F0C"/>
    <w:rsid w:val="00755401"/>
    <w:rsid w:val="00775992"/>
    <w:rsid w:val="00781B84"/>
    <w:rsid w:val="00787B49"/>
    <w:rsid w:val="007A2694"/>
    <w:rsid w:val="007B0138"/>
    <w:rsid w:val="007B089F"/>
    <w:rsid w:val="007B43F6"/>
    <w:rsid w:val="007C235F"/>
    <w:rsid w:val="007C290F"/>
    <w:rsid w:val="007C60FC"/>
    <w:rsid w:val="007D06BF"/>
    <w:rsid w:val="007D126F"/>
    <w:rsid w:val="007D253D"/>
    <w:rsid w:val="007D7883"/>
    <w:rsid w:val="007E1C2F"/>
    <w:rsid w:val="0080080F"/>
    <w:rsid w:val="00804678"/>
    <w:rsid w:val="00811E02"/>
    <w:rsid w:val="00822026"/>
    <w:rsid w:val="0082226B"/>
    <w:rsid w:val="0083615A"/>
    <w:rsid w:val="00841116"/>
    <w:rsid w:val="00843AD4"/>
    <w:rsid w:val="008447E1"/>
    <w:rsid w:val="00856C99"/>
    <w:rsid w:val="00861D74"/>
    <w:rsid w:val="008647EF"/>
    <w:rsid w:val="00875C57"/>
    <w:rsid w:val="00882762"/>
    <w:rsid w:val="00885819"/>
    <w:rsid w:val="00887B09"/>
    <w:rsid w:val="00897A1D"/>
    <w:rsid w:val="008A1D94"/>
    <w:rsid w:val="008B5B1D"/>
    <w:rsid w:val="008C08E3"/>
    <w:rsid w:val="008C47BD"/>
    <w:rsid w:val="008D305D"/>
    <w:rsid w:val="008D695B"/>
    <w:rsid w:val="008E1781"/>
    <w:rsid w:val="008E2F51"/>
    <w:rsid w:val="008F3752"/>
    <w:rsid w:val="008F41A5"/>
    <w:rsid w:val="008F673E"/>
    <w:rsid w:val="008F71F2"/>
    <w:rsid w:val="0090286A"/>
    <w:rsid w:val="00905CBC"/>
    <w:rsid w:val="00927DB1"/>
    <w:rsid w:val="0093374B"/>
    <w:rsid w:val="00935B48"/>
    <w:rsid w:val="00942506"/>
    <w:rsid w:val="009505C1"/>
    <w:rsid w:val="00951854"/>
    <w:rsid w:val="0096295F"/>
    <w:rsid w:val="00963AFB"/>
    <w:rsid w:val="00973FC9"/>
    <w:rsid w:val="009926B2"/>
    <w:rsid w:val="009A0F5C"/>
    <w:rsid w:val="009A3E2F"/>
    <w:rsid w:val="009B2285"/>
    <w:rsid w:val="009C2B55"/>
    <w:rsid w:val="009E19A2"/>
    <w:rsid w:val="009E6946"/>
    <w:rsid w:val="009E7E5F"/>
    <w:rsid w:val="00A01B4E"/>
    <w:rsid w:val="00A04E3A"/>
    <w:rsid w:val="00A054C1"/>
    <w:rsid w:val="00A057A4"/>
    <w:rsid w:val="00A05FA1"/>
    <w:rsid w:val="00A07E81"/>
    <w:rsid w:val="00A218D1"/>
    <w:rsid w:val="00A24D61"/>
    <w:rsid w:val="00A27154"/>
    <w:rsid w:val="00A32188"/>
    <w:rsid w:val="00A336EB"/>
    <w:rsid w:val="00A340B3"/>
    <w:rsid w:val="00A46D58"/>
    <w:rsid w:val="00A51FF9"/>
    <w:rsid w:val="00A63066"/>
    <w:rsid w:val="00A66842"/>
    <w:rsid w:val="00A7233E"/>
    <w:rsid w:val="00A741F1"/>
    <w:rsid w:val="00A76190"/>
    <w:rsid w:val="00A81579"/>
    <w:rsid w:val="00A84F1B"/>
    <w:rsid w:val="00A872BC"/>
    <w:rsid w:val="00A93023"/>
    <w:rsid w:val="00A932AD"/>
    <w:rsid w:val="00A959A0"/>
    <w:rsid w:val="00AA2420"/>
    <w:rsid w:val="00AA5850"/>
    <w:rsid w:val="00AA70D7"/>
    <w:rsid w:val="00AA7664"/>
    <w:rsid w:val="00AB0915"/>
    <w:rsid w:val="00AB0D3B"/>
    <w:rsid w:val="00AB440C"/>
    <w:rsid w:val="00AB73AF"/>
    <w:rsid w:val="00AD439E"/>
    <w:rsid w:val="00AD5DF9"/>
    <w:rsid w:val="00AD6488"/>
    <w:rsid w:val="00AD7375"/>
    <w:rsid w:val="00AE1BB1"/>
    <w:rsid w:val="00AE3F94"/>
    <w:rsid w:val="00AF58BF"/>
    <w:rsid w:val="00B1140B"/>
    <w:rsid w:val="00B305E4"/>
    <w:rsid w:val="00B36ACD"/>
    <w:rsid w:val="00B4347F"/>
    <w:rsid w:val="00B45479"/>
    <w:rsid w:val="00B528DF"/>
    <w:rsid w:val="00B536A3"/>
    <w:rsid w:val="00B55889"/>
    <w:rsid w:val="00B56034"/>
    <w:rsid w:val="00B618C9"/>
    <w:rsid w:val="00B652EC"/>
    <w:rsid w:val="00B65C83"/>
    <w:rsid w:val="00B67EF4"/>
    <w:rsid w:val="00B82A1D"/>
    <w:rsid w:val="00B96098"/>
    <w:rsid w:val="00BA00F2"/>
    <w:rsid w:val="00BB06B0"/>
    <w:rsid w:val="00BB10A0"/>
    <w:rsid w:val="00BB4A3A"/>
    <w:rsid w:val="00BD00F7"/>
    <w:rsid w:val="00BD1431"/>
    <w:rsid w:val="00BD25CF"/>
    <w:rsid w:val="00BD3B32"/>
    <w:rsid w:val="00BE57D8"/>
    <w:rsid w:val="00BE6F76"/>
    <w:rsid w:val="00BF4C53"/>
    <w:rsid w:val="00C02079"/>
    <w:rsid w:val="00C13E84"/>
    <w:rsid w:val="00C2010F"/>
    <w:rsid w:val="00C307C6"/>
    <w:rsid w:val="00C35B5B"/>
    <w:rsid w:val="00C47912"/>
    <w:rsid w:val="00C80E10"/>
    <w:rsid w:val="00C80E2A"/>
    <w:rsid w:val="00C9053B"/>
    <w:rsid w:val="00C93CF4"/>
    <w:rsid w:val="00CA295B"/>
    <w:rsid w:val="00CA5B12"/>
    <w:rsid w:val="00CA78F9"/>
    <w:rsid w:val="00CC4936"/>
    <w:rsid w:val="00CD00D7"/>
    <w:rsid w:val="00CD117B"/>
    <w:rsid w:val="00D03B79"/>
    <w:rsid w:val="00D10667"/>
    <w:rsid w:val="00D16385"/>
    <w:rsid w:val="00D17E17"/>
    <w:rsid w:val="00D313EB"/>
    <w:rsid w:val="00D340B2"/>
    <w:rsid w:val="00D342FD"/>
    <w:rsid w:val="00D35CD7"/>
    <w:rsid w:val="00D661B9"/>
    <w:rsid w:val="00D7200E"/>
    <w:rsid w:val="00D75316"/>
    <w:rsid w:val="00DB37CC"/>
    <w:rsid w:val="00DC6CC3"/>
    <w:rsid w:val="00DC6F95"/>
    <w:rsid w:val="00DD3E14"/>
    <w:rsid w:val="00DD4B77"/>
    <w:rsid w:val="00DE57A9"/>
    <w:rsid w:val="00DF100A"/>
    <w:rsid w:val="00E004B8"/>
    <w:rsid w:val="00E13CA9"/>
    <w:rsid w:val="00E141A8"/>
    <w:rsid w:val="00E204EB"/>
    <w:rsid w:val="00E54791"/>
    <w:rsid w:val="00E54870"/>
    <w:rsid w:val="00E553ED"/>
    <w:rsid w:val="00E656C1"/>
    <w:rsid w:val="00E843B9"/>
    <w:rsid w:val="00E924C0"/>
    <w:rsid w:val="00E966D4"/>
    <w:rsid w:val="00EB3264"/>
    <w:rsid w:val="00EC01AB"/>
    <w:rsid w:val="00EC0B52"/>
    <w:rsid w:val="00EC3D56"/>
    <w:rsid w:val="00EC7C7E"/>
    <w:rsid w:val="00ED549E"/>
    <w:rsid w:val="00EF66C2"/>
    <w:rsid w:val="00EF72D3"/>
    <w:rsid w:val="00F0248B"/>
    <w:rsid w:val="00F24754"/>
    <w:rsid w:val="00F255C8"/>
    <w:rsid w:val="00F3320A"/>
    <w:rsid w:val="00F375D3"/>
    <w:rsid w:val="00F4069E"/>
    <w:rsid w:val="00F4192C"/>
    <w:rsid w:val="00F43302"/>
    <w:rsid w:val="00F4379C"/>
    <w:rsid w:val="00F43A5A"/>
    <w:rsid w:val="00F45048"/>
    <w:rsid w:val="00F46DDE"/>
    <w:rsid w:val="00F471F8"/>
    <w:rsid w:val="00F5113C"/>
    <w:rsid w:val="00F51EDE"/>
    <w:rsid w:val="00F6697A"/>
    <w:rsid w:val="00F67526"/>
    <w:rsid w:val="00F77325"/>
    <w:rsid w:val="00FA3B56"/>
    <w:rsid w:val="00FB49E5"/>
    <w:rsid w:val="00FC31B1"/>
    <w:rsid w:val="00FC50CE"/>
    <w:rsid w:val="00FC6E24"/>
    <w:rsid w:val="00FE5D30"/>
    <w:rsid w:val="00FF4800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7B08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B089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B2C1-569F-4ED8-B687-AA42118B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2017-06-15T10:02:00Z</cp:lastPrinted>
  <dcterms:created xsi:type="dcterms:W3CDTF">2017-10-02T09:41:00Z</dcterms:created>
  <dcterms:modified xsi:type="dcterms:W3CDTF">2017-10-02T09:41:00Z</dcterms:modified>
</cp:coreProperties>
</file>