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15" w:rsidRPr="004916B8" w:rsidRDefault="005450B7" w:rsidP="00513B9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pict>
          <v:rect id="_x0000_s1026" style="position:absolute;left:0;text-align:left;margin-left:-108pt;margin-top:-68.55pt;width:685.25pt;height:425.5pt;z-index:-251658752" o:preferrelative="t" filled="f" stroked="f" insetpen="t" o:cliptowrap="t">
            <v:imagedata r:id="rId7" o:title=""/>
            <v:path o:extrusionok="f"/>
            <o:lock v:ext="edit" aspectratio="t"/>
            <w10:wrap anchorx="page"/>
          </v:rect>
          <o:OLEObject Type="Embed" ProgID="PBrush" ShapeID="_x0000_s1026" DrawAspect="Content" ObjectID="_1569219323" r:id="rId8"/>
        </w:pict>
      </w:r>
    </w:p>
    <w:p w:rsidR="00AB0915" w:rsidRPr="004916B8" w:rsidRDefault="00AB0915" w:rsidP="00513B9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B0915" w:rsidRPr="004916B8" w:rsidRDefault="00AB0915" w:rsidP="00513B9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B0915" w:rsidRPr="004916B8" w:rsidRDefault="00AB0915" w:rsidP="00513B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644D1" w:rsidRPr="004916B8" w:rsidRDefault="001644D1" w:rsidP="00513B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B5AD2" w:rsidRDefault="00AB5AD2" w:rsidP="00B01440">
      <w:pPr>
        <w:pStyle w:val="Parag"/>
        <w:spacing w:after="0" w:line="360" w:lineRule="auto"/>
        <w:jc w:val="center"/>
        <w:rPr>
          <w:rFonts w:ascii="Times New Roman" w:hAnsi="Times New Roman"/>
          <w:b/>
          <w:bCs/>
          <w:smallCaps/>
          <w:color w:val="0000FF"/>
          <w:sz w:val="28"/>
          <w:szCs w:val="28"/>
          <w:rtl/>
        </w:rPr>
      </w:pPr>
    </w:p>
    <w:p w:rsidR="00B01440" w:rsidRPr="00AB5AD2" w:rsidRDefault="00B01440" w:rsidP="008164B2">
      <w:pPr>
        <w:pStyle w:val="Parag"/>
        <w:spacing w:after="0"/>
        <w:jc w:val="center"/>
        <w:rPr>
          <w:rFonts w:ascii="Times New Roman" w:hAnsi="Times New Roman"/>
          <w:b/>
          <w:bCs/>
          <w:smallCaps/>
          <w:color w:val="0000FF"/>
          <w:sz w:val="28"/>
          <w:szCs w:val="28"/>
        </w:rPr>
      </w:pPr>
      <w:r w:rsidRPr="00AB5AD2">
        <w:rPr>
          <w:rFonts w:ascii="Times New Roman" w:hAnsi="Times New Roman"/>
          <w:b/>
          <w:bCs/>
          <w:smallCaps/>
          <w:color w:val="0000FF"/>
          <w:sz w:val="28"/>
          <w:szCs w:val="28"/>
        </w:rPr>
        <w:t xml:space="preserve">Note d’information </w:t>
      </w:r>
      <w:r w:rsidR="008164B2">
        <w:rPr>
          <w:rFonts w:ascii="Times New Roman" w:hAnsi="Times New Roman"/>
          <w:b/>
          <w:bCs/>
          <w:smallCaps/>
          <w:color w:val="0000FF"/>
          <w:sz w:val="28"/>
          <w:szCs w:val="28"/>
        </w:rPr>
        <w:br/>
      </w:r>
      <w:r w:rsidRPr="00AB5AD2">
        <w:rPr>
          <w:rFonts w:ascii="Times New Roman" w:hAnsi="Times New Roman"/>
          <w:b/>
          <w:bCs/>
          <w:smallCaps/>
          <w:color w:val="0000FF"/>
          <w:sz w:val="28"/>
          <w:szCs w:val="28"/>
        </w:rPr>
        <w:t xml:space="preserve">du </w:t>
      </w:r>
      <w:r w:rsidR="00FC5637" w:rsidRPr="00AB5AD2">
        <w:rPr>
          <w:rFonts w:ascii="Times New Roman" w:hAnsi="Times New Roman"/>
          <w:b/>
          <w:bCs/>
          <w:smallCaps/>
          <w:color w:val="0000FF"/>
          <w:sz w:val="28"/>
          <w:szCs w:val="28"/>
        </w:rPr>
        <w:t>Haut-commissariat</w:t>
      </w:r>
      <w:r w:rsidRPr="00AB5AD2">
        <w:rPr>
          <w:rFonts w:ascii="Times New Roman" w:hAnsi="Times New Roman"/>
          <w:b/>
          <w:bCs/>
          <w:smallCaps/>
          <w:color w:val="0000FF"/>
          <w:sz w:val="28"/>
          <w:szCs w:val="28"/>
        </w:rPr>
        <w:t xml:space="preserve"> au Plan </w:t>
      </w:r>
      <w:r w:rsidR="008164B2">
        <w:rPr>
          <w:rFonts w:ascii="Times New Roman" w:hAnsi="Times New Roman"/>
          <w:b/>
          <w:bCs/>
          <w:smallCaps/>
          <w:color w:val="0000FF"/>
          <w:sz w:val="28"/>
          <w:szCs w:val="28"/>
        </w:rPr>
        <w:br/>
      </w:r>
      <w:r w:rsidRPr="00AB5AD2">
        <w:rPr>
          <w:rFonts w:ascii="Times New Roman" w:hAnsi="Times New Roman"/>
          <w:b/>
          <w:bCs/>
          <w:smallCaps/>
          <w:color w:val="0000FF"/>
          <w:sz w:val="28"/>
          <w:szCs w:val="28"/>
        </w:rPr>
        <w:t>à l’occasion de la Journée Nationale</w:t>
      </w:r>
      <w:r w:rsidR="008164B2">
        <w:rPr>
          <w:rFonts w:ascii="Times New Roman" w:hAnsi="Times New Roman"/>
          <w:b/>
          <w:bCs/>
          <w:smallCaps/>
          <w:color w:val="0000FF"/>
          <w:sz w:val="28"/>
          <w:szCs w:val="28"/>
        </w:rPr>
        <w:br/>
      </w:r>
      <w:r w:rsidRPr="00AB5AD2">
        <w:rPr>
          <w:rFonts w:ascii="Times New Roman" w:hAnsi="Times New Roman"/>
          <w:b/>
          <w:bCs/>
          <w:smallCaps/>
          <w:color w:val="0000FF"/>
          <w:sz w:val="28"/>
          <w:szCs w:val="28"/>
        </w:rPr>
        <w:t>de la femme</w:t>
      </w:r>
      <w:r w:rsidR="008164B2">
        <w:rPr>
          <w:rFonts w:ascii="Times New Roman" w:hAnsi="Times New Roman"/>
          <w:b/>
          <w:bCs/>
          <w:smallCaps/>
          <w:color w:val="0000FF"/>
          <w:sz w:val="28"/>
          <w:szCs w:val="28"/>
        </w:rPr>
        <w:t xml:space="preserve"> du 10 octobre 2017</w:t>
      </w:r>
    </w:p>
    <w:p w:rsidR="00B01440" w:rsidRPr="00F53AA3" w:rsidRDefault="00B01440" w:rsidP="00B01440">
      <w:pPr>
        <w:pStyle w:val="Parag"/>
        <w:spacing w:after="0" w:line="360" w:lineRule="auto"/>
        <w:jc w:val="center"/>
        <w:rPr>
          <w:rFonts w:ascii="Palatino" w:hAnsi="Palatino" w:cs="Times"/>
          <w:b/>
          <w:bCs/>
          <w:color w:val="FF9900"/>
          <w:sz w:val="26"/>
          <w:szCs w:val="26"/>
        </w:rPr>
      </w:pPr>
    </w:p>
    <w:p w:rsidR="00B01440" w:rsidRPr="00B01440" w:rsidRDefault="00B01440" w:rsidP="00B01440">
      <w:pPr>
        <w:pStyle w:val="Paragraphedeliste"/>
        <w:jc w:val="both"/>
        <w:rPr>
          <w:rFonts w:asciiTheme="majorBidi" w:eastAsia="Times New Roman" w:hAnsiTheme="majorBidi" w:cstheme="majorBidi"/>
          <w:i/>
          <w:iCs/>
          <w:color w:val="4F81BD" w:themeColor="accent1"/>
          <w:sz w:val="28"/>
          <w:szCs w:val="28"/>
          <w:lang w:eastAsia="fr-FR"/>
        </w:rPr>
      </w:pPr>
    </w:p>
    <w:p w:rsidR="00B01440" w:rsidRPr="008164B2" w:rsidRDefault="0020554B" w:rsidP="006838E9">
      <w:pPr>
        <w:spacing w:line="240" w:lineRule="auto"/>
        <w:jc w:val="both"/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</w:pP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A l’occasion de la journée nationale de </w:t>
      </w:r>
      <w:r w:rsidR="00CE5284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la </w:t>
      </w: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femme</w:t>
      </w:r>
      <w:r w:rsidR="00CE5284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,</w:t>
      </w: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le 10 octobre 2017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, le </w:t>
      </w:r>
      <w:r w:rsidR="00FC5637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Haut-</w:t>
      </w:r>
      <w:r w:rsidR="00FC5637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c</w:t>
      </w:r>
      <w:r w:rsidR="00FC5637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ommissariat</w:t>
      </w:r>
      <w:r w:rsidR="00CE5284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au Plan présente quelques aspects </w:t>
      </w:r>
      <w:r w:rsidR="00CE5284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de</w:t>
      </w:r>
      <w:r w:rsidR="00382ABA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s</w:t>
      </w:r>
      <w:r w:rsidR="00CE5284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femme</w:t>
      </w:r>
      <w:r w:rsidR="00382ABA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s</w:t>
      </w:r>
      <w:r w:rsidR="00CE5284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chef</w:t>
      </w:r>
      <w:r w:rsidR="00382ABA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s</w:t>
      </w:r>
      <w:r w:rsidR="00CE5284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de ménage</w:t>
      </w:r>
      <w:r w:rsidR="006838E9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issus</w:t>
      </w:r>
      <w:r w:rsidR="00382ABA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du recensement de la population et de l’habitat 2014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.</w:t>
      </w:r>
    </w:p>
    <w:p w:rsidR="0048288F" w:rsidRPr="008164B2" w:rsidRDefault="0048288F" w:rsidP="008164B2">
      <w:pPr>
        <w:spacing w:line="240" w:lineRule="auto"/>
        <w:jc w:val="both"/>
        <w:rPr>
          <w:rFonts w:asciiTheme="majorBidi" w:eastAsia="Calibri" w:hAnsiTheme="majorBidi" w:cstheme="majorBidi"/>
          <w:b/>
          <w:i/>
          <w:iCs/>
          <w:color w:val="0000FF"/>
          <w:sz w:val="28"/>
          <w:szCs w:val="28"/>
        </w:rPr>
      </w:pPr>
      <w:r w:rsidRPr="008164B2">
        <w:rPr>
          <w:rFonts w:asciiTheme="majorBidi" w:eastAsia="Calibri" w:hAnsiTheme="majorBidi" w:cstheme="majorBidi"/>
          <w:b/>
          <w:i/>
          <w:iCs/>
          <w:color w:val="0000FF"/>
          <w:sz w:val="28"/>
          <w:szCs w:val="28"/>
        </w:rPr>
        <w:t>Un ménage sur six est dirigé par une femme</w:t>
      </w:r>
    </w:p>
    <w:p w:rsidR="00B01440" w:rsidRPr="008164B2" w:rsidRDefault="00B01440" w:rsidP="00D7484B">
      <w:pPr>
        <w:spacing w:line="240" w:lineRule="auto"/>
        <w:jc w:val="both"/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</w:pP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Sur les 7.313.806 ménages recensés au Maroc</w:t>
      </w:r>
      <w:r w:rsidR="00382ABA" w:rsidRPr="00382ABA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</w:t>
      </w:r>
      <w:r w:rsidR="00382ABA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en 2014</w:t>
      </w: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, 1.186.901 sont dirigés par des femmes, soit près d’un ménage sur six (16,2%). Cette proportion </w:t>
      </w:r>
      <w:r w:rsidR="00382ABA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est</w:t>
      </w:r>
      <w:r w:rsidR="00382ABA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</w:t>
      </w: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rest</w:t>
      </w:r>
      <w:r w:rsidR="00382ABA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é</w:t>
      </w: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e </w:t>
      </w:r>
      <w:r w:rsidR="00382ABA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presque stable</w:t>
      </w:r>
      <w:r w:rsidR="00382ABA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</w:t>
      </w:r>
      <w:r w:rsidR="00382ABA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en </w:t>
      </w: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compara</w:t>
      </w:r>
      <w:r w:rsidR="00382ABA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ison </w:t>
      </w: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à celle </w:t>
      </w:r>
      <w:r w:rsidR="00382ABA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de</w:t>
      </w: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2004 (16,33%)</w:t>
      </w:r>
      <w:r w:rsidR="00382ABA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. Elle </w:t>
      </w: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est toutefois plus élevée en milieu urbain (18,6%</w:t>
      </w:r>
      <w:r w:rsidR="00D7484B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ou</w:t>
      </w:r>
      <w:r w:rsidR="00FE4785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</w:t>
      </w:r>
      <w:r w:rsidR="00FE4785" w:rsidRPr="00FE4785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896</w:t>
      </w:r>
      <w:r w:rsidR="00FE4785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.</w:t>
      </w:r>
      <w:r w:rsidR="00FE4785" w:rsidRPr="00FE4785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091</w:t>
      </w:r>
      <w:r w:rsidR="00FE4785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ménages</w:t>
      </w: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) qu'en milieu rural (11,6%</w:t>
      </w:r>
      <w:r w:rsidR="00D7484B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ou</w:t>
      </w:r>
      <w:r w:rsidR="00FE4785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</w:t>
      </w:r>
      <w:r w:rsidR="00FE4785" w:rsidRPr="00FE4785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290</w:t>
      </w:r>
      <w:r w:rsidR="00FE4785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.</w:t>
      </w:r>
      <w:r w:rsidR="00FE4785" w:rsidRPr="00FE4785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810</w:t>
      </w:r>
      <w:r w:rsidR="00FE4785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ménages</w:t>
      </w: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).</w:t>
      </w:r>
    </w:p>
    <w:p w:rsidR="00B01440" w:rsidRPr="008164B2" w:rsidRDefault="00E61FEE" w:rsidP="00A64623">
      <w:pPr>
        <w:spacing w:line="240" w:lineRule="auto"/>
        <w:jc w:val="both"/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</w:pP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L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a région de Guelmim-Oued Noun enregistre </w:t>
      </w:r>
      <w:r w:rsidR="00F44833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une</w:t>
      </w:r>
      <w:r w:rsidR="00F44833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proportion </w:t>
      </w:r>
      <w:r w:rsidR="00F44833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de femmes chefs de ménages 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plus élevée </w:t>
      </w:r>
      <w:r w:rsidR="00F44833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que la moyenne nationale</w:t>
      </w:r>
      <w:r w:rsidR="00D7484B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. Elle est de 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18,7%</w:t>
      </w:r>
      <w:r w:rsidR="00FE4785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correspondant à </w:t>
      </w:r>
      <w:r w:rsidR="00FE4785" w:rsidRPr="00FE4785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16</w:t>
      </w:r>
      <w:r w:rsidR="00FE4785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.</w:t>
      </w:r>
      <w:r w:rsidR="00FE4785" w:rsidRPr="00FE4785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838</w:t>
      </w:r>
      <w:r w:rsidR="00FE4785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ménages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. </w:t>
      </w: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En seconde position vient l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a région de Béni Mellal-Khénifra </w:t>
      </w:r>
      <w:r w:rsidR="00F44833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avec 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18%</w:t>
      </w:r>
      <w:r w:rsidR="00FE4785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ou </w:t>
      </w:r>
      <w:r w:rsidR="00FE4785" w:rsidRPr="00FE4785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93</w:t>
      </w:r>
      <w:r w:rsidR="00FE4785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.</w:t>
      </w:r>
      <w:r w:rsidR="00FE4785" w:rsidRPr="00FE4785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389</w:t>
      </w:r>
      <w:r w:rsidR="00FE4785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ménages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, suivie par le Grand Casablanca-Settat (17,4%</w:t>
      </w:r>
      <w:r w:rsidR="00D7484B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ou</w:t>
      </w:r>
      <w:r w:rsidR="00FE4785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</w:t>
      </w:r>
      <w:r w:rsidR="00FE4785" w:rsidRPr="00FE4785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271</w:t>
      </w:r>
      <w:r w:rsidR="00E40E4A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.</w:t>
      </w:r>
      <w:r w:rsidR="00FE4785" w:rsidRPr="00FE4785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463</w:t>
      </w:r>
      <w:r w:rsidR="00FE4785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ménages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) et Rabat-Salé-Kenitra (17,3%</w:t>
      </w:r>
      <w:r w:rsidR="00D7484B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ou</w:t>
      </w:r>
      <w:r w:rsidR="00FE4785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</w:t>
      </w:r>
      <w:r w:rsidR="00FE4785" w:rsidRPr="00FE4785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176</w:t>
      </w:r>
      <w:r w:rsidR="00FE4785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.</w:t>
      </w:r>
      <w:r w:rsidR="00FE4785" w:rsidRPr="00FE4785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052</w:t>
      </w:r>
      <w:r w:rsidR="00FE4785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ménages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). En revanche, les régions de Laayoune-Sakia El Hamra</w:t>
      </w:r>
      <w:r w:rsidR="00D77B6D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comprend </w:t>
      </w:r>
      <w:r w:rsidR="00D77B6D" w:rsidRPr="00FE4785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11</w:t>
      </w:r>
      <w:r w:rsidR="00D77B6D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.</w:t>
      </w:r>
      <w:r w:rsidR="00D77B6D" w:rsidRPr="00FE4785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876</w:t>
      </w:r>
      <w:r w:rsidR="00D77B6D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ménages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, Tanger-Tétouan-Al Hoceima </w:t>
      </w:r>
      <w:r w:rsidR="00D77B6D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compte </w:t>
      </w:r>
      <w:r w:rsidR="00D77B6D" w:rsidRPr="00BC483F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119</w:t>
      </w:r>
      <w:r w:rsidR="00D77B6D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.</w:t>
      </w:r>
      <w:r w:rsidR="00D77B6D" w:rsidRPr="00BC483F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886</w:t>
      </w:r>
      <w:r w:rsidR="00D77B6D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ménages</w:t>
      </w:r>
      <w:r w:rsidR="00D77B6D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et Marrakech-Safi </w:t>
      </w:r>
      <w:r w:rsidR="00D77B6D" w:rsidRPr="00BC483F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126</w:t>
      </w:r>
      <w:r w:rsidR="00D77B6D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.</w:t>
      </w:r>
      <w:r w:rsidR="00D77B6D" w:rsidRPr="00BC483F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289</w:t>
      </w:r>
      <w:r w:rsidR="00D77B6D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ménages</w:t>
      </w:r>
      <w:r w:rsidR="00783FD1">
        <w:rPr>
          <w:rFonts w:asciiTheme="majorBidi" w:eastAsia="Times New Roman" w:hAnsiTheme="majorBidi" w:cstheme="majorBidi" w:hint="cs"/>
          <w:color w:val="1F1F1F"/>
          <w:sz w:val="26"/>
          <w:szCs w:val="26"/>
          <w:rtl/>
          <w:lang w:eastAsia="fr-FR"/>
        </w:rPr>
        <w:t>.</w:t>
      </w:r>
      <w:r w:rsidR="00D77B6D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</w:t>
      </w:r>
      <w:r w:rsidR="00783FD1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Avec ces effectifs ces régions 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enregistrent </w:t>
      </w:r>
      <w:r w:rsidR="00382ABA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d</w:t>
      </w:r>
      <w:r w:rsidR="00382ABA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es 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proportions plus faibles</w:t>
      </w:r>
      <w:r w:rsidR="00382ABA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que l</w:t>
      </w:r>
      <w:r w:rsidR="00F44833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a moyenne </w:t>
      </w:r>
      <w:r w:rsidR="00382ABA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national</w:t>
      </w:r>
      <w:r w:rsidR="00F44833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e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, </w:t>
      </w:r>
      <w:r w:rsidR="00382ABA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avec 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respectivement 15,1%, 15%</w:t>
      </w:r>
      <w:r w:rsidR="00BC483F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et 13,6%</w:t>
      </w:r>
      <w:r w:rsidR="00BC483F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de l’ensemble des ménages</w:t>
      </w:r>
      <w:r w:rsidR="00382ABA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de la région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.</w:t>
      </w:r>
      <w:r w:rsidR="00090481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         </w:t>
      </w:r>
    </w:p>
    <w:p w:rsidR="00882945" w:rsidRDefault="00882945" w:rsidP="00882945">
      <w:pPr>
        <w:spacing w:line="240" w:lineRule="auto"/>
        <w:jc w:val="both"/>
        <w:rPr>
          <w:rFonts w:asciiTheme="majorBidi" w:eastAsia="Calibri" w:hAnsiTheme="majorBidi" w:cstheme="majorBidi"/>
          <w:b/>
          <w:i/>
          <w:iCs/>
          <w:color w:val="0000FF"/>
          <w:sz w:val="28"/>
          <w:szCs w:val="28"/>
        </w:rPr>
      </w:pPr>
      <w:r>
        <w:rPr>
          <w:rFonts w:asciiTheme="majorBidi" w:eastAsia="Calibri" w:hAnsiTheme="majorBidi" w:cstheme="majorBidi"/>
          <w:b/>
          <w:i/>
          <w:iCs/>
          <w:color w:val="0000FF"/>
          <w:sz w:val="28"/>
          <w:szCs w:val="28"/>
        </w:rPr>
        <w:t>Une femme chef de ménage sur cinq vit seule</w:t>
      </w:r>
    </w:p>
    <w:p w:rsidR="00882945" w:rsidRPr="008164B2" w:rsidRDefault="00882945" w:rsidP="007E78F8">
      <w:pPr>
        <w:spacing w:line="240" w:lineRule="auto"/>
        <w:jc w:val="both"/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</w:pP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Les ménages </w:t>
      </w:r>
      <w:r w:rsidR="0029058D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dont le chef</w:t>
      </w:r>
      <w:r w:rsidR="0029058D">
        <w:rPr>
          <w:rFonts w:asciiTheme="majorBidi" w:eastAsia="Times New Roman" w:hAnsiTheme="majorBidi" w:cstheme="majorBidi" w:hint="cs"/>
          <w:color w:val="1F1F1F"/>
          <w:sz w:val="26"/>
          <w:szCs w:val="26"/>
          <w:rtl/>
          <w:lang w:eastAsia="fr-FR"/>
        </w:rPr>
        <w:t xml:space="preserve"> </w:t>
      </w:r>
      <w:r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est une </w:t>
      </w: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femme sont en moyenne de taille</w:t>
      </w:r>
      <w:r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plus petite que ceux dont le chef est un homme</w:t>
      </w:r>
      <w:r w:rsidR="00C62AA6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. Ils englobent en moyenne </w:t>
      </w: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3,4 personnes contre </w:t>
      </w:r>
      <w:r w:rsidR="00EF2804" w:rsidRPr="0029058D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4,8</w:t>
      </w: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.</w:t>
      </w:r>
    </w:p>
    <w:p w:rsidR="00882945" w:rsidRPr="008164B2" w:rsidRDefault="00882945" w:rsidP="00ED0B8A">
      <w:pPr>
        <w:spacing w:line="240" w:lineRule="auto"/>
        <w:jc w:val="both"/>
        <w:rPr>
          <w:rFonts w:asciiTheme="majorBidi" w:eastAsia="Times New Roman" w:hAnsiTheme="majorBidi" w:cstheme="majorBidi"/>
          <w:color w:val="1F1F1F"/>
          <w:sz w:val="26"/>
          <w:szCs w:val="26"/>
          <w:rtl/>
          <w:lang w:eastAsia="fr-FR"/>
        </w:rPr>
      </w:pP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Une femme chef de ménage sur cinq (20,9%</w:t>
      </w:r>
      <w:r w:rsidR="00ED0B8A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ou</w:t>
      </w:r>
      <w:r w:rsidR="00E94DA9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</w:t>
      </w:r>
      <w:r w:rsidR="00E94DA9" w:rsidRPr="00E94DA9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248</w:t>
      </w:r>
      <w:r w:rsidR="00E94DA9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.</w:t>
      </w:r>
      <w:r w:rsidR="00E94DA9" w:rsidRPr="00E94DA9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005</w:t>
      </w:r>
      <w:r w:rsidR="00E94DA9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femmes</w:t>
      </w: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) vit seule contre 4,6% parmi les hommes chefs de ménage</w:t>
      </w:r>
      <w:r w:rsidR="00E94DA9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(</w:t>
      </w:r>
      <w:r w:rsidR="00E94DA9" w:rsidRPr="00E94DA9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279</w:t>
      </w:r>
      <w:r w:rsidR="00E94DA9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.</w:t>
      </w:r>
      <w:r w:rsidR="00E94DA9" w:rsidRPr="00E94DA9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226</w:t>
      </w:r>
      <w:r w:rsidR="00E94DA9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hommes)</w:t>
      </w: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.</w:t>
      </w:r>
    </w:p>
    <w:p w:rsidR="00B01440" w:rsidRDefault="00955732" w:rsidP="008164B2">
      <w:pPr>
        <w:spacing w:line="240" w:lineRule="auto"/>
        <w:jc w:val="both"/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</w:pP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La</w:t>
      </w:r>
      <w:r w:rsidR="00A075DC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moitié de</w:t>
      </w:r>
      <w:r w:rsidR="005501BF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s</w:t>
      </w:r>
      <w:r w:rsidR="00A075DC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femmes </w:t>
      </w:r>
      <w:r w:rsidR="005501BF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chefs de ménage </w:t>
      </w:r>
      <w:r w:rsidR="00A075DC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(51%) est 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âgée de plus de 54 ans contre </w:t>
      </w:r>
      <w:r w:rsidR="00A075DC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le tiers (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34%</w:t>
      </w:r>
      <w:r w:rsidR="00A075DC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)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d</w:t>
      </w:r>
      <w:r w:rsidR="00A075DC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e leurs homologues masculins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.</w:t>
      </w:r>
    </w:p>
    <w:p w:rsidR="008B6CC5" w:rsidRPr="008164B2" w:rsidRDefault="008B6CC5" w:rsidP="008164B2">
      <w:pPr>
        <w:spacing w:line="240" w:lineRule="auto"/>
        <w:jc w:val="both"/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</w:pPr>
    </w:p>
    <w:p w:rsidR="005501BF" w:rsidRPr="008164B2" w:rsidRDefault="00882945" w:rsidP="00EB2E00">
      <w:pPr>
        <w:spacing w:line="240" w:lineRule="auto"/>
        <w:jc w:val="both"/>
        <w:rPr>
          <w:rFonts w:asciiTheme="majorBidi" w:eastAsia="Calibri" w:hAnsiTheme="majorBidi" w:cstheme="majorBidi"/>
          <w:b/>
          <w:i/>
          <w:iCs/>
          <w:color w:val="0000FF"/>
          <w:sz w:val="28"/>
          <w:szCs w:val="28"/>
        </w:rPr>
      </w:pPr>
      <w:r>
        <w:rPr>
          <w:rFonts w:asciiTheme="majorBidi" w:eastAsia="Calibri" w:hAnsiTheme="majorBidi" w:cstheme="majorBidi"/>
          <w:b/>
          <w:i/>
          <w:iCs/>
          <w:color w:val="0000FF"/>
          <w:sz w:val="28"/>
          <w:szCs w:val="28"/>
        </w:rPr>
        <w:lastRenderedPageBreak/>
        <w:t xml:space="preserve">Deux femmes chefs de ménage sur trois sont </w:t>
      </w:r>
      <w:r w:rsidR="00EB2E00">
        <w:rPr>
          <w:rFonts w:asciiTheme="majorBidi" w:eastAsia="Calibri" w:hAnsiTheme="majorBidi" w:cstheme="majorBidi"/>
          <w:b/>
          <w:i/>
          <w:iCs/>
          <w:color w:val="0000FF"/>
          <w:sz w:val="28"/>
          <w:szCs w:val="28"/>
        </w:rPr>
        <w:t>divorcées ou veuves</w:t>
      </w:r>
    </w:p>
    <w:p w:rsidR="00B01440" w:rsidRPr="008164B2" w:rsidRDefault="005501BF" w:rsidP="005970C8">
      <w:pPr>
        <w:spacing w:line="240" w:lineRule="auto"/>
        <w:jc w:val="both"/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</w:pP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L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es </w:t>
      </w: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femmes chefs de ménage 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veuves et les divorcées représentent 55% </w:t>
      </w:r>
      <w:r w:rsidR="005970C8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(</w:t>
      </w:r>
      <w:r w:rsidR="005970C8" w:rsidRPr="005970C8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654</w:t>
      </w:r>
      <w:r w:rsidR="005970C8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.</w:t>
      </w:r>
      <w:r w:rsidR="005970C8" w:rsidRPr="005970C8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647</w:t>
      </w:r>
      <w:r w:rsidR="005970C8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) 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et 14%</w:t>
      </w:r>
      <w:r w:rsidR="002A01ED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</w:t>
      </w:r>
      <w:r w:rsidR="005970C8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(</w:t>
      </w:r>
      <w:r w:rsidR="005970C8" w:rsidRPr="005970C8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170</w:t>
      </w:r>
      <w:r w:rsidR="005970C8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.</w:t>
      </w:r>
      <w:r w:rsidR="005970C8" w:rsidRPr="005970C8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265</w:t>
      </w:r>
      <w:r w:rsidR="005970C8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) </w:t>
      </w:r>
      <w:r w:rsidR="002A01ED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respectivement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contre </w:t>
      </w:r>
      <w:r w:rsidR="002A01ED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1% </w:t>
      </w:r>
      <w:r w:rsidR="005970C8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(</w:t>
      </w:r>
      <w:r w:rsidR="005970C8" w:rsidRPr="005970C8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55</w:t>
      </w:r>
      <w:r w:rsidR="005970C8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.</w:t>
      </w:r>
      <w:r w:rsidR="005970C8" w:rsidRPr="005970C8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424</w:t>
      </w:r>
      <w:r w:rsidR="005970C8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) </w:t>
      </w:r>
      <w:r w:rsidR="002A01ED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de divorcés et 1% </w:t>
      </w:r>
      <w:r w:rsidR="005970C8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(</w:t>
      </w:r>
      <w:r w:rsidR="005970C8" w:rsidRPr="005970C8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65</w:t>
      </w:r>
      <w:r w:rsidR="005970C8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.</w:t>
      </w:r>
      <w:r w:rsidR="005970C8" w:rsidRPr="005970C8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112</w:t>
      </w:r>
      <w:r w:rsidR="005970C8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) </w:t>
      </w:r>
      <w:r w:rsidR="002A01ED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de veufs 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parmi leurs homologues masculins et 20% </w:t>
      </w:r>
      <w:r w:rsidR="005970C8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(</w:t>
      </w:r>
      <w:r w:rsidR="005970C8" w:rsidRPr="005970C8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233</w:t>
      </w:r>
      <w:r w:rsidR="005970C8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.</w:t>
      </w:r>
      <w:r w:rsidR="005970C8" w:rsidRPr="005970C8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844</w:t>
      </w:r>
      <w:r w:rsidR="005970C8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) 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sont mariées contre 93% </w:t>
      </w:r>
      <w:r w:rsidR="005970C8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(</w:t>
      </w:r>
      <w:r w:rsidR="005970C8" w:rsidRPr="005970C8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5</w:t>
      </w:r>
      <w:r w:rsidR="005970C8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.</w:t>
      </w:r>
      <w:r w:rsidR="005970C8" w:rsidRPr="005970C8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671</w:t>
      </w:r>
      <w:r w:rsidR="005970C8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.</w:t>
      </w:r>
      <w:r w:rsidR="005970C8" w:rsidRPr="005970C8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139</w:t>
      </w:r>
      <w:r w:rsidR="005970C8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) 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des hommes.</w:t>
      </w:r>
    </w:p>
    <w:p w:rsidR="005501BF" w:rsidRPr="004E33EA" w:rsidRDefault="005501BF" w:rsidP="008164B2">
      <w:pPr>
        <w:pStyle w:val="Paragraphedeliste"/>
        <w:spacing w:before="240" w:after="120" w:line="240" w:lineRule="auto"/>
        <w:ind w:left="0"/>
        <w:jc w:val="both"/>
        <w:rPr>
          <w:rFonts w:asciiTheme="majorBidi" w:hAnsiTheme="majorBidi" w:cstheme="majorBidi"/>
          <w:b/>
          <w:i/>
          <w:iCs/>
          <w:color w:val="0000FF"/>
          <w:sz w:val="28"/>
          <w:szCs w:val="28"/>
        </w:rPr>
      </w:pPr>
      <w:r w:rsidRPr="004E33EA">
        <w:rPr>
          <w:rFonts w:asciiTheme="majorBidi" w:hAnsiTheme="majorBidi" w:cstheme="majorBidi"/>
          <w:b/>
          <w:i/>
          <w:iCs/>
          <w:color w:val="0000FF"/>
          <w:sz w:val="28"/>
          <w:szCs w:val="28"/>
        </w:rPr>
        <w:t>Des femmes chefs de ménage en majorité analphabètes</w:t>
      </w:r>
      <w:r w:rsidR="00787A00" w:rsidRPr="004E33EA">
        <w:rPr>
          <w:rFonts w:asciiTheme="majorBidi" w:hAnsiTheme="majorBidi" w:cstheme="majorBidi"/>
          <w:b/>
          <w:i/>
          <w:iCs/>
          <w:color w:val="0000FF"/>
          <w:sz w:val="28"/>
          <w:szCs w:val="28"/>
        </w:rPr>
        <w:t xml:space="preserve"> et faiblement intégrées au marché du travail</w:t>
      </w:r>
    </w:p>
    <w:p w:rsidR="00787A00" w:rsidRPr="008164B2" w:rsidRDefault="00787A00" w:rsidP="008164B2">
      <w:pPr>
        <w:pStyle w:val="Paragraphedeliste"/>
        <w:spacing w:before="240" w:after="120" w:line="240" w:lineRule="auto"/>
        <w:ind w:left="0"/>
        <w:jc w:val="both"/>
        <w:rPr>
          <w:rFonts w:asciiTheme="majorBidi" w:hAnsiTheme="majorBidi" w:cstheme="majorBidi"/>
          <w:b/>
          <w:i/>
          <w:iCs/>
          <w:color w:val="0000FF"/>
          <w:sz w:val="26"/>
          <w:szCs w:val="26"/>
        </w:rPr>
      </w:pPr>
    </w:p>
    <w:p w:rsidR="00B01440" w:rsidRPr="008164B2" w:rsidRDefault="003179F0" w:rsidP="0098394D">
      <w:pPr>
        <w:spacing w:line="240" w:lineRule="auto"/>
        <w:jc w:val="both"/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</w:pP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65% de</w:t>
      </w:r>
      <w:r w:rsidR="003E407C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s</w:t>
      </w: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</w:t>
      </w:r>
      <w:r w:rsidR="00EB2E00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femmes chefs de ménages </w:t>
      </w: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sont analphabètes</w:t>
      </w:r>
      <w:r w:rsidR="0098394D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,</w:t>
      </w:r>
      <w:r w:rsidR="0098394D" w:rsidRPr="0098394D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</w:t>
      </w:r>
      <w:r w:rsidR="0098394D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soit </w:t>
      </w:r>
      <w:r w:rsidR="0098394D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presque</w:t>
      </w:r>
      <w:r w:rsidR="0098394D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le double de leurs homologues masculins (34% environ)</w:t>
      </w:r>
      <w:r w:rsidR="0098394D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. Elles représentent </w:t>
      </w: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57% en milieu urbain et 88% en milieu rural</w:t>
      </w:r>
      <w:r w:rsidR="0098394D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.</w:t>
      </w:r>
      <w:r w:rsidRPr="008164B2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="0098394D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Aussi</w:t>
      </w: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, 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67% parmi elles n’ont aucun niveau scolaire contre 35% parmi les hommes, et 17% d’</w:t>
      </w:r>
      <w:r w:rsidR="000E0E75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entre</w:t>
      </w:r>
      <w:bookmarkStart w:id="0" w:name="_GoBack"/>
      <w:bookmarkEnd w:id="0"/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elles ont fréquenté le secondaire ou le supérieur contre 32% parmi les hommes.</w:t>
      </w:r>
    </w:p>
    <w:p w:rsidR="00B01440" w:rsidRPr="008164B2" w:rsidRDefault="00B01440" w:rsidP="0098394D">
      <w:pPr>
        <w:spacing w:line="240" w:lineRule="auto"/>
        <w:jc w:val="both"/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</w:pP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Les femmes chefs de ménage sont faiblement intégrées au marché du travail. Leur taux d’activité est de 30% contre 81% parmi les hommes.</w:t>
      </w:r>
    </w:p>
    <w:p w:rsidR="00787A00" w:rsidRPr="004E33EA" w:rsidRDefault="003700B2" w:rsidP="009B75C9">
      <w:pPr>
        <w:spacing w:line="240" w:lineRule="auto"/>
        <w:jc w:val="both"/>
        <w:rPr>
          <w:rFonts w:asciiTheme="majorBidi" w:hAnsiTheme="majorBidi" w:cstheme="majorBidi"/>
          <w:b/>
          <w:i/>
          <w:iCs/>
          <w:color w:val="0000FF"/>
          <w:sz w:val="28"/>
          <w:szCs w:val="28"/>
        </w:rPr>
      </w:pPr>
      <w:r>
        <w:rPr>
          <w:rFonts w:asciiTheme="majorBidi" w:hAnsiTheme="majorBidi" w:cstheme="majorBidi"/>
          <w:b/>
          <w:i/>
          <w:iCs/>
          <w:color w:val="0000FF"/>
          <w:sz w:val="28"/>
          <w:szCs w:val="28"/>
        </w:rPr>
        <w:t>L</w:t>
      </w:r>
      <w:r w:rsidR="0098394D">
        <w:rPr>
          <w:rFonts w:asciiTheme="majorBidi" w:hAnsiTheme="majorBidi" w:cstheme="majorBidi"/>
          <w:b/>
          <w:i/>
          <w:iCs/>
          <w:color w:val="0000FF"/>
          <w:sz w:val="28"/>
          <w:szCs w:val="28"/>
        </w:rPr>
        <w:t xml:space="preserve">es </w:t>
      </w:r>
      <w:r w:rsidR="0098394D" w:rsidRPr="004E33EA">
        <w:rPr>
          <w:rFonts w:asciiTheme="majorBidi" w:hAnsiTheme="majorBidi" w:cstheme="majorBidi"/>
          <w:b/>
          <w:i/>
          <w:iCs/>
          <w:color w:val="0000FF"/>
          <w:sz w:val="28"/>
          <w:szCs w:val="28"/>
        </w:rPr>
        <w:t>ménages dirigés par des femmes</w:t>
      </w:r>
      <w:r w:rsidR="0098394D">
        <w:rPr>
          <w:rFonts w:asciiTheme="majorBidi" w:hAnsiTheme="majorBidi" w:cstheme="majorBidi"/>
          <w:b/>
          <w:i/>
          <w:iCs/>
          <w:color w:val="0000FF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i/>
          <w:iCs/>
          <w:color w:val="0000FF"/>
          <w:sz w:val="28"/>
          <w:szCs w:val="28"/>
        </w:rPr>
        <w:t xml:space="preserve">vivent moins à l’étroit </w:t>
      </w:r>
      <w:r w:rsidR="009B75C9">
        <w:rPr>
          <w:rFonts w:asciiTheme="majorBidi" w:hAnsiTheme="majorBidi" w:cstheme="majorBidi"/>
          <w:b/>
          <w:i/>
          <w:iCs/>
          <w:color w:val="0000FF"/>
          <w:sz w:val="28"/>
          <w:szCs w:val="28"/>
        </w:rPr>
        <w:t xml:space="preserve">que ceux des hommes mais </w:t>
      </w:r>
      <w:r>
        <w:rPr>
          <w:rFonts w:asciiTheme="majorBidi" w:hAnsiTheme="majorBidi" w:cstheme="majorBidi"/>
          <w:b/>
          <w:i/>
          <w:iCs/>
          <w:color w:val="0000FF"/>
          <w:sz w:val="28"/>
          <w:szCs w:val="28"/>
        </w:rPr>
        <w:t>d</w:t>
      </w:r>
      <w:r w:rsidR="009B75C9">
        <w:rPr>
          <w:rFonts w:asciiTheme="majorBidi" w:hAnsiTheme="majorBidi" w:cstheme="majorBidi"/>
          <w:b/>
          <w:i/>
          <w:iCs/>
          <w:color w:val="0000FF"/>
          <w:sz w:val="28"/>
          <w:szCs w:val="28"/>
        </w:rPr>
        <w:t>ans des logements moins équipés</w:t>
      </w:r>
    </w:p>
    <w:p w:rsidR="00D9161A" w:rsidRPr="008164B2" w:rsidRDefault="00D9161A" w:rsidP="00D9161A">
      <w:pPr>
        <w:spacing w:line="240" w:lineRule="auto"/>
        <w:jc w:val="both"/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</w:pPr>
      <w:r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L</w:t>
      </w: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es ménages dirigés par une femme occupent des logements d</w:t>
      </w:r>
      <w:r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ont l</w:t>
      </w: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e </w:t>
      </w:r>
      <w:r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nombre de pièces est inférieur à celui des logements occupés par des ménages </w:t>
      </w: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dont le chef est un homme. 39,</w:t>
      </w:r>
      <w:r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4</w:t>
      </w: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% des ménages dirigés par une femme </w:t>
      </w:r>
      <w:r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(</w:t>
      </w:r>
      <w:r w:rsidRPr="00C62DE1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468</w:t>
      </w:r>
      <w:r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.</w:t>
      </w:r>
      <w:r w:rsidRPr="00C62DE1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042</w:t>
      </w:r>
      <w:r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ménages) </w:t>
      </w: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occupent des logements d’une ou de deux pièces et 13,</w:t>
      </w:r>
      <w:r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4</w:t>
      </w: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% </w:t>
      </w:r>
      <w:r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(</w:t>
      </w:r>
      <w:r w:rsidRPr="00C62DE1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159</w:t>
      </w:r>
      <w:r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.</w:t>
      </w:r>
      <w:r w:rsidRPr="00C62DE1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049</w:t>
      </w:r>
      <w:r w:rsidRPr="00C62DE1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ab/>
      </w:r>
      <w:r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) </w:t>
      </w: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des logements de cinq pièces et plus, contre respectivement 3</w:t>
      </w:r>
      <w:r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3</w:t>
      </w: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,8% </w:t>
      </w:r>
      <w:r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(</w:t>
      </w:r>
      <w:r w:rsidRPr="00C62DE1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2072</w:t>
      </w:r>
      <w:r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.</w:t>
      </w:r>
      <w:r w:rsidRPr="00C62DE1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833</w:t>
      </w:r>
      <w:r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ménages) </w:t>
      </w: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et 1</w:t>
      </w:r>
      <w:r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6</w:t>
      </w: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,3% </w:t>
      </w:r>
      <w:r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(</w:t>
      </w:r>
      <w:r w:rsidRPr="00C62DE1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997</w:t>
      </w:r>
      <w:r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.</w:t>
      </w:r>
      <w:r w:rsidRPr="00C62DE1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930</w:t>
      </w:r>
      <w:r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) </w:t>
      </w: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des ménages dirigés par un homme.</w:t>
      </w:r>
    </w:p>
    <w:p w:rsidR="003700B2" w:rsidRDefault="00D9161A" w:rsidP="00D9161A">
      <w:pPr>
        <w:spacing w:line="240" w:lineRule="auto"/>
        <w:jc w:val="both"/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</w:pPr>
      <w:r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Seulement, a</w:t>
      </w:r>
      <w:r w:rsidR="003700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vec un taux d’occupation de 1,29 personne par pièce, les membres des ménages dirigés par des femmes vivent en moyenne à presque 13 personnes dans dix pièces. Ils sont moins à l’étroit que les membres des ménages dont le chef est un homme. Ces derniers vivent à presque 18 personnes dans dix pièces, </w:t>
      </w:r>
      <w:r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avec comme</w:t>
      </w:r>
      <w:r w:rsidR="003700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taux d’occupation de 1,76 personne par pièce.</w:t>
      </w:r>
    </w:p>
    <w:p w:rsidR="00B01440" w:rsidRPr="008164B2" w:rsidRDefault="00C820AE" w:rsidP="00C62DE1">
      <w:pPr>
        <w:spacing w:line="240" w:lineRule="auto"/>
        <w:jc w:val="both"/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</w:pP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L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es </w:t>
      </w: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logements des 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ménages dirigés par une femme disposent </w:t>
      </w: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de 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moins </w:t>
      </w: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d’équipements de base 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que ceux </w:t>
      </w: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des ménages 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dirigés par un homme. En </w:t>
      </w:r>
      <w:r w:rsidR="00C62DE1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effet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, 9</w:t>
      </w:r>
      <w:r w:rsidR="00C62DE1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1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,</w:t>
      </w:r>
      <w:r w:rsidR="00C62DE1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4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% des ménages ayant pour chef une femme disposent d’une cuisine et 5</w:t>
      </w:r>
      <w:r w:rsidR="00C62DE1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2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,</w:t>
      </w:r>
      <w:r w:rsidR="00C62DE1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3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% d’une salle de bain contre respectivement </w:t>
      </w:r>
      <w:r w:rsidR="00C62DE1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94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% et </w:t>
      </w:r>
      <w:r w:rsidR="00C62DE1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58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% parmi les ménages dirigés par un homme.</w:t>
      </w:r>
    </w:p>
    <w:p w:rsidR="00B01440" w:rsidRPr="008164B2" w:rsidRDefault="00B01440" w:rsidP="008164B2">
      <w:pPr>
        <w:spacing w:line="240" w:lineRule="auto"/>
        <w:jc w:val="both"/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</w:pP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Enfin, 90,3% des ménages ayant à leur tête une femme possèdent un téléphone portable et 21,9% un ordinateur contre respectivement 95,1% et 26,1% parmi les ménages dirigés par un homme.</w:t>
      </w:r>
    </w:p>
    <w:sectPr w:rsidR="00B01440" w:rsidRPr="008164B2" w:rsidSect="00632783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4BD" w:rsidRDefault="007024BD" w:rsidP="00A01B4E">
      <w:pPr>
        <w:spacing w:after="0" w:line="240" w:lineRule="auto"/>
      </w:pPr>
      <w:r>
        <w:separator/>
      </w:r>
    </w:p>
  </w:endnote>
  <w:endnote w:type="continuationSeparator" w:id="1">
    <w:p w:rsidR="007024BD" w:rsidRDefault="007024BD" w:rsidP="00A0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05267"/>
      <w:docPartObj>
        <w:docPartGallery w:val="Page Numbers (Bottom of Page)"/>
        <w:docPartUnique/>
      </w:docPartObj>
    </w:sdtPr>
    <w:sdtContent>
      <w:p w:rsidR="00970BAC" w:rsidRDefault="005450B7">
        <w:pPr>
          <w:pStyle w:val="Pieddepage"/>
          <w:jc w:val="center"/>
        </w:pPr>
        <w:r>
          <w:fldChar w:fldCharType="begin"/>
        </w:r>
        <w:r w:rsidR="00F26FEA">
          <w:instrText xml:space="preserve"> PAGE   \* MERGEFORMAT </w:instrText>
        </w:r>
        <w:r>
          <w:fldChar w:fldCharType="separate"/>
        </w:r>
        <w:r w:rsidR="00FD59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0BAC" w:rsidRDefault="00970BA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4BD" w:rsidRDefault="007024BD" w:rsidP="00A01B4E">
      <w:pPr>
        <w:spacing w:after="0" w:line="240" w:lineRule="auto"/>
      </w:pPr>
      <w:r>
        <w:separator/>
      </w:r>
    </w:p>
  </w:footnote>
  <w:footnote w:type="continuationSeparator" w:id="1">
    <w:p w:rsidR="007024BD" w:rsidRDefault="007024BD" w:rsidP="00A01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A5435"/>
    <w:multiLevelType w:val="hybridMultilevel"/>
    <w:tmpl w:val="612C59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2BC"/>
    <w:rsid w:val="0000029E"/>
    <w:rsid w:val="00001F72"/>
    <w:rsid w:val="00003814"/>
    <w:rsid w:val="00004598"/>
    <w:rsid w:val="00030909"/>
    <w:rsid w:val="00041715"/>
    <w:rsid w:val="00042862"/>
    <w:rsid w:val="00053254"/>
    <w:rsid w:val="000678E2"/>
    <w:rsid w:val="00070E45"/>
    <w:rsid w:val="00074386"/>
    <w:rsid w:val="00082511"/>
    <w:rsid w:val="00090481"/>
    <w:rsid w:val="00090AAD"/>
    <w:rsid w:val="000927B4"/>
    <w:rsid w:val="00092DC3"/>
    <w:rsid w:val="0009413B"/>
    <w:rsid w:val="0009615A"/>
    <w:rsid w:val="00096310"/>
    <w:rsid w:val="000A2187"/>
    <w:rsid w:val="000C0967"/>
    <w:rsid w:val="000C0E72"/>
    <w:rsid w:val="000C5DAA"/>
    <w:rsid w:val="000D4F5A"/>
    <w:rsid w:val="000E0E75"/>
    <w:rsid w:val="000F0B13"/>
    <w:rsid w:val="000F14DF"/>
    <w:rsid w:val="000F4AB5"/>
    <w:rsid w:val="000F674E"/>
    <w:rsid w:val="001045FE"/>
    <w:rsid w:val="00106D9C"/>
    <w:rsid w:val="001162EA"/>
    <w:rsid w:val="0013148C"/>
    <w:rsid w:val="0014663E"/>
    <w:rsid w:val="00147CFB"/>
    <w:rsid w:val="00150DA9"/>
    <w:rsid w:val="00151336"/>
    <w:rsid w:val="001644D1"/>
    <w:rsid w:val="0016455A"/>
    <w:rsid w:val="00170019"/>
    <w:rsid w:val="0017383F"/>
    <w:rsid w:val="00173D24"/>
    <w:rsid w:val="00187824"/>
    <w:rsid w:val="00190789"/>
    <w:rsid w:val="00191CB3"/>
    <w:rsid w:val="001959DB"/>
    <w:rsid w:val="001A62A3"/>
    <w:rsid w:val="001D4630"/>
    <w:rsid w:val="001E4AF7"/>
    <w:rsid w:val="001F6DFB"/>
    <w:rsid w:val="0020554B"/>
    <w:rsid w:val="00213853"/>
    <w:rsid w:val="00230D1B"/>
    <w:rsid w:val="00252E6B"/>
    <w:rsid w:val="00260BC3"/>
    <w:rsid w:val="002615D5"/>
    <w:rsid w:val="00267F3F"/>
    <w:rsid w:val="0027083A"/>
    <w:rsid w:val="00271D92"/>
    <w:rsid w:val="0029058D"/>
    <w:rsid w:val="00296903"/>
    <w:rsid w:val="00297119"/>
    <w:rsid w:val="002A01ED"/>
    <w:rsid w:val="002A1C3D"/>
    <w:rsid w:val="002A336A"/>
    <w:rsid w:val="002A585B"/>
    <w:rsid w:val="002A7E98"/>
    <w:rsid w:val="002B25C4"/>
    <w:rsid w:val="002B3EAB"/>
    <w:rsid w:val="002B7FD0"/>
    <w:rsid w:val="002D08EC"/>
    <w:rsid w:val="002D61ED"/>
    <w:rsid w:val="002F6732"/>
    <w:rsid w:val="003101D1"/>
    <w:rsid w:val="00311577"/>
    <w:rsid w:val="00315318"/>
    <w:rsid w:val="003179F0"/>
    <w:rsid w:val="00344CAD"/>
    <w:rsid w:val="00347D6A"/>
    <w:rsid w:val="00357E7A"/>
    <w:rsid w:val="003641D5"/>
    <w:rsid w:val="003700B2"/>
    <w:rsid w:val="00382ABA"/>
    <w:rsid w:val="003834FB"/>
    <w:rsid w:val="00387365"/>
    <w:rsid w:val="003A4A06"/>
    <w:rsid w:val="003A53FD"/>
    <w:rsid w:val="003B46EA"/>
    <w:rsid w:val="003D1BF4"/>
    <w:rsid w:val="003E3F2D"/>
    <w:rsid w:val="003E407C"/>
    <w:rsid w:val="0040638D"/>
    <w:rsid w:val="00411670"/>
    <w:rsid w:val="00413150"/>
    <w:rsid w:val="00415DB2"/>
    <w:rsid w:val="00415EFB"/>
    <w:rsid w:val="0042068B"/>
    <w:rsid w:val="00437232"/>
    <w:rsid w:val="00440F54"/>
    <w:rsid w:val="004573B7"/>
    <w:rsid w:val="00477D6A"/>
    <w:rsid w:val="0048288F"/>
    <w:rsid w:val="004916B8"/>
    <w:rsid w:val="004A6151"/>
    <w:rsid w:val="004B3003"/>
    <w:rsid w:val="004B43E3"/>
    <w:rsid w:val="004B572B"/>
    <w:rsid w:val="004D4D9E"/>
    <w:rsid w:val="004E33EA"/>
    <w:rsid w:val="004E467D"/>
    <w:rsid w:val="004F7421"/>
    <w:rsid w:val="00510ED7"/>
    <w:rsid w:val="00513B93"/>
    <w:rsid w:val="00521FCF"/>
    <w:rsid w:val="00522516"/>
    <w:rsid w:val="00536625"/>
    <w:rsid w:val="00537FB1"/>
    <w:rsid w:val="0054106D"/>
    <w:rsid w:val="00541C23"/>
    <w:rsid w:val="005450B7"/>
    <w:rsid w:val="0054643E"/>
    <w:rsid w:val="005501BF"/>
    <w:rsid w:val="0055727A"/>
    <w:rsid w:val="00563964"/>
    <w:rsid w:val="00585FB5"/>
    <w:rsid w:val="00596B2A"/>
    <w:rsid w:val="005970C8"/>
    <w:rsid w:val="005A7990"/>
    <w:rsid w:val="005B1FE7"/>
    <w:rsid w:val="005B3EA1"/>
    <w:rsid w:val="005B7003"/>
    <w:rsid w:val="005C4D1D"/>
    <w:rsid w:val="00605C51"/>
    <w:rsid w:val="00614E79"/>
    <w:rsid w:val="00624623"/>
    <w:rsid w:val="00625497"/>
    <w:rsid w:val="00626D71"/>
    <w:rsid w:val="0062790A"/>
    <w:rsid w:val="006312AC"/>
    <w:rsid w:val="00632783"/>
    <w:rsid w:val="006358B2"/>
    <w:rsid w:val="0065192C"/>
    <w:rsid w:val="006547AC"/>
    <w:rsid w:val="00667726"/>
    <w:rsid w:val="006716F8"/>
    <w:rsid w:val="0067354F"/>
    <w:rsid w:val="006749D2"/>
    <w:rsid w:val="006838E9"/>
    <w:rsid w:val="0068479D"/>
    <w:rsid w:val="00684E53"/>
    <w:rsid w:val="00691394"/>
    <w:rsid w:val="00692936"/>
    <w:rsid w:val="0069645D"/>
    <w:rsid w:val="006B0EF3"/>
    <w:rsid w:val="006B4A12"/>
    <w:rsid w:val="006B7A1B"/>
    <w:rsid w:val="006C4569"/>
    <w:rsid w:val="006C7296"/>
    <w:rsid w:val="006E648B"/>
    <w:rsid w:val="006F473D"/>
    <w:rsid w:val="006F4D57"/>
    <w:rsid w:val="007024BD"/>
    <w:rsid w:val="007049DD"/>
    <w:rsid w:val="00727FE4"/>
    <w:rsid w:val="00740C99"/>
    <w:rsid w:val="007503CE"/>
    <w:rsid w:val="00753840"/>
    <w:rsid w:val="00753F0C"/>
    <w:rsid w:val="00755401"/>
    <w:rsid w:val="00763064"/>
    <w:rsid w:val="0077651A"/>
    <w:rsid w:val="00783FD1"/>
    <w:rsid w:val="00787A00"/>
    <w:rsid w:val="007A591C"/>
    <w:rsid w:val="007B43F6"/>
    <w:rsid w:val="007C235F"/>
    <w:rsid w:val="007C290F"/>
    <w:rsid w:val="007C60FC"/>
    <w:rsid w:val="007D06BF"/>
    <w:rsid w:val="007D253D"/>
    <w:rsid w:val="007D302F"/>
    <w:rsid w:val="007E09A3"/>
    <w:rsid w:val="007E78F8"/>
    <w:rsid w:val="007F4880"/>
    <w:rsid w:val="007F4B33"/>
    <w:rsid w:val="0080121B"/>
    <w:rsid w:val="00804678"/>
    <w:rsid w:val="008164B2"/>
    <w:rsid w:val="00817232"/>
    <w:rsid w:val="0082661A"/>
    <w:rsid w:val="008447E1"/>
    <w:rsid w:val="00861689"/>
    <w:rsid w:val="008630CF"/>
    <w:rsid w:val="00863F99"/>
    <w:rsid w:val="00875C57"/>
    <w:rsid w:val="00882762"/>
    <w:rsid w:val="00882945"/>
    <w:rsid w:val="00885819"/>
    <w:rsid w:val="008B621F"/>
    <w:rsid w:val="008B6CC5"/>
    <w:rsid w:val="008C08E3"/>
    <w:rsid w:val="008C24B2"/>
    <w:rsid w:val="008C47BD"/>
    <w:rsid w:val="008C554A"/>
    <w:rsid w:val="008E3218"/>
    <w:rsid w:val="008F0247"/>
    <w:rsid w:val="008F71F2"/>
    <w:rsid w:val="0090286A"/>
    <w:rsid w:val="00905CBC"/>
    <w:rsid w:val="009128AE"/>
    <w:rsid w:val="00923C87"/>
    <w:rsid w:val="009263E1"/>
    <w:rsid w:val="00935B48"/>
    <w:rsid w:val="00943EFE"/>
    <w:rsid w:val="00947451"/>
    <w:rsid w:val="009523BE"/>
    <w:rsid w:val="00955732"/>
    <w:rsid w:val="00963AFB"/>
    <w:rsid w:val="00970BAC"/>
    <w:rsid w:val="00973FC9"/>
    <w:rsid w:val="0098394D"/>
    <w:rsid w:val="00991423"/>
    <w:rsid w:val="009926B2"/>
    <w:rsid w:val="009A1476"/>
    <w:rsid w:val="009A3E2F"/>
    <w:rsid w:val="009B2285"/>
    <w:rsid w:val="009B3049"/>
    <w:rsid w:val="009B75C9"/>
    <w:rsid w:val="009C2B55"/>
    <w:rsid w:val="009C6171"/>
    <w:rsid w:val="009F05E6"/>
    <w:rsid w:val="00A01B4E"/>
    <w:rsid w:val="00A04E3A"/>
    <w:rsid w:val="00A054C1"/>
    <w:rsid w:val="00A057A4"/>
    <w:rsid w:val="00A075DC"/>
    <w:rsid w:val="00A16287"/>
    <w:rsid w:val="00A44077"/>
    <w:rsid w:val="00A44CDB"/>
    <w:rsid w:val="00A46D58"/>
    <w:rsid w:val="00A64623"/>
    <w:rsid w:val="00A66842"/>
    <w:rsid w:val="00A7233E"/>
    <w:rsid w:val="00A75BE2"/>
    <w:rsid w:val="00A76190"/>
    <w:rsid w:val="00A872BC"/>
    <w:rsid w:val="00A932AD"/>
    <w:rsid w:val="00AA4F20"/>
    <w:rsid w:val="00AA5850"/>
    <w:rsid w:val="00AB0915"/>
    <w:rsid w:val="00AB440C"/>
    <w:rsid w:val="00AB5AD2"/>
    <w:rsid w:val="00AD439E"/>
    <w:rsid w:val="00AD5DF9"/>
    <w:rsid w:val="00AD6488"/>
    <w:rsid w:val="00AD7375"/>
    <w:rsid w:val="00B01440"/>
    <w:rsid w:val="00B0523D"/>
    <w:rsid w:val="00B12EFB"/>
    <w:rsid w:val="00B21873"/>
    <w:rsid w:val="00B305E4"/>
    <w:rsid w:val="00B36ACD"/>
    <w:rsid w:val="00B4347F"/>
    <w:rsid w:val="00B528DF"/>
    <w:rsid w:val="00B536A3"/>
    <w:rsid w:val="00B5509B"/>
    <w:rsid w:val="00B55889"/>
    <w:rsid w:val="00B57B3A"/>
    <w:rsid w:val="00B67EF4"/>
    <w:rsid w:val="00B836E7"/>
    <w:rsid w:val="00B96098"/>
    <w:rsid w:val="00BA00F2"/>
    <w:rsid w:val="00BA1DA7"/>
    <w:rsid w:val="00BA7607"/>
    <w:rsid w:val="00BC02B6"/>
    <w:rsid w:val="00BC483F"/>
    <w:rsid w:val="00BD0AD4"/>
    <w:rsid w:val="00BD1431"/>
    <w:rsid w:val="00BD3B32"/>
    <w:rsid w:val="00BD40F7"/>
    <w:rsid w:val="00BE21C9"/>
    <w:rsid w:val="00C307C6"/>
    <w:rsid w:val="00C47912"/>
    <w:rsid w:val="00C50BB6"/>
    <w:rsid w:val="00C62AA6"/>
    <w:rsid w:val="00C62DE1"/>
    <w:rsid w:val="00C72048"/>
    <w:rsid w:val="00C76356"/>
    <w:rsid w:val="00C820AE"/>
    <w:rsid w:val="00C8247C"/>
    <w:rsid w:val="00CA26F0"/>
    <w:rsid w:val="00CA295B"/>
    <w:rsid w:val="00CA5B12"/>
    <w:rsid w:val="00CB2248"/>
    <w:rsid w:val="00CC4936"/>
    <w:rsid w:val="00CC6E97"/>
    <w:rsid w:val="00CD117B"/>
    <w:rsid w:val="00CE0A93"/>
    <w:rsid w:val="00CE42AC"/>
    <w:rsid w:val="00CE5284"/>
    <w:rsid w:val="00D16385"/>
    <w:rsid w:val="00D24588"/>
    <w:rsid w:val="00D27551"/>
    <w:rsid w:val="00D313EB"/>
    <w:rsid w:val="00D35CD7"/>
    <w:rsid w:val="00D46526"/>
    <w:rsid w:val="00D542FA"/>
    <w:rsid w:val="00D72E5D"/>
    <w:rsid w:val="00D7484B"/>
    <w:rsid w:val="00D75316"/>
    <w:rsid w:val="00D766F2"/>
    <w:rsid w:val="00D769C3"/>
    <w:rsid w:val="00D77B6D"/>
    <w:rsid w:val="00D9161A"/>
    <w:rsid w:val="00DA3607"/>
    <w:rsid w:val="00DD7C2F"/>
    <w:rsid w:val="00DF100A"/>
    <w:rsid w:val="00E16873"/>
    <w:rsid w:val="00E23DAC"/>
    <w:rsid w:val="00E40E4A"/>
    <w:rsid w:val="00E54870"/>
    <w:rsid w:val="00E5546F"/>
    <w:rsid w:val="00E61FEE"/>
    <w:rsid w:val="00E62175"/>
    <w:rsid w:val="00E76E82"/>
    <w:rsid w:val="00E843B9"/>
    <w:rsid w:val="00E924C0"/>
    <w:rsid w:val="00E94DA9"/>
    <w:rsid w:val="00EB116F"/>
    <w:rsid w:val="00EB2E00"/>
    <w:rsid w:val="00EC0B52"/>
    <w:rsid w:val="00EC3D56"/>
    <w:rsid w:val="00EC59FC"/>
    <w:rsid w:val="00ED0B8A"/>
    <w:rsid w:val="00ED2E41"/>
    <w:rsid w:val="00EF2804"/>
    <w:rsid w:val="00EF72D3"/>
    <w:rsid w:val="00F0248B"/>
    <w:rsid w:val="00F255C8"/>
    <w:rsid w:val="00F26FEA"/>
    <w:rsid w:val="00F33801"/>
    <w:rsid w:val="00F36A08"/>
    <w:rsid w:val="00F40C40"/>
    <w:rsid w:val="00F4192C"/>
    <w:rsid w:val="00F43302"/>
    <w:rsid w:val="00F4379C"/>
    <w:rsid w:val="00F44833"/>
    <w:rsid w:val="00F45048"/>
    <w:rsid w:val="00F5113C"/>
    <w:rsid w:val="00F53AA3"/>
    <w:rsid w:val="00F77C7E"/>
    <w:rsid w:val="00FA70E3"/>
    <w:rsid w:val="00FB2171"/>
    <w:rsid w:val="00FB49E5"/>
    <w:rsid w:val="00FC50CE"/>
    <w:rsid w:val="00FC5637"/>
    <w:rsid w:val="00FC6E24"/>
    <w:rsid w:val="00FD590B"/>
    <w:rsid w:val="00FE0186"/>
    <w:rsid w:val="00FE4785"/>
    <w:rsid w:val="00FE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B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21">
    <w:name w:val="A2+1"/>
    <w:uiPriority w:val="99"/>
    <w:rsid w:val="00003814"/>
    <w:rPr>
      <w:color w:val="000000"/>
      <w:sz w:val="26"/>
      <w:szCs w:val="26"/>
    </w:rPr>
  </w:style>
  <w:style w:type="table" w:styleId="Grilledutableau">
    <w:name w:val="Table Grid"/>
    <w:basedOn w:val="TableauNormal"/>
    <w:uiPriority w:val="59"/>
    <w:rsid w:val="007C2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7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58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A01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01B4E"/>
  </w:style>
  <w:style w:type="paragraph" w:styleId="Pieddepage">
    <w:name w:val="footer"/>
    <w:basedOn w:val="Normal"/>
    <w:link w:val="PieddepageCar"/>
    <w:uiPriority w:val="99"/>
    <w:unhideWhenUsed/>
    <w:rsid w:val="00A01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1B4E"/>
  </w:style>
  <w:style w:type="paragraph" w:styleId="Rvision">
    <w:name w:val="Revision"/>
    <w:hidden/>
    <w:uiPriority w:val="99"/>
    <w:semiHidden/>
    <w:rsid w:val="00935B48"/>
    <w:pPr>
      <w:spacing w:after="0" w:line="240" w:lineRule="auto"/>
    </w:pPr>
  </w:style>
  <w:style w:type="paragraph" w:customStyle="1" w:styleId="Parag">
    <w:name w:val="Parag"/>
    <w:basedOn w:val="Normal"/>
    <w:rsid w:val="00B01440"/>
    <w:pPr>
      <w:spacing w:after="24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B01440"/>
    <w:pPr>
      <w:spacing w:after="160" w:line="259" w:lineRule="auto"/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5501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ROUIHA</dc:creator>
  <cp:lastModifiedBy>hcp</cp:lastModifiedBy>
  <cp:revision>2</cp:revision>
  <cp:lastPrinted>2017-10-09T10:50:00Z</cp:lastPrinted>
  <dcterms:created xsi:type="dcterms:W3CDTF">2017-10-11T09:29:00Z</dcterms:created>
  <dcterms:modified xsi:type="dcterms:W3CDTF">2017-10-11T09:29:00Z</dcterms:modified>
</cp:coreProperties>
</file>