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76B" w:rsidRDefault="00647198" w:rsidP="0032191A">
      <w:pPr>
        <w:pStyle w:val="NormalWeb"/>
        <w:spacing w:before="0" w:beforeAutospacing="0" w:after="0" w:afterAutospacing="0"/>
        <w:jc w:val="center"/>
        <w:rPr>
          <w:b/>
          <w:bCs/>
        </w:rPr>
      </w:pPr>
      <w:r>
        <w:rPr>
          <w:b/>
          <w:bCs/>
        </w:rPr>
        <w:tab/>
      </w:r>
      <w:r w:rsidR="0097276B">
        <w:rPr>
          <w:b/>
          <w:bCs/>
        </w:rPr>
        <w:t xml:space="preserve"> </w:t>
      </w:r>
    </w:p>
    <w:p w:rsidR="0097276B" w:rsidRDefault="0097276B" w:rsidP="0032191A">
      <w:pPr>
        <w:pStyle w:val="NormalWeb"/>
        <w:spacing w:before="0" w:beforeAutospacing="0" w:after="0" w:afterAutospacing="0"/>
        <w:jc w:val="center"/>
        <w:rPr>
          <w:b/>
          <w:bCs/>
        </w:rPr>
      </w:pP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3120" behindDoc="0" locked="0" layoutInCell="1" allowOverlap="1">
            <wp:simplePos x="0" y="0"/>
            <wp:positionH relativeFrom="column">
              <wp:posOffset>5008880</wp:posOffset>
            </wp:positionH>
            <wp:positionV relativeFrom="paragraph">
              <wp:posOffset>155575</wp:posOffset>
            </wp:positionV>
            <wp:extent cx="1287780" cy="460375"/>
            <wp:effectExtent l="19050" t="0" r="7620" b="0"/>
            <wp:wrapSquare wrapText="left"/>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287780" cy="460375"/>
                    </a:xfrm>
                    <a:prstGeom prst="rect">
                      <a:avLst/>
                    </a:prstGeom>
                    <a:noFill/>
                  </pic:spPr>
                </pic:pic>
              </a:graphicData>
            </a:graphic>
          </wp:anchor>
        </w:drawing>
      </w: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4144" behindDoc="0" locked="0" layoutInCell="1" allowOverlap="1">
            <wp:simplePos x="0" y="0"/>
            <wp:positionH relativeFrom="column">
              <wp:posOffset>34290</wp:posOffset>
            </wp:positionH>
            <wp:positionV relativeFrom="paragraph">
              <wp:posOffset>57785</wp:posOffset>
            </wp:positionV>
            <wp:extent cx="1524000" cy="380365"/>
            <wp:effectExtent l="19050" t="0" r="0" b="0"/>
            <wp:wrapSquare wrapText="bothSides"/>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524000" cy="380365"/>
                    </a:xfrm>
                    <a:prstGeom prst="rect">
                      <a:avLst/>
                    </a:prstGeom>
                    <a:noFill/>
                  </pic:spPr>
                </pic:pic>
              </a:graphicData>
            </a:graphic>
          </wp:anchor>
        </w:drawing>
      </w:r>
    </w:p>
    <w:p w:rsidR="0097276B" w:rsidRDefault="0097276B" w:rsidP="0032191A">
      <w:pPr>
        <w:pStyle w:val="NormalWeb"/>
        <w:spacing w:before="0" w:beforeAutospacing="0" w:after="0" w:afterAutospacing="0"/>
        <w:jc w:val="center"/>
        <w:rPr>
          <w:b/>
          <w:bCs/>
        </w:rPr>
      </w:pPr>
    </w:p>
    <w:p w:rsidR="0097276B" w:rsidRDefault="0097276B" w:rsidP="0032191A">
      <w:pPr>
        <w:pStyle w:val="NormalWeb"/>
        <w:spacing w:before="0" w:beforeAutospacing="0" w:after="0" w:afterAutospacing="0"/>
        <w:jc w:val="center"/>
        <w:rPr>
          <w:b/>
          <w:bCs/>
          <w:sz w:val="14"/>
          <w:szCs w:val="14"/>
        </w:rPr>
      </w:pPr>
    </w:p>
    <w:p w:rsidR="0097276B" w:rsidRDefault="0097276B" w:rsidP="0032191A">
      <w:pPr>
        <w:pStyle w:val="NormalWeb"/>
        <w:spacing w:before="0" w:beforeAutospacing="0" w:after="0" w:afterAutospacing="0"/>
        <w:jc w:val="center"/>
        <w:rPr>
          <w:b/>
          <w:bCs/>
          <w:sz w:val="14"/>
          <w:szCs w:val="14"/>
        </w:rPr>
      </w:pPr>
    </w:p>
    <w:p w:rsidR="00570A93" w:rsidRDefault="00570A93" w:rsidP="0032191A">
      <w:pPr>
        <w:pStyle w:val="NormalWeb"/>
        <w:spacing w:before="0" w:beforeAutospacing="0" w:after="0" w:afterAutospacing="0"/>
        <w:jc w:val="center"/>
        <w:rPr>
          <w:b/>
          <w:bCs/>
          <w:sz w:val="14"/>
          <w:szCs w:val="14"/>
        </w:rPr>
      </w:pPr>
    </w:p>
    <w:p w:rsidR="004F160F" w:rsidRDefault="004F160F" w:rsidP="0032191A">
      <w:pPr>
        <w:pStyle w:val="NormalWeb"/>
        <w:spacing w:before="0" w:beforeAutospacing="0" w:after="0" w:afterAutospacing="0"/>
        <w:jc w:val="center"/>
        <w:rPr>
          <w:b/>
          <w:bCs/>
          <w:sz w:val="14"/>
          <w:szCs w:val="14"/>
        </w:rPr>
      </w:pPr>
    </w:p>
    <w:p w:rsidR="00434D67" w:rsidRPr="003E4CBD" w:rsidRDefault="00434D67" w:rsidP="00434D67">
      <w:pPr>
        <w:jc w:val="center"/>
        <w:rPr>
          <w:b/>
          <w:bCs/>
          <w:color w:val="C00000"/>
          <w:sz w:val="40"/>
          <w:szCs w:val="40"/>
          <w:rtl/>
          <w:lang w:bidi="ar-MA"/>
        </w:rPr>
      </w:pPr>
    </w:p>
    <w:p w:rsidR="00434D67" w:rsidRPr="003E4CBD" w:rsidRDefault="00434D67" w:rsidP="00166E77">
      <w:pPr>
        <w:jc w:val="center"/>
        <w:rPr>
          <w:b/>
          <w:bCs/>
          <w:color w:val="C00000"/>
          <w:sz w:val="40"/>
          <w:szCs w:val="40"/>
          <w:rtl/>
          <w:lang w:bidi="ar-MA"/>
        </w:rPr>
      </w:pPr>
      <w:r w:rsidRPr="003E4CBD">
        <w:rPr>
          <w:rFonts w:cs="Arabic Transparent" w:hint="cs"/>
          <w:b/>
          <w:bCs/>
          <w:color w:val="C00000"/>
          <w:sz w:val="40"/>
          <w:szCs w:val="40"/>
          <w:rtl/>
        </w:rPr>
        <w:t>ا</w:t>
      </w:r>
      <w:r w:rsidRPr="003E4CBD">
        <w:rPr>
          <w:rFonts w:hint="cs"/>
          <w:b/>
          <w:bCs/>
          <w:color w:val="C00000"/>
          <w:sz w:val="40"/>
          <w:szCs w:val="40"/>
          <w:rtl/>
          <w:lang w:bidi="ar-MA"/>
        </w:rPr>
        <w:t xml:space="preserve">لبحث الوطني حول البنيات </w:t>
      </w:r>
      <w:r w:rsidR="00166E77" w:rsidRPr="003E4CBD">
        <w:rPr>
          <w:rFonts w:hint="cs"/>
          <w:b/>
          <w:bCs/>
          <w:color w:val="C00000"/>
          <w:sz w:val="40"/>
          <w:szCs w:val="40"/>
          <w:rtl/>
          <w:lang w:bidi="ar-MA"/>
        </w:rPr>
        <w:t>الاقتصادية 2015</w:t>
      </w:r>
    </w:p>
    <w:p w:rsidR="00166E77" w:rsidRPr="003E4CBD" w:rsidRDefault="00166E77" w:rsidP="00705D20">
      <w:pPr>
        <w:jc w:val="center"/>
        <w:rPr>
          <w:b/>
          <w:bCs/>
          <w:color w:val="C00000"/>
          <w:sz w:val="40"/>
          <w:szCs w:val="40"/>
          <w:rtl/>
          <w:lang w:bidi="ar-MA"/>
        </w:rPr>
      </w:pPr>
      <w:r w:rsidRPr="003E4CBD">
        <w:rPr>
          <w:rFonts w:hint="cs"/>
          <w:b/>
          <w:bCs/>
          <w:color w:val="C00000"/>
          <w:sz w:val="40"/>
          <w:szCs w:val="40"/>
          <w:rtl/>
          <w:lang w:bidi="ar-MA"/>
        </w:rPr>
        <w:t>النتائج ال</w:t>
      </w:r>
      <w:r w:rsidR="00705D20">
        <w:rPr>
          <w:rFonts w:hint="cs"/>
          <w:b/>
          <w:bCs/>
          <w:color w:val="C00000"/>
          <w:sz w:val="40"/>
          <w:szCs w:val="40"/>
          <w:rtl/>
          <w:lang w:bidi="ar-MA"/>
        </w:rPr>
        <w:t>أساسية</w:t>
      </w:r>
      <w:r w:rsidRPr="003E4CBD">
        <w:rPr>
          <w:rFonts w:hint="cs"/>
          <w:b/>
          <w:bCs/>
          <w:color w:val="C00000"/>
          <w:sz w:val="40"/>
          <w:szCs w:val="40"/>
          <w:rtl/>
          <w:lang w:bidi="ar-MA"/>
        </w:rPr>
        <w:t xml:space="preserve"> </w:t>
      </w:r>
      <w:r w:rsidR="00705D20">
        <w:rPr>
          <w:rFonts w:hint="cs"/>
          <w:b/>
          <w:bCs/>
          <w:color w:val="C00000"/>
          <w:sz w:val="40"/>
          <w:szCs w:val="40"/>
          <w:rtl/>
          <w:lang w:bidi="ar-MA"/>
        </w:rPr>
        <w:t>ل</w:t>
      </w:r>
      <w:r w:rsidRPr="003E4CBD">
        <w:rPr>
          <w:rFonts w:hint="cs"/>
          <w:b/>
          <w:bCs/>
          <w:color w:val="C00000"/>
          <w:sz w:val="40"/>
          <w:szCs w:val="40"/>
          <w:rtl/>
          <w:lang w:bidi="ar-MA"/>
        </w:rPr>
        <w:t>قطاع الصناعات التحويلية</w:t>
      </w:r>
    </w:p>
    <w:p w:rsidR="000C109A" w:rsidRPr="000C109A" w:rsidRDefault="00434D67" w:rsidP="000C109A">
      <w:pPr>
        <w:jc w:val="center"/>
        <w:rPr>
          <w:rFonts w:cs="Arabic Transparent"/>
          <w:b/>
          <w:bCs/>
          <w:color w:val="C00000"/>
          <w:sz w:val="40"/>
          <w:szCs w:val="40"/>
        </w:rPr>
      </w:pPr>
      <w:r w:rsidRPr="003E4CBD">
        <w:rPr>
          <w:rFonts w:hint="cs"/>
          <w:b/>
          <w:bCs/>
          <w:color w:val="C00000"/>
          <w:sz w:val="40"/>
          <w:szCs w:val="40"/>
          <w:rtl/>
          <w:lang w:bidi="ar-MA"/>
        </w:rPr>
        <w:t xml:space="preserve"> </w:t>
      </w:r>
      <w:r w:rsidR="00166E77" w:rsidRPr="003E4CBD">
        <w:rPr>
          <w:rFonts w:hint="cs"/>
          <w:b/>
          <w:bCs/>
          <w:color w:val="C00000"/>
          <w:sz w:val="40"/>
          <w:szCs w:val="40"/>
          <w:rtl/>
          <w:lang w:bidi="ar-MA"/>
        </w:rPr>
        <w:t xml:space="preserve"> </w:t>
      </w:r>
      <w:r w:rsidR="003E4CBD">
        <w:rPr>
          <w:rFonts w:hint="cs"/>
          <w:b/>
          <w:bCs/>
          <w:color w:val="C00000"/>
          <w:sz w:val="40"/>
          <w:szCs w:val="40"/>
          <w:rtl/>
          <w:lang w:bidi="ar-MA"/>
        </w:rPr>
        <w:t>*************</w:t>
      </w:r>
    </w:p>
    <w:p w:rsidR="000C109A" w:rsidRPr="000C109A" w:rsidRDefault="000C109A" w:rsidP="000C109A">
      <w:pPr>
        <w:jc w:val="center"/>
        <w:rPr>
          <w:rFonts w:cs="Arabic Transparent"/>
          <w:b/>
          <w:bCs/>
          <w:color w:val="C00000"/>
          <w:sz w:val="40"/>
          <w:szCs w:val="40"/>
          <w:rtl/>
        </w:rPr>
      </w:pPr>
      <w:r w:rsidRPr="000C109A">
        <w:rPr>
          <w:rFonts w:cs="Arabic Transparent"/>
          <w:b/>
          <w:bCs/>
          <w:color w:val="C00000"/>
          <w:sz w:val="36"/>
          <w:szCs w:val="36"/>
          <w:rtl/>
        </w:rPr>
        <w:t xml:space="preserve">المندوبية السامية للتخطيط </w:t>
      </w:r>
      <w:r w:rsidRPr="000C109A">
        <w:rPr>
          <w:rFonts w:cs="Arabic Transparent"/>
          <w:b/>
          <w:bCs/>
          <w:color w:val="C00000"/>
          <w:sz w:val="32"/>
          <w:szCs w:val="32"/>
          <w:rtl/>
        </w:rPr>
        <w:t>2017</w:t>
      </w:r>
    </w:p>
    <w:p w:rsidR="003E4CBD" w:rsidRPr="007506F2" w:rsidRDefault="003E4CBD" w:rsidP="00166E77">
      <w:pPr>
        <w:jc w:val="center"/>
        <w:rPr>
          <w:rFonts w:cs="Arabic Transparent"/>
          <w:sz w:val="36"/>
          <w:szCs w:val="36"/>
          <w:rtl/>
        </w:rPr>
      </w:pPr>
    </w:p>
    <w:p w:rsidR="000C109A" w:rsidRPr="00A74210" w:rsidRDefault="00A74210" w:rsidP="000C10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Theme="minorBidi" w:hAnsiTheme="minorBidi" w:cstheme="minorBidi"/>
          <w:color w:val="212121"/>
          <w:sz w:val="32"/>
          <w:szCs w:val="32"/>
        </w:rPr>
      </w:pPr>
      <w:r w:rsidRPr="00A74210">
        <w:rPr>
          <w:rFonts w:asciiTheme="minorBidi" w:hAnsiTheme="minorBidi" w:cstheme="minorBidi" w:hint="cs"/>
          <w:color w:val="212121"/>
          <w:sz w:val="32"/>
          <w:szCs w:val="32"/>
          <w:rtl/>
        </w:rPr>
        <w:t xml:space="preserve">في إطار الالتزام بالمعايير الدولية الخاصة بتجديد سنة أساس الحسابات الوطنية والتي تحدد دورية البحوث البنيوية لخمس سنوات، وباعتبار </w:t>
      </w:r>
      <w:r w:rsidR="000C109A" w:rsidRPr="00A74210">
        <w:rPr>
          <w:rFonts w:asciiTheme="minorBidi" w:hAnsiTheme="minorBidi" w:cstheme="minorBidi"/>
          <w:color w:val="212121"/>
          <w:sz w:val="32"/>
          <w:szCs w:val="32"/>
          <w:rtl/>
        </w:rPr>
        <w:t>التحولات التي عرفها النسيج الاقتصادي الوطني خلال السنوات الأخيرة، قامت المندوبية السامية للتخطيط سنة 2015، بإنجاز البحث الوطني حول البنيات الاقتصادية. شمل هذا البحث عينة تتكون من 000 15 مقاولة منظمة (تتوفر على محاسبة نظامية مطابقة للقوانين المحاسباتية الجاري بها العمل بالمغرب)، والتي تعمل في قطاعات الصيد البحري والطاقة والمعادن والصناعة التحويلية، والبناء والأشغال العمومية، والتجارة والخدمات التجارية غير المالية برسم سنة 2014.</w:t>
      </w:r>
    </w:p>
    <w:p w:rsidR="0043504C" w:rsidRDefault="0043504C" w:rsidP="000C10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cs="Arabic Transparent"/>
          <w:sz w:val="28"/>
          <w:szCs w:val="28"/>
          <w:rtl/>
        </w:rPr>
      </w:pPr>
    </w:p>
    <w:p w:rsidR="000C109A" w:rsidRDefault="000C109A" w:rsidP="0043504C">
      <w:pPr>
        <w:pStyle w:val="PrformatHTML"/>
        <w:shd w:val="clear" w:color="auto" w:fill="FFFFFF"/>
        <w:bidi/>
        <w:jc w:val="both"/>
        <w:rPr>
          <w:rFonts w:asciiTheme="minorBidi" w:hAnsiTheme="minorBidi" w:cstheme="minorBidi"/>
          <w:color w:val="212121"/>
          <w:sz w:val="32"/>
          <w:szCs w:val="32"/>
          <w:rtl/>
        </w:rPr>
      </w:pPr>
      <w:r w:rsidRPr="00CA2CBA">
        <w:rPr>
          <w:rFonts w:asciiTheme="minorBidi" w:hAnsiTheme="minorBidi" w:cstheme="minorBidi"/>
          <w:color w:val="212121"/>
          <w:sz w:val="32"/>
          <w:szCs w:val="32"/>
          <w:rtl/>
        </w:rPr>
        <w:t xml:space="preserve">يهدف هذا البحث أساسا إلى تزويد المحاسبة الوطنية بالمعطيات اللازمة لإعداد حسابات الإنتاج والاستغلال حسب فروع النشاط الاقتصادي، وذلك برسم سنة الأساس 2014. كما سيمكن أصحاب القرار والفاعلين الاقتصاديين، سواء كانوا </w:t>
      </w:r>
      <w:r w:rsidR="0043504C" w:rsidRPr="0043504C">
        <w:rPr>
          <w:rFonts w:asciiTheme="minorBidi" w:hAnsiTheme="minorBidi" w:cstheme="minorBidi" w:hint="cs"/>
          <w:color w:val="212121"/>
          <w:sz w:val="32"/>
          <w:szCs w:val="32"/>
          <w:rtl/>
        </w:rPr>
        <w:t>من القطاع الخاص أو العام</w:t>
      </w:r>
      <w:r w:rsidRPr="00CA2CBA">
        <w:rPr>
          <w:rFonts w:asciiTheme="minorBidi" w:hAnsiTheme="minorBidi" w:cstheme="minorBidi"/>
          <w:color w:val="212121"/>
          <w:sz w:val="32"/>
          <w:szCs w:val="32"/>
          <w:rtl/>
        </w:rPr>
        <w:t>، من التوفر على مجموعة من المؤشرات</w:t>
      </w:r>
      <w:r w:rsidR="004F65EA">
        <w:rPr>
          <w:rFonts w:asciiTheme="minorBidi" w:hAnsiTheme="minorBidi" w:cstheme="minorBidi" w:hint="cs"/>
          <w:color w:val="212121"/>
          <w:sz w:val="32"/>
          <w:szCs w:val="32"/>
          <w:rtl/>
        </w:rPr>
        <w:t xml:space="preserve"> التي</w:t>
      </w:r>
      <w:r w:rsidRPr="00CA2CBA">
        <w:rPr>
          <w:rFonts w:asciiTheme="minorBidi" w:hAnsiTheme="minorBidi" w:cstheme="minorBidi"/>
          <w:color w:val="212121"/>
          <w:sz w:val="32"/>
          <w:szCs w:val="32"/>
          <w:rtl/>
        </w:rPr>
        <w:t xml:space="preserve"> تعكس بنية الإنتاج والاستهلاك حسب قطاع النشاط، وكذا سلوك أرباب المقاولات في مجالات استهلاك الطاقة، وتدبير الموارد البشرية، والاستثمار، والتمويل، </w:t>
      </w:r>
      <w:r w:rsidR="004F65EA">
        <w:rPr>
          <w:rFonts w:asciiTheme="minorBidi" w:hAnsiTheme="minorBidi" w:cstheme="minorBidi" w:hint="cs"/>
          <w:color w:val="212121"/>
          <w:sz w:val="32"/>
          <w:szCs w:val="32"/>
          <w:rtl/>
        </w:rPr>
        <w:t xml:space="preserve"> </w:t>
      </w:r>
      <w:r w:rsidRPr="00CA2CBA">
        <w:rPr>
          <w:rFonts w:asciiTheme="minorBidi" w:hAnsiTheme="minorBidi" w:cstheme="minorBidi"/>
          <w:color w:val="212121"/>
          <w:sz w:val="32"/>
          <w:szCs w:val="32"/>
          <w:rtl/>
        </w:rPr>
        <w:t>إلخ ...</w:t>
      </w:r>
    </w:p>
    <w:p w:rsidR="004F65EA" w:rsidRPr="00CA2CBA" w:rsidRDefault="004F65EA" w:rsidP="004F65EA">
      <w:pPr>
        <w:pStyle w:val="PrformatHTML"/>
        <w:shd w:val="clear" w:color="auto" w:fill="FFFFFF"/>
        <w:bidi/>
        <w:jc w:val="both"/>
        <w:rPr>
          <w:rFonts w:asciiTheme="minorBidi" w:hAnsiTheme="minorBidi" w:cstheme="minorBidi"/>
          <w:color w:val="212121"/>
          <w:sz w:val="32"/>
          <w:szCs w:val="32"/>
        </w:rPr>
      </w:pPr>
    </w:p>
    <w:p w:rsidR="000C109A" w:rsidRPr="00CA2CBA" w:rsidRDefault="000C109A" w:rsidP="004F65EA">
      <w:pPr>
        <w:pStyle w:val="PrformatHTML"/>
        <w:shd w:val="clear" w:color="auto" w:fill="FFFFFF"/>
        <w:bidi/>
        <w:jc w:val="both"/>
        <w:rPr>
          <w:rFonts w:asciiTheme="minorBidi" w:hAnsiTheme="minorBidi" w:cstheme="minorBidi"/>
          <w:color w:val="212121"/>
          <w:sz w:val="32"/>
          <w:szCs w:val="32"/>
        </w:rPr>
      </w:pPr>
      <w:r w:rsidRPr="00CA2CBA">
        <w:rPr>
          <w:rFonts w:asciiTheme="minorBidi" w:hAnsiTheme="minorBidi" w:cstheme="minorBidi"/>
          <w:color w:val="212121"/>
          <w:sz w:val="32"/>
          <w:szCs w:val="32"/>
          <w:rtl/>
        </w:rPr>
        <w:t xml:space="preserve">تقدم هذه </w:t>
      </w:r>
      <w:r w:rsidR="004F65EA">
        <w:rPr>
          <w:rFonts w:asciiTheme="minorBidi" w:hAnsiTheme="minorBidi" w:cstheme="minorBidi" w:hint="cs"/>
          <w:color w:val="212121"/>
          <w:sz w:val="32"/>
          <w:szCs w:val="32"/>
          <w:rtl/>
        </w:rPr>
        <w:t>المذكر</w:t>
      </w:r>
      <w:r w:rsidR="004F65EA" w:rsidRPr="00CA2CBA">
        <w:rPr>
          <w:rFonts w:asciiTheme="minorBidi" w:hAnsiTheme="minorBidi" w:cstheme="minorBidi" w:hint="cs"/>
          <w:color w:val="212121"/>
          <w:sz w:val="32"/>
          <w:szCs w:val="32"/>
          <w:rtl/>
        </w:rPr>
        <w:t>ة</w:t>
      </w:r>
      <w:r w:rsidRPr="00CA2CBA">
        <w:rPr>
          <w:rFonts w:asciiTheme="minorBidi" w:hAnsiTheme="minorBidi" w:cstheme="minorBidi"/>
          <w:color w:val="212121"/>
          <w:sz w:val="32"/>
          <w:szCs w:val="32"/>
          <w:rtl/>
        </w:rPr>
        <w:t xml:space="preserve"> النتائج الرئيسية للبحث، والمتعلقة بالمقاولات المنظمة العاملة في مجال الصناعة التحويلية. يستعرض الجزء الأول وضعية القطاع، ويقدم الجزء الثاني بنياته الأساسية، بينما يستعرض الجزء الثالث بعض المؤشرات الاقتصادية والمالية.</w:t>
      </w:r>
    </w:p>
    <w:p w:rsidR="00434D67" w:rsidRPr="00CA2CBA" w:rsidRDefault="00434D67" w:rsidP="00434D67">
      <w:pPr>
        <w:bidi/>
        <w:jc w:val="both"/>
        <w:rPr>
          <w:rFonts w:cs="Arabic Transparent"/>
          <w:sz w:val="32"/>
          <w:szCs w:val="32"/>
          <w:rtl/>
        </w:rPr>
      </w:pPr>
    </w:p>
    <w:p w:rsidR="00434D67" w:rsidRPr="00B01981" w:rsidRDefault="00434D67" w:rsidP="00434D67">
      <w:pPr>
        <w:bidi/>
        <w:jc w:val="both"/>
        <w:rPr>
          <w:rFonts w:ascii="Book Antiqua" w:hAnsi="Book Antiqua" w:cs="Arial"/>
          <w:b/>
          <w:bCs/>
          <w:color w:val="E36C0A"/>
          <w:sz w:val="36"/>
          <w:szCs w:val="36"/>
          <w:rtl/>
        </w:rPr>
      </w:pPr>
      <w:r w:rsidRPr="00B01981">
        <w:rPr>
          <w:rFonts w:ascii="Book Antiqua" w:hAnsi="Book Antiqua" w:cs="Arial" w:hint="cs"/>
          <w:b/>
          <w:bCs/>
          <w:color w:val="E36C0A"/>
          <w:sz w:val="36"/>
          <w:szCs w:val="36"/>
          <w:rtl/>
        </w:rPr>
        <w:t xml:space="preserve">1 </w:t>
      </w:r>
      <w:r w:rsidRPr="00B01981">
        <w:rPr>
          <w:rFonts w:ascii="Book Antiqua" w:hAnsi="Book Antiqua" w:cs="Arial"/>
          <w:b/>
          <w:bCs/>
          <w:color w:val="E36C0A"/>
          <w:sz w:val="36"/>
          <w:szCs w:val="36"/>
          <w:rtl/>
        </w:rPr>
        <w:t>–</w:t>
      </w:r>
      <w:r w:rsidRPr="00B01981">
        <w:rPr>
          <w:rFonts w:ascii="Book Antiqua" w:hAnsi="Book Antiqua" w:cs="Arial" w:hint="cs"/>
          <w:b/>
          <w:bCs/>
          <w:color w:val="E36C0A"/>
          <w:sz w:val="36"/>
          <w:szCs w:val="36"/>
          <w:rtl/>
        </w:rPr>
        <w:t xml:space="preserve"> وضعية الصناعات التحويلية</w:t>
      </w:r>
    </w:p>
    <w:p w:rsidR="00434D67" w:rsidRPr="00CB44FD" w:rsidRDefault="00434D67" w:rsidP="00434D67">
      <w:pPr>
        <w:bidi/>
        <w:jc w:val="both"/>
        <w:rPr>
          <w:rFonts w:cs="Arabic Transparent"/>
          <w:sz w:val="32"/>
          <w:szCs w:val="32"/>
          <w:rtl/>
        </w:rPr>
      </w:pPr>
    </w:p>
    <w:p w:rsidR="000C109A" w:rsidRPr="00CA2CBA" w:rsidRDefault="000C109A" w:rsidP="00513D9A">
      <w:pPr>
        <w:pStyle w:val="PrformatHTML"/>
        <w:shd w:val="clear" w:color="auto" w:fill="FFFFFF"/>
        <w:bidi/>
        <w:jc w:val="both"/>
        <w:rPr>
          <w:rFonts w:asciiTheme="minorBidi" w:hAnsiTheme="minorBidi" w:cstheme="minorBidi"/>
          <w:color w:val="212121"/>
          <w:sz w:val="32"/>
          <w:szCs w:val="32"/>
        </w:rPr>
      </w:pPr>
      <w:r w:rsidRPr="00CA2CBA">
        <w:rPr>
          <w:rFonts w:asciiTheme="minorBidi" w:hAnsiTheme="minorBidi" w:cstheme="minorBidi"/>
          <w:color w:val="212121"/>
          <w:sz w:val="32"/>
          <w:szCs w:val="32"/>
          <w:rtl/>
        </w:rPr>
        <w:t xml:space="preserve">حققت الصناعات التحويلية رقم معاملات بلغ 434 مليار درهم سنة 2014، أي بزيادة سنوية قدرها </w:t>
      </w:r>
      <w:r w:rsidRPr="00CA2CBA">
        <w:rPr>
          <w:rFonts w:asciiTheme="minorBidi" w:hAnsiTheme="minorBidi" w:cstheme="minorBidi"/>
          <w:color w:val="212121"/>
          <w:sz w:val="32"/>
          <w:szCs w:val="32"/>
        </w:rPr>
        <w:t>%5,7</w:t>
      </w:r>
      <w:r w:rsidRPr="00CA2CBA">
        <w:rPr>
          <w:rFonts w:asciiTheme="minorBidi" w:hAnsiTheme="minorBidi" w:cstheme="minorBidi"/>
          <w:color w:val="212121"/>
          <w:sz w:val="32"/>
          <w:szCs w:val="32"/>
          <w:rtl/>
        </w:rPr>
        <w:t xml:space="preserve"> </w:t>
      </w:r>
      <w:r w:rsidRPr="00CA2CBA">
        <w:rPr>
          <w:rFonts w:asciiTheme="minorBidi" w:hAnsiTheme="minorBidi" w:cstheme="minorBidi" w:hint="cs"/>
          <w:color w:val="212121"/>
          <w:sz w:val="32"/>
          <w:szCs w:val="32"/>
          <w:rtl/>
        </w:rPr>
        <w:t xml:space="preserve">منذ سنة 2006. ما يقارب ربع هذا الرقم من المعاملات تحقق بفضل التجارة الخارجية. </w:t>
      </w:r>
      <w:r w:rsidR="000D176A">
        <w:rPr>
          <w:rFonts w:asciiTheme="minorBidi" w:hAnsiTheme="minorBidi" w:cstheme="minorBidi" w:hint="cs"/>
          <w:color w:val="212121"/>
          <w:sz w:val="32"/>
          <w:szCs w:val="32"/>
          <w:rtl/>
        </w:rPr>
        <w:t xml:space="preserve">كما حققت </w:t>
      </w:r>
      <w:r w:rsidRPr="00CA2CBA">
        <w:rPr>
          <w:rFonts w:asciiTheme="minorBidi" w:hAnsiTheme="minorBidi" w:cstheme="minorBidi" w:hint="cs"/>
          <w:color w:val="212121"/>
          <w:sz w:val="32"/>
          <w:szCs w:val="32"/>
          <w:rtl/>
        </w:rPr>
        <w:t xml:space="preserve">إنتاجا يقدر ب 409 مليار درهم، مساهمة بنسبة </w:t>
      </w:r>
      <w:r w:rsidRPr="00CA2CBA">
        <w:rPr>
          <w:rFonts w:asciiTheme="minorBidi" w:hAnsiTheme="minorBidi" w:cstheme="minorBidi"/>
          <w:color w:val="212121"/>
          <w:sz w:val="32"/>
          <w:szCs w:val="32"/>
        </w:rPr>
        <w:t>%26,5</w:t>
      </w:r>
      <w:r w:rsidRPr="00CA2CBA">
        <w:rPr>
          <w:rFonts w:asciiTheme="minorBidi" w:hAnsiTheme="minorBidi" w:cstheme="minorBidi"/>
          <w:color w:val="212121"/>
          <w:sz w:val="32"/>
          <w:szCs w:val="32"/>
          <w:rtl/>
        </w:rPr>
        <w:t xml:space="preserve"> من الإنتاج الوطني، </w:t>
      </w:r>
      <w:r w:rsidR="00513D9A">
        <w:rPr>
          <w:rFonts w:asciiTheme="minorBidi" w:hAnsiTheme="minorBidi" w:cstheme="minorBidi" w:hint="cs"/>
          <w:color w:val="212121"/>
          <w:sz w:val="32"/>
          <w:szCs w:val="32"/>
          <w:rtl/>
        </w:rPr>
        <w:t>وب</w:t>
      </w:r>
      <w:r w:rsidRPr="00CA2CBA">
        <w:rPr>
          <w:rFonts w:asciiTheme="minorBidi" w:hAnsiTheme="minorBidi" w:cstheme="minorBidi"/>
          <w:color w:val="212121"/>
          <w:sz w:val="32"/>
          <w:szCs w:val="32"/>
          <w:rtl/>
        </w:rPr>
        <w:t>زي</w:t>
      </w:r>
      <w:r w:rsidR="000D176A">
        <w:rPr>
          <w:rFonts w:asciiTheme="minorBidi" w:hAnsiTheme="minorBidi" w:cstheme="minorBidi" w:hint="cs"/>
          <w:color w:val="212121"/>
          <w:sz w:val="32"/>
          <w:szCs w:val="32"/>
          <w:rtl/>
        </w:rPr>
        <w:t>ا</w:t>
      </w:r>
      <w:r w:rsidRPr="00CA2CBA">
        <w:rPr>
          <w:rFonts w:asciiTheme="minorBidi" w:hAnsiTheme="minorBidi" w:cstheme="minorBidi"/>
          <w:color w:val="212121"/>
          <w:sz w:val="32"/>
          <w:szCs w:val="32"/>
          <w:rtl/>
        </w:rPr>
        <w:t>د</w:t>
      </w:r>
      <w:r w:rsidR="000D176A">
        <w:rPr>
          <w:rFonts w:asciiTheme="minorBidi" w:hAnsiTheme="minorBidi" w:cstheme="minorBidi" w:hint="cs"/>
          <w:color w:val="212121"/>
          <w:sz w:val="32"/>
          <w:szCs w:val="32"/>
          <w:rtl/>
        </w:rPr>
        <w:t>ة</w:t>
      </w:r>
      <w:r w:rsidRPr="00CA2CBA">
        <w:rPr>
          <w:rFonts w:asciiTheme="minorBidi" w:hAnsiTheme="minorBidi" w:cstheme="minorBidi"/>
          <w:color w:val="212121"/>
          <w:sz w:val="32"/>
          <w:szCs w:val="32"/>
          <w:rtl/>
        </w:rPr>
        <w:t xml:space="preserve"> سنوي</w:t>
      </w:r>
      <w:r w:rsidR="000D176A">
        <w:rPr>
          <w:rFonts w:asciiTheme="minorBidi" w:hAnsiTheme="minorBidi" w:cstheme="minorBidi" w:hint="cs"/>
          <w:color w:val="212121"/>
          <w:sz w:val="32"/>
          <w:szCs w:val="32"/>
          <w:rtl/>
        </w:rPr>
        <w:t>ة</w:t>
      </w:r>
      <w:r w:rsidRPr="00CA2CBA">
        <w:rPr>
          <w:rFonts w:asciiTheme="minorBidi" w:hAnsiTheme="minorBidi" w:cstheme="minorBidi"/>
          <w:color w:val="212121"/>
          <w:sz w:val="32"/>
          <w:szCs w:val="32"/>
          <w:rtl/>
        </w:rPr>
        <w:t xml:space="preserve"> </w:t>
      </w:r>
      <w:r w:rsidR="000D176A">
        <w:rPr>
          <w:rFonts w:asciiTheme="minorBidi" w:hAnsiTheme="minorBidi" w:cstheme="minorBidi" w:hint="cs"/>
          <w:color w:val="212121"/>
          <w:sz w:val="32"/>
          <w:szCs w:val="32"/>
          <w:rtl/>
        </w:rPr>
        <w:t>ناهزت</w:t>
      </w:r>
      <w:r w:rsidRPr="00CA2CBA">
        <w:rPr>
          <w:rFonts w:asciiTheme="minorBidi" w:hAnsiTheme="minorBidi" w:cstheme="minorBidi"/>
          <w:color w:val="212121"/>
          <w:sz w:val="32"/>
          <w:szCs w:val="32"/>
          <w:rtl/>
          <w:lang w:bidi="ar-MA"/>
        </w:rPr>
        <w:t xml:space="preserve"> </w:t>
      </w:r>
      <w:r w:rsidRPr="00CA2CBA">
        <w:rPr>
          <w:rFonts w:asciiTheme="minorBidi" w:hAnsiTheme="minorBidi" w:cstheme="minorBidi"/>
          <w:color w:val="212121"/>
          <w:sz w:val="32"/>
          <w:szCs w:val="32"/>
        </w:rPr>
        <w:t>%5,9</w:t>
      </w:r>
      <w:r w:rsidRPr="00CA2CBA">
        <w:rPr>
          <w:rFonts w:asciiTheme="minorBidi" w:hAnsiTheme="minorBidi" w:cstheme="minorBidi"/>
          <w:color w:val="212121"/>
          <w:sz w:val="32"/>
          <w:szCs w:val="32"/>
          <w:rtl/>
        </w:rPr>
        <w:t xml:space="preserve">. وبلغت القيمة المضافة للقطاع </w:t>
      </w:r>
      <w:r w:rsidRPr="00CA2CBA">
        <w:rPr>
          <w:rFonts w:asciiTheme="minorBidi" w:hAnsiTheme="minorBidi" w:cstheme="minorBidi"/>
          <w:color w:val="212121"/>
          <w:sz w:val="32"/>
          <w:szCs w:val="32"/>
        </w:rPr>
        <w:t>93,9</w:t>
      </w:r>
      <w:r w:rsidRPr="00CA2CBA">
        <w:rPr>
          <w:rFonts w:asciiTheme="minorBidi" w:hAnsiTheme="minorBidi" w:cstheme="minorBidi"/>
          <w:color w:val="212121"/>
          <w:sz w:val="32"/>
          <w:szCs w:val="32"/>
          <w:rtl/>
        </w:rPr>
        <w:t xml:space="preserve"> </w:t>
      </w:r>
      <w:r w:rsidRPr="00CA2CBA">
        <w:rPr>
          <w:rFonts w:asciiTheme="minorBidi" w:hAnsiTheme="minorBidi" w:cstheme="minorBidi" w:hint="cs"/>
          <w:color w:val="212121"/>
          <w:sz w:val="32"/>
          <w:szCs w:val="32"/>
          <w:rtl/>
        </w:rPr>
        <w:t xml:space="preserve">مليار درهم، </w:t>
      </w:r>
      <w:r w:rsidR="000D176A">
        <w:rPr>
          <w:rFonts w:asciiTheme="minorBidi" w:hAnsiTheme="minorBidi" w:cstheme="minorBidi" w:hint="cs"/>
          <w:color w:val="212121"/>
          <w:sz w:val="32"/>
          <w:szCs w:val="32"/>
          <w:rtl/>
        </w:rPr>
        <w:t xml:space="preserve">لتحقق </w:t>
      </w:r>
      <w:r w:rsidR="000D176A">
        <w:rPr>
          <w:rFonts w:asciiTheme="minorBidi" w:hAnsiTheme="minorBidi" w:cstheme="minorBidi" w:hint="cs"/>
          <w:color w:val="212121"/>
          <w:sz w:val="32"/>
          <w:szCs w:val="32"/>
          <w:rtl/>
        </w:rPr>
        <w:lastRenderedPageBreak/>
        <w:t>نموا سنويا</w:t>
      </w:r>
      <w:r w:rsidRPr="00CA2CBA">
        <w:rPr>
          <w:rFonts w:asciiTheme="minorBidi" w:hAnsiTheme="minorBidi" w:cstheme="minorBidi" w:hint="cs"/>
          <w:color w:val="212121"/>
          <w:sz w:val="32"/>
          <w:szCs w:val="32"/>
          <w:rtl/>
        </w:rPr>
        <w:t xml:space="preserve"> قدره </w:t>
      </w:r>
      <w:r w:rsidRPr="00CA2CBA">
        <w:rPr>
          <w:rFonts w:asciiTheme="minorBidi" w:hAnsiTheme="minorBidi" w:cstheme="minorBidi"/>
          <w:color w:val="212121"/>
          <w:sz w:val="32"/>
          <w:szCs w:val="32"/>
        </w:rPr>
        <w:t>%5</w:t>
      </w:r>
      <w:r w:rsidRPr="00CA2CBA">
        <w:rPr>
          <w:rFonts w:asciiTheme="minorBidi" w:hAnsiTheme="minorBidi" w:cstheme="minorBidi"/>
          <w:color w:val="212121"/>
          <w:sz w:val="32"/>
          <w:szCs w:val="32"/>
          <w:rtl/>
        </w:rPr>
        <w:t xml:space="preserve">. </w:t>
      </w:r>
      <w:r w:rsidR="000D176A">
        <w:rPr>
          <w:rFonts w:asciiTheme="minorBidi" w:hAnsiTheme="minorBidi" w:cstheme="minorBidi" w:hint="cs"/>
          <w:color w:val="212121"/>
          <w:sz w:val="32"/>
          <w:szCs w:val="32"/>
          <w:rtl/>
        </w:rPr>
        <w:t xml:space="preserve">فيما </w:t>
      </w:r>
      <w:r w:rsidRPr="00CA2CBA">
        <w:rPr>
          <w:rFonts w:asciiTheme="minorBidi" w:hAnsiTheme="minorBidi" w:cstheme="minorBidi"/>
          <w:color w:val="212121"/>
          <w:sz w:val="32"/>
          <w:szCs w:val="32"/>
          <w:rtl/>
        </w:rPr>
        <w:t xml:space="preserve">انخفضت مساهمته في القيمة المضافة الإجمالية بنحو نقطة مئوية لتصل إلى حوالي </w:t>
      </w:r>
      <w:r w:rsidRPr="00CA2CBA">
        <w:rPr>
          <w:rFonts w:asciiTheme="minorBidi" w:hAnsiTheme="minorBidi" w:cstheme="minorBidi"/>
          <w:color w:val="212121"/>
          <w:sz w:val="32"/>
          <w:szCs w:val="32"/>
        </w:rPr>
        <w:t>%11,3</w:t>
      </w:r>
      <w:r w:rsidRPr="00CA2CBA">
        <w:rPr>
          <w:rFonts w:asciiTheme="minorBidi" w:hAnsiTheme="minorBidi" w:cstheme="minorBidi"/>
          <w:color w:val="212121"/>
          <w:sz w:val="32"/>
          <w:szCs w:val="32"/>
          <w:rtl/>
        </w:rPr>
        <w:t xml:space="preserve"> </w:t>
      </w:r>
      <w:r w:rsidRPr="00CA2CBA">
        <w:rPr>
          <w:rFonts w:asciiTheme="minorBidi" w:hAnsiTheme="minorBidi" w:cstheme="minorBidi" w:hint="cs"/>
          <w:color w:val="212121"/>
          <w:sz w:val="32"/>
          <w:szCs w:val="32"/>
          <w:rtl/>
        </w:rPr>
        <w:t>سنة 2014.</w:t>
      </w:r>
    </w:p>
    <w:p w:rsidR="000C109A" w:rsidRPr="00CA2CBA" w:rsidRDefault="000C109A" w:rsidP="000C109A">
      <w:pPr>
        <w:pStyle w:val="PrformatHTML"/>
        <w:shd w:val="clear" w:color="auto" w:fill="FFFFFF"/>
        <w:bidi/>
        <w:jc w:val="both"/>
        <w:rPr>
          <w:rFonts w:asciiTheme="minorBidi" w:hAnsiTheme="minorBidi" w:cstheme="minorBidi"/>
          <w:color w:val="212121"/>
          <w:sz w:val="32"/>
          <w:szCs w:val="32"/>
        </w:rPr>
      </w:pPr>
    </w:p>
    <w:p w:rsidR="000C109A" w:rsidRPr="00CA2CBA" w:rsidRDefault="000C109A" w:rsidP="004F65EA">
      <w:pPr>
        <w:pStyle w:val="PrformatHTML"/>
        <w:shd w:val="clear" w:color="auto" w:fill="FFFFFF"/>
        <w:bidi/>
        <w:jc w:val="both"/>
        <w:rPr>
          <w:rFonts w:asciiTheme="minorBidi" w:hAnsiTheme="minorBidi" w:cstheme="minorBidi"/>
          <w:color w:val="212121"/>
          <w:sz w:val="32"/>
          <w:szCs w:val="32"/>
        </w:rPr>
      </w:pPr>
      <w:r w:rsidRPr="00CA2CBA">
        <w:rPr>
          <w:rFonts w:asciiTheme="minorBidi" w:hAnsiTheme="minorBidi" w:cstheme="minorBidi"/>
          <w:color w:val="212121"/>
          <w:sz w:val="32"/>
          <w:szCs w:val="32"/>
          <w:rtl/>
        </w:rPr>
        <w:t xml:space="preserve">تشغل هذه الصناعات حوالي </w:t>
      </w:r>
      <w:r w:rsidRPr="00CA2CBA">
        <w:rPr>
          <w:rFonts w:asciiTheme="minorBidi" w:hAnsiTheme="minorBidi" w:cstheme="minorBidi"/>
          <w:color w:val="212121"/>
          <w:sz w:val="32"/>
          <w:szCs w:val="32"/>
        </w:rPr>
        <w:t>625.000</w:t>
      </w:r>
      <w:r w:rsidRPr="00CA2CBA">
        <w:rPr>
          <w:rFonts w:asciiTheme="minorBidi" w:hAnsiTheme="minorBidi" w:cstheme="minorBidi"/>
          <w:color w:val="212121"/>
          <w:sz w:val="32"/>
          <w:szCs w:val="32"/>
          <w:rtl/>
        </w:rPr>
        <w:t xml:space="preserve"> </w:t>
      </w:r>
      <w:r w:rsidRPr="00CA2CBA">
        <w:rPr>
          <w:rFonts w:asciiTheme="minorBidi" w:hAnsiTheme="minorBidi" w:cstheme="minorBidi" w:hint="cs"/>
          <w:color w:val="212121"/>
          <w:sz w:val="32"/>
          <w:szCs w:val="32"/>
          <w:rtl/>
        </w:rPr>
        <w:t xml:space="preserve">مستخدم، وهو ما يمثل أكثر بقليل من نصف إجمالي المشتغلين بالقطاع (المنظم وغير المنظم) و </w:t>
      </w:r>
      <w:r w:rsidRPr="00CA2CBA">
        <w:rPr>
          <w:rFonts w:asciiTheme="minorBidi" w:hAnsiTheme="minorBidi" w:cstheme="minorBidi"/>
          <w:color w:val="212121"/>
          <w:sz w:val="32"/>
          <w:szCs w:val="32"/>
        </w:rPr>
        <w:t>%6</w:t>
      </w:r>
      <w:r w:rsidRPr="00CA2CBA">
        <w:rPr>
          <w:rFonts w:asciiTheme="minorBidi" w:hAnsiTheme="minorBidi" w:cstheme="minorBidi"/>
          <w:color w:val="212121"/>
          <w:sz w:val="32"/>
          <w:szCs w:val="32"/>
          <w:rtl/>
        </w:rPr>
        <w:t xml:space="preserve"> من السكان النشيطين المشتغلين على المستوى الوطني البالغين 15 سنة فأكثر. </w:t>
      </w:r>
      <w:r w:rsidR="00513D9A">
        <w:rPr>
          <w:rFonts w:asciiTheme="minorBidi" w:hAnsiTheme="minorBidi" w:cstheme="minorBidi" w:hint="cs"/>
          <w:color w:val="212121"/>
          <w:sz w:val="32"/>
          <w:szCs w:val="32"/>
          <w:rtl/>
        </w:rPr>
        <w:t>و</w:t>
      </w:r>
      <w:r w:rsidRPr="00CA2CBA">
        <w:rPr>
          <w:rFonts w:asciiTheme="minorBidi" w:hAnsiTheme="minorBidi" w:cstheme="minorBidi"/>
          <w:color w:val="212121"/>
          <w:sz w:val="32"/>
          <w:szCs w:val="32"/>
          <w:rtl/>
        </w:rPr>
        <w:t xml:space="preserve">يتكون مجموع المشتغلين من </w:t>
      </w:r>
      <w:r w:rsidRPr="00CA2CBA">
        <w:rPr>
          <w:rFonts w:asciiTheme="minorBidi" w:hAnsiTheme="minorBidi" w:cstheme="minorBidi"/>
          <w:color w:val="212121"/>
          <w:sz w:val="32"/>
          <w:szCs w:val="32"/>
        </w:rPr>
        <w:t>%15</w:t>
      </w:r>
      <w:r w:rsidRPr="00CA2CBA">
        <w:rPr>
          <w:rFonts w:asciiTheme="minorBidi" w:hAnsiTheme="minorBidi" w:cstheme="minorBidi"/>
          <w:color w:val="212121"/>
          <w:sz w:val="32"/>
          <w:szCs w:val="32"/>
          <w:rtl/>
        </w:rPr>
        <w:t xml:space="preserve"> من الأطر، و</w:t>
      </w:r>
      <w:r w:rsidRPr="00CA2CBA">
        <w:rPr>
          <w:rFonts w:asciiTheme="minorBidi" w:hAnsiTheme="minorBidi" w:cstheme="minorBidi"/>
          <w:color w:val="212121"/>
          <w:sz w:val="32"/>
          <w:szCs w:val="32"/>
        </w:rPr>
        <w:t>%6</w:t>
      </w:r>
      <w:r w:rsidRPr="00CA2CBA">
        <w:rPr>
          <w:rFonts w:asciiTheme="minorBidi" w:hAnsiTheme="minorBidi" w:cstheme="minorBidi"/>
          <w:color w:val="212121"/>
          <w:sz w:val="32"/>
          <w:szCs w:val="32"/>
          <w:rtl/>
        </w:rPr>
        <w:t xml:space="preserve"> من مستخدمي المكاتب و</w:t>
      </w:r>
      <w:r w:rsidRPr="00CA2CBA">
        <w:rPr>
          <w:rFonts w:asciiTheme="minorBidi" w:hAnsiTheme="minorBidi" w:cstheme="minorBidi"/>
          <w:color w:val="212121"/>
          <w:sz w:val="32"/>
          <w:szCs w:val="32"/>
        </w:rPr>
        <w:t>%76</w:t>
      </w:r>
      <w:r w:rsidRPr="00CA2CBA">
        <w:rPr>
          <w:rFonts w:asciiTheme="minorBidi" w:hAnsiTheme="minorBidi" w:cstheme="minorBidi"/>
          <w:color w:val="212121"/>
          <w:sz w:val="32"/>
          <w:szCs w:val="32"/>
          <w:rtl/>
        </w:rPr>
        <w:t xml:space="preserve"> من العمال. وقد </w:t>
      </w:r>
      <w:r w:rsidRPr="00CA2CBA">
        <w:rPr>
          <w:rFonts w:asciiTheme="minorBidi" w:hAnsiTheme="minorBidi" w:cstheme="minorBidi"/>
          <w:color w:val="212121"/>
          <w:sz w:val="32"/>
          <w:szCs w:val="32"/>
          <w:rtl/>
          <w:lang w:bidi="ar-MA"/>
        </w:rPr>
        <w:t xml:space="preserve">عرف عدد  المشتغلين بهذا القطاع </w:t>
      </w:r>
      <w:r w:rsidRPr="00CA2CBA">
        <w:rPr>
          <w:rFonts w:asciiTheme="minorBidi" w:hAnsiTheme="minorBidi" w:cstheme="minorBidi"/>
          <w:color w:val="212121"/>
          <w:sz w:val="32"/>
          <w:szCs w:val="32"/>
          <w:rtl/>
        </w:rPr>
        <w:t xml:space="preserve">معدل نمو سنوي يقدر ب </w:t>
      </w:r>
      <w:r w:rsidRPr="00CA2CBA">
        <w:rPr>
          <w:rFonts w:asciiTheme="minorBidi" w:hAnsiTheme="minorBidi" w:cstheme="minorBidi"/>
          <w:color w:val="212121"/>
          <w:sz w:val="32"/>
          <w:szCs w:val="32"/>
        </w:rPr>
        <w:t>%2,6</w:t>
      </w:r>
      <w:r w:rsidRPr="00CA2CBA">
        <w:rPr>
          <w:rFonts w:asciiTheme="minorBidi" w:hAnsiTheme="minorBidi" w:cstheme="minorBidi"/>
          <w:color w:val="212121"/>
          <w:sz w:val="32"/>
          <w:szCs w:val="32"/>
          <w:rtl/>
        </w:rPr>
        <w:t xml:space="preserve"> منذ سنة 2006، بوتيرة تقل عن الأداء المحقق من طرف المجاميع الأخرى، خاصة الإنتاج، مما ساهم في رفع الإنتاجية بوتيرة سنوية </w:t>
      </w:r>
      <w:r w:rsidR="004F65EA">
        <w:rPr>
          <w:rFonts w:asciiTheme="minorBidi" w:hAnsiTheme="minorBidi" w:cstheme="minorBidi" w:hint="cs"/>
          <w:color w:val="212121"/>
          <w:sz w:val="32"/>
          <w:szCs w:val="32"/>
          <w:rtl/>
        </w:rPr>
        <w:t>ناهزت</w:t>
      </w:r>
      <w:r w:rsidRPr="00CA2CBA">
        <w:rPr>
          <w:rFonts w:asciiTheme="minorBidi" w:hAnsiTheme="minorBidi" w:cstheme="minorBidi"/>
          <w:color w:val="212121"/>
          <w:sz w:val="32"/>
          <w:szCs w:val="32"/>
          <w:rtl/>
        </w:rPr>
        <w:t xml:space="preserve"> </w:t>
      </w:r>
      <w:r w:rsidRPr="00CA2CBA">
        <w:rPr>
          <w:rFonts w:asciiTheme="minorBidi" w:hAnsiTheme="minorBidi" w:cstheme="minorBidi"/>
          <w:color w:val="212121"/>
          <w:sz w:val="32"/>
          <w:szCs w:val="32"/>
        </w:rPr>
        <w:t>%2</w:t>
      </w:r>
      <w:r w:rsidRPr="00CA2CBA">
        <w:rPr>
          <w:rFonts w:asciiTheme="minorBidi" w:hAnsiTheme="minorBidi" w:cstheme="minorBidi"/>
          <w:color w:val="212121"/>
          <w:sz w:val="32"/>
          <w:szCs w:val="32"/>
          <w:rtl/>
        </w:rPr>
        <w:t xml:space="preserve">. وهكذا، فقد ساهم كل مستخدم في القطاع في تحقيق قيمة مضافة سنوية قدرها </w:t>
      </w:r>
      <w:r w:rsidRPr="00CA2CBA">
        <w:rPr>
          <w:rFonts w:asciiTheme="minorBidi" w:hAnsiTheme="minorBidi" w:cstheme="minorBidi"/>
          <w:color w:val="212121"/>
          <w:sz w:val="32"/>
          <w:szCs w:val="32"/>
        </w:rPr>
        <w:t>150.000</w:t>
      </w:r>
      <w:r w:rsidRPr="00CA2CBA">
        <w:rPr>
          <w:rFonts w:asciiTheme="minorBidi" w:hAnsiTheme="minorBidi" w:cstheme="minorBidi"/>
          <w:color w:val="212121"/>
          <w:sz w:val="32"/>
          <w:szCs w:val="32"/>
          <w:rtl/>
        </w:rPr>
        <w:t xml:space="preserve"> درهم، أي </w:t>
      </w:r>
      <w:r w:rsidR="004F65EA">
        <w:rPr>
          <w:rFonts w:asciiTheme="minorBidi" w:hAnsiTheme="minorBidi" w:cstheme="minorBidi" w:hint="cs"/>
          <w:color w:val="212121"/>
          <w:sz w:val="32"/>
          <w:szCs w:val="32"/>
          <w:rtl/>
        </w:rPr>
        <w:t xml:space="preserve">ما يعادل </w:t>
      </w:r>
      <w:r w:rsidRPr="00CA2CBA">
        <w:rPr>
          <w:rFonts w:asciiTheme="minorBidi" w:hAnsiTheme="minorBidi" w:cstheme="minorBidi"/>
          <w:color w:val="212121"/>
          <w:sz w:val="32"/>
          <w:szCs w:val="32"/>
          <w:rtl/>
        </w:rPr>
        <w:t>ضعف ال</w:t>
      </w:r>
      <w:r w:rsidR="004F65EA">
        <w:rPr>
          <w:rFonts w:asciiTheme="minorBidi" w:hAnsiTheme="minorBidi" w:cstheme="minorBidi" w:hint="cs"/>
          <w:color w:val="212121"/>
          <w:sz w:val="32"/>
          <w:szCs w:val="32"/>
          <w:rtl/>
        </w:rPr>
        <w:t>متوسط</w:t>
      </w:r>
      <w:r w:rsidRPr="00CA2CBA">
        <w:rPr>
          <w:rFonts w:asciiTheme="minorBidi" w:hAnsiTheme="minorBidi" w:cstheme="minorBidi"/>
          <w:color w:val="212121"/>
          <w:sz w:val="32"/>
          <w:szCs w:val="32"/>
          <w:rtl/>
        </w:rPr>
        <w:t xml:space="preserve"> الوطني تقريبا.</w:t>
      </w:r>
    </w:p>
    <w:p w:rsidR="000C109A" w:rsidRPr="00CA2CBA" w:rsidRDefault="000C109A" w:rsidP="000C109A">
      <w:pPr>
        <w:pStyle w:val="PrformatHTML"/>
        <w:shd w:val="clear" w:color="auto" w:fill="FFFFFF"/>
        <w:bidi/>
        <w:jc w:val="both"/>
        <w:rPr>
          <w:rFonts w:asciiTheme="minorBidi" w:hAnsiTheme="minorBidi" w:cstheme="minorBidi"/>
          <w:color w:val="212121"/>
          <w:sz w:val="32"/>
          <w:szCs w:val="32"/>
          <w:rtl/>
        </w:rPr>
      </w:pPr>
    </w:p>
    <w:p w:rsidR="00434D67" w:rsidRPr="00CB44FD" w:rsidRDefault="00434D67" w:rsidP="00633B44">
      <w:pPr>
        <w:bidi/>
        <w:jc w:val="center"/>
        <w:rPr>
          <w:rFonts w:cs="Arabic Transparent"/>
          <w:sz w:val="32"/>
          <w:szCs w:val="32"/>
          <w:rtl/>
        </w:rPr>
      </w:pPr>
      <w:r w:rsidRPr="00CB44FD">
        <w:rPr>
          <w:rFonts w:cs="Arabic Transparent"/>
          <w:noProof/>
          <w:sz w:val="32"/>
          <w:szCs w:val="32"/>
          <w:rtl/>
        </w:rPr>
        <w:drawing>
          <wp:inline distT="0" distB="0" distL="0" distR="0">
            <wp:extent cx="4138722" cy="2335794"/>
            <wp:effectExtent l="19050" t="0" r="14178" b="7356"/>
            <wp:docPr id="7"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34D67" w:rsidRPr="00CB44FD" w:rsidRDefault="00434D67" w:rsidP="00434D67">
      <w:pPr>
        <w:bidi/>
        <w:jc w:val="both"/>
        <w:rPr>
          <w:rFonts w:cs="Arabic Transparent"/>
          <w:sz w:val="32"/>
          <w:szCs w:val="32"/>
          <w:rtl/>
        </w:rPr>
      </w:pPr>
    </w:p>
    <w:p w:rsidR="00FF4679" w:rsidRPr="00CA2CBA" w:rsidRDefault="00FF4679" w:rsidP="008C5F10">
      <w:pPr>
        <w:pStyle w:val="PrformatHTML"/>
        <w:shd w:val="clear" w:color="auto" w:fill="FFFFFF"/>
        <w:bidi/>
        <w:jc w:val="both"/>
        <w:rPr>
          <w:rFonts w:asciiTheme="minorBidi" w:hAnsiTheme="minorBidi" w:cstheme="minorBidi"/>
          <w:color w:val="212121"/>
          <w:sz w:val="32"/>
          <w:szCs w:val="32"/>
        </w:rPr>
      </w:pPr>
      <w:r>
        <w:rPr>
          <w:rFonts w:asciiTheme="minorBidi" w:hAnsiTheme="minorBidi" w:cstheme="minorBidi" w:hint="cs"/>
          <w:color w:val="212121"/>
          <w:sz w:val="32"/>
          <w:szCs w:val="32"/>
          <w:rtl/>
        </w:rPr>
        <w:t>و</w:t>
      </w:r>
      <w:r w:rsidRPr="00CA2CBA">
        <w:rPr>
          <w:rFonts w:asciiTheme="minorBidi" w:hAnsiTheme="minorBidi" w:cstheme="minorBidi"/>
          <w:color w:val="212121"/>
          <w:sz w:val="32"/>
          <w:szCs w:val="32"/>
          <w:rtl/>
        </w:rPr>
        <w:t xml:space="preserve">بلغ عدد المشتغلين في الصناعات التحويلية أزيد من 191 ألف امرأة، أي </w:t>
      </w:r>
      <w:r w:rsidRPr="00CA2CBA">
        <w:rPr>
          <w:rFonts w:asciiTheme="minorBidi" w:hAnsiTheme="minorBidi" w:cstheme="minorBidi"/>
          <w:color w:val="212121"/>
          <w:sz w:val="32"/>
          <w:szCs w:val="32"/>
        </w:rPr>
        <w:t>%31</w:t>
      </w:r>
      <w:r w:rsidRPr="00CA2CBA">
        <w:rPr>
          <w:rFonts w:asciiTheme="minorBidi" w:hAnsiTheme="minorBidi" w:cstheme="minorBidi"/>
          <w:color w:val="212121"/>
          <w:sz w:val="32"/>
          <w:szCs w:val="32"/>
          <w:rtl/>
        </w:rPr>
        <w:t xml:space="preserve"> من العدد الإجمالي للمشتغلين بهذا القطاع</w:t>
      </w:r>
      <w:r>
        <w:rPr>
          <w:rFonts w:asciiTheme="minorBidi" w:hAnsiTheme="minorBidi" w:cstheme="minorBidi" w:hint="cs"/>
          <w:color w:val="212121"/>
          <w:sz w:val="32"/>
          <w:szCs w:val="32"/>
          <w:rtl/>
        </w:rPr>
        <w:t>.</w:t>
      </w:r>
      <w:r w:rsidRPr="00CA2CBA">
        <w:rPr>
          <w:rFonts w:asciiTheme="minorBidi" w:hAnsiTheme="minorBidi" w:cstheme="minorBidi"/>
          <w:color w:val="212121"/>
          <w:sz w:val="32"/>
          <w:szCs w:val="32"/>
          <w:rtl/>
        </w:rPr>
        <w:t xml:space="preserve"> حوالي </w:t>
      </w:r>
      <w:r w:rsidRPr="00CA2CBA">
        <w:rPr>
          <w:rFonts w:asciiTheme="minorBidi" w:hAnsiTheme="minorBidi" w:cstheme="minorBidi"/>
          <w:color w:val="212121"/>
          <w:sz w:val="32"/>
          <w:szCs w:val="32"/>
        </w:rPr>
        <w:t>%83</w:t>
      </w:r>
      <w:r w:rsidRPr="00CA2CBA">
        <w:rPr>
          <w:rFonts w:asciiTheme="minorBidi" w:hAnsiTheme="minorBidi" w:cstheme="minorBidi"/>
          <w:color w:val="212121"/>
          <w:sz w:val="32"/>
          <w:szCs w:val="32"/>
          <w:rtl/>
        </w:rPr>
        <w:t xml:space="preserve"> </w:t>
      </w:r>
      <w:r w:rsidRPr="00CA2CBA">
        <w:rPr>
          <w:rFonts w:asciiTheme="minorBidi" w:hAnsiTheme="minorBidi" w:cstheme="minorBidi" w:hint="cs"/>
          <w:color w:val="212121"/>
          <w:sz w:val="32"/>
          <w:szCs w:val="32"/>
          <w:rtl/>
        </w:rPr>
        <w:t>منهن عاملات يدويات أو عاملات مؤهلات. و</w:t>
      </w:r>
      <w:r w:rsidR="008C5F10">
        <w:rPr>
          <w:rFonts w:asciiTheme="minorBidi" w:hAnsiTheme="minorBidi" w:cstheme="minorBidi" w:hint="cs"/>
          <w:color w:val="212121"/>
          <w:sz w:val="32"/>
          <w:szCs w:val="32"/>
          <w:rtl/>
        </w:rPr>
        <w:t>ما يقرب من</w:t>
      </w:r>
      <w:r w:rsidRPr="00CA2CBA">
        <w:rPr>
          <w:rFonts w:asciiTheme="minorBidi" w:hAnsiTheme="minorBidi" w:cstheme="minorBidi" w:hint="cs"/>
          <w:color w:val="212121"/>
          <w:sz w:val="32"/>
          <w:szCs w:val="32"/>
          <w:rtl/>
        </w:rPr>
        <w:t xml:space="preserve"> نصف هؤلاء النساء (</w:t>
      </w:r>
      <w:r w:rsidRPr="00CA2CBA">
        <w:rPr>
          <w:rFonts w:asciiTheme="minorBidi" w:hAnsiTheme="minorBidi" w:cstheme="minorBidi"/>
          <w:color w:val="212121"/>
          <w:sz w:val="32"/>
          <w:szCs w:val="32"/>
        </w:rPr>
        <w:t>%5</w:t>
      </w:r>
      <w:r w:rsidR="00E136EC">
        <w:rPr>
          <w:rFonts w:asciiTheme="minorBidi" w:hAnsiTheme="minorBidi" w:cstheme="minorBidi"/>
          <w:color w:val="212121"/>
          <w:sz w:val="32"/>
          <w:szCs w:val="32"/>
        </w:rPr>
        <w:t>0</w:t>
      </w:r>
      <w:r w:rsidRPr="00CA2CBA">
        <w:rPr>
          <w:rFonts w:asciiTheme="minorBidi" w:hAnsiTheme="minorBidi" w:cstheme="minorBidi"/>
          <w:color w:val="212121"/>
          <w:sz w:val="32"/>
          <w:szCs w:val="32"/>
          <w:rtl/>
        </w:rPr>
        <w:t xml:space="preserve">) عملن في صناعات النسيج والجلد، في حين </w:t>
      </w:r>
      <w:r w:rsidR="008C5F10">
        <w:rPr>
          <w:rFonts w:asciiTheme="minorBidi" w:hAnsiTheme="minorBidi" w:cstheme="minorBidi" w:hint="cs"/>
          <w:color w:val="212121"/>
          <w:sz w:val="32"/>
          <w:szCs w:val="32"/>
          <w:rtl/>
        </w:rPr>
        <w:t>ضلت</w:t>
      </w:r>
      <w:r w:rsidRPr="00CA2CBA">
        <w:rPr>
          <w:rFonts w:asciiTheme="minorBidi" w:hAnsiTheme="minorBidi" w:cstheme="minorBidi"/>
          <w:color w:val="212121"/>
          <w:sz w:val="32"/>
          <w:szCs w:val="32"/>
          <w:rtl/>
        </w:rPr>
        <w:t xml:space="preserve"> الصناعة الكيم</w:t>
      </w:r>
      <w:r w:rsidR="008C5F10">
        <w:rPr>
          <w:rFonts w:asciiTheme="minorBidi" w:hAnsiTheme="minorBidi" w:cstheme="minorBidi" w:hint="cs"/>
          <w:color w:val="212121"/>
          <w:sz w:val="32"/>
          <w:szCs w:val="32"/>
          <w:rtl/>
        </w:rPr>
        <w:t>ي</w:t>
      </w:r>
      <w:r w:rsidRPr="00CA2CBA">
        <w:rPr>
          <w:rFonts w:asciiTheme="minorBidi" w:hAnsiTheme="minorBidi" w:cstheme="minorBidi"/>
          <w:color w:val="212121"/>
          <w:sz w:val="32"/>
          <w:szCs w:val="32"/>
          <w:rtl/>
        </w:rPr>
        <w:t>ا</w:t>
      </w:r>
      <w:r w:rsidR="008C5F10">
        <w:rPr>
          <w:rFonts w:asciiTheme="minorBidi" w:hAnsiTheme="minorBidi" w:cstheme="minorBidi" w:hint="cs"/>
          <w:color w:val="212121"/>
          <w:sz w:val="32"/>
          <w:szCs w:val="32"/>
          <w:rtl/>
        </w:rPr>
        <w:t>ئ</w:t>
      </w:r>
      <w:r w:rsidRPr="00CA2CBA">
        <w:rPr>
          <w:rFonts w:asciiTheme="minorBidi" w:hAnsiTheme="minorBidi" w:cstheme="minorBidi"/>
          <w:color w:val="212121"/>
          <w:sz w:val="32"/>
          <w:szCs w:val="32"/>
          <w:rtl/>
        </w:rPr>
        <w:t>ية وشبه الكيم</w:t>
      </w:r>
      <w:r w:rsidR="008C5F10">
        <w:rPr>
          <w:rFonts w:asciiTheme="minorBidi" w:hAnsiTheme="minorBidi" w:cstheme="minorBidi" w:hint="cs"/>
          <w:color w:val="212121"/>
          <w:sz w:val="32"/>
          <w:szCs w:val="32"/>
          <w:rtl/>
        </w:rPr>
        <w:t>ي</w:t>
      </w:r>
      <w:r w:rsidRPr="00CA2CBA">
        <w:rPr>
          <w:rFonts w:asciiTheme="minorBidi" w:hAnsiTheme="minorBidi" w:cstheme="minorBidi"/>
          <w:color w:val="212121"/>
          <w:sz w:val="32"/>
          <w:szCs w:val="32"/>
          <w:rtl/>
        </w:rPr>
        <w:t>ا</w:t>
      </w:r>
      <w:r w:rsidR="008C5F10">
        <w:rPr>
          <w:rFonts w:asciiTheme="minorBidi" w:hAnsiTheme="minorBidi" w:cstheme="minorBidi" w:hint="cs"/>
          <w:color w:val="212121"/>
          <w:sz w:val="32"/>
          <w:szCs w:val="32"/>
          <w:rtl/>
        </w:rPr>
        <w:t>ئ</w:t>
      </w:r>
      <w:r w:rsidRPr="00CA2CBA">
        <w:rPr>
          <w:rFonts w:asciiTheme="minorBidi" w:hAnsiTheme="minorBidi" w:cstheme="minorBidi"/>
          <w:color w:val="212121"/>
          <w:sz w:val="32"/>
          <w:szCs w:val="32"/>
          <w:rtl/>
        </w:rPr>
        <w:t xml:space="preserve">ية القطاع الأقل تأنيثا، بمعدل </w:t>
      </w:r>
      <w:r w:rsidRPr="00CA2CBA">
        <w:rPr>
          <w:rFonts w:asciiTheme="minorBidi" w:hAnsiTheme="minorBidi" w:cstheme="minorBidi"/>
          <w:color w:val="212121"/>
          <w:sz w:val="32"/>
          <w:szCs w:val="32"/>
        </w:rPr>
        <w:t>%12</w:t>
      </w:r>
      <w:r w:rsidRPr="00CA2CBA">
        <w:rPr>
          <w:rFonts w:asciiTheme="minorBidi" w:hAnsiTheme="minorBidi" w:cstheme="minorBidi"/>
          <w:color w:val="212121"/>
          <w:sz w:val="32"/>
          <w:szCs w:val="32"/>
          <w:rtl/>
        </w:rPr>
        <w:t xml:space="preserve">، مقابل </w:t>
      </w:r>
      <w:r w:rsidRPr="00CA2CBA">
        <w:rPr>
          <w:rFonts w:asciiTheme="minorBidi" w:hAnsiTheme="minorBidi" w:cstheme="minorBidi"/>
          <w:color w:val="212121"/>
          <w:sz w:val="32"/>
          <w:szCs w:val="32"/>
        </w:rPr>
        <w:t>%3</w:t>
      </w:r>
      <w:r w:rsidR="00E136EC">
        <w:rPr>
          <w:rFonts w:asciiTheme="minorBidi" w:hAnsiTheme="minorBidi" w:cstheme="minorBidi"/>
          <w:color w:val="212121"/>
          <w:sz w:val="32"/>
          <w:szCs w:val="32"/>
        </w:rPr>
        <w:t>3</w:t>
      </w:r>
      <w:r w:rsidRPr="00CA2CBA">
        <w:rPr>
          <w:rFonts w:asciiTheme="minorBidi" w:hAnsiTheme="minorBidi" w:cstheme="minorBidi"/>
          <w:color w:val="212121"/>
          <w:sz w:val="32"/>
          <w:szCs w:val="32"/>
          <w:rtl/>
        </w:rPr>
        <w:t xml:space="preserve"> في الصناعات الكهربائية والإلكترونية، و </w:t>
      </w:r>
      <w:r w:rsidRPr="00CA2CBA">
        <w:rPr>
          <w:rFonts w:asciiTheme="minorBidi" w:hAnsiTheme="minorBidi" w:cstheme="minorBidi"/>
          <w:color w:val="212121"/>
          <w:sz w:val="32"/>
          <w:szCs w:val="32"/>
        </w:rPr>
        <w:t>%2</w:t>
      </w:r>
      <w:r w:rsidR="00E136EC">
        <w:rPr>
          <w:rFonts w:asciiTheme="minorBidi" w:hAnsiTheme="minorBidi" w:cstheme="minorBidi"/>
          <w:color w:val="212121"/>
          <w:sz w:val="32"/>
          <w:szCs w:val="32"/>
        </w:rPr>
        <w:t>7</w:t>
      </w:r>
      <w:r w:rsidRPr="00CA2CBA">
        <w:rPr>
          <w:rFonts w:asciiTheme="minorBidi" w:hAnsiTheme="minorBidi" w:cstheme="minorBidi"/>
          <w:color w:val="212121"/>
          <w:sz w:val="32"/>
          <w:szCs w:val="32"/>
          <w:rtl/>
        </w:rPr>
        <w:t xml:space="preserve"> في </w:t>
      </w:r>
      <w:r w:rsidRPr="00CA2CBA">
        <w:rPr>
          <w:rFonts w:asciiTheme="minorBidi" w:hAnsiTheme="minorBidi" w:cstheme="minorBidi"/>
          <w:color w:val="212121"/>
          <w:sz w:val="32"/>
          <w:szCs w:val="32"/>
          <w:rtl/>
          <w:lang w:bidi="ar-MA"/>
        </w:rPr>
        <w:t>ال</w:t>
      </w:r>
      <w:r w:rsidRPr="00CA2CBA">
        <w:rPr>
          <w:rFonts w:asciiTheme="minorBidi" w:hAnsiTheme="minorBidi" w:cstheme="minorBidi"/>
          <w:color w:val="212121"/>
          <w:sz w:val="32"/>
          <w:szCs w:val="32"/>
          <w:rtl/>
        </w:rPr>
        <w:t>صناعة الغذائية.</w:t>
      </w:r>
    </w:p>
    <w:p w:rsidR="00434D67" w:rsidRPr="00FF4679" w:rsidRDefault="00434D67" w:rsidP="00434D67">
      <w:pPr>
        <w:bidi/>
        <w:jc w:val="both"/>
        <w:rPr>
          <w:rFonts w:cs="Arabic Transparent"/>
          <w:sz w:val="28"/>
          <w:szCs w:val="28"/>
          <w:rtl/>
        </w:rPr>
      </w:pPr>
    </w:p>
    <w:p w:rsidR="00434D67" w:rsidRPr="0018127C" w:rsidRDefault="00434D67" w:rsidP="00434D67">
      <w:pPr>
        <w:jc w:val="center"/>
        <w:rPr>
          <w:b/>
          <w:bCs/>
          <w:sz w:val="28"/>
          <w:szCs w:val="28"/>
          <w:lang w:bidi="ar-MA"/>
        </w:rPr>
      </w:pPr>
      <w:r w:rsidRPr="0018127C">
        <w:rPr>
          <w:b/>
          <w:bCs/>
          <w:sz w:val="28"/>
          <w:szCs w:val="28"/>
          <w:rtl/>
          <w:lang w:bidi="ar-MA"/>
        </w:rPr>
        <w:t xml:space="preserve">حصة النساء في العمالة </w:t>
      </w:r>
      <w:r w:rsidRPr="0018127C">
        <w:rPr>
          <w:rFonts w:hint="cs"/>
          <w:b/>
          <w:bCs/>
          <w:sz w:val="28"/>
          <w:szCs w:val="28"/>
          <w:rtl/>
          <w:lang w:bidi="ar-MA"/>
        </w:rPr>
        <w:t>الإجمالية</w:t>
      </w:r>
      <w:r w:rsidRPr="0018127C">
        <w:rPr>
          <w:b/>
          <w:bCs/>
          <w:sz w:val="28"/>
          <w:szCs w:val="28"/>
          <w:rtl/>
          <w:lang w:bidi="ar-MA"/>
        </w:rPr>
        <w:t xml:space="preserve"> للقطاع</w:t>
      </w:r>
    </w:p>
    <w:tbl>
      <w:tblPr>
        <w:tblW w:w="9583" w:type="dxa"/>
        <w:tblInd w:w="212" w:type="dxa"/>
        <w:tblLayout w:type="fixed"/>
        <w:tblCellMar>
          <w:left w:w="70" w:type="dxa"/>
          <w:right w:w="70" w:type="dxa"/>
        </w:tblCellMar>
        <w:tblLook w:val="04A0"/>
      </w:tblPr>
      <w:tblGrid>
        <w:gridCol w:w="1630"/>
        <w:gridCol w:w="1630"/>
        <w:gridCol w:w="1630"/>
        <w:gridCol w:w="1631"/>
        <w:gridCol w:w="3062"/>
      </w:tblGrid>
      <w:tr w:rsidR="0018127C" w:rsidTr="00FF4679">
        <w:trPr>
          <w:trHeight w:val="342"/>
        </w:trPr>
        <w:tc>
          <w:tcPr>
            <w:tcW w:w="1630" w:type="dxa"/>
            <w:tcBorders>
              <w:top w:val="single" w:sz="4" w:space="0" w:color="auto"/>
              <w:left w:val="single" w:sz="4" w:space="0" w:color="auto"/>
              <w:bottom w:val="single" w:sz="4" w:space="0" w:color="auto"/>
              <w:right w:val="single" w:sz="4" w:space="0" w:color="auto"/>
            </w:tcBorders>
            <w:noWrap/>
            <w:vAlign w:val="center"/>
            <w:hideMark/>
          </w:tcPr>
          <w:p w:rsidR="00434D67" w:rsidRDefault="00434D67" w:rsidP="00A375D8">
            <w:pPr>
              <w:bidi/>
              <w:jc w:val="center"/>
              <w:rPr>
                <w:rFonts w:ascii="Calibri" w:hAnsi="Calibri"/>
                <w:b/>
                <w:bCs/>
                <w:color w:val="000000"/>
              </w:rPr>
            </w:pPr>
            <w:r>
              <w:rPr>
                <w:rFonts w:ascii="Calibri" w:hAnsi="Calibri"/>
                <w:b/>
                <w:bCs/>
                <w:color w:val="000000"/>
                <w:rtl/>
              </w:rPr>
              <w:t>الإنتاجية بالدرهم</w:t>
            </w:r>
          </w:p>
        </w:tc>
        <w:tc>
          <w:tcPr>
            <w:tcW w:w="1630" w:type="dxa"/>
            <w:tcBorders>
              <w:top w:val="single" w:sz="4" w:space="0" w:color="auto"/>
              <w:left w:val="nil"/>
              <w:bottom w:val="single" w:sz="4" w:space="0" w:color="auto"/>
              <w:right w:val="single" w:sz="4" w:space="0" w:color="auto"/>
            </w:tcBorders>
            <w:noWrap/>
            <w:vAlign w:val="center"/>
            <w:hideMark/>
          </w:tcPr>
          <w:p w:rsidR="00434D67" w:rsidRDefault="00434D67" w:rsidP="00A375D8">
            <w:pPr>
              <w:bidi/>
              <w:jc w:val="center"/>
              <w:rPr>
                <w:rFonts w:ascii="Calibri" w:hAnsi="Calibri"/>
                <w:b/>
                <w:bCs/>
                <w:color w:val="000000"/>
              </w:rPr>
            </w:pPr>
            <w:r>
              <w:rPr>
                <w:rFonts w:ascii="Calibri" w:hAnsi="Calibri"/>
                <w:b/>
                <w:bCs/>
                <w:color w:val="000000"/>
                <w:rtl/>
              </w:rPr>
              <w:t>حصة النساء</w:t>
            </w:r>
          </w:p>
        </w:tc>
        <w:tc>
          <w:tcPr>
            <w:tcW w:w="1630" w:type="dxa"/>
            <w:tcBorders>
              <w:top w:val="single" w:sz="4" w:space="0" w:color="auto"/>
              <w:left w:val="nil"/>
              <w:bottom w:val="single" w:sz="4" w:space="0" w:color="auto"/>
              <w:right w:val="single" w:sz="4" w:space="0" w:color="auto"/>
            </w:tcBorders>
            <w:noWrap/>
            <w:vAlign w:val="center"/>
            <w:hideMark/>
          </w:tcPr>
          <w:p w:rsidR="00434D67" w:rsidRDefault="00AC46EC" w:rsidP="00AC46EC">
            <w:pPr>
              <w:bidi/>
              <w:jc w:val="center"/>
              <w:rPr>
                <w:rFonts w:ascii="Calibri" w:hAnsi="Calibri"/>
                <w:b/>
                <w:bCs/>
                <w:color w:val="000000"/>
              </w:rPr>
            </w:pPr>
            <w:r>
              <w:rPr>
                <w:rFonts w:ascii="Calibri" w:hAnsi="Calibri" w:hint="cs"/>
                <w:b/>
                <w:bCs/>
                <w:color w:val="000000"/>
                <w:rtl/>
              </w:rPr>
              <w:t>توزيع</w:t>
            </w:r>
            <w:r w:rsidR="00434D67">
              <w:rPr>
                <w:rFonts w:ascii="Calibri" w:hAnsi="Calibri"/>
                <w:b/>
                <w:bCs/>
                <w:color w:val="000000"/>
                <w:rtl/>
              </w:rPr>
              <w:t xml:space="preserve"> النساء</w:t>
            </w:r>
            <w:r>
              <w:rPr>
                <w:rFonts w:ascii="Calibri" w:hAnsi="Calibri" w:hint="cs"/>
                <w:b/>
                <w:bCs/>
                <w:color w:val="000000"/>
                <w:rtl/>
              </w:rPr>
              <w:t xml:space="preserve"> حسب القطاعات الفرعية </w:t>
            </w:r>
            <w:r w:rsidR="00434D67">
              <w:rPr>
                <w:rFonts w:ascii="Calibri" w:hAnsi="Calibri"/>
                <w:b/>
                <w:bCs/>
                <w:color w:val="000000"/>
                <w:rtl/>
              </w:rPr>
              <w:t>(ب %)</w:t>
            </w:r>
          </w:p>
        </w:tc>
        <w:tc>
          <w:tcPr>
            <w:tcW w:w="1631" w:type="dxa"/>
            <w:tcBorders>
              <w:top w:val="single" w:sz="4" w:space="0" w:color="auto"/>
              <w:left w:val="nil"/>
              <w:bottom w:val="single" w:sz="4" w:space="0" w:color="auto"/>
              <w:right w:val="single" w:sz="4" w:space="0" w:color="auto"/>
            </w:tcBorders>
            <w:noWrap/>
            <w:vAlign w:val="center"/>
            <w:hideMark/>
          </w:tcPr>
          <w:p w:rsidR="00434D67" w:rsidRDefault="00AC46EC" w:rsidP="00AC46EC">
            <w:pPr>
              <w:bidi/>
              <w:jc w:val="center"/>
              <w:rPr>
                <w:rFonts w:ascii="Calibri" w:hAnsi="Calibri"/>
                <w:b/>
                <w:bCs/>
                <w:color w:val="000000"/>
              </w:rPr>
            </w:pPr>
            <w:r>
              <w:rPr>
                <w:rFonts w:ascii="Calibri" w:hAnsi="Calibri" w:hint="cs"/>
                <w:b/>
                <w:bCs/>
                <w:color w:val="000000"/>
                <w:rtl/>
              </w:rPr>
              <w:t>توزيع</w:t>
            </w:r>
            <w:r w:rsidR="00434D67">
              <w:rPr>
                <w:rFonts w:ascii="Calibri" w:hAnsi="Calibri"/>
                <w:b/>
                <w:bCs/>
                <w:color w:val="000000"/>
                <w:rtl/>
              </w:rPr>
              <w:t xml:space="preserve"> </w:t>
            </w:r>
            <w:r>
              <w:rPr>
                <w:rFonts w:ascii="Calibri" w:hAnsi="Calibri" w:hint="cs"/>
                <w:b/>
                <w:bCs/>
                <w:color w:val="000000"/>
                <w:rtl/>
              </w:rPr>
              <w:t>ا</w:t>
            </w:r>
            <w:r w:rsidR="00434D67">
              <w:rPr>
                <w:rFonts w:ascii="Calibri" w:hAnsi="Calibri"/>
                <w:b/>
                <w:bCs/>
                <w:color w:val="000000"/>
                <w:rtl/>
              </w:rPr>
              <w:t>لمشتغلين</w:t>
            </w:r>
            <w:r>
              <w:rPr>
                <w:rFonts w:ascii="Calibri" w:hAnsi="Calibri" w:hint="cs"/>
                <w:b/>
                <w:bCs/>
                <w:color w:val="000000"/>
                <w:rtl/>
              </w:rPr>
              <w:t xml:space="preserve"> حسب القطاعات الفرعية </w:t>
            </w:r>
            <w:r w:rsidR="00434D67">
              <w:rPr>
                <w:rFonts w:ascii="Calibri" w:hAnsi="Calibri"/>
                <w:b/>
                <w:bCs/>
                <w:color w:val="000000"/>
                <w:rtl/>
              </w:rPr>
              <w:t>(ب %)</w:t>
            </w:r>
          </w:p>
        </w:tc>
        <w:tc>
          <w:tcPr>
            <w:tcW w:w="3062" w:type="dxa"/>
            <w:tcBorders>
              <w:top w:val="single" w:sz="4" w:space="0" w:color="auto"/>
              <w:left w:val="nil"/>
              <w:bottom w:val="single" w:sz="4" w:space="0" w:color="auto"/>
              <w:right w:val="single" w:sz="4" w:space="0" w:color="auto"/>
            </w:tcBorders>
            <w:noWrap/>
            <w:vAlign w:val="center"/>
            <w:hideMark/>
          </w:tcPr>
          <w:p w:rsidR="00434D67" w:rsidRDefault="00434D67" w:rsidP="00A375D8">
            <w:pPr>
              <w:bidi/>
              <w:rPr>
                <w:rFonts w:ascii="Calibri" w:hAnsi="Calibri"/>
                <w:b/>
                <w:bCs/>
                <w:color w:val="000000"/>
                <w:lang w:bidi="ar-MA"/>
              </w:rPr>
            </w:pPr>
            <w:r>
              <w:rPr>
                <w:rFonts w:ascii="Calibri" w:hAnsi="Calibri"/>
                <w:b/>
                <w:bCs/>
                <w:color w:val="000000"/>
                <w:rtl/>
              </w:rPr>
              <w:t>القطاعات</w:t>
            </w:r>
            <w:r>
              <w:rPr>
                <w:rFonts w:ascii="Calibri" w:hAnsi="Calibri" w:hint="cs"/>
                <w:b/>
                <w:bCs/>
                <w:color w:val="000000"/>
              </w:rPr>
              <w:t xml:space="preserve"> </w:t>
            </w:r>
            <w:r>
              <w:rPr>
                <w:rFonts w:ascii="Calibri" w:hAnsi="Calibri"/>
                <w:b/>
                <w:bCs/>
                <w:color w:val="000000"/>
                <w:rtl/>
                <w:lang w:bidi="ar-MA"/>
              </w:rPr>
              <w:t xml:space="preserve"> الفرعية</w:t>
            </w:r>
          </w:p>
        </w:tc>
      </w:tr>
      <w:tr w:rsidR="005B6A3E" w:rsidTr="00FF4679">
        <w:trPr>
          <w:trHeight w:val="342"/>
        </w:trPr>
        <w:tc>
          <w:tcPr>
            <w:tcW w:w="1630" w:type="dxa"/>
            <w:tcBorders>
              <w:top w:val="nil"/>
              <w:left w:val="single" w:sz="4" w:space="0" w:color="auto"/>
              <w:bottom w:val="single" w:sz="4" w:space="0" w:color="auto"/>
              <w:right w:val="single" w:sz="4" w:space="0" w:color="auto"/>
            </w:tcBorders>
            <w:shd w:val="clear" w:color="auto" w:fill="FFFFFF"/>
            <w:vAlign w:val="center"/>
            <w:hideMark/>
          </w:tcPr>
          <w:p w:rsidR="005B6A3E" w:rsidRPr="005B6A3E" w:rsidRDefault="005B6A3E" w:rsidP="00C8441C">
            <w:pPr>
              <w:jc w:val="center"/>
              <w:rPr>
                <w:rFonts w:ascii="Book Antiqua" w:hAnsi="Book Antiqua"/>
                <w:b/>
                <w:bCs/>
                <w:color w:val="000000"/>
                <w:sz w:val="18"/>
                <w:szCs w:val="18"/>
              </w:rPr>
            </w:pPr>
            <w:r w:rsidRPr="005B6A3E">
              <w:rPr>
                <w:rFonts w:ascii="Book Antiqua" w:hAnsi="Book Antiqua"/>
                <w:b/>
                <w:bCs/>
                <w:color w:val="000000"/>
                <w:sz w:val="18"/>
                <w:szCs w:val="18"/>
              </w:rPr>
              <w:t>148 950</w:t>
            </w:r>
          </w:p>
        </w:tc>
        <w:tc>
          <w:tcPr>
            <w:tcW w:w="1630" w:type="dxa"/>
            <w:tcBorders>
              <w:top w:val="nil"/>
              <w:left w:val="nil"/>
              <w:bottom w:val="single" w:sz="4" w:space="0" w:color="auto"/>
              <w:right w:val="single" w:sz="4" w:space="0" w:color="auto"/>
            </w:tcBorders>
            <w:shd w:val="clear" w:color="auto" w:fill="FFFFFF"/>
            <w:noWrap/>
            <w:vAlign w:val="center"/>
            <w:hideMark/>
          </w:tcPr>
          <w:p w:rsidR="005B6A3E" w:rsidRPr="005B6A3E" w:rsidRDefault="005B6A3E" w:rsidP="00C8441C">
            <w:pPr>
              <w:jc w:val="center"/>
              <w:rPr>
                <w:rFonts w:ascii="Book Antiqua" w:hAnsi="Book Antiqua"/>
                <w:b/>
                <w:bCs/>
                <w:sz w:val="18"/>
                <w:szCs w:val="18"/>
              </w:rPr>
            </w:pPr>
            <w:r w:rsidRPr="005B6A3E">
              <w:rPr>
                <w:rFonts w:ascii="Book Antiqua" w:hAnsi="Book Antiqua"/>
                <w:b/>
                <w:bCs/>
                <w:sz w:val="18"/>
                <w:szCs w:val="18"/>
              </w:rPr>
              <w:t>27%</w:t>
            </w:r>
          </w:p>
        </w:tc>
        <w:tc>
          <w:tcPr>
            <w:tcW w:w="1630" w:type="dxa"/>
            <w:tcBorders>
              <w:top w:val="nil"/>
              <w:left w:val="nil"/>
              <w:bottom w:val="single" w:sz="4" w:space="0" w:color="auto"/>
              <w:right w:val="single" w:sz="4" w:space="0" w:color="auto"/>
            </w:tcBorders>
            <w:shd w:val="clear" w:color="auto" w:fill="FFFFFF"/>
            <w:noWrap/>
            <w:vAlign w:val="center"/>
            <w:hideMark/>
          </w:tcPr>
          <w:p w:rsidR="005B6A3E" w:rsidRPr="005B6A3E" w:rsidRDefault="005B6A3E" w:rsidP="00C8441C">
            <w:pPr>
              <w:jc w:val="center"/>
              <w:rPr>
                <w:rFonts w:ascii="Book Antiqua" w:hAnsi="Book Antiqua"/>
                <w:b/>
                <w:bCs/>
                <w:sz w:val="18"/>
                <w:szCs w:val="18"/>
              </w:rPr>
            </w:pPr>
            <w:r w:rsidRPr="005B6A3E">
              <w:rPr>
                <w:rFonts w:ascii="Book Antiqua" w:hAnsi="Book Antiqua"/>
                <w:b/>
                <w:bCs/>
                <w:sz w:val="18"/>
                <w:szCs w:val="18"/>
              </w:rPr>
              <w:t>22%</w:t>
            </w:r>
          </w:p>
        </w:tc>
        <w:tc>
          <w:tcPr>
            <w:tcW w:w="1631" w:type="dxa"/>
            <w:tcBorders>
              <w:top w:val="nil"/>
              <w:left w:val="nil"/>
              <w:bottom w:val="single" w:sz="4" w:space="0" w:color="auto"/>
              <w:right w:val="single" w:sz="4" w:space="0" w:color="auto"/>
            </w:tcBorders>
            <w:shd w:val="clear" w:color="auto" w:fill="FFFFFF"/>
            <w:noWrap/>
            <w:vAlign w:val="center"/>
            <w:hideMark/>
          </w:tcPr>
          <w:p w:rsidR="005B6A3E" w:rsidRPr="00C37C81" w:rsidRDefault="005B6A3E" w:rsidP="00A375D8">
            <w:pPr>
              <w:jc w:val="center"/>
              <w:rPr>
                <w:rFonts w:ascii="Book Antiqua" w:hAnsi="Book Antiqua"/>
                <w:b/>
                <w:bCs/>
                <w:color w:val="000000"/>
                <w:sz w:val="18"/>
                <w:szCs w:val="18"/>
              </w:rPr>
            </w:pPr>
            <w:r w:rsidRPr="00C37C81">
              <w:rPr>
                <w:rFonts w:ascii="Book Antiqua" w:hAnsi="Book Antiqua"/>
                <w:b/>
                <w:bCs/>
                <w:color w:val="000000"/>
                <w:sz w:val="18"/>
                <w:szCs w:val="18"/>
              </w:rPr>
              <w:t>26%</w:t>
            </w:r>
          </w:p>
        </w:tc>
        <w:tc>
          <w:tcPr>
            <w:tcW w:w="3062" w:type="dxa"/>
            <w:tcBorders>
              <w:top w:val="nil"/>
              <w:left w:val="nil"/>
              <w:bottom w:val="single" w:sz="4" w:space="0" w:color="auto"/>
              <w:right w:val="single" w:sz="4" w:space="0" w:color="auto"/>
            </w:tcBorders>
            <w:noWrap/>
            <w:vAlign w:val="bottom"/>
            <w:hideMark/>
          </w:tcPr>
          <w:p w:rsidR="005B6A3E" w:rsidRPr="00C37C81" w:rsidRDefault="005B6A3E" w:rsidP="00A375D8">
            <w:pPr>
              <w:bidi/>
              <w:rPr>
                <w:rFonts w:ascii="Calibri" w:hAnsi="Calibri"/>
                <w:b/>
                <w:bCs/>
                <w:color w:val="000000"/>
              </w:rPr>
            </w:pPr>
            <w:r w:rsidRPr="00C37C81">
              <w:rPr>
                <w:rFonts w:ascii="Calibri" w:hAnsi="Calibri"/>
                <w:b/>
                <w:bCs/>
                <w:color w:val="000000"/>
                <w:rtl/>
              </w:rPr>
              <w:t>الصناعات الغذائية</w:t>
            </w:r>
          </w:p>
        </w:tc>
      </w:tr>
      <w:tr w:rsidR="005B6A3E" w:rsidTr="00FF4679">
        <w:trPr>
          <w:trHeight w:val="342"/>
        </w:trPr>
        <w:tc>
          <w:tcPr>
            <w:tcW w:w="1630" w:type="dxa"/>
            <w:tcBorders>
              <w:top w:val="nil"/>
              <w:left w:val="single" w:sz="4" w:space="0" w:color="auto"/>
              <w:bottom w:val="single" w:sz="4" w:space="0" w:color="auto"/>
              <w:right w:val="single" w:sz="4" w:space="0" w:color="auto"/>
            </w:tcBorders>
            <w:shd w:val="clear" w:color="auto" w:fill="FFFFFF"/>
            <w:vAlign w:val="center"/>
            <w:hideMark/>
          </w:tcPr>
          <w:p w:rsidR="005B6A3E" w:rsidRPr="005B6A3E" w:rsidRDefault="005B6A3E" w:rsidP="00C8441C">
            <w:pPr>
              <w:jc w:val="center"/>
              <w:rPr>
                <w:rFonts w:ascii="Book Antiqua" w:hAnsi="Book Antiqua"/>
                <w:b/>
                <w:bCs/>
                <w:color w:val="000000"/>
                <w:sz w:val="18"/>
                <w:szCs w:val="18"/>
              </w:rPr>
            </w:pPr>
            <w:r w:rsidRPr="005B6A3E">
              <w:rPr>
                <w:rFonts w:ascii="Book Antiqua" w:hAnsi="Book Antiqua"/>
                <w:b/>
                <w:bCs/>
                <w:color w:val="000000"/>
                <w:sz w:val="18"/>
                <w:szCs w:val="18"/>
              </w:rPr>
              <w:t>53 837</w:t>
            </w:r>
          </w:p>
        </w:tc>
        <w:tc>
          <w:tcPr>
            <w:tcW w:w="1630" w:type="dxa"/>
            <w:tcBorders>
              <w:top w:val="nil"/>
              <w:left w:val="nil"/>
              <w:bottom w:val="single" w:sz="4" w:space="0" w:color="auto"/>
              <w:right w:val="single" w:sz="4" w:space="0" w:color="auto"/>
            </w:tcBorders>
            <w:shd w:val="clear" w:color="auto" w:fill="FFFFFF"/>
            <w:noWrap/>
            <w:vAlign w:val="center"/>
            <w:hideMark/>
          </w:tcPr>
          <w:p w:rsidR="005B6A3E" w:rsidRPr="005B6A3E" w:rsidRDefault="005B6A3E" w:rsidP="00C8441C">
            <w:pPr>
              <w:jc w:val="center"/>
              <w:rPr>
                <w:rFonts w:ascii="Book Antiqua" w:hAnsi="Book Antiqua"/>
                <w:b/>
                <w:bCs/>
                <w:sz w:val="18"/>
                <w:szCs w:val="18"/>
              </w:rPr>
            </w:pPr>
            <w:r w:rsidRPr="005B6A3E">
              <w:rPr>
                <w:rFonts w:ascii="Book Antiqua" w:hAnsi="Book Antiqua"/>
                <w:b/>
                <w:bCs/>
                <w:sz w:val="18"/>
                <w:szCs w:val="18"/>
              </w:rPr>
              <w:t>54%</w:t>
            </w:r>
          </w:p>
        </w:tc>
        <w:tc>
          <w:tcPr>
            <w:tcW w:w="1630" w:type="dxa"/>
            <w:tcBorders>
              <w:top w:val="nil"/>
              <w:left w:val="nil"/>
              <w:bottom w:val="single" w:sz="4" w:space="0" w:color="auto"/>
              <w:right w:val="single" w:sz="4" w:space="0" w:color="auto"/>
            </w:tcBorders>
            <w:shd w:val="clear" w:color="auto" w:fill="FFFFFF"/>
            <w:noWrap/>
            <w:vAlign w:val="center"/>
            <w:hideMark/>
          </w:tcPr>
          <w:p w:rsidR="005B6A3E" w:rsidRPr="005B6A3E" w:rsidRDefault="005B6A3E" w:rsidP="00C8441C">
            <w:pPr>
              <w:jc w:val="center"/>
              <w:rPr>
                <w:rFonts w:ascii="Book Antiqua" w:hAnsi="Book Antiqua"/>
                <w:b/>
                <w:bCs/>
                <w:sz w:val="18"/>
                <w:szCs w:val="18"/>
              </w:rPr>
            </w:pPr>
            <w:r w:rsidRPr="005B6A3E">
              <w:rPr>
                <w:rFonts w:ascii="Book Antiqua" w:hAnsi="Book Antiqua"/>
                <w:b/>
                <w:bCs/>
                <w:sz w:val="18"/>
                <w:szCs w:val="18"/>
              </w:rPr>
              <w:t>50%</w:t>
            </w:r>
          </w:p>
        </w:tc>
        <w:tc>
          <w:tcPr>
            <w:tcW w:w="1631" w:type="dxa"/>
            <w:tcBorders>
              <w:top w:val="nil"/>
              <w:left w:val="nil"/>
              <w:bottom w:val="single" w:sz="4" w:space="0" w:color="auto"/>
              <w:right w:val="single" w:sz="4" w:space="0" w:color="auto"/>
            </w:tcBorders>
            <w:shd w:val="clear" w:color="auto" w:fill="FFFFFF"/>
            <w:noWrap/>
            <w:vAlign w:val="center"/>
            <w:hideMark/>
          </w:tcPr>
          <w:p w:rsidR="005B6A3E" w:rsidRPr="00C37C81" w:rsidRDefault="005B6A3E" w:rsidP="00A375D8">
            <w:pPr>
              <w:jc w:val="center"/>
              <w:rPr>
                <w:rFonts w:ascii="Book Antiqua" w:hAnsi="Book Antiqua"/>
                <w:b/>
                <w:bCs/>
                <w:color w:val="000000"/>
                <w:sz w:val="18"/>
                <w:szCs w:val="18"/>
              </w:rPr>
            </w:pPr>
            <w:r w:rsidRPr="00C37C81">
              <w:rPr>
                <w:rFonts w:ascii="Book Antiqua" w:hAnsi="Book Antiqua"/>
                <w:b/>
                <w:bCs/>
                <w:color w:val="000000"/>
                <w:sz w:val="18"/>
                <w:szCs w:val="18"/>
              </w:rPr>
              <w:t>28%</w:t>
            </w:r>
          </w:p>
        </w:tc>
        <w:tc>
          <w:tcPr>
            <w:tcW w:w="3062" w:type="dxa"/>
            <w:tcBorders>
              <w:top w:val="nil"/>
              <w:left w:val="nil"/>
              <w:bottom w:val="single" w:sz="4" w:space="0" w:color="auto"/>
              <w:right w:val="single" w:sz="4" w:space="0" w:color="auto"/>
            </w:tcBorders>
            <w:noWrap/>
            <w:vAlign w:val="bottom"/>
            <w:hideMark/>
          </w:tcPr>
          <w:p w:rsidR="005B6A3E" w:rsidRPr="00C37C81" w:rsidRDefault="005B6A3E" w:rsidP="00A375D8">
            <w:pPr>
              <w:bidi/>
              <w:rPr>
                <w:rFonts w:ascii="Calibri" w:hAnsi="Calibri"/>
                <w:b/>
                <w:bCs/>
                <w:color w:val="000000"/>
              </w:rPr>
            </w:pPr>
            <w:r w:rsidRPr="00C37C81">
              <w:rPr>
                <w:rFonts w:ascii="Calibri" w:hAnsi="Calibri"/>
                <w:b/>
                <w:bCs/>
                <w:color w:val="000000"/>
                <w:rtl/>
              </w:rPr>
              <w:t>صناعات الجلد و النسيج</w:t>
            </w:r>
          </w:p>
        </w:tc>
      </w:tr>
      <w:tr w:rsidR="005B6A3E" w:rsidTr="00FF4679">
        <w:trPr>
          <w:trHeight w:val="342"/>
        </w:trPr>
        <w:tc>
          <w:tcPr>
            <w:tcW w:w="1630" w:type="dxa"/>
            <w:tcBorders>
              <w:top w:val="nil"/>
              <w:left w:val="single" w:sz="4" w:space="0" w:color="auto"/>
              <w:bottom w:val="single" w:sz="4" w:space="0" w:color="auto"/>
              <w:right w:val="single" w:sz="4" w:space="0" w:color="auto"/>
            </w:tcBorders>
            <w:shd w:val="clear" w:color="auto" w:fill="FFFFFF"/>
            <w:vAlign w:val="center"/>
            <w:hideMark/>
          </w:tcPr>
          <w:p w:rsidR="005B6A3E" w:rsidRPr="005B6A3E" w:rsidRDefault="005B6A3E" w:rsidP="00C8441C">
            <w:pPr>
              <w:jc w:val="center"/>
              <w:rPr>
                <w:rFonts w:ascii="Book Antiqua" w:hAnsi="Book Antiqua"/>
                <w:b/>
                <w:bCs/>
                <w:color w:val="000000"/>
                <w:sz w:val="18"/>
                <w:szCs w:val="18"/>
              </w:rPr>
            </w:pPr>
            <w:r w:rsidRPr="005B6A3E">
              <w:rPr>
                <w:rFonts w:ascii="Book Antiqua" w:hAnsi="Book Antiqua"/>
                <w:b/>
                <w:bCs/>
                <w:color w:val="000000"/>
                <w:sz w:val="18"/>
                <w:szCs w:val="18"/>
              </w:rPr>
              <w:t>335 779</w:t>
            </w:r>
          </w:p>
        </w:tc>
        <w:tc>
          <w:tcPr>
            <w:tcW w:w="1630" w:type="dxa"/>
            <w:tcBorders>
              <w:top w:val="nil"/>
              <w:left w:val="nil"/>
              <w:bottom w:val="single" w:sz="4" w:space="0" w:color="auto"/>
              <w:right w:val="single" w:sz="4" w:space="0" w:color="auto"/>
            </w:tcBorders>
            <w:shd w:val="clear" w:color="auto" w:fill="FFFFFF"/>
            <w:noWrap/>
            <w:vAlign w:val="center"/>
            <w:hideMark/>
          </w:tcPr>
          <w:p w:rsidR="005B6A3E" w:rsidRPr="005B6A3E" w:rsidRDefault="005B6A3E" w:rsidP="00C8441C">
            <w:pPr>
              <w:jc w:val="center"/>
              <w:rPr>
                <w:rFonts w:ascii="Book Antiqua" w:hAnsi="Book Antiqua"/>
                <w:b/>
                <w:bCs/>
                <w:sz w:val="18"/>
                <w:szCs w:val="18"/>
              </w:rPr>
            </w:pPr>
            <w:r w:rsidRPr="005B6A3E">
              <w:rPr>
                <w:rFonts w:ascii="Book Antiqua" w:hAnsi="Book Antiqua"/>
                <w:b/>
                <w:bCs/>
                <w:sz w:val="18"/>
                <w:szCs w:val="18"/>
              </w:rPr>
              <w:t>12%</w:t>
            </w:r>
          </w:p>
        </w:tc>
        <w:tc>
          <w:tcPr>
            <w:tcW w:w="1630" w:type="dxa"/>
            <w:tcBorders>
              <w:top w:val="nil"/>
              <w:left w:val="nil"/>
              <w:bottom w:val="single" w:sz="4" w:space="0" w:color="auto"/>
              <w:right w:val="single" w:sz="4" w:space="0" w:color="auto"/>
            </w:tcBorders>
            <w:shd w:val="clear" w:color="auto" w:fill="FFFFFF"/>
            <w:noWrap/>
            <w:vAlign w:val="center"/>
            <w:hideMark/>
          </w:tcPr>
          <w:p w:rsidR="005B6A3E" w:rsidRPr="005B6A3E" w:rsidRDefault="005B6A3E" w:rsidP="00C8441C">
            <w:pPr>
              <w:jc w:val="center"/>
              <w:rPr>
                <w:rFonts w:ascii="Book Antiqua" w:hAnsi="Book Antiqua"/>
                <w:b/>
                <w:bCs/>
                <w:sz w:val="18"/>
                <w:szCs w:val="18"/>
              </w:rPr>
            </w:pPr>
            <w:r w:rsidRPr="005B6A3E">
              <w:rPr>
                <w:rFonts w:ascii="Book Antiqua" w:hAnsi="Book Antiqua"/>
                <w:b/>
                <w:bCs/>
                <w:sz w:val="18"/>
                <w:szCs w:val="18"/>
              </w:rPr>
              <w:t>7%</w:t>
            </w:r>
          </w:p>
        </w:tc>
        <w:tc>
          <w:tcPr>
            <w:tcW w:w="1631" w:type="dxa"/>
            <w:tcBorders>
              <w:top w:val="nil"/>
              <w:left w:val="nil"/>
              <w:bottom w:val="single" w:sz="4" w:space="0" w:color="auto"/>
              <w:right w:val="single" w:sz="4" w:space="0" w:color="auto"/>
            </w:tcBorders>
            <w:shd w:val="clear" w:color="auto" w:fill="FFFFFF"/>
            <w:noWrap/>
            <w:vAlign w:val="center"/>
            <w:hideMark/>
          </w:tcPr>
          <w:p w:rsidR="005B6A3E" w:rsidRPr="00C37C81" w:rsidRDefault="005B6A3E" w:rsidP="00A375D8">
            <w:pPr>
              <w:jc w:val="center"/>
              <w:rPr>
                <w:rFonts w:ascii="Book Antiqua" w:hAnsi="Book Antiqua"/>
                <w:b/>
                <w:bCs/>
                <w:color w:val="000000"/>
                <w:sz w:val="18"/>
                <w:szCs w:val="18"/>
              </w:rPr>
            </w:pPr>
            <w:r w:rsidRPr="00C37C81">
              <w:rPr>
                <w:rFonts w:ascii="Book Antiqua" w:hAnsi="Book Antiqua"/>
                <w:b/>
                <w:bCs/>
                <w:color w:val="000000"/>
                <w:sz w:val="18"/>
                <w:szCs w:val="18"/>
              </w:rPr>
              <w:t>18%</w:t>
            </w:r>
          </w:p>
        </w:tc>
        <w:tc>
          <w:tcPr>
            <w:tcW w:w="3062" w:type="dxa"/>
            <w:tcBorders>
              <w:top w:val="nil"/>
              <w:left w:val="nil"/>
              <w:bottom w:val="single" w:sz="4" w:space="0" w:color="auto"/>
              <w:right w:val="single" w:sz="4" w:space="0" w:color="auto"/>
            </w:tcBorders>
            <w:noWrap/>
            <w:vAlign w:val="bottom"/>
            <w:hideMark/>
          </w:tcPr>
          <w:p w:rsidR="005B6A3E" w:rsidRPr="00C37C81" w:rsidRDefault="005B6A3E" w:rsidP="00A375D8">
            <w:pPr>
              <w:bidi/>
              <w:rPr>
                <w:rFonts w:ascii="Calibri" w:hAnsi="Calibri"/>
                <w:b/>
                <w:bCs/>
                <w:color w:val="000000"/>
              </w:rPr>
            </w:pPr>
            <w:r w:rsidRPr="00C37C81">
              <w:rPr>
                <w:rFonts w:ascii="Calibri" w:hAnsi="Calibri"/>
                <w:b/>
                <w:bCs/>
                <w:color w:val="000000"/>
                <w:rtl/>
              </w:rPr>
              <w:t>الصناعات الكيمائية</w:t>
            </w:r>
            <w:r w:rsidRPr="00C37C81">
              <w:rPr>
                <w:rFonts w:ascii="Calibri" w:hAnsi="Calibri" w:hint="cs"/>
                <w:b/>
                <w:bCs/>
                <w:color w:val="000000"/>
              </w:rPr>
              <w:t xml:space="preserve"> </w:t>
            </w:r>
            <w:r w:rsidRPr="00C37C81">
              <w:rPr>
                <w:rFonts w:ascii="Calibri" w:hAnsi="Calibri"/>
                <w:b/>
                <w:bCs/>
                <w:color w:val="000000"/>
                <w:rtl/>
              </w:rPr>
              <w:t>و الشبه</w:t>
            </w:r>
            <w:r w:rsidRPr="00C37C81">
              <w:rPr>
                <w:rFonts w:ascii="Calibri" w:hAnsi="Calibri" w:hint="cs"/>
                <w:b/>
                <w:bCs/>
                <w:color w:val="000000"/>
              </w:rPr>
              <w:t xml:space="preserve"> </w:t>
            </w:r>
            <w:r w:rsidRPr="00C37C81">
              <w:rPr>
                <w:rFonts w:ascii="Calibri" w:hAnsi="Calibri"/>
                <w:b/>
                <w:bCs/>
                <w:color w:val="000000"/>
                <w:rtl/>
              </w:rPr>
              <w:t>كيميائية</w:t>
            </w:r>
          </w:p>
        </w:tc>
      </w:tr>
      <w:tr w:rsidR="005B6A3E" w:rsidTr="00FF4679">
        <w:trPr>
          <w:trHeight w:val="342"/>
        </w:trPr>
        <w:tc>
          <w:tcPr>
            <w:tcW w:w="1630" w:type="dxa"/>
            <w:tcBorders>
              <w:top w:val="nil"/>
              <w:left w:val="single" w:sz="4" w:space="0" w:color="auto"/>
              <w:bottom w:val="single" w:sz="4" w:space="0" w:color="auto"/>
              <w:right w:val="single" w:sz="4" w:space="0" w:color="auto"/>
            </w:tcBorders>
            <w:shd w:val="clear" w:color="auto" w:fill="FFFFFF"/>
            <w:vAlign w:val="center"/>
            <w:hideMark/>
          </w:tcPr>
          <w:p w:rsidR="005B6A3E" w:rsidRPr="005B6A3E" w:rsidRDefault="005B6A3E" w:rsidP="00C8441C">
            <w:pPr>
              <w:jc w:val="center"/>
              <w:rPr>
                <w:rFonts w:ascii="Book Antiqua" w:hAnsi="Book Antiqua"/>
                <w:b/>
                <w:bCs/>
                <w:color w:val="000000"/>
                <w:sz w:val="18"/>
                <w:szCs w:val="18"/>
              </w:rPr>
            </w:pPr>
            <w:r w:rsidRPr="005B6A3E">
              <w:rPr>
                <w:rFonts w:ascii="Book Antiqua" w:hAnsi="Book Antiqua"/>
                <w:b/>
                <w:bCs/>
                <w:color w:val="000000"/>
                <w:sz w:val="18"/>
                <w:szCs w:val="18"/>
              </w:rPr>
              <w:t>124 325</w:t>
            </w:r>
          </w:p>
        </w:tc>
        <w:tc>
          <w:tcPr>
            <w:tcW w:w="1630" w:type="dxa"/>
            <w:tcBorders>
              <w:top w:val="nil"/>
              <w:left w:val="nil"/>
              <w:bottom w:val="single" w:sz="4" w:space="0" w:color="auto"/>
              <w:right w:val="single" w:sz="4" w:space="0" w:color="auto"/>
            </w:tcBorders>
            <w:shd w:val="clear" w:color="auto" w:fill="FFFFFF"/>
            <w:noWrap/>
            <w:vAlign w:val="center"/>
            <w:hideMark/>
          </w:tcPr>
          <w:p w:rsidR="005B6A3E" w:rsidRPr="005B6A3E" w:rsidRDefault="005B6A3E" w:rsidP="00C8441C">
            <w:pPr>
              <w:jc w:val="center"/>
              <w:rPr>
                <w:rFonts w:ascii="Book Antiqua" w:hAnsi="Book Antiqua"/>
                <w:b/>
                <w:bCs/>
                <w:sz w:val="18"/>
                <w:szCs w:val="18"/>
              </w:rPr>
            </w:pPr>
            <w:r w:rsidRPr="005B6A3E">
              <w:rPr>
                <w:rFonts w:ascii="Book Antiqua" w:hAnsi="Book Antiqua"/>
                <w:b/>
                <w:bCs/>
                <w:sz w:val="18"/>
                <w:szCs w:val="18"/>
              </w:rPr>
              <w:t>33%</w:t>
            </w:r>
          </w:p>
        </w:tc>
        <w:tc>
          <w:tcPr>
            <w:tcW w:w="1630" w:type="dxa"/>
            <w:tcBorders>
              <w:top w:val="nil"/>
              <w:left w:val="nil"/>
              <w:bottom w:val="single" w:sz="4" w:space="0" w:color="auto"/>
              <w:right w:val="single" w:sz="4" w:space="0" w:color="auto"/>
            </w:tcBorders>
            <w:shd w:val="clear" w:color="auto" w:fill="FFFFFF"/>
            <w:noWrap/>
            <w:vAlign w:val="center"/>
            <w:hideMark/>
          </w:tcPr>
          <w:p w:rsidR="005B6A3E" w:rsidRPr="005B6A3E" w:rsidRDefault="005B6A3E" w:rsidP="00C8441C">
            <w:pPr>
              <w:jc w:val="center"/>
              <w:rPr>
                <w:rFonts w:ascii="Book Antiqua" w:hAnsi="Book Antiqua"/>
                <w:b/>
                <w:bCs/>
                <w:sz w:val="18"/>
                <w:szCs w:val="18"/>
              </w:rPr>
            </w:pPr>
            <w:r w:rsidRPr="005B6A3E">
              <w:rPr>
                <w:rFonts w:ascii="Book Antiqua" w:hAnsi="Book Antiqua"/>
                <w:b/>
                <w:bCs/>
                <w:sz w:val="18"/>
                <w:szCs w:val="18"/>
              </w:rPr>
              <w:t>5%</w:t>
            </w:r>
          </w:p>
        </w:tc>
        <w:tc>
          <w:tcPr>
            <w:tcW w:w="1631" w:type="dxa"/>
            <w:tcBorders>
              <w:top w:val="nil"/>
              <w:left w:val="nil"/>
              <w:bottom w:val="single" w:sz="4" w:space="0" w:color="auto"/>
              <w:right w:val="single" w:sz="4" w:space="0" w:color="auto"/>
            </w:tcBorders>
            <w:shd w:val="clear" w:color="auto" w:fill="FFFFFF"/>
            <w:noWrap/>
            <w:vAlign w:val="center"/>
            <w:hideMark/>
          </w:tcPr>
          <w:p w:rsidR="005B6A3E" w:rsidRPr="00C37C81" w:rsidRDefault="005B6A3E" w:rsidP="00A375D8">
            <w:pPr>
              <w:jc w:val="center"/>
              <w:rPr>
                <w:rFonts w:ascii="Book Antiqua" w:hAnsi="Book Antiqua"/>
                <w:b/>
                <w:bCs/>
                <w:color w:val="000000"/>
                <w:sz w:val="18"/>
                <w:szCs w:val="18"/>
              </w:rPr>
            </w:pPr>
            <w:r w:rsidRPr="00C37C81">
              <w:rPr>
                <w:rFonts w:ascii="Book Antiqua" w:hAnsi="Book Antiqua"/>
                <w:b/>
                <w:bCs/>
                <w:color w:val="000000"/>
                <w:sz w:val="18"/>
                <w:szCs w:val="18"/>
              </w:rPr>
              <w:t>6%</w:t>
            </w:r>
          </w:p>
        </w:tc>
        <w:tc>
          <w:tcPr>
            <w:tcW w:w="3062" w:type="dxa"/>
            <w:tcBorders>
              <w:top w:val="nil"/>
              <w:left w:val="nil"/>
              <w:bottom w:val="single" w:sz="4" w:space="0" w:color="auto"/>
              <w:right w:val="single" w:sz="4" w:space="0" w:color="auto"/>
            </w:tcBorders>
            <w:noWrap/>
            <w:vAlign w:val="bottom"/>
            <w:hideMark/>
          </w:tcPr>
          <w:p w:rsidR="005B6A3E" w:rsidRPr="00C37C81" w:rsidRDefault="005B6A3E" w:rsidP="00A375D8">
            <w:pPr>
              <w:bidi/>
              <w:rPr>
                <w:rFonts w:ascii="Calibri" w:hAnsi="Calibri"/>
                <w:b/>
                <w:bCs/>
                <w:color w:val="000000"/>
              </w:rPr>
            </w:pPr>
            <w:r w:rsidRPr="00C37C81">
              <w:rPr>
                <w:rFonts w:ascii="Calibri" w:hAnsi="Calibri"/>
                <w:b/>
                <w:bCs/>
                <w:color w:val="000000"/>
                <w:rtl/>
              </w:rPr>
              <w:t>الصناعات الكهربائية و الالكترونية</w:t>
            </w:r>
          </w:p>
        </w:tc>
      </w:tr>
      <w:tr w:rsidR="005B6A3E" w:rsidTr="00FF4679">
        <w:trPr>
          <w:trHeight w:val="342"/>
        </w:trPr>
        <w:tc>
          <w:tcPr>
            <w:tcW w:w="1630" w:type="dxa"/>
            <w:tcBorders>
              <w:top w:val="nil"/>
              <w:left w:val="single" w:sz="4" w:space="0" w:color="auto"/>
              <w:bottom w:val="single" w:sz="4" w:space="0" w:color="auto"/>
              <w:right w:val="single" w:sz="4" w:space="0" w:color="auto"/>
            </w:tcBorders>
            <w:shd w:val="clear" w:color="auto" w:fill="FFFFFF"/>
            <w:vAlign w:val="center"/>
            <w:hideMark/>
          </w:tcPr>
          <w:p w:rsidR="005B6A3E" w:rsidRPr="005B6A3E" w:rsidRDefault="005B6A3E" w:rsidP="00C8441C">
            <w:pPr>
              <w:jc w:val="center"/>
              <w:rPr>
                <w:rFonts w:ascii="Book Antiqua" w:hAnsi="Book Antiqua"/>
                <w:b/>
                <w:bCs/>
                <w:color w:val="000000"/>
                <w:sz w:val="18"/>
                <w:szCs w:val="18"/>
              </w:rPr>
            </w:pPr>
            <w:r w:rsidRPr="005B6A3E">
              <w:rPr>
                <w:rFonts w:ascii="Book Antiqua" w:hAnsi="Book Antiqua"/>
                <w:b/>
                <w:bCs/>
                <w:color w:val="000000"/>
                <w:sz w:val="18"/>
                <w:szCs w:val="18"/>
              </w:rPr>
              <w:t>126 951</w:t>
            </w:r>
          </w:p>
        </w:tc>
        <w:tc>
          <w:tcPr>
            <w:tcW w:w="1630" w:type="dxa"/>
            <w:tcBorders>
              <w:top w:val="nil"/>
              <w:left w:val="nil"/>
              <w:bottom w:val="single" w:sz="4" w:space="0" w:color="auto"/>
              <w:right w:val="single" w:sz="4" w:space="0" w:color="auto"/>
            </w:tcBorders>
            <w:shd w:val="clear" w:color="auto" w:fill="FFFFFF"/>
            <w:noWrap/>
            <w:vAlign w:val="center"/>
            <w:hideMark/>
          </w:tcPr>
          <w:p w:rsidR="005B6A3E" w:rsidRPr="005B6A3E" w:rsidRDefault="005B6A3E" w:rsidP="00C8441C">
            <w:pPr>
              <w:jc w:val="center"/>
              <w:rPr>
                <w:rFonts w:ascii="Book Antiqua" w:hAnsi="Book Antiqua"/>
                <w:b/>
                <w:bCs/>
                <w:sz w:val="18"/>
                <w:szCs w:val="18"/>
              </w:rPr>
            </w:pPr>
            <w:r w:rsidRPr="005B6A3E">
              <w:rPr>
                <w:rFonts w:ascii="Book Antiqua" w:hAnsi="Book Antiqua"/>
                <w:b/>
                <w:bCs/>
                <w:sz w:val="18"/>
                <w:szCs w:val="18"/>
              </w:rPr>
              <w:t>21%</w:t>
            </w:r>
          </w:p>
        </w:tc>
        <w:tc>
          <w:tcPr>
            <w:tcW w:w="1630" w:type="dxa"/>
            <w:tcBorders>
              <w:top w:val="nil"/>
              <w:left w:val="nil"/>
              <w:bottom w:val="single" w:sz="4" w:space="0" w:color="auto"/>
              <w:right w:val="single" w:sz="4" w:space="0" w:color="auto"/>
            </w:tcBorders>
            <w:shd w:val="clear" w:color="auto" w:fill="FFFFFF"/>
            <w:noWrap/>
            <w:vAlign w:val="center"/>
            <w:hideMark/>
          </w:tcPr>
          <w:p w:rsidR="005B6A3E" w:rsidRPr="005B6A3E" w:rsidRDefault="005B6A3E" w:rsidP="00C8441C">
            <w:pPr>
              <w:jc w:val="center"/>
              <w:rPr>
                <w:rFonts w:ascii="Book Antiqua" w:hAnsi="Book Antiqua"/>
                <w:b/>
                <w:bCs/>
                <w:sz w:val="18"/>
                <w:szCs w:val="18"/>
              </w:rPr>
            </w:pPr>
            <w:r w:rsidRPr="005B6A3E">
              <w:rPr>
                <w:rFonts w:ascii="Book Antiqua" w:hAnsi="Book Antiqua"/>
                <w:b/>
                <w:bCs/>
                <w:sz w:val="18"/>
                <w:szCs w:val="18"/>
              </w:rPr>
              <w:t>16%</w:t>
            </w:r>
          </w:p>
        </w:tc>
        <w:tc>
          <w:tcPr>
            <w:tcW w:w="1631" w:type="dxa"/>
            <w:tcBorders>
              <w:top w:val="nil"/>
              <w:left w:val="nil"/>
              <w:bottom w:val="single" w:sz="4" w:space="0" w:color="auto"/>
              <w:right w:val="single" w:sz="4" w:space="0" w:color="auto"/>
            </w:tcBorders>
            <w:shd w:val="clear" w:color="auto" w:fill="FFFFFF"/>
            <w:noWrap/>
            <w:vAlign w:val="center"/>
            <w:hideMark/>
          </w:tcPr>
          <w:p w:rsidR="005B6A3E" w:rsidRPr="00C37C81" w:rsidRDefault="005B6A3E" w:rsidP="00A375D8">
            <w:pPr>
              <w:jc w:val="center"/>
              <w:rPr>
                <w:rFonts w:ascii="Book Antiqua" w:hAnsi="Book Antiqua"/>
                <w:b/>
                <w:bCs/>
                <w:color w:val="000000"/>
                <w:sz w:val="18"/>
                <w:szCs w:val="18"/>
              </w:rPr>
            </w:pPr>
            <w:r w:rsidRPr="00C37C81">
              <w:rPr>
                <w:rFonts w:ascii="Book Antiqua" w:hAnsi="Book Antiqua"/>
                <w:b/>
                <w:bCs/>
                <w:color w:val="000000"/>
                <w:sz w:val="18"/>
                <w:szCs w:val="18"/>
              </w:rPr>
              <w:t>22%</w:t>
            </w:r>
          </w:p>
        </w:tc>
        <w:tc>
          <w:tcPr>
            <w:tcW w:w="3062" w:type="dxa"/>
            <w:tcBorders>
              <w:top w:val="nil"/>
              <w:left w:val="nil"/>
              <w:bottom w:val="single" w:sz="4" w:space="0" w:color="auto"/>
              <w:right w:val="single" w:sz="4" w:space="0" w:color="auto"/>
            </w:tcBorders>
            <w:noWrap/>
            <w:vAlign w:val="bottom"/>
            <w:hideMark/>
          </w:tcPr>
          <w:p w:rsidR="005B6A3E" w:rsidRPr="00C37C81" w:rsidRDefault="005B6A3E" w:rsidP="00A375D8">
            <w:pPr>
              <w:bidi/>
              <w:rPr>
                <w:rFonts w:ascii="Calibri" w:hAnsi="Calibri"/>
                <w:b/>
                <w:bCs/>
                <w:color w:val="000000"/>
              </w:rPr>
            </w:pPr>
            <w:r w:rsidRPr="00C37C81">
              <w:rPr>
                <w:rFonts w:ascii="Calibri" w:hAnsi="Calibri"/>
                <w:b/>
                <w:bCs/>
                <w:color w:val="000000"/>
                <w:rtl/>
              </w:rPr>
              <w:t>الصناعات المعدنية و الميكانيكية</w:t>
            </w:r>
          </w:p>
        </w:tc>
      </w:tr>
      <w:tr w:rsidR="005B6A3E" w:rsidTr="00FF4679">
        <w:trPr>
          <w:trHeight w:val="342"/>
        </w:trPr>
        <w:tc>
          <w:tcPr>
            <w:tcW w:w="1630" w:type="dxa"/>
            <w:tcBorders>
              <w:top w:val="nil"/>
              <w:left w:val="single" w:sz="4" w:space="0" w:color="auto"/>
              <w:bottom w:val="single" w:sz="4" w:space="0" w:color="auto"/>
              <w:right w:val="single" w:sz="4" w:space="0" w:color="auto"/>
            </w:tcBorders>
            <w:shd w:val="clear" w:color="auto" w:fill="FFFFFF"/>
            <w:vAlign w:val="center"/>
            <w:hideMark/>
          </w:tcPr>
          <w:p w:rsidR="005B6A3E" w:rsidRPr="005B6A3E" w:rsidRDefault="005B6A3E" w:rsidP="00C8441C">
            <w:pPr>
              <w:jc w:val="center"/>
              <w:rPr>
                <w:rFonts w:ascii="Book Antiqua" w:hAnsi="Book Antiqua"/>
                <w:b/>
                <w:bCs/>
                <w:color w:val="000000"/>
                <w:sz w:val="18"/>
                <w:szCs w:val="18"/>
              </w:rPr>
            </w:pPr>
            <w:r w:rsidRPr="005B6A3E">
              <w:rPr>
                <w:rFonts w:ascii="Book Antiqua" w:hAnsi="Book Antiqua"/>
                <w:b/>
                <w:bCs/>
                <w:color w:val="000000"/>
                <w:sz w:val="18"/>
                <w:szCs w:val="18"/>
              </w:rPr>
              <w:t>150 204</w:t>
            </w:r>
          </w:p>
        </w:tc>
        <w:tc>
          <w:tcPr>
            <w:tcW w:w="1630" w:type="dxa"/>
            <w:tcBorders>
              <w:top w:val="nil"/>
              <w:left w:val="nil"/>
              <w:bottom w:val="single" w:sz="4" w:space="0" w:color="auto"/>
              <w:right w:val="single" w:sz="4" w:space="0" w:color="auto"/>
            </w:tcBorders>
            <w:shd w:val="clear" w:color="auto" w:fill="FFFFFF"/>
            <w:noWrap/>
            <w:vAlign w:val="center"/>
            <w:hideMark/>
          </w:tcPr>
          <w:p w:rsidR="005B6A3E" w:rsidRPr="005B6A3E" w:rsidRDefault="005B6A3E" w:rsidP="00C8441C">
            <w:pPr>
              <w:jc w:val="center"/>
              <w:rPr>
                <w:rFonts w:ascii="Book Antiqua" w:hAnsi="Book Antiqua"/>
                <w:b/>
                <w:bCs/>
                <w:sz w:val="18"/>
                <w:szCs w:val="18"/>
              </w:rPr>
            </w:pPr>
            <w:r w:rsidRPr="005B6A3E">
              <w:rPr>
                <w:rFonts w:ascii="Book Antiqua" w:hAnsi="Book Antiqua"/>
                <w:b/>
                <w:bCs/>
                <w:sz w:val="18"/>
                <w:szCs w:val="18"/>
              </w:rPr>
              <w:t>31%</w:t>
            </w:r>
          </w:p>
        </w:tc>
        <w:tc>
          <w:tcPr>
            <w:tcW w:w="1630" w:type="dxa"/>
            <w:tcBorders>
              <w:top w:val="nil"/>
              <w:left w:val="nil"/>
              <w:bottom w:val="single" w:sz="4" w:space="0" w:color="auto"/>
              <w:right w:val="single" w:sz="4" w:space="0" w:color="auto"/>
            </w:tcBorders>
            <w:shd w:val="clear" w:color="auto" w:fill="FFFFFF"/>
            <w:noWrap/>
            <w:vAlign w:val="center"/>
            <w:hideMark/>
          </w:tcPr>
          <w:p w:rsidR="005B6A3E" w:rsidRPr="005B6A3E" w:rsidRDefault="005B6A3E" w:rsidP="00C8441C">
            <w:pPr>
              <w:jc w:val="center"/>
              <w:rPr>
                <w:rFonts w:ascii="Book Antiqua" w:hAnsi="Book Antiqua"/>
                <w:b/>
                <w:bCs/>
                <w:sz w:val="18"/>
                <w:szCs w:val="18"/>
              </w:rPr>
            </w:pPr>
            <w:r w:rsidRPr="005B6A3E">
              <w:rPr>
                <w:rFonts w:ascii="Book Antiqua" w:hAnsi="Book Antiqua"/>
                <w:b/>
                <w:bCs/>
                <w:sz w:val="18"/>
                <w:szCs w:val="18"/>
              </w:rPr>
              <w:t>100%</w:t>
            </w:r>
          </w:p>
        </w:tc>
        <w:tc>
          <w:tcPr>
            <w:tcW w:w="1631" w:type="dxa"/>
            <w:tcBorders>
              <w:top w:val="nil"/>
              <w:left w:val="nil"/>
              <w:bottom w:val="single" w:sz="4" w:space="0" w:color="auto"/>
              <w:right w:val="single" w:sz="4" w:space="0" w:color="auto"/>
            </w:tcBorders>
            <w:shd w:val="clear" w:color="auto" w:fill="FFFFFF"/>
            <w:noWrap/>
            <w:vAlign w:val="center"/>
            <w:hideMark/>
          </w:tcPr>
          <w:p w:rsidR="005B6A3E" w:rsidRDefault="005B6A3E" w:rsidP="00A375D8">
            <w:pPr>
              <w:jc w:val="center"/>
              <w:rPr>
                <w:rFonts w:ascii="Book Antiqua" w:hAnsi="Book Antiqua"/>
                <w:b/>
                <w:bCs/>
                <w:color w:val="000000"/>
                <w:sz w:val="18"/>
                <w:szCs w:val="18"/>
              </w:rPr>
            </w:pPr>
            <w:r>
              <w:rPr>
                <w:rFonts w:ascii="Book Antiqua" w:hAnsi="Book Antiqua"/>
                <w:b/>
                <w:bCs/>
                <w:color w:val="000000"/>
                <w:sz w:val="18"/>
                <w:szCs w:val="18"/>
              </w:rPr>
              <w:t>100%</w:t>
            </w:r>
          </w:p>
        </w:tc>
        <w:tc>
          <w:tcPr>
            <w:tcW w:w="3062" w:type="dxa"/>
            <w:tcBorders>
              <w:top w:val="nil"/>
              <w:left w:val="nil"/>
              <w:bottom w:val="single" w:sz="4" w:space="0" w:color="auto"/>
              <w:right w:val="single" w:sz="4" w:space="0" w:color="auto"/>
            </w:tcBorders>
            <w:noWrap/>
            <w:vAlign w:val="bottom"/>
            <w:hideMark/>
          </w:tcPr>
          <w:p w:rsidR="005B6A3E" w:rsidRDefault="005B6A3E" w:rsidP="00A375D8">
            <w:pPr>
              <w:bidi/>
              <w:rPr>
                <w:rFonts w:ascii="Calibri" w:hAnsi="Calibri"/>
                <w:b/>
                <w:bCs/>
                <w:color w:val="000000"/>
              </w:rPr>
            </w:pPr>
            <w:r>
              <w:rPr>
                <w:rFonts w:ascii="Calibri" w:hAnsi="Calibri"/>
                <w:b/>
                <w:bCs/>
                <w:color w:val="000000"/>
                <w:rtl/>
              </w:rPr>
              <w:t>المجموع</w:t>
            </w:r>
          </w:p>
        </w:tc>
      </w:tr>
    </w:tbl>
    <w:p w:rsidR="00434D67" w:rsidRDefault="00434D67" w:rsidP="00434D67">
      <w:pPr>
        <w:bidi/>
        <w:rPr>
          <w:rFonts w:asciiTheme="minorHAnsi" w:hAnsiTheme="minorHAnsi" w:cs="Arial"/>
          <w:sz w:val="22"/>
          <w:szCs w:val="22"/>
          <w:rtl/>
          <w:lang w:eastAsia="en-US" w:bidi="ar-MA"/>
        </w:rPr>
      </w:pPr>
      <w:r>
        <w:rPr>
          <w:rFonts w:cs="Arial"/>
          <w:rtl/>
          <w:lang w:bidi="ar-MA"/>
        </w:rPr>
        <w:t>المصدر:</w:t>
      </w:r>
      <w:r>
        <w:rPr>
          <w:rFonts w:cs="Arial" w:hint="cs"/>
          <w:lang w:bidi="ar-MA"/>
        </w:rPr>
        <w:t xml:space="preserve"> </w:t>
      </w:r>
      <w:r>
        <w:rPr>
          <w:rFonts w:cs="Arial"/>
          <w:rtl/>
          <w:lang w:bidi="ar-MA"/>
        </w:rPr>
        <w:t>البحث</w:t>
      </w:r>
      <w:r>
        <w:rPr>
          <w:rFonts w:cs="Arial" w:hint="cs"/>
          <w:lang w:bidi="ar-MA"/>
        </w:rPr>
        <w:t xml:space="preserve"> </w:t>
      </w:r>
      <w:r>
        <w:rPr>
          <w:rFonts w:cs="Arial"/>
          <w:rtl/>
          <w:lang w:bidi="ar-MA"/>
        </w:rPr>
        <w:t>الوطني</w:t>
      </w:r>
      <w:r>
        <w:rPr>
          <w:rFonts w:cs="Arial" w:hint="cs"/>
          <w:lang w:bidi="ar-MA"/>
        </w:rPr>
        <w:t xml:space="preserve"> </w:t>
      </w:r>
      <w:r>
        <w:rPr>
          <w:rFonts w:cs="Arial"/>
          <w:rtl/>
          <w:lang w:bidi="ar-MA"/>
        </w:rPr>
        <w:t>حول</w:t>
      </w:r>
      <w:r>
        <w:rPr>
          <w:rFonts w:cs="Arial" w:hint="cs"/>
          <w:lang w:bidi="ar-MA"/>
        </w:rPr>
        <w:t xml:space="preserve"> </w:t>
      </w:r>
      <w:r>
        <w:rPr>
          <w:rFonts w:cs="Arial"/>
          <w:rtl/>
          <w:lang w:bidi="ar-MA"/>
        </w:rPr>
        <w:t>البنيات</w:t>
      </w:r>
      <w:r>
        <w:rPr>
          <w:rFonts w:cs="Arial" w:hint="cs"/>
          <w:lang w:bidi="ar-MA"/>
        </w:rPr>
        <w:t xml:space="preserve"> </w:t>
      </w:r>
      <w:r>
        <w:rPr>
          <w:rFonts w:cs="Arial"/>
          <w:rtl/>
          <w:lang w:bidi="ar-MA"/>
        </w:rPr>
        <w:t>الاقتصادية 2015</w:t>
      </w:r>
    </w:p>
    <w:p w:rsidR="00434D67" w:rsidRPr="00CB44FD" w:rsidRDefault="00434D67" w:rsidP="00434D67">
      <w:pPr>
        <w:bidi/>
        <w:jc w:val="both"/>
        <w:rPr>
          <w:b/>
          <w:bCs/>
          <w:color w:val="993366"/>
          <w:sz w:val="32"/>
          <w:szCs w:val="32"/>
          <w:rtl/>
        </w:rPr>
      </w:pPr>
      <w:r w:rsidRPr="00CB44FD">
        <w:rPr>
          <w:rFonts w:hint="cs"/>
          <w:b/>
          <w:bCs/>
          <w:color w:val="993366"/>
          <w:sz w:val="32"/>
          <w:szCs w:val="32"/>
          <w:rtl/>
        </w:rPr>
        <w:lastRenderedPageBreak/>
        <w:t>صادرات القطاع</w:t>
      </w:r>
    </w:p>
    <w:p w:rsidR="00434D67" w:rsidRPr="00CB44FD" w:rsidRDefault="00434D67" w:rsidP="00434D67">
      <w:pPr>
        <w:bidi/>
        <w:jc w:val="both"/>
        <w:rPr>
          <w:rFonts w:cs="Arabic Transparent"/>
          <w:sz w:val="32"/>
          <w:szCs w:val="32"/>
          <w:rtl/>
        </w:rPr>
      </w:pPr>
    </w:p>
    <w:p w:rsidR="00434D67" w:rsidRPr="00CB44FD" w:rsidRDefault="00434D67" w:rsidP="00687A01">
      <w:pPr>
        <w:bidi/>
        <w:jc w:val="both"/>
        <w:rPr>
          <w:rFonts w:cs="Arabic Transparent"/>
          <w:sz w:val="32"/>
          <w:szCs w:val="32"/>
          <w:rtl/>
        </w:rPr>
      </w:pPr>
      <w:r w:rsidRPr="00CB44FD">
        <w:rPr>
          <w:rFonts w:cs="Arabic Transparent" w:hint="cs"/>
          <w:sz w:val="32"/>
          <w:szCs w:val="32"/>
          <w:rtl/>
        </w:rPr>
        <w:t>حققت ما يقرب 20</w:t>
      </w:r>
      <w:r w:rsidRPr="00CB44FD">
        <w:rPr>
          <w:rFonts w:cs="Arabic Transparent"/>
          <w:sz w:val="32"/>
          <w:szCs w:val="32"/>
        </w:rPr>
        <w:t>%</w:t>
      </w:r>
      <w:r w:rsidRPr="00CB44FD">
        <w:rPr>
          <w:rFonts w:cs="Arabic Transparent" w:hint="cs"/>
          <w:sz w:val="32"/>
          <w:szCs w:val="32"/>
          <w:rtl/>
        </w:rPr>
        <w:t xml:space="preserve"> من المقاولات رقم معاملاتها </w:t>
      </w:r>
      <w:r w:rsidR="006514F4">
        <w:rPr>
          <w:rFonts w:cs="Arabic Transparent" w:hint="cs"/>
          <w:sz w:val="32"/>
          <w:szCs w:val="32"/>
          <w:rtl/>
        </w:rPr>
        <w:t>مع الخارج</w:t>
      </w:r>
      <w:r w:rsidRPr="00CB44FD">
        <w:rPr>
          <w:rFonts w:cs="Arabic Transparent" w:hint="cs"/>
          <w:sz w:val="32"/>
          <w:szCs w:val="32"/>
          <w:rtl/>
        </w:rPr>
        <w:t>. حيث بلغ مجموع الصادرات 112 مليار درهم، مساهمة بما يقرب 26</w:t>
      </w:r>
      <w:r w:rsidRPr="00CB44FD">
        <w:rPr>
          <w:rFonts w:cs="Arabic Transparent"/>
          <w:sz w:val="32"/>
          <w:szCs w:val="32"/>
        </w:rPr>
        <w:t>%</w:t>
      </w:r>
      <w:r w:rsidRPr="00CB44FD">
        <w:rPr>
          <w:rFonts w:cs="Arabic Transparent" w:hint="cs"/>
          <w:sz w:val="32"/>
          <w:szCs w:val="32"/>
          <w:rtl/>
        </w:rPr>
        <w:t xml:space="preserve"> من مجموع رقم المعاملات، بزيادة سنوية متوسطة تقدر ب </w:t>
      </w:r>
      <w:r w:rsidRPr="00CB44FD">
        <w:rPr>
          <w:rFonts w:cs="Arabic Transparent"/>
          <w:sz w:val="32"/>
          <w:szCs w:val="32"/>
        </w:rPr>
        <w:t>%</w:t>
      </w:r>
      <w:r w:rsidRPr="00CB44FD">
        <w:rPr>
          <w:rFonts w:cs="Arabic Transparent" w:hint="cs"/>
          <w:sz w:val="32"/>
          <w:szCs w:val="32"/>
          <w:rtl/>
        </w:rPr>
        <w:t>6,4، مند 2006. وتتوفر صناعات النسيج والجلد على أكبر نسبة للتصدير بما ي</w:t>
      </w:r>
      <w:r w:rsidR="006514F4">
        <w:rPr>
          <w:rFonts w:cs="Arabic Transparent" w:hint="cs"/>
          <w:sz w:val="32"/>
          <w:szCs w:val="32"/>
          <w:rtl/>
        </w:rPr>
        <w:t>ناهز</w:t>
      </w:r>
      <w:r w:rsidRPr="00CB44FD">
        <w:rPr>
          <w:rFonts w:cs="Arabic Transparent" w:hint="cs"/>
          <w:sz w:val="32"/>
          <w:szCs w:val="32"/>
          <w:rtl/>
        </w:rPr>
        <w:t xml:space="preserve"> 80</w:t>
      </w:r>
      <w:r w:rsidRPr="00CB44FD">
        <w:rPr>
          <w:rFonts w:cs="Arabic Transparent"/>
          <w:sz w:val="32"/>
          <w:szCs w:val="32"/>
        </w:rPr>
        <w:t>%</w:t>
      </w:r>
      <w:r w:rsidRPr="00CB44FD">
        <w:rPr>
          <w:rFonts w:cs="Arabic Transparent" w:hint="cs"/>
          <w:sz w:val="32"/>
          <w:szCs w:val="32"/>
          <w:rtl/>
        </w:rPr>
        <w:t xml:space="preserve"> والصناعات الكهربائية والالكترونية </w:t>
      </w:r>
      <w:r w:rsidR="006514F4">
        <w:rPr>
          <w:rFonts w:cs="Arabic Transparent"/>
          <w:sz w:val="32"/>
          <w:szCs w:val="32"/>
        </w:rPr>
        <w:t>%56</w:t>
      </w:r>
      <w:r w:rsidRPr="00CB44FD">
        <w:rPr>
          <w:rFonts w:cs="Arabic Transparent" w:hint="cs"/>
          <w:sz w:val="32"/>
          <w:szCs w:val="32"/>
          <w:rtl/>
        </w:rPr>
        <w:t>، فيما لا</w:t>
      </w:r>
      <w:r w:rsidRPr="00CB44FD">
        <w:rPr>
          <w:rFonts w:cs="Arabic Transparent"/>
          <w:sz w:val="32"/>
          <w:szCs w:val="32"/>
        </w:rPr>
        <w:t xml:space="preserve"> </w:t>
      </w:r>
      <w:r w:rsidRPr="00CB44FD">
        <w:rPr>
          <w:rFonts w:cs="Arabic Transparent" w:hint="cs"/>
          <w:sz w:val="32"/>
          <w:szCs w:val="32"/>
          <w:rtl/>
        </w:rPr>
        <w:t>تتعدى هذه النسبة 24</w:t>
      </w:r>
      <w:r w:rsidRPr="00CB44FD">
        <w:rPr>
          <w:rFonts w:cs="Arabic Transparent"/>
          <w:sz w:val="32"/>
          <w:szCs w:val="32"/>
        </w:rPr>
        <w:t>%</w:t>
      </w:r>
      <w:r w:rsidRPr="00CB44FD">
        <w:rPr>
          <w:rFonts w:cs="Arabic Transparent" w:hint="cs"/>
          <w:sz w:val="32"/>
          <w:szCs w:val="32"/>
          <w:rtl/>
        </w:rPr>
        <w:t xml:space="preserve"> لدى الصناعات الغذائية. في المقابل، حققت المقاولات الكبرى ما يناهز 78</w:t>
      </w:r>
      <w:r w:rsidRPr="00CB44FD">
        <w:rPr>
          <w:rFonts w:cs="Arabic Transparent"/>
          <w:sz w:val="32"/>
          <w:szCs w:val="32"/>
        </w:rPr>
        <w:t>%</w:t>
      </w:r>
      <w:r w:rsidRPr="00CB44FD">
        <w:rPr>
          <w:rFonts w:cs="Arabic Transparent" w:hint="cs"/>
          <w:sz w:val="32"/>
          <w:szCs w:val="32"/>
          <w:rtl/>
        </w:rPr>
        <w:t xml:space="preserve"> من مجموع الصادرات، وهو ما يشكل 38</w:t>
      </w:r>
      <w:r w:rsidRPr="00CB44FD">
        <w:rPr>
          <w:rFonts w:cs="Arabic Transparent"/>
          <w:sz w:val="32"/>
          <w:szCs w:val="32"/>
        </w:rPr>
        <w:t>%</w:t>
      </w:r>
      <w:r w:rsidRPr="00CB44FD">
        <w:rPr>
          <w:rFonts w:cs="Arabic Transparent" w:hint="cs"/>
          <w:sz w:val="32"/>
          <w:szCs w:val="32"/>
          <w:rtl/>
        </w:rPr>
        <w:t xml:space="preserve"> من </w:t>
      </w:r>
      <w:r w:rsidR="008B2D1D" w:rsidRPr="00CB44FD">
        <w:rPr>
          <w:rFonts w:cs="Arabic Transparent" w:hint="cs"/>
          <w:sz w:val="32"/>
          <w:szCs w:val="32"/>
          <w:rtl/>
        </w:rPr>
        <w:t>إنتاجهم</w:t>
      </w:r>
      <w:r w:rsidRPr="00CB44FD">
        <w:rPr>
          <w:rFonts w:cs="Arabic Transparent" w:hint="cs"/>
          <w:sz w:val="32"/>
          <w:szCs w:val="32"/>
          <w:rtl/>
        </w:rPr>
        <w:t>. ولم تتعدى هذه النسبة 4</w:t>
      </w:r>
      <w:r w:rsidRPr="00CB44FD">
        <w:rPr>
          <w:rFonts w:cs="Arabic Transparent"/>
          <w:sz w:val="32"/>
          <w:szCs w:val="32"/>
        </w:rPr>
        <w:t>%</w:t>
      </w:r>
      <w:r w:rsidRPr="00CB44FD">
        <w:rPr>
          <w:rFonts w:cs="Arabic Transparent" w:hint="cs"/>
          <w:sz w:val="32"/>
          <w:szCs w:val="32"/>
          <w:rtl/>
        </w:rPr>
        <w:t xml:space="preserve"> لدى المقاولات الصغيرة جدا، فيما حققت ما يقرب 25</w:t>
      </w:r>
      <w:r w:rsidRPr="00CB44FD">
        <w:rPr>
          <w:rFonts w:cs="Arabic Transparent"/>
          <w:sz w:val="32"/>
          <w:szCs w:val="32"/>
        </w:rPr>
        <w:t>%</w:t>
      </w:r>
      <w:r w:rsidRPr="00CB44FD">
        <w:rPr>
          <w:rFonts w:cs="Arabic Transparent" w:hint="cs"/>
          <w:sz w:val="32"/>
          <w:szCs w:val="32"/>
          <w:rtl/>
        </w:rPr>
        <w:t xml:space="preserve"> من المقاولات الصغرى والمتوسطة رقم معاملات مع الخارج.   </w:t>
      </w:r>
    </w:p>
    <w:p w:rsidR="00434D67" w:rsidRDefault="00434D67" w:rsidP="00434D67">
      <w:pPr>
        <w:bidi/>
        <w:jc w:val="both"/>
        <w:rPr>
          <w:rFonts w:cs="Arabic Transparent"/>
          <w:sz w:val="28"/>
          <w:szCs w:val="28"/>
        </w:rPr>
      </w:pPr>
    </w:p>
    <w:p w:rsidR="00434D67" w:rsidRPr="0018127C" w:rsidRDefault="00434D67" w:rsidP="00434D67">
      <w:pPr>
        <w:bidi/>
        <w:jc w:val="center"/>
        <w:rPr>
          <w:rFonts w:cstheme="minorBidi"/>
          <w:b/>
          <w:bCs/>
          <w:sz w:val="28"/>
          <w:szCs w:val="28"/>
          <w:rtl/>
          <w:lang w:bidi="ar-MA"/>
        </w:rPr>
      </w:pPr>
      <w:r w:rsidRPr="0018127C">
        <w:rPr>
          <w:b/>
          <w:bCs/>
          <w:sz w:val="28"/>
          <w:szCs w:val="28"/>
          <w:rtl/>
          <w:lang w:bidi="ar-MA"/>
        </w:rPr>
        <w:t>بنيات المقاولات المصدرة خلال سنة 2014</w:t>
      </w:r>
      <w:bookmarkStart w:id="0" w:name="_GoBack"/>
      <w:bookmarkEnd w:id="0"/>
    </w:p>
    <w:tbl>
      <w:tblPr>
        <w:tblW w:w="9741" w:type="dxa"/>
        <w:tblInd w:w="-5" w:type="dxa"/>
        <w:tblLayout w:type="fixed"/>
        <w:tblCellMar>
          <w:left w:w="70" w:type="dxa"/>
          <w:right w:w="70" w:type="dxa"/>
        </w:tblCellMar>
        <w:tblLook w:val="04A0"/>
      </w:tblPr>
      <w:tblGrid>
        <w:gridCol w:w="2246"/>
        <w:gridCol w:w="2246"/>
        <w:gridCol w:w="2246"/>
        <w:gridCol w:w="3003"/>
      </w:tblGrid>
      <w:tr w:rsidR="00E87F96" w:rsidTr="00B15C35">
        <w:trPr>
          <w:trHeight w:val="713"/>
        </w:trPr>
        <w:tc>
          <w:tcPr>
            <w:tcW w:w="2246" w:type="dxa"/>
            <w:tcBorders>
              <w:top w:val="single" w:sz="4" w:space="0" w:color="auto"/>
              <w:left w:val="single" w:sz="4" w:space="0" w:color="auto"/>
              <w:bottom w:val="single" w:sz="4" w:space="0" w:color="auto"/>
              <w:right w:val="single" w:sz="4" w:space="0" w:color="auto"/>
            </w:tcBorders>
            <w:vAlign w:val="center"/>
            <w:hideMark/>
          </w:tcPr>
          <w:p w:rsidR="00E87F96" w:rsidRDefault="00E87F96" w:rsidP="008B2D1D">
            <w:pPr>
              <w:bidi/>
              <w:jc w:val="center"/>
              <w:rPr>
                <w:rFonts w:ascii="Calibri" w:hAnsi="Calibri"/>
                <w:b/>
                <w:bCs/>
                <w:color w:val="000000"/>
              </w:rPr>
            </w:pPr>
            <w:r>
              <w:rPr>
                <w:rFonts w:ascii="Calibri" w:hAnsi="Calibri"/>
                <w:b/>
                <w:bCs/>
                <w:color w:val="000000"/>
                <w:rtl/>
              </w:rPr>
              <w:t xml:space="preserve">معدل صادرات </w:t>
            </w:r>
            <w:r w:rsidR="008B2D1D">
              <w:rPr>
                <w:rFonts w:ascii="Calibri" w:hAnsi="Calibri" w:hint="cs"/>
                <w:b/>
                <w:bCs/>
                <w:color w:val="000000"/>
                <w:rtl/>
              </w:rPr>
              <w:t>ا</w:t>
            </w:r>
            <w:r>
              <w:rPr>
                <w:rFonts w:ascii="Calibri" w:hAnsi="Calibri"/>
                <w:b/>
                <w:bCs/>
                <w:color w:val="000000"/>
                <w:rtl/>
              </w:rPr>
              <w:t>لمقاولات المصدرة (ب %)</w:t>
            </w:r>
          </w:p>
        </w:tc>
        <w:tc>
          <w:tcPr>
            <w:tcW w:w="2246" w:type="dxa"/>
            <w:tcBorders>
              <w:top w:val="single" w:sz="4" w:space="0" w:color="auto"/>
              <w:left w:val="nil"/>
              <w:bottom w:val="single" w:sz="4" w:space="0" w:color="auto"/>
              <w:right w:val="single" w:sz="4" w:space="0" w:color="auto"/>
            </w:tcBorders>
            <w:noWrap/>
            <w:vAlign w:val="center"/>
            <w:hideMark/>
          </w:tcPr>
          <w:p w:rsidR="00E87F96" w:rsidRDefault="00E87F96" w:rsidP="00A375D8">
            <w:pPr>
              <w:bidi/>
              <w:jc w:val="center"/>
              <w:rPr>
                <w:rFonts w:ascii="Calibri" w:hAnsi="Calibri"/>
                <w:b/>
                <w:bCs/>
                <w:color w:val="000000"/>
              </w:rPr>
            </w:pPr>
            <w:r>
              <w:rPr>
                <w:rFonts w:ascii="Calibri" w:hAnsi="Calibri"/>
                <w:b/>
                <w:bCs/>
                <w:color w:val="000000"/>
                <w:rtl/>
              </w:rPr>
              <w:t>رقم المعاملات للتصدير</w:t>
            </w:r>
          </w:p>
          <w:p w:rsidR="00E87F96" w:rsidRDefault="00E87F96" w:rsidP="00E87F96">
            <w:pPr>
              <w:bidi/>
              <w:jc w:val="center"/>
              <w:rPr>
                <w:rFonts w:ascii="Calibri" w:hAnsi="Calibri"/>
                <w:b/>
                <w:bCs/>
                <w:color w:val="000000"/>
              </w:rPr>
            </w:pPr>
            <w:r>
              <w:rPr>
                <w:rFonts w:ascii="Calibri" w:hAnsi="Calibri"/>
                <w:b/>
                <w:bCs/>
                <w:color w:val="000000"/>
                <w:rtl/>
              </w:rPr>
              <w:t>(ب %)</w:t>
            </w:r>
          </w:p>
        </w:tc>
        <w:tc>
          <w:tcPr>
            <w:tcW w:w="2246" w:type="dxa"/>
            <w:tcBorders>
              <w:top w:val="single" w:sz="4" w:space="0" w:color="auto"/>
              <w:left w:val="nil"/>
              <w:bottom w:val="single" w:sz="4" w:space="0" w:color="auto"/>
              <w:right w:val="single" w:sz="4" w:space="0" w:color="auto"/>
            </w:tcBorders>
            <w:noWrap/>
            <w:vAlign w:val="center"/>
            <w:hideMark/>
          </w:tcPr>
          <w:p w:rsidR="00E87F96" w:rsidRDefault="00E87F96" w:rsidP="00A375D8">
            <w:pPr>
              <w:bidi/>
              <w:jc w:val="center"/>
              <w:rPr>
                <w:rFonts w:ascii="Calibri" w:hAnsi="Calibri"/>
                <w:b/>
                <w:bCs/>
                <w:color w:val="000000"/>
                <w:rtl/>
              </w:rPr>
            </w:pPr>
            <w:r>
              <w:rPr>
                <w:rFonts w:ascii="Calibri" w:hAnsi="Calibri"/>
                <w:b/>
                <w:bCs/>
                <w:color w:val="000000"/>
                <w:rtl/>
              </w:rPr>
              <w:t>نسبة المقاولات</w:t>
            </w:r>
          </w:p>
          <w:p w:rsidR="00E87F96" w:rsidRDefault="00E87F96" w:rsidP="00A375D8">
            <w:pPr>
              <w:bidi/>
              <w:jc w:val="center"/>
              <w:rPr>
                <w:rFonts w:ascii="Calibri" w:hAnsi="Calibri"/>
                <w:b/>
                <w:bCs/>
                <w:color w:val="000000"/>
              </w:rPr>
            </w:pPr>
            <w:r>
              <w:rPr>
                <w:rFonts w:ascii="Calibri" w:hAnsi="Calibri"/>
                <w:b/>
                <w:bCs/>
                <w:color w:val="000000"/>
                <w:rtl/>
              </w:rPr>
              <w:t xml:space="preserve"> (ب %)</w:t>
            </w:r>
          </w:p>
        </w:tc>
        <w:tc>
          <w:tcPr>
            <w:tcW w:w="3003" w:type="dxa"/>
            <w:tcBorders>
              <w:top w:val="single" w:sz="4" w:space="0" w:color="auto"/>
              <w:left w:val="single" w:sz="4" w:space="0" w:color="auto"/>
              <w:bottom w:val="single" w:sz="4" w:space="0" w:color="auto"/>
              <w:right w:val="single" w:sz="4" w:space="0" w:color="auto"/>
            </w:tcBorders>
            <w:noWrap/>
            <w:vAlign w:val="center"/>
            <w:hideMark/>
          </w:tcPr>
          <w:p w:rsidR="00E87F96" w:rsidRDefault="00E87F96" w:rsidP="00A375D8">
            <w:pPr>
              <w:jc w:val="right"/>
              <w:rPr>
                <w:rFonts w:ascii="Calibri" w:hAnsi="Calibri"/>
                <w:b/>
                <w:bCs/>
                <w:color w:val="000000"/>
              </w:rPr>
            </w:pPr>
            <w:r>
              <w:rPr>
                <w:rFonts w:ascii="Calibri" w:hAnsi="Calibri"/>
                <w:b/>
                <w:bCs/>
                <w:color w:val="000000"/>
                <w:rtl/>
              </w:rPr>
              <w:t>القطاعات الفرعية</w:t>
            </w:r>
            <w:r>
              <w:rPr>
                <w:rFonts w:ascii="Calibri" w:hAnsi="Calibri" w:hint="cs"/>
                <w:b/>
                <w:bCs/>
                <w:color w:val="000000"/>
                <w:rtl/>
              </w:rPr>
              <w:t xml:space="preserve"> وحجمها</w:t>
            </w:r>
          </w:p>
        </w:tc>
      </w:tr>
      <w:tr w:rsidR="00434D67" w:rsidTr="00E87F96">
        <w:trPr>
          <w:trHeight w:val="323"/>
        </w:trPr>
        <w:tc>
          <w:tcPr>
            <w:tcW w:w="9741" w:type="dxa"/>
            <w:gridSpan w:val="4"/>
            <w:tcBorders>
              <w:top w:val="single" w:sz="4" w:space="0" w:color="auto"/>
              <w:left w:val="single" w:sz="4" w:space="0" w:color="auto"/>
              <w:bottom w:val="single" w:sz="4" w:space="0" w:color="auto"/>
              <w:right w:val="single" w:sz="4" w:space="0" w:color="auto"/>
            </w:tcBorders>
            <w:vAlign w:val="center"/>
            <w:hideMark/>
          </w:tcPr>
          <w:p w:rsidR="00434D67" w:rsidRDefault="00434D67" w:rsidP="00A375D8">
            <w:pPr>
              <w:jc w:val="right"/>
              <w:rPr>
                <w:rFonts w:ascii="Calibri" w:hAnsi="Calibri"/>
                <w:b/>
                <w:bCs/>
                <w:color w:val="000000"/>
              </w:rPr>
            </w:pPr>
            <w:r>
              <w:rPr>
                <w:rFonts w:ascii="Book Antiqua" w:hAnsi="Book Antiqua"/>
                <w:b/>
                <w:bCs/>
                <w:color w:val="000000"/>
                <w:sz w:val="16"/>
                <w:szCs w:val="16"/>
              </w:rPr>
              <w:t> </w:t>
            </w:r>
            <w:r>
              <w:rPr>
                <w:rFonts w:ascii="Book Antiqua" w:hAnsi="Book Antiqua"/>
                <w:b/>
                <w:bCs/>
                <w:color w:val="000000"/>
                <w:sz w:val="16"/>
                <w:szCs w:val="16"/>
                <w:rtl/>
              </w:rPr>
              <w:t> </w:t>
            </w:r>
            <w:r>
              <w:rPr>
                <w:rFonts w:ascii="Calibri" w:hAnsi="Calibri"/>
                <w:b/>
                <w:bCs/>
                <w:color w:val="000000"/>
                <w:rtl/>
              </w:rPr>
              <w:t>حجم</w:t>
            </w:r>
          </w:p>
        </w:tc>
      </w:tr>
      <w:tr w:rsidR="00E87F96" w:rsidTr="008B2D1D">
        <w:trPr>
          <w:trHeight w:val="323"/>
        </w:trPr>
        <w:tc>
          <w:tcPr>
            <w:tcW w:w="2246" w:type="dxa"/>
            <w:tcBorders>
              <w:top w:val="nil"/>
              <w:left w:val="single" w:sz="4" w:space="0" w:color="auto"/>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77%</w:t>
            </w:r>
          </w:p>
        </w:tc>
        <w:tc>
          <w:tcPr>
            <w:tcW w:w="2246" w:type="dxa"/>
            <w:tcBorders>
              <w:top w:val="nil"/>
              <w:left w:val="nil"/>
              <w:bottom w:val="single" w:sz="4" w:space="0" w:color="auto"/>
              <w:right w:val="single" w:sz="4" w:space="0" w:color="auto"/>
            </w:tcBorders>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0.3%</w:t>
            </w:r>
          </w:p>
        </w:tc>
        <w:tc>
          <w:tcPr>
            <w:tcW w:w="2246" w:type="dxa"/>
            <w:tcBorders>
              <w:top w:val="nil"/>
              <w:left w:val="nil"/>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4%</w:t>
            </w:r>
          </w:p>
        </w:tc>
        <w:tc>
          <w:tcPr>
            <w:tcW w:w="3003" w:type="dxa"/>
            <w:tcBorders>
              <w:top w:val="nil"/>
              <w:left w:val="nil"/>
              <w:bottom w:val="single" w:sz="4" w:space="0" w:color="auto"/>
              <w:right w:val="single" w:sz="4" w:space="0" w:color="auto"/>
            </w:tcBorders>
            <w:noWrap/>
            <w:vAlign w:val="bottom"/>
            <w:hideMark/>
          </w:tcPr>
          <w:p w:rsidR="00E87F96" w:rsidRPr="00C37C81" w:rsidRDefault="00E87F96" w:rsidP="00A375D8">
            <w:pPr>
              <w:bidi/>
              <w:rPr>
                <w:rFonts w:ascii="Calibri" w:hAnsi="Calibri"/>
                <w:b/>
                <w:bCs/>
                <w:color w:val="000000"/>
              </w:rPr>
            </w:pPr>
            <w:r w:rsidRPr="00C37C81">
              <w:rPr>
                <w:rFonts w:ascii="Calibri" w:hAnsi="Calibri"/>
                <w:b/>
                <w:bCs/>
                <w:color w:val="000000"/>
                <w:rtl/>
              </w:rPr>
              <w:t>أقل من 10</w:t>
            </w:r>
          </w:p>
        </w:tc>
      </w:tr>
      <w:tr w:rsidR="00E87F96" w:rsidTr="008B2D1D">
        <w:trPr>
          <w:trHeight w:val="323"/>
        </w:trPr>
        <w:tc>
          <w:tcPr>
            <w:tcW w:w="2246" w:type="dxa"/>
            <w:tcBorders>
              <w:top w:val="nil"/>
              <w:left w:val="single" w:sz="4" w:space="0" w:color="auto"/>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42%</w:t>
            </w:r>
          </w:p>
        </w:tc>
        <w:tc>
          <w:tcPr>
            <w:tcW w:w="2246" w:type="dxa"/>
            <w:tcBorders>
              <w:top w:val="nil"/>
              <w:left w:val="nil"/>
              <w:bottom w:val="single" w:sz="4" w:space="0" w:color="auto"/>
              <w:right w:val="single" w:sz="4" w:space="0" w:color="auto"/>
            </w:tcBorders>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21.6%</w:t>
            </w:r>
          </w:p>
        </w:tc>
        <w:tc>
          <w:tcPr>
            <w:tcW w:w="2246" w:type="dxa"/>
            <w:tcBorders>
              <w:top w:val="nil"/>
              <w:left w:val="nil"/>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26%</w:t>
            </w:r>
          </w:p>
        </w:tc>
        <w:tc>
          <w:tcPr>
            <w:tcW w:w="3003" w:type="dxa"/>
            <w:tcBorders>
              <w:top w:val="nil"/>
              <w:left w:val="nil"/>
              <w:bottom w:val="single" w:sz="4" w:space="0" w:color="auto"/>
              <w:right w:val="single" w:sz="4" w:space="0" w:color="auto"/>
            </w:tcBorders>
            <w:noWrap/>
            <w:vAlign w:val="bottom"/>
            <w:hideMark/>
          </w:tcPr>
          <w:p w:rsidR="00E87F96" w:rsidRPr="00C37C81" w:rsidRDefault="00E87F96" w:rsidP="00A375D8">
            <w:pPr>
              <w:bidi/>
              <w:rPr>
                <w:rFonts w:ascii="Calibri" w:hAnsi="Calibri"/>
                <w:b/>
                <w:bCs/>
                <w:color w:val="000000"/>
              </w:rPr>
            </w:pPr>
            <w:r w:rsidRPr="00C37C81">
              <w:rPr>
                <w:rFonts w:ascii="Calibri" w:hAnsi="Calibri"/>
                <w:b/>
                <w:bCs/>
                <w:color w:val="000000"/>
                <w:rtl/>
              </w:rPr>
              <w:t>10 إلى 200</w:t>
            </w:r>
          </w:p>
        </w:tc>
      </w:tr>
      <w:tr w:rsidR="00E87F96" w:rsidTr="008B2D1D">
        <w:trPr>
          <w:trHeight w:val="323"/>
        </w:trPr>
        <w:tc>
          <w:tcPr>
            <w:tcW w:w="2246" w:type="dxa"/>
            <w:tcBorders>
              <w:top w:val="nil"/>
              <w:left w:val="single" w:sz="4" w:space="0" w:color="auto"/>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38%</w:t>
            </w:r>
          </w:p>
        </w:tc>
        <w:tc>
          <w:tcPr>
            <w:tcW w:w="2246" w:type="dxa"/>
            <w:tcBorders>
              <w:top w:val="nil"/>
              <w:left w:val="nil"/>
              <w:bottom w:val="single" w:sz="4" w:space="0" w:color="auto"/>
              <w:right w:val="single" w:sz="4" w:space="0" w:color="auto"/>
            </w:tcBorders>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78.1%</w:t>
            </w:r>
          </w:p>
        </w:tc>
        <w:tc>
          <w:tcPr>
            <w:tcW w:w="2246" w:type="dxa"/>
            <w:tcBorders>
              <w:top w:val="nil"/>
              <w:left w:val="nil"/>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73%</w:t>
            </w:r>
          </w:p>
        </w:tc>
        <w:tc>
          <w:tcPr>
            <w:tcW w:w="3003" w:type="dxa"/>
            <w:tcBorders>
              <w:top w:val="nil"/>
              <w:left w:val="nil"/>
              <w:bottom w:val="single" w:sz="4" w:space="0" w:color="auto"/>
              <w:right w:val="single" w:sz="4" w:space="0" w:color="auto"/>
            </w:tcBorders>
            <w:noWrap/>
            <w:vAlign w:val="bottom"/>
            <w:hideMark/>
          </w:tcPr>
          <w:p w:rsidR="00E87F96" w:rsidRPr="00C37C81" w:rsidRDefault="00E87F96" w:rsidP="00A375D8">
            <w:pPr>
              <w:bidi/>
              <w:rPr>
                <w:rFonts w:ascii="Calibri" w:hAnsi="Calibri"/>
                <w:b/>
                <w:bCs/>
                <w:color w:val="000000"/>
              </w:rPr>
            </w:pPr>
            <w:r w:rsidRPr="00C37C81">
              <w:rPr>
                <w:rFonts w:ascii="Calibri" w:hAnsi="Calibri"/>
                <w:b/>
                <w:bCs/>
                <w:color w:val="000000"/>
                <w:rtl/>
              </w:rPr>
              <w:t xml:space="preserve"> 200 وما فوق</w:t>
            </w:r>
          </w:p>
        </w:tc>
      </w:tr>
      <w:tr w:rsidR="00434D67" w:rsidTr="00633B44">
        <w:trPr>
          <w:trHeight w:val="323"/>
        </w:trPr>
        <w:tc>
          <w:tcPr>
            <w:tcW w:w="9741" w:type="dxa"/>
            <w:gridSpan w:val="4"/>
            <w:tcBorders>
              <w:top w:val="nil"/>
              <w:left w:val="single" w:sz="4" w:space="0" w:color="auto"/>
              <w:bottom w:val="single" w:sz="4" w:space="0" w:color="auto"/>
              <w:right w:val="single" w:sz="4" w:space="0" w:color="auto"/>
            </w:tcBorders>
            <w:noWrap/>
            <w:vAlign w:val="center"/>
            <w:hideMark/>
          </w:tcPr>
          <w:p w:rsidR="00434D67" w:rsidRPr="00C37C81" w:rsidRDefault="00434D67" w:rsidP="00A375D8">
            <w:pPr>
              <w:jc w:val="right"/>
              <w:rPr>
                <w:rFonts w:ascii="Calibri" w:hAnsi="Calibri"/>
                <w:b/>
                <w:bCs/>
                <w:color w:val="000000"/>
              </w:rPr>
            </w:pPr>
            <w:r w:rsidRPr="00C37C81">
              <w:rPr>
                <w:rFonts w:ascii="Book Antiqua" w:hAnsi="Book Antiqua"/>
                <w:b/>
                <w:bCs/>
                <w:color w:val="000000"/>
                <w:sz w:val="16"/>
                <w:szCs w:val="16"/>
              </w:rPr>
              <w:t> </w:t>
            </w:r>
            <w:r w:rsidRPr="00C37C81">
              <w:rPr>
                <w:rFonts w:ascii="Book Antiqua" w:hAnsi="Book Antiqua"/>
                <w:b/>
                <w:bCs/>
                <w:color w:val="000000"/>
                <w:sz w:val="16"/>
                <w:szCs w:val="16"/>
                <w:rtl/>
              </w:rPr>
              <w:t> </w:t>
            </w:r>
            <w:r w:rsidRPr="00C37C81">
              <w:rPr>
                <w:rFonts w:ascii="Calibri" w:hAnsi="Calibri"/>
                <w:b/>
                <w:bCs/>
                <w:color w:val="000000"/>
                <w:rtl/>
              </w:rPr>
              <w:t>القطاعات الفرعية</w:t>
            </w:r>
          </w:p>
        </w:tc>
      </w:tr>
      <w:tr w:rsidR="00E87F96" w:rsidTr="008B2D1D">
        <w:trPr>
          <w:trHeight w:val="323"/>
        </w:trPr>
        <w:tc>
          <w:tcPr>
            <w:tcW w:w="2246" w:type="dxa"/>
            <w:tcBorders>
              <w:top w:val="nil"/>
              <w:left w:val="single" w:sz="4" w:space="0" w:color="auto"/>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24%</w:t>
            </w:r>
          </w:p>
        </w:tc>
        <w:tc>
          <w:tcPr>
            <w:tcW w:w="2246" w:type="dxa"/>
            <w:tcBorders>
              <w:top w:val="nil"/>
              <w:left w:val="nil"/>
              <w:bottom w:val="single" w:sz="4" w:space="0" w:color="auto"/>
              <w:right w:val="single" w:sz="4" w:space="0" w:color="auto"/>
            </w:tcBorders>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15.2%</w:t>
            </w:r>
          </w:p>
        </w:tc>
        <w:tc>
          <w:tcPr>
            <w:tcW w:w="2246" w:type="dxa"/>
            <w:tcBorders>
              <w:top w:val="nil"/>
              <w:left w:val="nil"/>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16%</w:t>
            </w:r>
          </w:p>
        </w:tc>
        <w:tc>
          <w:tcPr>
            <w:tcW w:w="3003" w:type="dxa"/>
            <w:tcBorders>
              <w:top w:val="nil"/>
              <w:left w:val="nil"/>
              <w:bottom w:val="single" w:sz="4" w:space="0" w:color="auto"/>
              <w:right w:val="single" w:sz="4" w:space="0" w:color="auto"/>
            </w:tcBorders>
            <w:noWrap/>
            <w:vAlign w:val="bottom"/>
            <w:hideMark/>
          </w:tcPr>
          <w:p w:rsidR="00E87F96" w:rsidRPr="00C37C81" w:rsidRDefault="00E87F96" w:rsidP="00A375D8">
            <w:pPr>
              <w:bidi/>
              <w:rPr>
                <w:rFonts w:ascii="Calibri" w:hAnsi="Calibri"/>
                <w:b/>
                <w:bCs/>
                <w:color w:val="000000"/>
              </w:rPr>
            </w:pPr>
            <w:r w:rsidRPr="00C37C81">
              <w:rPr>
                <w:rFonts w:ascii="Calibri" w:hAnsi="Calibri"/>
                <w:b/>
                <w:bCs/>
                <w:color w:val="000000"/>
                <w:rtl/>
              </w:rPr>
              <w:t>الصناعات الغذائية</w:t>
            </w:r>
          </w:p>
        </w:tc>
      </w:tr>
      <w:tr w:rsidR="00E87F96" w:rsidTr="008B2D1D">
        <w:trPr>
          <w:trHeight w:val="323"/>
        </w:trPr>
        <w:tc>
          <w:tcPr>
            <w:tcW w:w="2246" w:type="dxa"/>
            <w:tcBorders>
              <w:top w:val="nil"/>
              <w:left w:val="single" w:sz="4" w:space="0" w:color="auto"/>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80%</w:t>
            </w:r>
          </w:p>
        </w:tc>
        <w:tc>
          <w:tcPr>
            <w:tcW w:w="2246" w:type="dxa"/>
            <w:tcBorders>
              <w:top w:val="nil"/>
              <w:left w:val="nil"/>
              <w:bottom w:val="single" w:sz="4" w:space="0" w:color="auto"/>
              <w:right w:val="single" w:sz="4" w:space="0" w:color="auto"/>
            </w:tcBorders>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16.2%</w:t>
            </w:r>
          </w:p>
        </w:tc>
        <w:tc>
          <w:tcPr>
            <w:tcW w:w="2246" w:type="dxa"/>
            <w:tcBorders>
              <w:top w:val="nil"/>
              <w:left w:val="nil"/>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40%</w:t>
            </w:r>
          </w:p>
        </w:tc>
        <w:tc>
          <w:tcPr>
            <w:tcW w:w="3003" w:type="dxa"/>
            <w:tcBorders>
              <w:top w:val="nil"/>
              <w:left w:val="nil"/>
              <w:bottom w:val="single" w:sz="4" w:space="0" w:color="auto"/>
              <w:right w:val="single" w:sz="4" w:space="0" w:color="auto"/>
            </w:tcBorders>
            <w:noWrap/>
            <w:vAlign w:val="bottom"/>
            <w:hideMark/>
          </w:tcPr>
          <w:p w:rsidR="00E87F96" w:rsidRPr="00C37C81" w:rsidRDefault="00E87F96" w:rsidP="00A375D8">
            <w:pPr>
              <w:bidi/>
              <w:rPr>
                <w:rFonts w:ascii="Calibri" w:hAnsi="Calibri"/>
                <w:b/>
                <w:bCs/>
                <w:color w:val="000000"/>
              </w:rPr>
            </w:pPr>
            <w:r w:rsidRPr="00C37C81">
              <w:rPr>
                <w:rFonts w:ascii="Calibri" w:hAnsi="Calibri"/>
                <w:b/>
                <w:bCs/>
                <w:color w:val="000000"/>
                <w:rtl/>
              </w:rPr>
              <w:t>صناعات الجلد و النسيج</w:t>
            </w:r>
          </w:p>
        </w:tc>
      </w:tr>
      <w:tr w:rsidR="00E87F96" w:rsidTr="008B2D1D">
        <w:trPr>
          <w:trHeight w:val="323"/>
        </w:trPr>
        <w:tc>
          <w:tcPr>
            <w:tcW w:w="2246" w:type="dxa"/>
            <w:tcBorders>
              <w:top w:val="nil"/>
              <w:left w:val="single" w:sz="4" w:space="0" w:color="auto"/>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36%</w:t>
            </w:r>
          </w:p>
        </w:tc>
        <w:tc>
          <w:tcPr>
            <w:tcW w:w="2246" w:type="dxa"/>
            <w:tcBorders>
              <w:top w:val="nil"/>
              <w:left w:val="nil"/>
              <w:bottom w:val="single" w:sz="4" w:space="0" w:color="auto"/>
              <w:right w:val="single" w:sz="4" w:space="0" w:color="auto"/>
            </w:tcBorders>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42.4%</w:t>
            </w:r>
          </w:p>
        </w:tc>
        <w:tc>
          <w:tcPr>
            <w:tcW w:w="2246" w:type="dxa"/>
            <w:tcBorders>
              <w:top w:val="nil"/>
              <w:left w:val="nil"/>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15%</w:t>
            </w:r>
          </w:p>
        </w:tc>
        <w:tc>
          <w:tcPr>
            <w:tcW w:w="3003" w:type="dxa"/>
            <w:tcBorders>
              <w:top w:val="nil"/>
              <w:left w:val="nil"/>
              <w:bottom w:val="single" w:sz="4" w:space="0" w:color="auto"/>
              <w:right w:val="single" w:sz="4" w:space="0" w:color="auto"/>
            </w:tcBorders>
            <w:noWrap/>
            <w:vAlign w:val="bottom"/>
            <w:hideMark/>
          </w:tcPr>
          <w:p w:rsidR="00E87F96" w:rsidRPr="00C37C81" w:rsidRDefault="00E87F96" w:rsidP="00A375D8">
            <w:pPr>
              <w:bidi/>
              <w:rPr>
                <w:rFonts w:ascii="Calibri" w:hAnsi="Calibri"/>
                <w:b/>
                <w:bCs/>
                <w:color w:val="000000"/>
              </w:rPr>
            </w:pPr>
            <w:r w:rsidRPr="00C37C81">
              <w:rPr>
                <w:rFonts w:ascii="Calibri" w:hAnsi="Calibri"/>
                <w:b/>
                <w:bCs/>
                <w:color w:val="000000"/>
                <w:rtl/>
              </w:rPr>
              <w:t>الصناعات الكيمائية و الشبه كيميائية</w:t>
            </w:r>
          </w:p>
        </w:tc>
      </w:tr>
      <w:tr w:rsidR="00E87F96" w:rsidTr="008B2D1D">
        <w:trPr>
          <w:trHeight w:val="323"/>
        </w:trPr>
        <w:tc>
          <w:tcPr>
            <w:tcW w:w="2246" w:type="dxa"/>
            <w:tcBorders>
              <w:top w:val="nil"/>
              <w:left w:val="single" w:sz="4" w:space="0" w:color="auto"/>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56%</w:t>
            </w:r>
          </w:p>
        </w:tc>
        <w:tc>
          <w:tcPr>
            <w:tcW w:w="2246" w:type="dxa"/>
            <w:tcBorders>
              <w:top w:val="nil"/>
              <w:left w:val="nil"/>
              <w:bottom w:val="single" w:sz="4" w:space="0" w:color="auto"/>
              <w:right w:val="single" w:sz="4" w:space="0" w:color="auto"/>
            </w:tcBorders>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7.3%</w:t>
            </w:r>
          </w:p>
        </w:tc>
        <w:tc>
          <w:tcPr>
            <w:tcW w:w="2246" w:type="dxa"/>
            <w:tcBorders>
              <w:top w:val="nil"/>
              <w:left w:val="nil"/>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53%</w:t>
            </w:r>
          </w:p>
        </w:tc>
        <w:tc>
          <w:tcPr>
            <w:tcW w:w="3003" w:type="dxa"/>
            <w:tcBorders>
              <w:top w:val="nil"/>
              <w:left w:val="nil"/>
              <w:bottom w:val="single" w:sz="4" w:space="0" w:color="auto"/>
              <w:right w:val="single" w:sz="4" w:space="0" w:color="auto"/>
            </w:tcBorders>
            <w:noWrap/>
            <w:vAlign w:val="bottom"/>
            <w:hideMark/>
          </w:tcPr>
          <w:p w:rsidR="00E87F96" w:rsidRPr="00C37C81" w:rsidRDefault="00E87F96" w:rsidP="00A375D8">
            <w:pPr>
              <w:bidi/>
              <w:rPr>
                <w:rFonts w:ascii="Calibri" w:hAnsi="Calibri"/>
                <w:b/>
                <w:bCs/>
                <w:color w:val="000000"/>
              </w:rPr>
            </w:pPr>
            <w:r w:rsidRPr="00C37C81">
              <w:rPr>
                <w:rFonts w:ascii="Calibri" w:hAnsi="Calibri"/>
                <w:b/>
                <w:bCs/>
                <w:color w:val="000000"/>
                <w:rtl/>
              </w:rPr>
              <w:t>الصناعات الكهربائية و الالكترونية</w:t>
            </w:r>
          </w:p>
        </w:tc>
      </w:tr>
      <w:tr w:rsidR="00E87F96" w:rsidTr="008B2D1D">
        <w:trPr>
          <w:trHeight w:val="323"/>
        </w:trPr>
        <w:tc>
          <w:tcPr>
            <w:tcW w:w="2246" w:type="dxa"/>
            <w:tcBorders>
              <w:top w:val="nil"/>
              <w:left w:val="single" w:sz="4" w:space="0" w:color="auto"/>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44%</w:t>
            </w:r>
          </w:p>
        </w:tc>
        <w:tc>
          <w:tcPr>
            <w:tcW w:w="2246" w:type="dxa"/>
            <w:tcBorders>
              <w:top w:val="nil"/>
              <w:left w:val="nil"/>
              <w:bottom w:val="single" w:sz="4" w:space="0" w:color="auto"/>
              <w:right w:val="single" w:sz="4" w:space="0" w:color="auto"/>
            </w:tcBorders>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19.0%</w:t>
            </w:r>
          </w:p>
        </w:tc>
        <w:tc>
          <w:tcPr>
            <w:tcW w:w="2246" w:type="dxa"/>
            <w:tcBorders>
              <w:top w:val="nil"/>
              <w:left w:val="nil"/>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16%</w:t>
            </w:r>
          </w:p>
        </w:tc>
        <w:tc>
          <w:tcPr>
            <w:tcW w:w="3003" w:type="dxa"/>
            <w:tcBorders>
              <w:top w:val="nil"/>
              <w:left w:val="nil"/>
              <w:bottom w:val="single" w:sz="4" w:space="0" w:color="auto"/>
              <w:right w:val="single" w:sz="4" w:space="0" w:color="auto"/>
            </w:tcBorders>
            <w:noWrap/>
            <w:vAlign w:val="bottom"/>
            <w:hideMark/>
          </w:tcPr>
          <w:p w:rsidR="00E87F96" w:rsidRPr="00C37C81" w:rsidRDefault="00E87F96" w:rsidP="00A375D8">
            <w:pPr>
              <w:bidi/>
              <w:rPr>
                <w:rFonts w:ascii="Calibri" w:hAnsi="Calibri"/>
                <w:b/>
                <w:bCs/>
                <w:color w:val="000000"/>
              </w:rPr>
            </w:pPr>
            <w:r w:rsidRPr="00C37C81">
              <w:rPr>
                <w:rFonts w:ascii="Calibri" w:hAnsi="Calibri"/>
                <w:b/>
                <w:bCs/>
                <w:color w:val="000000"/>
                <w:rtl/>
              </w:rPr>
              <w:t>الصناعات المعدنية و الميكانيكية</w:t>
            </w:r>
          </w:p>
        </w:tc>
      </w:tr>
      <w:tr w:rsidR="00E87F96" w:rsidTr="008B2D1D">
        <w:trPr>
          <w:trHeight w:val="323"/>
        </w:trPr>
        <w:tc>
          <w:tcPr>
            <w:tcW w:w="2246" w:type="dxa"/>
            <w:tcBorders>
              <w:top w:val="nil"/>
              <w:left w:val="single" w:sz="4" w:space="0" w:color="auto"/>
              <w:bottom w:val="single" w:sz="4" w:space="0" w:color="auto"/>
              <w:right w:val="single" w:sz="4" w:space="0" w:color="auto"/>
            </w:tcBorders>
            <w:noWrap/>
            <w:vAlign w:val="center"/>
            <w:hideMark/>
          </w:tcPr>
          <w:p w:rsidR="00E87F96" w:rsidRDefault="00E87F96" w:rsidP="00A375D8">
            <w:pPr>
              <w:jc w:val="center"/>
              <w:rPr>
                <w:rFonts w:ascii="Book Antiqua" w:hAnsi="Book Antiqua"/>
                <w:b/>
                <w:bCs/>
                <w:color w:val="000000"/>
                <w:sz w:val="16"/>
                <w:szCs w:val="16"/>
              </w:rPr>
            </w:pPr>
            <w:r>
              <w:rPr>
                <w:rFonts w:ascii="Book Antiqua" w:hAnsi="Book Antiqua"/>
                <w:b/>
                <w:bCs/>
                <w:color w:val="000000"/>
                <w:sz w:val="16"/>
                <w:szCs w:val="16"/>
              </w:rPr>
              <w:t>39%</w:t>
            </w:r>
          </w:p>
        </w:tc>
        <w:tc>
          <w:tcPr>
            <w:tcW w:w="2246" w:type="dxa"/>
            <w:tcBorders>
              <w:top w:val="nil"/>
              <w:left w:val="nil"/>
              <w:bottom w:val="single" w:sz="4" w:space="0" w:color="auto"/>
              <w:right w:val="single" w:sz="4" w:space="0" w:color="auto"/>
            </w:tcBorders>
            <w:vAlign w:val="center"/>
            <w:hideMark/>
          </w:tcPr>
          <w:p w:rsidR="00E87F96" w:rsidRDefault="00E87F96" w:rsidP="00A375D8">
            <w:pPr>
              <w:jc w:val="center"/>
              <w:rPr>
                <w:rFonts w:ascii="Book Antiqua" w:hAnsi="Book Antiqua"/>
                <w:b/>
                <w:bCs/>
                <w:color w:val="000000"/>
                <w:sz w:val="16"/>
                <w:szCs w:val="16"/>
              </w:rPr>
            </w:pPr>
            <w:r>
              <w:rPr>
                <w:rFonts w:ascii="Book Antiqua" w:hAnsi="Book Antiqua"/>
                <w:b/>
                <w:bCs/>
                <w:color w:val="000000"/>
                <w:sz w:val="16"/>
                <w:szCs w:val="16"/>
              </w:rPr>
              <w:t>100.0%</w:t>
            </w:r>
          </w:p>
        </w:tc>
        <w:tc>
          <w:tcPr>
            <w:tcW w:w="2246" w:type="dxa"/>
            <w:tcBorders>
              <w:top w:val="nil"/>
              <w:left w:val="nil"/>
              <w:bottom w:val="single" w:sz="4" w:space="0" w:color="auto"/>
              <w:right w:val="single" w:sz="4" w:space="0" w:color="auto"/>
            </w:tcBorders>
            <w:noWrap/>
            <w:vAlign w:val="center"/>
            <w:hideMark/>
          </w:tcPr>
          <w:p w:rsidR="00E87F96" w:rsidRDefault="00E87F96" w:rsidP="00A375D8">
            <w:pPr>
              <w:jc w:val="center"/>
              <w:rPr>
                <w:rFonts w:ascii="Book Antiqua" w:hAnsi="Book Antiqua"/>
                <w:b/>
                <w:bCs/>
                <w:color w:val="000000"/>
                <w:sz w:val="16"/>
                <w:szCs w:val="16"/>
              </w:rPr>
            </w:pPr>
            <w:r>
              <w:rPr>
                <w:rFonts w:ascii="Book Antiqua" w:hAnsi="Book Antiqua"/>
                <w:b/>
                <w:bCs/>
                <w:color w:val="000000"/>
                <w:sz w:val="16"/>
                <w:szCs w:val="16"/>
              </w:rPr>
              <w:t>21%</w:t>
            </w:r>
          </w:p>
        </w:tc>
        <w:tc>
          <w:tcPr>
            <w:tcW w:w="3003" w:type="dxa"/>
            <w:tcBorders>
              <w:top w:val="nil"/>
              <w:left w:val="nil"/>
              <w:bottom w:val="single" w:sz="4" w:space="0" w:color="auto"/>
              <w:right w:val="single" w:sz="4" w:space="0" w:color="auto"/>
            </w:tcBorders>
            <w:noWrap/>
            <w:vAlign w:val="bottom"/>
            <w:hideMark/>
          </w:tcPr>
          <w:p w:rsidR="00E87F96" w:rsidRDefault="00E87F96" w:rsidP="00A375D8">
            <w:pPr>
              <w:bidi/>
              <w:rPr>
                <w:rFonts w:ascii="Calibri" w:hAnsi="Calibri"/>
                <w:b/>
                <w:bCs/>
                <w:color w:val="000000"/>
              </w:rPr>
            </w:pPr>
            <w:r>
              <w:rPr>
                <w:rFonts w:ascii="Calibri" w:hAnsi="Calibri"/>
                <w:b/>
                <w:bCs/>
                <w:color w:val="000000"/>
                <w:rtl/>
              </w:rPr>
              <w:t>المجموع</w:t>
            </w:r>
          </w:p>
        </w:tc>
      </w:tr>
    </w:tbl>
    <w:p w:rsidR="00434D67" w:rsidRDefault="00434D67" w:rsidP="00434D67">
      <w:pPr>
        <w:bidi/>
        <w:rPr>
          <w:rFonts w:asciiTheme="minorHAnsi" w:hAnsiTheme="minorHAnsi" w:cs="Arial"/>
          <w:sz w:val="22"/>
          <w:szCs w:val="22"/>
          <w:rtl/>
          <w:lang w:eastAsia="en-US" w:bidi="ar-MA"/>
        </w:rPr>
      </w:pPr>
      <w:r>
        <w:rPr>
          <w:rFonts w:cs="Arial"/>
          <w:rtl/>
          <w:lang w:bidi="ar-MA"/>
        </w:rPr>
        <w:t>المصدر: البحث الوطني حول البنيات الاقتصادية 2015</w:t>
      </w:r>
    </w:p>
    <w:p w:rsidR="00434D67" w:rsidRDefault="00434D67" w:rsidP="00434D67">
      <w:pPr>
        <w:bidi/>
        <w:jc w:val="both"/>
        <w:rPr>
          <w:rFonts w:cs="Arabic Transparent"/>
          <w:sz w:val="28"/>
          <w:szCs w:val="28"/>
          <w:rtl/>
          <w:lang w:bidi="ar-MA"/>
        </w:rPr>
      </w:pPr>
    </w:p>
    <w:p w:rsidR="00434D67" w:rsidRPr="00CB44FD" w:rsidRDefault="00434D67" w:rsidP="00434D67">
      <w:pPr>
        <w:tabs>
          <w:tab w:val="left" w:pos="902"/>
        </w:tabs>
        <w:bidi/>
        <w:jc w:val="both"/>
        <w:rPr>
          <w:b/>
          <w:bCs/>
          <w:color w:val="993366"/>
          <w:sz w:val="32"/>
          <w:szCs w:val="32"/>
          <w:rtl/>
        </w:rPr>
      </w:pPr>
      <w:r w:rsidRPr="00CB44FD">
        <w:rPr>
          <w:rFonts w:hint="cs"/>
          <w:b/>
          <w:bCs/>
          <w:color w:val="993366"/>
          <w:sz w:val="32"/>
          <w:szCs w:val="32"/>
          <w:rtl/>
        </w:rPr>
        <w:t>الصناعات التحويلية حسب الفروع القطاعية</w:t>
      </w:r>
    </w:p>
    <w:p w:rsidR="00434D67" w:rsidRPr="00CB44FD" w:rsidRDefault="00434D67" w:rsidP="00434D67">
      <w:pPr>
        <w:tabs>
          <w:tab w:val="left" w:pos="902"/>
        </w:tabs>
        <w:bidi/>
        <w:jc w:val="both"/>
        <w:rPr>
          <w:rFonts w:cs="Arabic Transparent"/>
          <w:sz w:val="32"/>
          <w:szCs w:val="32"/>
          <w:rtl/>
        </w:rPr>
      </w:pPr>
    </w:p>
    <w:p w:rsidR="00434D67" w:rsidRPr="00CB44FD" w:rsidRDefault="00434D67" w:rsidP="00687A01">
      <w:pPr>
        <w:tabs>
          <w:tab w:val="left" w:pos="902"/>
        </w:tabs>
        <w:bidi/>
        <w:jc w:val="both"/>
        <w:rPr>
          <w:rFonts w:cs="Arabic Transparent"/>
          <w:sz w:val="32"/>
          <w:szCs w:val="32"/>
          <w:rtl/>
        </w:rPr>
      </w:pPr>
      <w:r w:rsidRPr="00CB44FD">
        <w:rPr>
          <w:rFonts w:cs="Arabic Transparent" w:hint="cs"/>
          <w:sz w:val="32"/>
          <w:szCs w:val="32"/>
          <w:rtl/>
        </w:rPr>
        <w:t xml:space="preserve">تظهر البنيات الإنتاجية حسب الفروع القطاعية </w:t>
      </w:r>
      <w:r w:rsidR="0080377B">
        <w:rPr>
          <w:rFonts w:cs="Arabic Transparent" w:hint="cs"/>
          <w:sz w:val="32"/>
          <w:szCs w:val="32"/>
          <w:rtl/>
          <w:lang w:bidi="ar-MA"/>
        </w:rPr>
        <w:t xml:space="preserve">هيمنت </w:t>
      </w:r>
      <w:r w:rsidRPr="00CB44FD">
        <w:rPr>
          <w:rFonts w:cs="Arabic Transparent" w:hint="cs"/>
          <w:sz w:val="32"/>
          <w:szCs w:val="32"/>
          <w:rtl/>
        </w:rPr>
        <w:t xml:space="preserve">ثلاثة فروع أساسية </w:t>
      </w:r>
      <w:r w:rsidR="0080377B">
        <w:rPr>
          <w:rFonts w:cs="Arabic Transparent" w:hint="cs"/>
          <w:sz w:val="32"/>
          <w:szCs w:val="32"/>
          <w:rtl/>
        </w:rPr>
        <w:t>ب</w:t>
      </w:r>
      <w:r w:rsidRPr="00CB44FD">
        <w:rPr>
          <w:rFonts w:cs="Arabic Transparent" w:hint="cs"/>
          <w:sz w:val="32"/>
          <w:szCs w:val="32"/>
          <w:rtl/>
        </w:rPr>
        <w:t>ما يقرب</w:t>
      </w:r>
      <w:r w:rsidR="00A51D00">
        <w:rPr>
          <w:rFonts w:cs="Arabic Transparent" w:hint="cs"/>
          <w:sz w:val="32"/>
          <w:szCs w:val="32"/>
          <w:rtl/>
        </w:rPr>
        <w:t xml:space="preserve"> من</w:t>
      </w:r>
      <w:r w:rsidRPr="00CB44FD">
        <w:rPr>
          <w:rFonts w:cs="Arabic Transparent" w:hint="cs"/>
          <w:sz w:val="32"/>
          <w:szCs w:val="32"/>
          <w:rtl/>
        </w:rPr>
        <w:t xml:space="preserve"> 75</w:t>
      </w:r>
      <w:r w:rsidRPr="00CB44FD">
        <w:rPr>
          <w:rFonts w:cs="Arabic Transparent"/>
          <w:sz w:val="32"/>
          <w:szCs w:val="32"/>
        </w:rPr>
        <w:t>%</w:t>
      </w:r>
      <w:r w:rsidRPr="00CB44FD">
        <w:rPr>
          <w:rFonts w:cs="Arabic Transparent" w:hint="cs"/>
          <w:sz w:val="32"/>
          <w:szCs w:val="32"/>
          <w:rtl/>
        </w:rPr>
        <w:t xml:space="preserve"> من المقاولات الصناعية المنظمة، وهي </w:t>
      </w:r>
      <w:r w:rsidRPr="00CB44FD">
        <w:rPr>
          <w:rFonts w:cs="Arabic Transparent"/>
          <w:sz w:val="32"/>
          <w:szCs w:val="32"/>
          <w:rtl/>
        </w:rPr>
        <w:t>الصناعات الكيميائية والشبه كيميائية</w:t>
      </w:r>
      <w:r w:rsidRPr="00CB44FD">
        <w:rPr>
          <w:rFonts w:cs="Arabic Transparent" w:hint="cs"/>
          <w:sz w:val="32"/>
          <w:szCs w:val="32"/>
          <w:rtl/>
        </w:rPr>
        <w:t xml:space="preserve">، </w:t>
      </w:r>
      <w:r w:rsidRPr="00CB44FD">
        <w:rPr>
          <w:rFonts w:cs="Arabic Transparent"/>
          <w:sz w:val="32"/>
          <w:szCs w:val="32"/>
          <w:rtl/>
        </w:rPr>
        <w:t>الصناعات الغذائية</w:t>
      </w:r>
      <w:r w:rsidRPr="00CB44FD">
        <w:rPr>
          <w:rFonts w:cs="Arabic Transparent" w:hint="cs"/>
          <w:sz w:val="32"/>
          <w:szCs w:val="32"/>
          <w:rtl/>
        </w:rPr>
        <w:t xml:space="preserve"> و</w:t>
      </w:r>
      <w:r w:rsidRPr="00CB44FD">
        <w:rPr>
          <w:rFonts w:cs="Arabic Transparent"/>
          <w:sz w:val="32"/>
          <w:szCs w:val="32"/>
          <w:rtl/>
        </w:rPr>
        <w:t xml:space="preserve"> الصناعات المعدنية</w:t>
      </w:r>
      <w:r w:rsidRPr="00CB44FD">
        <w:rPr>
          <w:rFonts w:cs="Arabic Transparent" w:hint="cs"/>
          <w:sz w:val="32"/>
          <w:szCs w:val="32"/>
          <w:rtl/>
        </w:rPr>
        <w:t xml:space="preserve"> والميكانيكية. وتشكل </w:t>
      </w:r>
      <w:r w:rsidRPr="00CB44FD">
        <w:rPr>
          <w:rFonts w:cs="Arabic Transparent"/>
          <w:sz w:val="32"/>
          <w:szCs w:val="32"/>
          <w:rtl/>
        </w:rPr>
        <w:t>الصناعات الكيميائية والشبه كيميائية</w:t>
      </w:r>
      <w:r w:rsidRPr="00CB44FD">
        <w:rPr>
          <w:rFonts w:cs="Arabic Transparent" w:hint="cs"/>
          <w:sz w:val="32"/>
          <w:szCs w:val="32"/>
          <w:rtl/>
        </w:rPr>
        <w:t xml:space="preserve"> 29</w:t>
      </w:r>
      <w:r w:rsidRPr="00CB44FD">
        <w:rPr>
          <w:rFonts w:cs="Arabic Transparent"/>
          <w:sz w:val="32"/>
          <w:szCs w:val="32"/>
        </w:rPr>
        <w:t>%</w:t>
      </w:r>
      <w:r w:rsidRPr="00CB44FD">
        <w:rPr>
          <w:rFonts w:cs="Arabic Transparent" w:hint="cs"/>
          <w:sz w:val="32"/>
          <w:szCs w:val="32"/>
          <w:rtl/>
        </w:rPr>
        <w:t xml:space="preserve"> من مجموع المقاولات الصناعية، وقد حققت</w:t>
      </w:r>
      <w:r w:rsidR="0080377B">
        <w:rPr>
          <w:rFonts w:cs="Arabic Transparent" w:hint="cs"/>
          <w:sz w:val="32"/>
          <w:szCs w:val="32"/>
          <w:rtl/>
        </w:rPr>
        <w:t xml:space="preserve"> </w:t>
      </w:r>
      <w:r w:rsidRPr="00CB44FD">
        <w:rPr>
          <w:rFonts w:cs="Arabic Transparent" w:hint="cs"/>
          <w:sz w:val="32"/>
          <w:szCs w:val="32"/>
          <w:rtl/>
        </w:rPr>
        <w:t>40</w:t>
      </w:r>
      <w:r w:rsidRPr="00CB44FD">
        <w:rPr>
          <w:rFonts w:cs="Arabic Transparent"/>
          <w:sz w:val="32"/>
          <w:szCs w:val="32"/>
        </w:rPr>
        <w:t>%</w:t>
      </w:r>
      <w:r w:rsidRPr="00CB44FD">
        <w:rPr>
          <w:rFonts w:cs="Arabic Transparent" w:hint="cs"/>
          <w:sz w:val="32"/>
          <w:szCs w:val="32"/>
          <w:rtl/>
        </w:rPr>
        <w:t xml:space="preserve"> من النتائج الخاصة برقم المعاملات و </w:t>
      </w:r>
      <w:r w:rsidR="0018127C" w:rsidRPr="00CB44FD">
        <w:rPr>
          <w:rFonts w:cs="Arabic Transparent" w:hint="cs"/>
          <w:sz w:val="32"/>
          <w:szCs w:val="32"/>
          <w:rtl/>
        </w:rPr>
        <w:t>الإنتاج</w:t>
      </w:r>
      <w:r w:rsidRPr="00CB44FD">
        <w:rPr>
          <w:rFonts w:cs="Arabic Transparent" w:hint="cs"/>
          <w:sz w:val="32"/>
          <w:szCs w:val="32"/>
          <w:rtl/>
        </w:rPr>
        <w:t xml:space="preserve"> والقيمة المضافة والصادرات. ك</w:t>
      </w:r>
      <w:r w:rsidR="00687A01">
        <w:rPr>
          <w:rFonts w:cs="Arabic Transparent" w:hint="cs"/>
          <w:sz w:val="32"/>
          <w:szCs w:val="32"/>
          <w:rtl/>
        </w:rPr>
        <w:t>ما</w:t>
      </w:r>
      <w:r w:rsidRPr="00CB44FD">
        <w:rPr>
          <w:rFonts w:cs="Arabic Transparent" w:hint="cs"/>
          <w:sz w:val="32"/>
          <w:szCs w:val="32"/>
          <w:rtl/>
        </w:rPr>
        <w:t xml:space="preserve"> تعتبر من الفروع </w:t>
      </w:r>
      <w:r w:rsidR="0018127C" w:rsidRPr="00CB44FD">
        <w:rPr>
          <w:rFonts w:cs="Arabic Transparent" w:hint="cs"/>
          <w:sz w:val="32"/>
          <w:szCs w:val="32"/>
          <w:rtl/>
        </w:rPr>
        <w:t>الأكثر</w:t>
      </w:r>
      <w:r w:rsidRPr="00CB44FD">
        <w:rPr>
          <w:rFonts w:cs="Arabic Transparent" w:hint="cs"/>
          <w:sz w:val="32"/>
          <w:szCs w:val="32"/>
          <w:rtl/>
        </w:rPr>
        <w:t xml:space="preserve"> استثمارا ب 76</w:t>
      </w:r>
      <w:r w:rsidRPr="00CB44FD">
        <w:rPr>
          <w:rFonts w:cs="Arabic Transparent"/>
          <w:sz w:val="32"/>
          <w:szCs w:val="32"/>
        </w:rPr>
        <w:t>%</w:t>
      </w:r>
      <w:r w:rsidRPr="00CB44FD">
        <w:rPr>
          <w:rFonts w:cs="Arabic Transparent" w:hint="cs"/>
          <w:sz w:val="32"/>
          <w:szCs w:val="32"/>
          <w:rtl/>
        </w:rPr>
        <w:t xml:space="preserve"> من الاستثمار </w:t>
      </w:r>
      <w:r w:rsidR="0018127C" w:rsidRPr="00CB44FD">
        <w:rPr>
          <w:rFonts w:cs="Arabic Transparent" w:hint="cs"/>
          <w:sz w:val="32"/>
          <w:szCs w:val="32"/>
          <w:rtl/>
        </w:rPr>
        <w:t>الإجمالي</w:t>
      </w:r>
      <w:r w:rsidRPr="00CB44FD">
        <w:rPr>
          <w:rFonts w:cs="Arabic Transparent" w:hint="cs"/>
          <w:sz w:val="32"/>
          <w:szCs w:val="32"/>
          <w:rtl/>
        </w:rPr>
        <w:t xml:space="preserve"> للصناعات التحويلية</w:t>
      </w:r>
      <w:r w:rsidR="0080377B">
        <w:rPr>
          <w:rFonts w:cs="Arabic Transparent" w:hint="cs"/>
          <w:sz w:val="32"/>
          <w:szCs w:val="32"/>
          <w:rtl/>
        </w:rPr>
        <w:t>،</w:t>
      </w:r>
      <w:r w:rsidRPr="00CB44FD">
        <w:rPr>
          <w:rFonts w:cs="Arabic Transparent" w:hint="cs"/>
          <w:sz w:val="32"/>
          <w:szCs w:val="32"/>
          <w:rtl/>
        </w:rPr>
        <w:t xml:space="preserve"> زيادة على تحقيق أعلى نسبة نمو في التشغيل (</w:t>
      </w:r>
      <w:r w:rsidRPr="00CB44FD">
        <w:rPr>
          <w:rFonts w:cs="Arabic Transparent"/>
          <w:sz w:val="32"/>
          <w:szCs w:val="32"/>
        </w:rPr>
        <w:t>12,4%</w:t>
      </w:r>
      <w:r w:rsidRPr="00CB44FD">
        <w:rPr>
          <w:rFonts w:cs="Arabic Transparent" w:hint="cs"/>
          <w:sz w:val="32"/>
          <w:szCs w:val="32"/>
          <w:rtl/>
        </w:rPr>
        <w:t xml:space="preserve"> مند 2006)، بتشغيلها ما يناهز 109,3 ألف مستأجر دائم. كما </w:t>
      </w:r>
      <w:r w:rsidR="003E0034">
        <w:rPr>
          <w:rFonts w:cs="Arabic Transparent" w:hint="cs"/>
          <w:sz w:val="32"/>
          <w:szCs w:val="32"/>
          <w:rtl/>
        </w:rPr>
        <w:t>تميز</w:t>
      </w:r>
      <w:r w:rsidRPr="00CB44FD">
        <w:rPr>
          <w:rFonts w:cs="Arabic Transparent" w:hint="cs"/>
          <w:sz w:val="32"/>
          <w:szCs w:val="32"/>
          <w:rtl/>
        </w:rPr>
        <w:t xml:space="preserve">ت </w:t>
      </w:r>
      <w:r w:rsidR="003E0034">
        <w:rPr>
          <w:rFonts w:cs="Arabic Transparent" w:hint="cs"/>
          <w:sz w:val="32"/>
          <w:szCs w:val="32"/>
          <w:rtl/>
        </w:rPr>
        <w:t>ب</w:t>
      </w:r>
      <w:r w:rsidRPr="00CB44FD">
        <w:rPr>
          <w:rFonts w:cs="Arabic Transparent" w:hint="cs"/>
          <w:sz w:val="32"/>
          <w:szCs w:val="32"/>
          <w:rtl/>
        </w:rPr>
        <w:t>أعلى نسبة في الإنتاجية</w:t>
      </w:r>
      <w:r w:rsidR="003E0034">
        <w:rPr>
          <w:rFonts w:cs="Arabic Transparent" w:hint="cs"/>
          <w:sz w:val="32"/>
          <w:szCs w:val="32"/>
          <w:rtl/>
        </w:rPr>
        <w:t>،</w:t>
      </w:r>
      <w:r w:rsidRPr="00CB44FD">
        <w:rPr>
          <w:rFonts w:cs="Arabic Transparent" w:hint="cs"/>
          <w:sz w:val="32"/>
          <w:szCs w:val="32"/>
          <w:rtl/>
        </w:rPr>
        <w:t xml:space="preserve"> حيت حقق كل مشغل 335000 درهم في المتوسط، عوض 150000 درهم على صعيد مجموع القطاع.</w:t>
      </w:r>
    </w:p>
    <w:p w:rsidR="00434D67" w:rsidRPr="00CB44FD" w:rsidRDefault="00434D67" w:rsidP="00434D67">
      <w:pPr>
        <w:tabs>
          <w:tab w:val="left" w:pos="902"/>
        </w:tabs>
        <w:bidi/>
        <w:jc w:val="both"/>
        <w:rPr>
          <w:rFonts w:cs="Arabic Transparent"/>
          <w:sz w:val="32"/>
          <w:szCs w:val="32"/>
          <w:rtl/>
        </w:rPr>
      </w:pPr>
    </w:p>
    <w:p w:rsidR="00434D67" w:rsidRPr="00CB44FD" w:rsidRDefault="00434D67" w:rsidP="003A76C2">
      <w:pPr>
        <w:tabs>
          <w:tab w:val="left" w:pos="902"/>
        </w:tabs>
        <w:bidi/>
        <w:jc w:val="both"/>
        <w:rPr>
          <w:rFonts w:cs="Arabic Transparent"/>
          <w:sz w:val="32"/>
          <w:szCs w:val="32"/>
          <w:rtl/>
        </w:rPr>
      </w:pPr>
      <w:r w:rsidRPr="00CB44FD">
        <w:rPr>
          <w:rFonts w:cs="Arabic Transparent" w:hint="cs"/>
          <w:sz w:val="32"/>
          <w:szCs w:val="32"/>
          <w:rtl/>
        </w:rPr>
        <w:t xml:space="preserve">وتحتل الصناعات الغذائية الرتبة الثانية من حيث </w:t>
      </w:r>
      <w:r w:rsidR="0018127C" w:rsidRPr="00CB44FD">
        <w:rPr>
          <w:rFonts w:cs="Arabic Transparent" w:hint="cs"/>
          <w:sz w:val="32"/>
          <w:szCs w:val="32"/>
          <w:rtl/>
        </w:rPr>
        <w:t>الأهمية</w:t>
      </w:r>
      <w:r w:rsidR="00444E3C">
        <w:rPr>
          <w:rFonts w:cs="Arabic Transparent" w:hint="cs"/>
          <w:sz w:val="32"/>
          <w:szCs w:val="32"/>
          <w:rtl/>
        </w:rPr>
        <w:t xml:space="preserve"> في العدد</w:t>
      </w:r>
      <w:r w:rsidRPr="00CB44FD">
        <w:rPr>
          <w:rFonts w:cs="Arabic Transparent" w:hint="cs"/>
          <w:sz w:val="32"/>
          <w:szCs w:val="32"/>
          <w:rtl/>
        </w:rPr>
        <w:t xml:space="preserve"> ب 25</w:t>
      </w:r>
      <w:r w:rsidRPr="00CB44FD">
        <w:rPr>
          <w:rFonts w:cs="Arabic Transparent"/>
          <w:sz w:val="32"/>
          <w:szCs w:val="32"/>
        </w:rPr>
        <w:t>%</w:t>
      </w:r>
      <w:r w:rsidRPr="00CB44FD">
        <w:rPr>
          <w:rFonts w:cs="Arabic Transparent" w:hint="cs"/>
          <w:sz w:val="32"/>
          <w:szCs w:val="32"/>
          <w:rtl/>
        </w:rPr>
        <w:t xml:space="preserve"> من مجموع المقاولات. حيث </w:t>
      </w:r>
      <w:r w:rsidR="00A51D00">
        <w:rPr>
          <w:rFonts w:cs="Arabic Transparent" w:hint="cs"/>
          <w:sz w:val="32"/>
          <w:szCs w:val="32"/>
          <w:rtl/>
        </w:rPr>
        <w:t>ساهمت</w:t>
      </w:r>
      <w:r w:rsidRPr="00CB44FD">
        <w:rPr>
          <w:rFonts w:cs="Arabic Transparent" w:hint="cs"/>
          <w:sz w:val="32"/>
          <w:szCs w:val="32"/>
          <w:rtl/>
        </w:rPr>
        <w:t xml:space="preserve"> </w:t>
      </w:r>
      <w:r w:rsidR="00A51D00">
        <w:rPr>
          <w:rFonts w:cs="Arabic Transparent" w:hint="cs"/>
          <w:sz w:val="32"/>
          <w:szCs w:val="32"/>
          <w:rtl/>
        </w:rPr>
        <w:t>ب</w:t>
      </w:r>
      <w:r w:rsidRPr="00CB44FD">
        <w:rPr>
          <w:rFonts w:cs="Arabic Transparent" w:hint="cs"/>
          <w:sz w:val="32"/>
          <w:szCs w:val="32"/>
          <w:rtl/>
        </w:rPr>
        <w:t xml:space="preserve">ما يقرب ربع نتائج القطاع فيما يخص رقم المعاملات والإنتاج والقيمة </w:t>
      </w:r>
      <w:r w:rsidRPr="00CB44FD">
        <w:rPr>
          <w:rFonts w:cs="Arabic Transparent" w:hint="cs"/>
          <w:sz w:val="32"/>
          <w:szCs w:val="32"/>
          <w:rtl/>
        </w:rPr>
        <w:lastRenderedPageBreak/>
        <w:t>المضافة</w:t>
      </w:r>
      <w:r w:rsidR="00A51D00">
        <w:rPr>
          <w:rFonts w:cs="Arabic Transparent" w:hint="cs"/>
          <w:sz w:val="32"/>
          <w:szCs w:val="32"/>
          <w:rtl/>
        </w:rPr>
        <w:t>،</w:t>
      </w:r>
      <w:r w:rsidRPr="00CB44FD">
        <w:rPr>
          <w:rFonts w:cs="Arabic Transparent" w:hint="cs"/>
          <w:sz w:val="32"/>
          <w:szCs w:val="32"/>
          <w:rtl/>
        </w:rPr>
        <w:t xml:space="preserve"> </w:t>
      </w:r>
      <w:r w:rsidR="003A76C2">
        <w:rPr>
          <w:rFonts w:cs="Arabic Transparent" w:hint="cs"/>
          <w:sz w:val="32"/>
          <w:szCs w:val="32"/>
          <w:rtl/>
        </w:rPr>
        <w:t>و</w:t>
      </w:r>
      <w:r w:rsidRPr="00CB44FD">
        <w:rPr>
          <w:rFonts w:cs="Arabic Transparent" w:hint="cs"/>
          <w:sz w:val="32"/>
          <w:szCs w:val="32"/>
          <w:rtl/>
        </w:rPr>
        <w:t>تشغل</w:t>
      </w:r>
      <w:r w:rsidR="003A76C2">
        <w:rPr>
          <w:rFonts w:cs="Arabic Transparent" w:hint="cs"/>
          <w:sz w:val="32"/>
          <w:szCs w:val="32"/>
          <w:rtl/>
        </w:rPr>
        <w:t>ت</w:t>
      </w:r>
      <w:r w:rsidRPr="00CB44FD">
        <w:rPr>
          <w:rFonts w:cs="Arabic Transparent" w:hint="cs"/>
          <w:sz w:val="32"/>
          <w:szCs w:val="32"/>
          <w:rtl/>
        </w:rPr>
        <w:t xml:space="preserve"> نحو 137 ألف مستأجر، بزيادة سنوية متوسطة قدرها 8,3</w:t>
      </w:r>
      <w:r w:rsidRPr="00CB44FD">
        <w:rPr>
          <w:rFonts w:cs="Arabic Transparent"/>
          <w:sz w:val="32"/>
          <w:szCs w:val="32"/>
        </w:rPr>
        <w:t>%</w:t>
      </w:r>
      <w:r w:rsidRPr="00CB44FD">
        <w:rPr>
          <w:rFonts w:cs="Arabic Transparent" w:hint="cs"/>
          <w:sz w:val="32"/>
          <w:szCs w:val="32"/>
          <w:rtl/>
        </w:rPr>
        <w:t>. في المقابل، تعتبر مساهم</w:t>
      </w:r>
      <w:r w:rsidR="00A51D00">
        <w:rPr>
          <w:rFonts w:cs="Arabic Transparent" w:hint="cs"/>
          <w:sz w:val="32"/>
          <w:szCs w:val="32"/>
          <w:rtl/>
        </w:rPr>
        <w:t>ة هذه الصناعات</w:t>
      </w:r>
      <w:r w:rsidRPr="00CB44FD">
        <w:rPr>
          <w:rFonts w:cs="Arabic Transparent" w:hint="cs"/>
          <w:sz w:val="32"/>
          <w:szCs w:val="32"/>
          <w:rtl/>
        </w:rPr>
        <w:t xml:space="preserve"> أقل أهمية في الاستثمار</w:t>
      </w:r>
      <w:r w:rsidRPr="00CB44FD">
        <w:rPr>
          <w:rFonts w:cs="Arabic Transparent"/>
          <w:sz w:val="32"/>
          <w:szCs w:val="32"/>
        </w:rPr>
        <w:t xml:space="preserve">(%14) </w:t>
      </w:r>
      <w:r w:rsidRPr="00CB44FD">
        <w:rPr>
          <w:rFonts w:cs="Arabic Transparent" w:hint="cs"/>
          <w:sz w:val="32"/>
          <w:szCs w:val="32"/>
          <w:rtl/>
        </w:rPr>
        <w:t xml:space="preserve"> والتصدير </w:t>
      </w:r>
      <w:r w:rsidRPr="00CB44FD">
        <w:rPr>
          <w:rFonts w:cs="Arabic Transparent"/>
          <w:sz w:val="32"/>
          <w:szCs w:val="32"/>
        </w:rPr>
        <w:t>(%15)</w:t>
      </w:r>
      <w:r w:rsidRPr="00CB44FD">
        <w:rPr>
          <w:rFonts w:cs="Arabic Transparent" w:hint="cs"/>
          <w:sz w:val="32"/>
          <w:szCs w:val="32"/>
          <w:rtl/>
        </w:rPr>
        <w:t xml:space="preserve">. </w:t>
      </w:r>
    </w:p>
    <w:p w:rsidR="00434D67" w:rsidRPr="00CB44FD" w:rsidRDefault="00434D67" w:rsidP="00434D67">
      <w:pPr>
        <w:tabs>
          <w:tab w:val="left" w:pos="902"/>
        </w:tabs>
        <w:bidi/>
        <w:jc w:val="both"/>
        <w:rPr>
          <w:rFonts w:cs="Arabic Transparent"/>
          <w:sz w:val="32"/>
          <w:szCs w:val="32"/>
          <w:rtl/>
        </w:rPr>
      </w:pPr>
    </w:p>
    <w:p w:rsidR="00434D67" w:rsidRPr="00CB44FD" w:rsidRDefault="00434D67" w:rsidP="00434D67">
      <w:pPr>
        <w:tabs>
          <w:tab w:val="left" w:pos="902"/>
        </w:tabs>
        <w:bidi/>
        <w:jc w:val="both"/>
        <w:rPr>
          <w:rFonts w:cs="Arabic Transparent"/>
          <w:sz w:val="32"/>
          <w:szCs w:val="32"/>
          <w:rtl/>
        </w:rPr>
      </w:pPr>
      <w:r w:rsidRPr="00CB44FD">
        <w:rPr>
          <w:rFonts w:cs="Arabic Transparent" w:hint="cs"/>
          <w:sz w:val="32"/>
          <w:szCs w:val="32"/>
          <w:rtl/>
        </w:rPr>
        <w:t xml:space="preserve">من جهتها، ساهمت </w:t>
      </w:r>
      <w:r w:rsidRPr="00CB44FD">
        <w:rPr>
          <w:rFonts w:cs="Arabic Transparent"/>
          <w:sz w:val="32"/>
          <w:szCs w:val="32"/>
          <w:rtl/>
        </w:rPr>
        <w:t>الصناعات الكهربائية و الالكترونية</w:t>
      </w:r>
      <w:r w:rsidRPr="00CB44FD">
        <w:rPr>
          <w:rFonts w:cs="Arabic Transparent" w:hint="cs"/>
          <w:sz w:val="32"/>
          <w:szCs w:val="32"/>
          <w:rtl/>
        </w:rPr>
        <w:t xml:space="preserve"> بما يقرب 20</w:t>
      </w:r>
      <w:r w:rsidRPr="00CB44FD">
        <w:rPr>
          <w:rFonts w:cs="Arabic Transparent"/>
          <w:sz w:val="32"/>
          <w:szCs w:val="32"/>
        </w:rPr>
        <w:t>%</w:t>
      </w:r>
      <w:r w:rsidRPr="00CB44FD">
        <w:rPr>
          <w:rFonts w:cs="Arabic Transparent" w:hint="cs"/>
          <w:sz w:val="32"/>
          <w:szCs w:val="32"/>
          <w:rtl/>
        </w:rPr>
        <w:t xml:space="preserve"> من مجموع  الإنتاج الصناعي، عوض 13</w:t>
      </w:r>
      <w:r w:rsidRPr="00CB44FD">
        <w:rPr>
          <w:rFonts w:cs="Arabic Transparent"/>
          <w:sz w:val="32"/>
          <w:szCs w:val="32"/>
        </w:rPr>
        <w:t>%</w:t>
      </w:r>
      <w:r w:rsidRPr="00CB44FD">
        <w:rPr>
          <w:rFonts w:cs="Arabic Transparent" w:hint="cs"/>
          <w:sz w:val="32"/>
          <w:szCs w:val="32"/>
          <w:rtl/>
        </w:rPr>
        <w:t xml:space="preserve"> سنة 2006. كما قامت بتصدير ما يناهز الربع من رقم معاملاتها وتشغيل 136 ألف مستأجر.</w:t>
      </w:r>
    </w:p>
    <w:p w:rsidR="001F1B56" w:rsidRDefault="001F1B56" w:rsidP="003315A1">
      <w:pPr>
        <w:tabs>
          <w:tab w:val="left" w:pos="902"/>
        </w:tabs>
        <w:bidi/>
        <w:jc w:val="both"/>
        <w:rPr>
          <w:rFonts w:cs="Arabic Transparent"/>
          <w:sz w:val="32"/>
          <w:szCs w:val="32"/>
          <w:rtl/>
        </w:rPr>
      </w:pPr>
    </w:p>
    <w:p w:rsidR="00434D67" w:rsidRPr="00CB44FD" w:rsidRDefault="00434D67" w:rsidP="00A51D00">
      <w:pPr>
        <w:tabs>
          <w:tab w:val="left" w:pos="902"/>
        </w:tabs>
        <w:bidi/>
        <w:jc w:val="both"/>
        <w:rPr>
          <w:rFonts w:cs="Arabic Transparent"/>
          <w:sz w:val="32"/>
          <w:szCs w:val="32"/>
          <w:rtl/>
        </w:rPr>
      </w:pPr>
      <w:r w:rsidRPr="00CB44FD">
        <w:rPr>
          <w:rFonts w:cs="Arabic Transparent" w:hint="cs"/>
          <w:sz w:val="32"/>
          <w:szCs w:val="32"/>
          <w:rtl/>
        </w:rPr>
        <w:t>أما صناعات النسيج والجلد، فقد حققت 7</w:t>
      </w:r>
      <w:r w:rsidRPr="00CB44FD">
        <w:rPr>
          <w:rFonts w:cs="Arabic Transparent"/>
          <w:sz w:val="32"/>
          <w:szCs w:val="32"/>
        </w:rPr>
        <w:t>%</w:t>
      </w:r>
      <w:r w:rsidRPr="00CB44FD">
        <w:rPr>
          <w:rFonts w:cs="Arabic Transparent" w:hint="cs"/>
          <w:sz w:val="32"/>
          <w:szCs w:val="32"/>
          <w:rtl/>
        </w:rPr>
        <w:t xml:space="preserve"> من رقم المعاملات بتشغيل 30</w:t>
      </w:r>
      <w:r w:rsidRPr="00CB44FD">
        <w:rPr>
          <w:rFonts w:cs="Arabic Transparent"/>
          <w:sz w:val="32"/>
          <w:szCs w:val="32"/>
        </w:rPr>
        <w:t>%</w:t>
      </w:r>
      <w:r w:rsidRPr="00CB44FD">
        <w:rPr>
          <w:rFonts w:cs="Arabic Transparent" w:hint="cs"/>
          <w:sz w:val="32"/>
          <w:szCs w:val="32"/>
          <w:rtl/>
        </w:rPr>
        <w:t xml:space="preserve"> من اليد العاملة بالقطاع</w:t>
      </w:r>
      <w:r w:rsidR="00A51D00">
        <w:rPr>
          <w:rFonts w:cs="Arabic Transparent" w:hint="cs"/>
          <w:sz w:val="32"/>
          <w:szCs w:val="32"/>
          <w:rtl/>
        </w:rPr>
        <w:t>.</w:t>
      </w:r>
      <w:r w:rsidRPr="00CB44FD">
        <w:rPr>
          <w:rFonts w:cs="Arabic Transparent" w:hint="cs"/>
          <w:sz w:val="32"/>
          <w:szCs w:val="32"/>
          <w:rtl/>
        </w:rPr>
        <w:t xml:space="preserve"> </w:t>
      </w:r>
      <w:r w:rsidR="00A51D00">
        <w:rPr>
          <w:rFonts w:cs="Arabic Transparent" w:hint="cs"/>
          <w:sz w:val="32"/>
          <w:szCs w:val="32"/>
          <w:rtl/>
        </w:rPr>
        <w:t>كما</w:t>
      </w:r>
      <w:r w:rsidRPr="00CB44FD">
        <w:rPr>
          <w:rFonts w:cs="Arabic Transparent" w:hint="cs"/>
          <w:sz w:val="32"/>
          <w:szCs w:val="32"/>
          <w:rtl/>
        </w:rPr>
        <w:t xml:space="preserve"> </w:t>
      </w:r>
      <w:r w:rsidR="00A51D00">
        <w:rPr>
          <w:rFonts w:cs="Arabic Transparent" w:hint="cs"/>
          <w:sz w:val="32"/>
          <w:szCs w:val="32"/>
          <w:rtl/>
        </w:rPr>
        <w:t>تمكن</w:t>
      </w:r>
      <w:r w:rsidRPr="00CB44FD">
        <w:rPr>
          <w:rFonts w:cs="Arabic Transparent" w:hint="cs"/>
          <w:sz w:val="32"/>
          <w:szCs w:val="32"/>
          <w:rtl/>
        </w:rPr>
        <w:t>ت حوالي 40</w:t>
      </w:r>
      <w:r w:rsidRPr="00CB44FD">
        <w:rPr>
          <w:rFonts w:cs="Arabic Transparent"/>
          <w:sz w:val="32"/>
          <w:szCs w:val="32"/>
        </w:rPr>
        <w:t>%</w:t>
      </w:r>
      <w:r w:rsidRPr="00CB44FD">
        <w:rPr>
          <w:rFonts w:cs="Arabic Transparent" w:hint="cs"/>
          <w:sz w:val="32"/>
          <w:szCs w:val="32"/>
          <w:rtl/>
        </w:rPr>
        <w:t xml:space="preserve"> من المقاولات بتصدير جزء من إنتاجها، فيما تراجعت مساهمتها في القطاع من 13</w:t>
      </w:r>
      <w:r w:rsidRPr="00CB44FD">
        <w:rPr>
          <w:rFonts w:cs="Arabic Transparent"/>
          <w:sz w:val="32"/>
          <w:szCs w:val="32"/>
        </w:rPr>
        <w:t>%</w:t>
      </w:r>
      <w:r w:rsidRPr="00CB44FD">
        <w:rPr>
          <w:rFonts w:cs="Arabic Transparent" w:hint="cs"/>
          <w:sz w:val="32"/>
          <w:szCs w:val="32"/>
          <w:rtl/>
        </w:rPr>
        <w:t xml:space="preserve"> خلال 2006 الى 7</w:t>
      </w:r>
      <w:r w:rsidRPr="00CB44FD">
        <w:rPr>
          <w:rFonts w:cs="Arabic Transparent"/>
          <w:sz w:val="32"/>
          <w:szCs w:val="32"/>
        </w:rPr>
        <w:t>%</w:t>
      </w:r>
      <w:r w:rsidRPr="00CB44FD">
        <w:rPr>
          <w:rFonts w:cs="Arabic Transparent" w:hint="cs"/>
          <w:sz w:val="32"/>
          <w:szCs w:val="32"/>
          <w:rtl/>
        </w:rPr>
        <w:t xml:space="preserve"> في 2014</w:t>
      </w:r>
      <w:r w:rsidR="00A51D00">
        <w:rPr>
          <w:rFonts w:cs="Arabic Transparent" w:hint="cs"/>
          <w:sz w:val="32"/>
          <w:szCs w:val="32"/>
          <w:rtl/>
        </w:rPr>
        <w:t>،</w:t>
      </w:r>
      <w:r w:rsidRPr="00CB44FD">
        <w:rPr>
          <w:rFonts w:cs="Arabic Transparent" w:hint="cs"/>
          <w:sz w:val="32"/>
          <w:szCs w:val="32"/>
          <w:rtl/>
        </w:rPr>
        <w:t xml:space="preserve"> </w:t>
      </w:r>
      <w:r w:rsidR="003315A1">
        <w:rPr>
          <w:rFonts w:cs="Arabic Transparent" w:hint="cs"/>
          <w:sz w:val="32"/>
          <w:szCs w:val="32"/>
          <w:rtl/>
        </w:rPr>
        <w:t xml:space="preserve">كما </w:t>
      </w:r>
      <w:r w:rsidRPr="00CB44FD">
        <w:rPr>
          <w:rFonts w:cs="Arabic Transparent" w:hint="cs"/>
          <w:sz w:val="32"/>
          <w:szCs w:val="32"/>
          <w:rtl/>
        </w:rPr>
        <w:t>انتقلت مساهمتها في التشغيل من 46</w:t>
      </w:r>
      <w:r w:rsidRPr="00CB44FD">
        <w:rPr>
          <w:rFonts w:cs="Arabic Transparent"/>
          <w:sz w:val="32"/>
          <w:szCs w:val="32"/>
        </w:rPr>
        <w:t>%</w:t>
      </w:r>
      <w:r w:rsidRPr="00CB44FD">
        <w:rPr>
          <w:rFonts w:cs="Arabic Transparent" w:hint="cs"/>
          <w:sz w:val="32"/>
          <w:szCs w:val="32"/>
          <w:rtl/>
        </w:rPr>
        <w:t xml:space="preserve"> الى 28</w:t>
      </w:r>
      <w:r w:rsidRPr="00CB44FD">
        <w:rPr>
          <w:rFonts w:cs="Arabic Transparent"/>
          <w:sz w:val="32"/>
          <w:szCs w:val="32"/>
        </w:rPr>
        <w:t>%</w:t>
      </w:r>
      <w:r w:rsidRPr="00CB44FD">
        <w:rPr>
          <w:rFonts w:cs="Arabic Transparent" w:hint="cs"/>
          <w:sz w:val="32"/>
          <w:szCs w:val="32"/>
          <w:rtl/>
        </w:rPr>
        <w:t xml:space="preserve">، خلال نفس الفترة. </w:t>
      </w:r>
    </w:p>
    <w:p w:rsidR="00434D67" w:rsidRPr="00CB44FD" w:rsidRDefault="00434D67" w:rsidP="00434D67">
      <w:pPr>
        <w:tabs>
          <w:tab w:val="left" w:pos="902"/>
        </w:tabs>
        <w:bidi/>
        <w:jc w:val="both"/>
        <w:rPr>
          <w:rFonts w:cs="Arabic Transparent"/>
          <w:sz w:val="32"/>
          <w:szCs w:val="32"/>
          <w:rtl/>
        </w:rPr>
      </w:pPr>
    </w:p>
    <w:p w:rsidR="00434D67" w:rsidRPr="00CB44FD" w:rsidRDefault="00434D67" w:rsidP="003315A1">
      <w:pPr>
        <w:tabs>
          <w:tab w:val="left" w:pos="902"/>
        </w:tabs>
        <w:bidi/>
        <w:jc w:val="both"/>
        <w:rPr>
          <w:rFonts w:cs="Arabic Transparent"/>
          <w:sz w:val="32"/>
          <w:szCs w:val="32"/>
        </w:rPr>
      </w:pPr>
      <w:r w:rsidRPr="00CB44FD">
        <w:rPr>
          <w:rFonts w:cs="Arabic Transparent" w:hint="cs"/>
          <w:sz w:val="32"/>
          <w:szCs w:val="32"/>
          <w:rtl/>
        </w:rPr>
        <w:t>وب</w:t>
      </w:r>
      <w:r w:rsidR="003315A1">
        <w:rPr>
          <w:rFonts w:cs="Arabic Transparent" w:hint="cs"/>
          <w:sz w:val="32"/>
          <w:szCs w:val="32"/>
          <w:rtl/>
        </w:rPr>
        <w:t xml:space="preserve">دورها، حققت </w:t>
      </w:r>
      <w:r w:rsidR="003315A1" w:rsidRPr="00CB44FD">
        <w:rPr>
          <w:rFonts w:cs="Arabic Transparent" w:hint="cs"/>
          <w:sz w:val="32"/>
          <w:szCs w:val="32"/>
          <w:rtl/>
        </w:rPr>
        <w:t xml:space="preserve">الصناعات الكهربائية والالكترونية </w:t>
      </w:r>
      <w:r w:rsidRPr="00CB44FD">
        <w:rPr>
          <w:rFonts w:cs="Arabic Transparent" w:hint="cs"/>
          <w:sz w:val="32"/>
          <w:szCs w:val="32"/>
          <w:rtl/>
        </w:rPr>
        <w:t>نسبة تصدير</w:t>
      </w:r>
      <w:r w:rsidR="003315A1">
        <w:rPr>
          <w:rFonts w:cs="Arabic Transparent" w:hint="cs"/>
          <w:sz w:val="32"/>
          <w:szCs w:val="32"/>
          <w:rtl/>
        </w:rPr>
        <w:t xml:space="preserve"> قدرها</w:t>
      </w:r>
      <w:r w:rsidRPr="00CB44FD">
        <w:rPr>
          <w:rFonts w:cs="Arabic Transparent" w:hint="cs"/>
          <w:sz w:val="32"/>
          <w:szCs w:val="32"/>
          <w:rtl/>
        </w:rPr>
        <w:t xml:space="preserve"> 47</w:t>
      </w:r>
      <w:r w:rsidRPr="00CB44FD">
        <w:rPr>
          <w:rFonts w:cs="Arabic Transparent"/>
          <w:sz w:val="32"/>
          <w:szCs w:val="32"/>
        </w:rPr>
        <w:t>%</w:t>
      </w:r>
      <w:r w:rsidR="00B01981">
        <w:rPr>
          <w:rFonts w:cs="Arabic Transparent" w:hint="cs"/>
          <w:sz w:val="32"/>
          <w:szCs w:val="32"/>
          <w:rtl/>
        </w:rPr>
        <w:t>،</w:t>
      </w:r>
      <w:r w:rsidRPr="00CB44FD">
        <w:rPr>
          <w:rFonts w:cs="Arabic Transparent" w:hint="cs"/>
          <w:sz w:val="32"/>
          <w:szCs w:val="32"/>
          <w:rtl/>
        </w:rPr>
        <w:t xml:space="preserve"> </w:t>
      </w:r>
      <w:r w:rsidR="003315A1">
        <w:rPr>
          <w:rFonts w:cs="Arabic Transparent" w:hint="cs"/>
          <w:sz w:val="32"/>
          <w:szCs w:val="32"/>
          <w:rtl/>
        </w:rPr>
        <w:t>و</w:t>
      </w:r>
      <w:r w:rsidRPr="00CB44FD">
        <w:rPr>
          <w:rFonts w:cs="Arabic Transparent" w:hint="cs"/>
          <w:sz w:val="32"/>
          <w:szCs w:val="32"/>
          <w:rtl/>
        </w:rPr>
        <w:t>ما يقرب 4</w:t>
      </w:r>
      <w:r w:rsidRPr="00CB44FD">
        <w:rPr>
          <w:rFonts w:cs="Arabic Transparent"/>
          <w:sz w:val="32"/>
          <w:szCs w:val="32"/>
        </w:rPr>
        <w:t>%</w:t>
      </w:r>
      <w:r w:rsidRPr="00CB44FD">
        <w:rPr>
          <w:rFonts w:cs="Arabic Transparent" w:hint="cs"/>
          <w:sz w:val="32"/>
          <w:szCs w:val="32"/>
          <w:rtl/>
        </w:rPr>
        <w:t xml:space="preserve"> من مجموع رقم المعاملات</w:t>
      </w:r>
      <w:r w:rsidR="003315A1">
        <w:rPr>
          <w:rFonts w:cs="Arabic Transparent" w:hint="cs"/>
          <w:sz w:val="32"/>
          <w:szCs w:val="32"/>
          <w:rtl/>
        </w:rPr>
        <w:t>،</w:t>
      </w:r>
      <w:r w:rsidRPr="00CB44FD">
        <w:rPr>
          <w:rFonts w:cs="Arabic Transparent" w:hint="cs"/>
          <w:sz w:val="32"/>
          <w:szCs w:val="32"/>
          <w:rtl/>
        </w:rPr>
        <w:t xml:space="preserve"> ووزعت 6</w:t>
      </w:r>
      <w:r w:rsidRPr="00CB44FD">
        <w:rPr>
          <w:rFonts w:cs="Arabic Transparent"/>
          <w:sz w:val="32"/>
          <w:szCs w:val="32"/>
        </w:rPr>
        <w:t>%</w:t>
      </w:r>
      <w:r w:rsidRPr="00CB44FD">
        <w:rPr>
          <w:rFonts w:cs="Arabic Transparent" w:hint="cs"/>
          <w:sz w:val="32"/>
          <w:szCs w:val="32"/>
          <w:rtl/>
        </w:rPr>
        <w:t xml:space="preserve"> من مجموع </w:t>
      </w:r>
      <w:r w:rsidR="0018127C" w:rsidRPr="00CB44FD">
        <w:rPr>
          <w:rFonts w:cs="Arabic Transparent" w:hint="cs"/>
          <w:sz w:val="32"/>
          <w:szCs w:val="32"/>
          <w:rtl/>
        </w:rPr>
        <w:t>الأجور</w:t>
      </w:r>
      <w:r w:rsidRPr="00CB44FD">
        <w:rPr>
          <w:rFonts w:cs="Arabic Transparent" w:hint="cs"/>
          <w:sz w:val="32"/>
          <w:szCs w:val="32"/>
          <w:rtl/>
        </w:rPr>
        <w:t xml:space="preserve"> ل</w:t>
      </w:r>
      <w:r w:rsidR="003315A1">
        <w:rPr>
          <w:rFonts w:cs="Arabic Transparent" w:hint="cs"/>
          <w:sz w:val="32"/>
          <w:szCs w:val="32"/>
          <w:rtl/>
        </w:rPr>
        <w:t>فائدة</w:t>
      </w:r>
      <w:r w:rsidRPr="00CB44FD">
        <w:rPr>
          <w:rFonts w:cs="Arabic Transparent" w:hint="cs"/>
          <w:sz w:val="32"/>
          <w:szCs w:val="32"/>
          <w:rtl/>
        </w:rPr>
        <w:t xml:space="preserve"> 32 ألف مستأجر.</w:t>
      </w:r>
    </w:p>
    <w:p w:rsidR="00633B44" w:rsidRPr="00CB44FD" w:rsidRDefault="00633B44" w:rsidP="00633B44">
      <w:pPr>
        <w:tabs>
          <w:tab w:val="left" w:pos="902"/>
        </w:tabs>
        <w:bidi/>
        <w:jc w:val="both"/>
        <w:rPr>
          <w:rFonts w:cs="Arabic Transparent"/>
          <w:sz w:val="32"/>
          <w:szCs w:val="32"/>
        </w:rPr>
      </w:pPr>
    </w:p>
    <w:p w:rsidR="00434D67" w:rsidRPr="00B01981" w:rsidRDefault="00434D67" w:rsidP="00434D67">
      <w:pPr>
        <w:bidi/>
        <w:jc w:val="both"/>
        <w:rPr>
          <w:rFonts w:ascii="Book Antiqua" w:hAnsi="Book Antiqua" w:cs="Arial"/>
          <w:b/>
          <w:bCs/>
          <w:color w:val="E36C0A"/>
          <w:sz w:val="36"/>
          <w:szCs w:val="36"/>
          <w:rtl/>
        </w:rPr>
      </w:pPr>
      <w:r w:rsidRPr="00B01981">
        <w:rPr>
          <w:rFonts w:ascii="Book Antiqua" w:hAnsi="Book Antiqua" w:cs="Arial" w:hint="cs"/>
          <w:b/>
          <w:bCs/>
          <w:color w:val="E36C0A"/>
          <w:sz w:val="36"/>
          <w:szCs w:val="36"/>
          <w:rtl/>
        </w:rPr>
        <w:t>2 - المميزات البنيوية للصناعات التحويلية</w:t>
      </w:r>
    </w:p>
    <w:p w:rsidR="00434D67" w:rsidRPr="00CB44FD" w:rsidRDefault="00434D67" w:rsidP="00434D67">
      <w:pPr>
        <w:bidi/>
        <w:jc w:val="both"/>
        <w:rPr>
          <w:rFonts w:cs="Arabic Transparent"/>
          <w:sz w:val="32"/>
          <w:szCs w:val="32"/>
          <w:rtl/>
        </w:rPr>
      </w:pPr>
    </w:p>
    <w:p w:rsidR="00434D67" w:rsidRPr="00CB44FD" w:rsidRDefault="00434D67" w:rsidP="00953BE7">
      <w:pPr>
        <w:bidi/>
        <w:jc w:val="both"/>
        <w:rPr>
          <w:rFonts w:cs="Arabic Transparent"/>
          <w:sz w:val="32"/>
          <w:szCs w:val="32"/>
          <w:rtl/>
        </w:rPr>
      </w:pPr>
      <w:r w:rsidRPr="00CB44FD">
        <w:rPr>
          <w:rFonts w:cs="Arabic Transparent" w:hint="cs"/>
          <w:sz w:val="32"/>
          <w:szCs w:val="32"/>
          <w:rtl/>
        </w:rPr>
        <w:t xml:space="preserve">من بين 9248 مقاولة </w:t>
      </w:r>
      <w:r w:rsidR="008C33CF">
        <w:rPr>
          <w:rFonts w:cs="Arabic Transparent" w:hint="cs"/>
          <w:sz w:val="32"/>
          <w:szCs w:val="32"/>
          <w:rtl/>
        </w:rPr>
        <w:t xml:space="preserve">في </w:t>
      </w:r>
      <w:r w:rsidRPr="00CB44FD">
        <w:rPr>
          <w:rFonts w:cs="Arabic Transparent" w:hint="cs"/>
          <w:sz w:val="32"/>
          <w:szCs w:val="32"/>
          <w:rtl/>
        </w:rPr>
        <w:t>القطاع، ت</w:t>
      </w:r>
      <w:r w:rsidR="00953BE7">
        <w:rPr>
          <w:rFonts w:cs="Arabic Transparent" w:hint="cs"/>
          <w:sz w:val="32"/>
          <w:szCs w:val="32"/>
          <w:rtl/>
        </w:rPr>
        <w:t>مث</w:t>
      </w:r>
      <w:r w:rsidRPr="00CB44FD">
        <w:rPr>
          <w:rFonts w:cs="Arabic Transparent" w:hint="cs"/>
          <w:sz w:val="32"/>
          <w:szCs w:val="32"/>
          <w:rtl/>
        </w:rPr>
        <w:t>ل المقاولات الكبرى 11</w:t>
      </w:r>
      <w:r w:rsidRPr="00CB44FD">
        <w:rPr>
          <w:rFonts w:cs="Arabic Transparent"/>
          <w:sz w:val="32"/>
          <w:szCs w:val="32"/>
        </w:rPr>
        <w:t>%</w:t>
      </w:r>
      <w:r w:rsidRPr="00CB44FD">
        <w:rPr>
          <w:rFonts w:cs="Arabic Transparent" w:hint="cs"/>
          <w:sz w:val="32"/>
          <w:szCs w:val="32"/>
          <w:rtl/>
        </w:rPr>
        <w:t>، عوض 89</w:t>
      </w:r>
      <w:r w:rsidRPr="00CB44FD">
        <w:rPr>
          <w:rFonts w:cs="Arabic Transparent"/>
          <w:sz w:val="32"/>
          <w:szCs w:val="32"/>
        </w:rPr>
        <w:t>%</w:t>
      </w:r>
      <w:r w:rsidRPr="00CB44FD">
        <w:rPr>
          <w:rFonts w:cs="Arabic Transparent" w:hint="cs"/>
          <w:sz w:val="32"/>
          <w:szCs w:val="32"/>
          <w:rtl/>
        </w:rPr>
        <w:t xml:space="preserve"> من المقاولات </w:t>
      </w:r>
      <w:r w:rsidR="00953BE7">
        <w:rPr>
          <w:rFonts w:cs="Arabic Transparent" w:hint="cs"/>
          <w:sz w:val="32"/>
          <w:szCs w:val="32"/>
          <w:rtl/>
        </w:rPr>
        <w:t>الصغيرة جدا و</w:t>
      </w:r>
      <w:r w:rsidRPr="00CB44FD">
        <w:rPr>
          <w:rFonts w:cs="Arabic Transparent" w:hint="cs"/>
          <w:sz w:val="32"/>
          <w:szCs w:val="32"/>
          <w:rtl/>
        </w:rPr>
        <w:t>الصغرى والمتوسطة. ما يقرب الثلث من</w:t>
      </w:r>
      <w:r w:rsidR="008C33CF">
        <w:rPr>
          <w:rFonts w:cs="Arabic Transparent" w:hint="cs"/>
          <w:sz w:val="32"/>
          <w:szCs w:val="32"/>
          <w:rtl/>
        </w:rPr>
        <w:t xml:space="preserve"> مجموع هذه المقاولات</w:t>
      </w:r>
      <w:r w:rsidRPr="00CB44FD">
        <w:rPr>
          <w:rFonts w:cs="Arabic Transparent" w:hint="cs"/>
          <w:sz w:val="32"/>
          <w:szCs w:val="32"/>
          <w:rtl/>
        </w:rPr>
        <w:t xml:space="preserve"> يتمركز في جهة الدارالبيضاء الكبرى، متبوعة بجهة طنجة-تطوان ب 10</w:t>
      </w:r>
      <w:r w:rsidRPr="00CB44FD">
        <w:rPr>
          <w:rFonts w:cs="Arabic Transparent"/>
          <w:sz w:val="32"/>
          <w:szCs w:val="32"/>
        </w:rPr>
        <w:t>%</w:t>
      </w:r>
      <w:r w:rsidRPr="00CB44FD">
        <w:rPr>
          <w:rFonts w:cs="Arabic Transparent" w:hint="cs"/>
          <w:sz w:val="32"/>
          <w:szCs w:val="32"/>
          <w:rtl/>
        </w:rPr>
        <w:t xml:space="preserve"> ثم جهة الرباط-سلا-زمور-زعير وجهة مراكش-تانسيفت-الحوز. وشكلت هذه الجهات </w:t>
      </w:r>
      <w:r w:rsidR="0018127C" w:rsidRPr="00CB44FD">
        <w:rPr>
          <w:rFonts w:cs="Arabic Transparent" w:hint="cs"/>
          <w:sz w:val="32"/>
          <w:szCs w:val="32"/>
          <w:rtl/>
        </w:rPr>
        <w:t>الأربعة</w:t>
      </w:r>
      <w:r w:rsidRPr="00CB44FD">
        <w:rPr>
          <w:rFonts w:cs="Arabic Transparent" w:hint="cs"/>
          <w:sz w:val="32"/>
          <w:szCs w:val="32"/>
          <w:rtl/>
        </w:rPr>
        <w:t xml:space="preserve"> 56</w:t>
      </w:r>
      <w:r w:rsidRPr="00CB44FD">
        <w:rPr>
          <w:rFonts w:cs="Arabic Transparent"/>
          <w:sz w:val="32"/>
          <w:szCs w:val="32"/>
        </w:rPr>
        <w:t>%</w:t>
      </w:r>
      <w:r w:rsidRPr="00CB44FD">
        <w:rPr>
          <w:rFonts w:cs="Arabic Transparent" w:hint="cs"/>
          <w:sz w:val="32"/>
          <w:szCs w:val="32"/>
          <w:rtl/>
        </w:rPr>
        <w:t xml:space="preserve"> من مقاولات الصناعية</w:t>
      </w:r>
      <w:r w:rsidR="008C33CF">
        <w:rPr>
          <w:rFonts w:cs="Arabic Transparent" w:hint="cs"/>
          <w:sz w:val="32"/>
          <w:szCs w:val="32"/>
          <w:rtl/>
        </w:rPr>
        <w:t xml:space="preserve"> التحويلية</w:t>
      </w:r>
      <w:r w:rsidRPr="00CB44FD">
        <w:rPr>
          <w:rFonts w:cs="Arabic Transparent" w:hint="cs"/>
          <w:sz w:val="32"/>
          <w:szCs w:val="32"/>
          <w:rtl/>
        </w:rPr>
        <w:t xml:space="preserve">. وحسب </w:t>
      </w:r>
      <w:r w:rsidR="00624307" w:rsidRPr="00624307">
        <w:rPr>
          <w:rFonts w:cs="Arabic Transparent"/>
          <w:sz w:val="32"/>
          <w:szCs w:val="32"/>
          <w:rtl/>
        </w:rPr>
        <w:t>الوضع</w:t>
      </w:r>
      <w:r w:rsidR="00624307" w:rsidRPr="00624307">
        <w:rPr>
          <w:rFonts w:cs="Arabic Transparent" w:hint="cs"/>
          <w:sz w:val="32"/>
          <w:szCs w:val="32"/>
          <w:rtl/>
        </w:rPr>
        <w:t>ية</w:t>
      </w:r>
      <w:r w:rsidR="00624307" w:rsidRPr="00624307">
        <w:rPr>
          <w:rFonts w:cs="Arabic Transparent"/>
          <w:sz w:val="32"/>
          <w:szCs w:val="32"/>
          <w:rtl/>
        </w:rPr>
        <w:t xml:space="preserve"> القانوني</w:t>
      </w:r>
      <w:r w:rsidR="00624307" w:rsidRPr="00624307">
        <w:rPr>
          <w:rFonts w:cs="Arabic Transparent" w:hint="cs"/>
          <w:sz w:val="32"/>
          <w:szCs w:val="32"/>
          <w:rtl/>
        </w:rPr>
        <w:t>ة</w:t>
      </w:r>
      <w:r w:rsidR="00624307" w:rsidRPr="00624307">
        <w:rPr>
          <w:rFonts w:cs="Arabic Transparent"/>
          <w:sz w:val="32"/>
          <w:szCs w:val="32"/>
          <w:rtl/>
        </w:rPr>
        <w:t xml:space="preserve"> للمقاولات</w:t>
      </w:r>
      <w:r w:rsidRPr="00CB44FD">
        <w:rPr>
          <w:rFonts w:cs="Arabic Transparent" w:hint="cs"/>
          <w:sz w:val="32"/>
          <w:szCs w:val="32"/>
          <w:rtl/>
        </w:rPr>
        <w:t xml:space="preserve">، </w:t>
      </w:r>
      <w:r w:rsidR="00953BE7">
        <w:rPr>
          <w:rFonts w:cs="Arabic Transparent" w:hint="cs"/>
          <w:sz w:val="32"/>
          <w:szCs w:val="32"/>
          <w:rtl/>
        </w:rPr>
        <w:t>بلغ</w:t>
      </w:r>
      <w:r w:rsidR="00624307">
        <w:rPr>
          <w:rFonts w:cs="Arabic Transparent" w:hint="cs"/>
          <w:sz w:val="32"/>
          <w:szCs w:val="32"/>
          <w:rtl/>
        </w:rPr>
        <w:t>ت</w:t>
      </w:r>
      <w:r w:rsidR="00953BE7">
        <w:rPr>
          <w:rFonts w:cs="Arabic Transparent" w:hint="cs"/>
          <w:sz w:val="32"/>
          <w:szCs w:val="32"/>
          <w:rtl/>
        </w:rPr>
        <w:t xml:space="preserve"> نسبة</w:t>
      </w:r>
      <w:r w:rsidRPr="00CB44FD">
        <w:rPr>
          <w:rFonts w:cs="Arabic Transparent" w:hint="cs"/>
          <w:sz w:val="32"/>
          <w:szCs w:val="32"/>
          <w:rtl/>
        </w:rPr>
        <w:t xml:space="preserve"> الشركات المحدودة المسؤولية 74</w:t>
      </w:r>
      <w:r w:rsidRPr="00CB44FD">
        <w:rPr>
          <w:rFonts w:cs="Arabic Transparent"/>
          <w:sz w:val="32"/>
          <w:szCs w:val="32"/>
        </w:rPr>
        <w:t>%</w:t>
      </w:r>
      <w:r w:rsidRPr="00CB44FD">
        <w:rPr>
          <w:rFonts w:cs="Arabic Transparent" w:hint="cs"/>
          <w:sz w:val="32"/>
          <w:szCs w:val="32"/>
          <w:rtl/>
        </w:rPr>
        <w:t xml:space="preserve"> من المجموع</w:t>
      </w:r>
      <w:r w:rsidR="008C33CF">
        <w:rPr>
          <w:rFonts w:cs="Arabic Transparent" w:hint="cs"/>
          <w:sz w:val="32"/>
          <w:szCs w:val="32"/>
          <w:rtl/>
        </w:rPr>
        <w:t xml:space="preserve">، فيما </w:t>
      </w:r>
      <w:r w:rsidR="00365396">
        <w:rPr>
          <w:rFonts w:cs="Arabic Transparent" w:hint="cs"/>
          <w:sz w:val="32"/>
          <w:szCs w:val="32"/>
          <w:rtl/>
        </w:rPr>
        <w:t>اقتصرت</w:t>
      </w:r>
      <w:r w:rsidRPr="00CB44FD">
        <w:rPr>
          <w:rFonts w:cs="Arabic Transparent" w:hint="cs"/>
          <w:sz w:val="32"/>
          <w:szCs w:val="32"/>
          <w:rtl/>
        </w:rPr>
        <w:t xml:space="preserve"> المقاولات المجهولة الاسم والفردية كل واحدة منهما</w:t>
      </w:r>
      <w:r w:rsidR="00365396">
        <w:rPr>
          <w:rFonts w:cs="Arabic Transparent" w:hint="cs"/>
          <w:sz w:val="32"/>
          <w:szCs w:val="32"/>
          <w:rtl/>
        </w:rPr>
        <w:t xml:space="preserve"> على</w:t>
      </w:r>
      <w:r w:rsidRPr="00CB44FD">
        <w:rPr>
          <w:rFonts w:cs="Arabic Transparent" w:hint="cs"/>
          <w:sz w:val="32"/>
          <w:szCs w:val="32"/>
          <w:rtl/>
        </w:rPr>
        <w:t xml:space="preserve"> 10</w:t>
      </w:r>
      <w:r w:rsidRPr="00CB44FD">
        <w:rPr>
          <w:rFonts w:cs="Arabic Transparent"/>
          <w:sz w:val="32"/>
          <w:szCs w:val="32"/>
        </w:rPr>
        <w:t>%</w:t>
      </w:r>
      <w:r w:rsidRPr="00CB44FD">
        <w:rPr>
          <w:rFonts w:cs="Arabic Transparent" w:hint="cs"/>
          <w:sz w:val="32"/>
          <w:szCs w:val="32"/>
          <w:rtl/>
        </w:rPr>
        <w:t>. أما المقاولات الفتية</w:t>
      </w:r>
      <w:r w:rsidR="008C33CF">
        <w:rPr>
          <w:rFonts w:cs="Arabic Transparent" w:hint="cs"/>
          <w:sz w:val="32"/>
          <w:szCs w:val="32"/>
          <w:rtl/>
        </w:rPr>
        <w:t>، والتي عمرها</w:t>
      </w:r>
      <w:r w:rsidRPr="00CB44FD">
        <w:rPr>
          <w:rFonts w:cs="Arabic Transparent" w:hint="cs"/>
          <w:sz w:val="32"/>
          <w:szCs w:val="32"/>
          <w:rtl/>
        </w:rPr>
        <w:t xml:space="preserve"> أقل من 8 سنوات وتشغل أقل من 200 مستأجر</w:t>
      </w:r>
      <w:r w:rsidR="00953BE7">
        <w:rPr>
          <w:rFonts w:cs="Arabic Transparent" w:hint="cs"/>
          <w:sz w:val="32"/>
          <w:szCs w:val="32"/>
          <w:rtl/>
        </w:rPr>
        <w:t>،</w:t>
      </w:r>
      <w:r w:rsidRPr="00CB44FD">
        <w:rPr>
          <w:rFonts w:cs="Arabic Transparent" w:hint="cs"/>
          <w:sz w:val="32"/>
          <w:szCs w:val="32"/>
          <w:rtl/>
        </w:rPr>
        <w:t xml:space="preserve"> فقد شكلت 24</w:t>
      </w:r>
      <w:r w:rsidRPr="00CB44FD">
        <w:rPr>
          <w:rFonts w:cs="Arabic Transparent"/>
          <w:sz w:val="32"/>
          <w:szCs w:val="32"/>
        </w:rPr>
        <w:t>%</w:t>
      </w:r>
      <w:r w:rsidRPr="00CB44FD">
        <w:rPr>
          <w:rFonts w:cs="Arabic Transparent" w:hint="cs"/>
          <w:sz w:val="32"/>
          <w:szCs w:val="32"/>
          <w:rtl/>
        </w:rPr>
        <w:t xml:space="preserve"> من مجموع المقاولات. وينشط معظمها في الصناعات الغذائية والمعادن غير الحديدية.</w:t>
      </w:r>
    </w:p>
    <w:p w:rsidR="00434D67" w:rsidRPr="00CB44FD" w:rsidRDefault="00434D67" w:rsidP="00434D67">
      <w:pPr>
        <w:bidi/>
        <w:jc w:val="both"/>
        <w:rPr>
          <w:rFonts w:cs="Arabic Transparent"/>
          <w:sz w:val="32"/>
          <w:szCs w:val="32"/>
          <w:rtl/>
        </w:rPr>
      </w:pPr>
    </w:p>
    <w:p w:rsidR="00434D67" w:rsidRPr="00CB44FD" w:rsidRDefault="00434D67" w:rsidP="00434D67">
      <w:pPr>
        <w:bidi/>
        <w:jc w:val="both"/>
        <w:rPr>
          <w:b/>
          <w:bCs/>
          <w:color w:val="993366"/>
          <w:sz w:val="32"/>
          <w:szCs w:val="32"/>
          <w:rtl/>
        </w:rPr>
      </w:pPr>
      <w:r w:rsidRPr="00CB44FD">
        <w:rPr>
          <w:rFonts w:hint="cs"/>
          <w:b/>
          <w:bCs/>
          <w:color w:val="993366"/>
          <w:sz w:val="32"/>
          <w:szCs w:val="32"/>
          <w:rtl/>
        </w:rPr>
        <w:t>المقاولات الكبرى قاطرات القطاع</w:t>
      </w:r>
    </w:p>
    <w:p w:rsidR="00434D67" w:rsidRPr="00CB44FD" w:rsidRDefault="00434D67" w:rsidP="00434D67">
      <w:pPr>
        <w:bidi/>
        <w:jc w:val="both"/>
        <w:rPr>
          <w:rFonts w:cs="Arabic Transparent"/>
          <w:sz w:val="32"/>
          <w:szCs w:val="32"/>
          <w:rtl/>
        </w:rPr>
      </w:pPr>
    </w:p>
    <w:p w:rsidR="00434D67" w:rsidRPr="00CB44FD" w:rsidRDefault="00434D67" w:rsidP="0093630C">
      <w:pPr>
        <w:bidi/>
        <w:jc w:val="both"/>
        <w:rPr>
          <w:rFonts w:cs="Arabic Transparent"/>
          <w:sz w:val="32"/>
          <w:szCs w:val="32"/>
          <w:rtl/>
        </w:rPr>
      </w:pPr>
      <w:r w:rsidRPr="00CB44FD">
        <w:rPr>
          <w:rFonts w:cs="Arabic Transparent" w:hint="cs"/>
          <w:sz w:val="32"/>
          <w:szCs w:val="32"/>
          <w:rtl/>
        </w:rPr>
        <w:t xml:space="preserve">تعتبر المقاولات الكبرى المساهم </w:t>
      </w:r>
      <w:r w:rsidR="008360CE" w:rsidRPr="00CB44FD">
        <w:rPr>
          <w:rFonts w:cs="Arabic Transparent" w:hint="cs"/>
          <w:sz w:val="32"/>
          <w:szCs w:val="32"/>
          <w:rtl/>
        </w:rPr>
        <w:t>الأكبر</w:t>
      </w:r>
      <w:r w:rsidRPr="00CB44FD">
        <w:rPr>
          <w:rFonts w:cs="Arabic Transparent" w:hint="cs"/>
          <w:sz w:val="32"/>
          <w:szCs w:val="32"/>
          <w:rtl/>
        </w:rPr>
        <w:t xml:space="preserve"> في نتائج القطاع الصناعي، حيث شغلت ما يقرب 67</w:t>
      </w:r>
      <w:r w:rsidRPr="00CB44FD">
        <w:rPr>
          <w:sz w:val="32"/>
          <w:szCs w:val="32"/>
        </w:rPr>
        <w:t>%</w:t>
      </w:r>
      <w:r w:rsidRPr="00CB44FD">
        <w:rPr>
          <w:rFonts w:cs="Arabic Transparent" w:hint="cs"/>
          <w:sz w:val="32"/>
          <w:szCs w:val="32"/>
          <w:rtl/>
        </w:rPr>
        <w:t xml:space="preserve"> من اليد العاملة وحققت 85</w:t>
      </w:r>
      <w:r w:rsidRPr="00CB44FD">
        <w:rPr>
          <w:sz w:val="32"/>
          <w:szCs w:val="32"/>
        </w:rPr>
        <w:t>%</w:t>
      </w:r>
      <w:r w:rsidRPr="00CB44FD">
        <w:rPr>
          <w:rFonts w:cs="Arabic Transparent" w:hint="cs"/>
          <w:sz w:val="32"/>
          <w:szCs w:val="32"/>
          <w:rtl/>
        </w:rPr>
        <w:t xml:space="preserve"> من رقم المعاملات و 89</w:t>
      </w:r>
      <w:r w:rsidRPr="00CB44FD">
        <w:rPr>
          <w:sz w:val="32"/>
          <w:szCs w:val="32"/>
        </w:rPr>
        <w:t>%</w:t>
      </w:r>
      <w:r w:rsidRPr="00CB44FD">
        <w:rPr>
          <w:rFonts w:cs="Arabic Transparent" w:hint="cs"/>
          <w:sz w:val="32"/>
          <w:szCs w:val="32"/>
          <w:rtl/>
        </w:rPr>
        <w:t xml:space="preserve"> من الصادرات. كما ساهمت ب 94</w:t>
      </w:r>
      <w:r w:rsidRPr="00CB44FD">
        <w:rPr>
          <w:sz w:val="32"/>
          <w:szCs w:val="32"/>
        </w:rPr>
        <w:t>%</w:t>
      </w:r>
      <w:r w:rsidRPr="00CB44FD">
        <w:rPr>
          <w:rFonts w:cs="Arabic Transparent" w:hint="cs"/>
          <w:sz w:val="32"/>
          <w:szCs w:val="32"/>
          <w:rtl/>
        </w:rPr>
        <w:t xml:space="preserve"> من الاستثمار الإجمالي، وال</w:t>
      </w:r>
      <w:r w:rsidR="0093630C">
        <w:rPr>
          <w:rFonts w:cs="Arabic Transparent" w:hint="cs"/>
          <w:sz w:val="32"/>
          <w:szCs w:val="32"/>
          <w:rtl/>
        </w:rPr>
        <w:t xml:space="preserve">ذي </w:t>
      </w:r>
      <w:r w:rsidRPr="00CB44FD">
        <w:rPr>
          <w:rFonts w:cs="Arabic Transparent" w:hint="cs"/>
          <w:sz w:val="32"/>
          <w:szCs w:val="32"/>
          <w:rtl/>
        </w:rPr>
        <w:t>خصص جزءا كبيرا منه في اقتناء التجهيزات ومول بالتساوي عن طريق القروض و التمويل الداتي.</w:t>
      </w:r>
    </w:p>
    <w:p w:rsidR="00434D67" w:rsidRPr="00CB44FD" w:rsidRDefault="00434D67" w:rsidP="00434D67">
      <w:pPr>
        <w:bidi/>
        <w:jc w:val="both"/>
        <w:rPr>
          <w:rFonts w:cs="Arabic Transparent"/>
          <w:sz w:val="32"/>
          <w:szCs w:val="32"/>
          <w:rtl/>
        </w:rPr>
      </w:pPr>
    </w:p>
    <w:p w:rsidR="00434D67" w:rsidRPr="00CB44FD" w:rsidRDefault="00434D67" w:rsidP="00434D67">
      <w:pPr>
        <w:bidi/>
        <w:jc w:val="both"/>
        <w:rPr>
          <w:rFonts w:cs="Arabic Transparent"/>
          <w:sz w:val="32"/>
          <w:szCs w:val="32"/>
          <w:rtl/>
        </w:rPr>
      </w:pPr>
      <w:r w:rsidRPr="00CB44FD">
        <w:rPr>
          <w:rFonts w:cs="Arabic Transparent" w:hint="cs"/>
          <w:sz w:val="32"/>
          <w:szCs w:val="32"/>
          <w:rtl/>
        </w:rPr>
        <w:t>وحسب فروع الأنشطة، شكلت الصناعات الكيميائي</w:t>
      </w:r>
      <w:r w:rsidRPr="00CB44FD">
        <w:rPr>
          <w:rFonts w:cs="Arabic Transparent" w:hint="eastAsia"/>
          <w:sz w:val="32"/>
          <w:szCs w:val="32"/>
          <w:rtl/>
        </w:rPr>
        <w:t>ة</w:t>
      </w:r>
      <w:r w:rsidRPr="00CB44FD">
        <w:rPr>
          <w:rFonts w:cs="Arabic Transparent" w:hint="cs"/>
          <w:sz w:val="32"/>
          <w:szCs w:val="32"/>
          <w:rtl/>
        </w:rPr>
        <w:t xml:space="preserve"> والشبه كيميائية 21</w:t>
      </w:r>
      <w:r w:rsidRPr="00CB44FD">
        <w:rPr>
          <w:sz w:val="32"/>
          <w:szCs w:val="32"/>
        </w:rPr>
        <w:t>%</w:t>
      </w:r>
      <w:r w:rsidRPr="00CB44FD">
        <w:rPr>
          <w:rFonts w:cs="Arabic Transparent" w:hint="cs"/>
          <w:sz w:val="32"/>
          <w:szCs w:val="32"/>
          <w:rtl/>
        </w:rPr>
        <w:t xml:space="preserve"> من مجموع المقاولات</w:t>
      </w:r>
      <w:r w:rsidR="00624307">
        <w:rPr>
          <w:rFonts w:cs="Arabic Transparent" w:hint="cs"/>
          <w:sz w:val="32"/>
          <w:szCs w:val="32"/>
          <w:rtl/>
        </w:rPr>
        <w:t>،</w:t>
      </w:r>
      <w:r w:rsidRPr="00CB44FD">
        <w:rPr>
          <w:rFonts w:cs="Arabic Transparent" w:hint="cs"/>
          <w:sz w:val="32"/>
          <w:szCs w:val="32"/>
          <w:rtl/>
        </w:rPr>
        <w:t xml:space="preserve"> كما حققت 42</w:t>
      </w:r>
      <w:r w:rsidRPr="00CB44FD">
        <w:rPr>
          <w:sz w:val="32"/>
          <w:szCs w:val="32"/>
        </w:rPr>
        <w:t>%</w:t>
      </w:r>
      <w:r w:rsidRPr="00CB44FD">
        <w:rPr>
          <w:rFonts w:cs="Arabic Transparent" w:hint="cs"/>
          <w:sz w:val="32"/>
          <w:szCs w:val="32"/>
          <w:rtl/>
        </w:rPr>
        <w:t xml:space="preserve"> من رقم المعاملات و 43</w:t>
      </w:r>
      <w:r w:rsidRPr="00CB44FD">
        <w:rPr>
          <w:sz w:val="32"/>
          <w:szCs w:val="32"/>
        </w:rPr>
        <w:t>%</w:t>
      </w:r>
      <w:r w:rsidRPr="00CB44FD">
        <w:rPr>
          <w:rFonts w:cs="Arabic Transparent" w:hint="cs"/>
          <w:sz w:val="32"/>
          <w:szCs w:val="32"/>
          <w:rtl/>
        </w:rPr>
        <w:t xml:space="preserve"> من القيمة المضافة و 79</w:t>
      </w:r>
      <w:r w:rsidRPr="00CB44FD">
        <w:rPr>
          <w:sz w:val="32"/>
          <w:szCs w:val="32"/>
        </w:rPr>
        <w:t>%</w:t>
      </w:r>
      <w:r w:rsidRPr="00CB44FD">
        <w:rPr>
          <w:rFonts w:cs="Arabic Transparent" w:hint="cs"/>
          <w:sz w:val="32"/>
          <w:szCs w:val="32"/>
          <w:rtl/>
        </w:rPr>
        <w:t xml:space="preserve"> من الاستثمار </w:t>
      </w:r>
      <w:r w:rsidR="0018127C" w:rsidRPr="00CB44FD">
        <w:rPr>
          <w:rFonts w:cs="Arabic Transparent" w:hint="cs"/>
          <w:sz w:val="32"/>
          <w:szCs w:val="32"/>
          <w:rtl/>
        </w:rPr>
        <w:t>الإجمالي</w:t>
      </w:r>
      <w:r w:rsidRPr="00CB44FD">
        <w:rPr>
          <w:rFonts w:cs="Arabic Transparent" w:hint="cs"/>
          <w:sz w:val="32"/>
          <w:szCs w:val="32"/>
          <w:rtl/>
        </w:rPr>
        <w:t xml:space="preserve"> للقطاع. في المقابل، شكلت المقاولات الكبرى لصناعات النسيج والجلد 27</w:t>
      </w:r>
      <w:r w:rsidRPr="00CB44FD">
        <w:rPr>
          <w:sz w:val="32"/>
          <w:szCs w:val="32"/>
        </w:rPr>
        <w:t>%</w:t>
      </w:r>
      <w:r w:rsidRPr="00CB44FD">
        <w:rPr>
          <w:rFonts w:cs="Arabic Transparent" w:hint="cs"/>
          <w:sz w:val="32"/>
          <w:szCs w:val="32"/>
          <w:rtl/>
        </w:rPr>
        <w:t xml:space="preserve"> من المقاولات فيما لم تحقق سوى 5</w:t>
      </w:r>
      <w:r w:rsidRPr="00CB44FD">
        <w:rPr>
          <w:sz w:val="32"/>
          <w:szCs w:val="32"/>
        </w:rPr>
        <w:t>%</w:t>
      </w:r>
      <w:r w:rsidRPr="00CB44FD">
        <w:rPr>
          <w:rFonts w:cs="Arabic Transparent" w:hint="cs"/>
          <w:sz w:val="32"/>
          <w:szCs w:val="32"/>
          <w:rtl/>
        </w:rPr>
        <w:t xml:space="preserve"> من رقم المعاملات و 2</w:t>
      </w:r>
      <w:r w:rsidRPr="00CB44FD">
        <w:rPr>
          <w:sz w:val="32"/>
          <w:szCs w:val="32"/>
        </w:rPr>
        <w:t>%</w:t>
      </w:r>
      <w:r w:rsidRPr="00CB44FD">
        <w:rPr>
          <w:rFonts w:cs="Arabic Transparent" w:hint="cs"/>
          <w:sz w:val="32"/>
          <w:szCs w:val="32"/>
          <w:rtl/>
        </w:rPr>
        <w:t xml:space="preserve"> من الاستثمار </w:t>
      </w:r>
      <w:r w:rsidR="0018127C" w:rsidRPr="00CB44FD">
        <w:rPr>
          <w:rFonts w:cs="Arabic Transparent" w:hint="cs"/>
          <w:sz w:val="32"/>
          <w:szCs w:val="32"/>
          <w:rtl/>
        </w:rPr>
        <w:t>الإجمالي</w:t>
      </w:r>
      <w:r w:rsidRPr="00CB44FD">
        <w:rPr>
          <w:rFonts w:cs="Arabic Transparent" w:hint="cs"/>
          <w:sz w:val="32"/>
          <w:szCs w:val="32"/>
          <w:rtl/>
        </w:rPr>
        <w:t>.</w:t>
      </w:r>
    </w:p>
    <w:p w:rsidR="00434D67" w:rsidRPr="00CB44FD" w:rsidRDefault="00434D67" w:rsidP="00434D67">
      <w:pPr>
        <w:bidi/>
        <w:jc w:val="both"/>
        <w:rPr>
          <w:rFonts w:cs="Arabic Transparent"/>
          <w:sz w:val="32"/>
          <w:szCs w:val="32"/>
          <w:rtl/>
        </w:rPr>
      </w:pPr>
    </w:p>
    <w:p w:rsidR="003F3C24" w:rsidRPr="003F3C24" w:rsidRDefault="00624307" w:rsidP="0007613B">
      <w:pPr>
        <w:bidi/>
        <w:jc w:val="both"/>
        <w:rPr>
          <w:rFonts w:cs="Arabic Transparent"/>
          <w:sz w:val="32"/>
          <w:szCs w:val="32"/>
        </w:rPr>
      </w:pPr>
      <w:r>
        <w:rPr>
          <w:rFonts w:cs="Arabic Transparent" w:hint="cs"/>
          <w:sz w:val="32"/>
          <w:szCs w:val="32"/>
          <w:rtl/>
        </w:rPr>
        <w:lastRenderedPageBreak/>
        <w:t>و</w:t>
      </w:r>
      <w:r w:rsidR="003F3C24" w:rsidRPr="003F3C24">
        <w:rPr>
          <w:rFonts w:cs="Arabic Transparent"/>
          <w:sz w:val="32"/>
          <w:szCs w:val="32"/>
          <w:rtl/>
        </w:rPr>
        <w:t>تجد</w:t>
      </w:r>
      <w:r>
        <w:rPr>
          <w:rFonts w:cs="Arabic Transparent" w:hint="cs"/>
          <w:sz w:val="32"/>
          <w:szCs w:val="32"/>
          <w:rtl/>
        </w:rPr>
        <w:t>ر</w:t>
      </w:r>
      <w:r w:rsidR="003F3C24" w:rsidRPr="003F3C24">
        <w:rPr>
          <w:rFonts w:cs="Arabic Transparent"/>
          <w:sz w:val="32"/>
          <w:szCs w:val="32"/>
          <w:rtl/>
        </w:rPr>
        <w:t xml:space="preserve"> الإشارة إلى أن هذا التركيز يصبح أكثر أهمية عندما يتعلق الأمر بالمقاولات الكبيرة جدا،  ذلك أن ما يقارب </w:t>
      </w:r>
      <w:r w:rsidR="003F3C24" w:rsidRPr="003F3C24">
        <w:rPr>
          <w:rFonts w:cs="Arabic Transparent"/>
          <w:sz w:val="32"/>
          <w:szCs w:val="32"/>
        </w:rPr>
        <w:t>%1</w:t>
      </w:r>
      <w:r w:rsidR="003F3C24" w:rsidRPr="003F3C24">
        <w:rPr>
          <w:rFonts w:cs="Arabic Transparent"/>
          <w:sz w:val="32"/>
          <w:szCs w:val="32"/>
          <w:rtl/>
        </w:rPr>
        <w:t xml:space="preserve"> من المقاولات المهمة في القطاع من حيث رقم المعاملات حققت لوحدها ما يزيد عن نصف رقم المعاملات الإجمالي، م</w:t>
      </w:r>
      <w:r w:rsidR="0007613B">
        <w:rPr>
          <w:rFonts w:cs="Arabic Transparent" w:hint="cs"/>
          <w:sz w:val="32"/>
          <w:szCs w:val="32"/>
          <w:rtl/>
        </w:rPr>
        <w:t>حقق</w:t>
      </w:r>
      <w:r w:rsidR="003F3C24" w:rsidRPr="003F3C24">
        <w:rPr>
          <w:rFonts w:cs="Arabic Transparent"/>
          <w:sz w:val="32"/>
          <w:szCs w:val="32"/>
          <w:rtl/>
        </w:rPr>
        <w:t>ة إنتاجية تفوق ب 4 مرات تلك المسجلة على مستوى المقاولات الأخرى</w:t>
      </w:r>
      <w:r w:rsidR="003F3C24" w:rsidRPr="003F3C24">
        <w:rPr>
          <w:rFonts w:cs="Arabic Transparent"/>
          <w:sz w:val="32"/>
          <w:szCs w:val="32"/>
        </w:rPr>
        <w:t>.</w:t>
      </w:r>
      <w:r w:rsidR="003F3C24" w:rsidRPr="003F3C24">
        <w:rPr>
          <w:rFonts w:cs="Arabic Transparent"/>
          <w:sz w:val="32"/>
          <w:szCs w:val="32"/>
          <w:rtl/>
        </w:rPr>
        <w:t xml:space="preserve"> وغالبية هذه المقاولات مصدرة، ​​بمعدل تصدير بلغ</w:t>
      </w:r>
      <w:r w:rsidR="003F3C24" w:rsidRPr="003F3C24">
        <w:rPr>
          <w:rFonts w:cs="Arabic Transparent"/>
          <w:sz w:val="32"/>
          <w:szCs w:val="32"/>
        </w:rPr>
        <w:t xml:space="preserve">%27 </w:t>
      </w:r>
      <w:r w:rsidR="003F3C24" w:rsidRPr="003F3C24">
        <w:rPr>
          <w:rFonts w:cs="Arabic Transparent"/>
          <w:sz w:val="32"/>
          <w:szCs w:val="32"/>
          <w:rtl/>
        </w:rPr>
        <w:t xml:space="preserve"> من رقم المعاملات. </w:t>
      </w:r>
      <w:r>
        <w:rPr>
          <w:rFonts w:cs="Arabic Transparent" w:hint="cs"/>
          <w:sz w:val="32"/>
          <w:szCs w:val="32"/>
          <w:rtl/>
        </w:rPr>
        <w:t>وساهمت بما قدره</w:t>
      </w:r>
      <w:r w:rsidR="003F3C24" w:rsidRPr="003F3C24">
        <w:rPr>
          <w:rFonts w:cs="Arabic Transparent"/>
          <w:sz w:val="32"/>
          <w:szCs w:val="32"/>
          <w:rtl/>
        </w:rPr>
        <w:t xml:space="preserve"> </w:t>
      </w:r>
      <w:r w:rsidR="003F3C24" w:rsidRPr="003F3C24">
        <w:rPr>
          <w:rFonts w:cs="Arabic Transparent"/>
          <w:sz w:val="32"/>
          <w:szCs w:val="32"/>
        </w:rPr>
        <w:t>%80</w:t>
      </w:r>
      <w:r w:rsidR="003F3C24" w:rsidRPr="003F3C24">
        <w:rPr>
          <w:rFonts w:cs="Arabic Transparent"/>
          <w:sz w:val="32"/>
          <w:szCs w:val="32"/>
          <w:rtl/>
        </w:rPr>
        <w:t xml:space="preserve"> من مجموع الاستثمارات، والممولة بنسبة أكبر عن طريق الاستدانة </w:t>
      </w:r>
      <w:r w:rsidR="003F3C24" w:rsidRPr="003F3C24">
        <w:rPr>
          <w:rFonts w:cs="Arabic Transparent"/>
          <w:sz w:val="32"/>
          <w:szCs w:val="32"/>
        </w:rPr>
        <w:t>(%60)</w:t>
      </w:r>
      <w:r w:rsidR="003F3C24" w:rsidRPr="003F3C24">
        <w:rPr>
          <w:rFonts w:cs="Arabic Transparent"/>
          <w:sz w:val="32"/>
          <w:szCs w:val="32"/>
          <w:rtl/>
        </w:rPr>
        <w:t xml:space="preserve"> مقارنة مع التمويل الذاتي</w:t>
      </w:r>
      <w:r w:rsidR="003F3C24" w:rsidRPr="003F3C24">
        <w:rPr>
          <w:rFonts w:cs="Arabic Transparent"/>
          <w:sz w:val="32"/>
          <w:szCs w:val="32"/>
        </w:rPr>
        <w:t>.</w:t>
      </w:r>
    </w:p>
    <w:p w:rsidR="00434D67" w:rsidRPr="00CB44FD" w:rsidRDefault="00434D67" w:rsidP="00434D67">
      <w:pPr>
        <w:spacing w:line="300" w:lineRule="exact"/>
        <w:jc w:val="both"/>
        <w:rPr>
          <w:rFonts w:cs="Arabic Transparent"/>
          <w:sz w:val="32"/>
          <w:szCs w:val="32"/>
        </w:rPr>
      </w:pPr>
    </w:p>
    <w:p w:rsidR="00434D67" w:rsidRPr="00CB44FD" w:rsidRDefault="00434D67" w:rsidP="00434D67">
      <w:pPr>
        <w:bidi/>
        <w:jc w:val="both"/>
        <w:rPr>
          <w:b/>
          <w:bCs/>
          <w:color w:val="993366"/>
          <w:sz w:val="32"/>
          <w:szCs w:val="32"/>
          <w:rtl/>
        </w:rPr>
      </w:pPr>
      <w:r w:rsidRPr="00CB44FD">
        <w:rPr>
          <w:rFonts w:hint="cs"/>
          <w:b/>
          <w:bCs/>
          <w:color w:val="993366"/>
          <w:sz w:val="32"/>
          <w:szCs w:val="32"/>
          <w:rtl/>
        </w:rPr>
        <w:t>أهمية المقاولات الصغيرة جدا والصغرى والمتوسطة من حيث العدد</w:t>
      </w:r>
    </w:p>
    <w:p w:rsidR="00434D67" w:rsidRPr="00CB44FD" w:rsidRDefault="00434D67" w:rsidP="00434D67">
      <w:pPr>
        <w:bidi/>
        <w:jc w:val="both"/>
        <w:rPr>
          <w:rFonts w:cs="Arabic Transparent"/>
          <w:sz w:val="32"/>
          <w:szCs w:val="32"/>
          <w:rtl/>
        </w:rPr>
      </w:pPr>
    </w:p>
    <w:p w:rsidR="00434D67" w:rsidRPr="00CB44FD" w:rsidRDefault="00434D67" w:rsidP="00434D67">
      <w:pPr>
        <w:bidi/>
        <w:jc w:val="both"/>
        <w:rPr>
          <w:rFonts w:cs="Arabic Transparent"/>
          <w:sz w:val="32"/>
          <w:szCs w:val="32"/>
          <w:rtl/>
        </w:rPr>
      </w:pPr>
      <w:r w:rsidRPr="00CB44FD">
        <w:rPr>
          <w:rFonts w:cs="Arabic Transparent" w:hint="cs"/>
          <w:sz w:val="32"/>
          <w:szCs w:val="32"/>
          <w:rtl/>
        </w:rPr>
        <w:t>شكلت المقاولات الصغيرة جدا والصغرى والمتوسطة ما يناهز 89</w:t>
      </w:r>
      <w:r w:rsidRPr="00CB44FD">
        <w:rPr>
          <w:rFonts w:cs="Arabic Transparent"/>
          <w:sz w:val="32"/>
          <w:szCs w:val="32"/>
        </w:rPr>
        <w:t>%</w:t>
      </w:r>
      <w:r w:rsidRPr="00CB44FD">
        <w:rPr>
          <w:rFonts w:cs="Arabic Transparent" w:hint="cs"/>
          <w:sz w:val="32"/>
          <w:szCs w:val="32"/>
          <w:rtl/>
        </w:rPr>
        <w:t xml:space="preserve"> من النسيج الصناعي، متوزعة على 35</w:t>
      </w:r>
      <w:r w:rsidRPr="00CB44FD">
        <w:rPr>
          <w:rFonts w:cs="Arabic Transparent"/>
          <w:sz w:val="32"/>
          <w:szCs w:val="32"/>
        </w:rPr>
        <w:t>%</w:t>
      </w:r>
      <w:r w:rsidRPr="00CB44FD">
        <w:rPr>
          <w:rFonts w:cs="Arabic Transparent" w:hint="cs"/>
          <w:sz w:val="32"/>
          <w:szCs w:val="32"/>
          <w:rtl/>
        </w:rPr>
        <w:t xml:space="preserve"> مقاولة صغرى جدا و 33</w:t>
      </w:r>
      <w:r w:rsidRPr="00CB44FD">
        <w:rPr>
          <w:rFonts w:cs="Arabic Transparent"/>
          <w:sz w:val="32"/>
          <w:szCs w:val="32"/>
        </w:rPr>
        <w:t>%</w:t>
      </w:r>
      <w:r w:rsidRPr="00CB44FD">
        <w:rPr>
          <w:rFonts w:cs="Arabic Transparent" w:hint="cs"/>
          <w:sz w:val="32"/>
          <w:szCs w:val="32"/>
          <w:rtl/>
        </w:rPr>
        <w:t xml:space="preserve"> مقاولة صغرى و 21</w:t>
      </w:r>
      <w:r w:rsidRPr="00CB44FD">
        <w:rPr>
          <w:rFonts w:cs="Arabic Transparent"/>
          <w:sz w:val="32"/>
          <w:szCs w:val="32"/>
        </w:rPr>
        <w:t>%</w:t>
      </w:r>
      <w:r w:rsidRPr="00CB44FD">
        <w:rPr>
          <w:rFonts w:cs="Arabic Transparent" w:hint="cs"/>
          <w:sz w:val="32"/>
          <w:szCs w:val="32"/>
          <w:rtl/>
        </w:rPr>
        <w:t xml:space="preserve"> متوسطة. وحقق مجموع هذه المقاولات 15</w:t>
      </w:r>
      <w:r w:rsidRPr="00CB44FD">
        <w:rPr>
          <w:rFonts w:cs="Arabic Transparent"/>
          <w:sz w:val="32"/>
          <w:szCs w:val="32"/>
        </w:rPr>
        <w:t>%</w:t>
      </w:r>
      <w:r w:rsidRPr="00CB44FD">
        <w:rPr>
          <w:rFonts w:cs="Arabic Transparent" w:hint="cs"/>
          <w:sz w:val="32"/>
          <w:szCs w:val="32"/>
          <w:rtl/>
        </w:rPr>
        <w:t xml:space="preserve"> من القيمة المضافة الصناعية بتشغيل 33</w:t>
      </w:r>
      <w:r w:rsidRPr="00CB44FD">
        <w:rPr>
          <w:rFonts w:cs="Arabic Transparent"/>
          <w:sz w:val="32"/>
          <w:szCs w:val="32"/>
        </w:rPr>
        <w:t>%</w:t>
      </w:r>
      <w:r w:rsidRPr="00CB44FD">
        <w:rPr>
          <w:rFonts w:cs="Arabic Transparent" w:hint="cs"/>
          <w:sz w:val="32"/>
          <w:szCs w:val="32"/>
          <w:rtl/>
        </w:rPr>
        <w:t xml:space="preserve"> من اليد العاملة في القطاع. </w:t>
      </w:r>
    </w:p>
    <w:p w:rsidR="00434D67" w:rsidRPr="00CB44FD" w:rsidRDefault="00434D67" w:rsidP="00434D67">
      <w:pPr>
        <w:bidi/>
        <w:jc w:val="both"/>
        <w:rPr>
          <w:rFonts w:cs="Arabic Transparent"/>
          <w:sz w:val="32"/>
          <w:szCs w:val="32"/>
          <w:rtl/>
        </w:rPr>
      </w:pPr>
    </w:p>
    <w:p w:rsidR="003F3C24" w:rsidRPr="003F3C24" w:rsidRDefault="00434D67" w:rsidP="0007613B">
      <w:pPr>
        <w:bidi/>
        <w:jc w:val="both"/>
        <w:rPr>
          <w:rFonts w:cs="Arabic Transparent"/>
          <w:sz w:val="32"/>
          <w:szCs w:val="32"/>
        </w:rPr>
      </w:pPr>
      <w:r w:rsidRPr="00CB44FD">
        <w:rPr>
          <w:rFonts w:cs="Arabic Transparent" w:hint="cs"/>
          <w:sz w:val="32"/>
          <w:szCs w:val="32"/>
          <w:rtl/>
        </w:rPr>
        <w:t>ومن جهتهم، حققت المقاولات الصغرى جدا قيمة مضافة متوسطة قدرها 93000 درهم، بمساهمة ضعيفة نسبيا، حيث اكتفت بتغطية نفقات اليد العاملة في حين لم يتجاوز الهامش الربحي 2</w:t>
      </w:r>
      <w:r w:rsidRPr="00CB44FD">
        <w:rPr>
          <w:rFonts w:cs="Arabic Transparent"/>
          <w:sz w:val="32"/>
          <w:szCs w:val="32"/>
        </w:rPr>
        <w:t>%</w:t>
      </w:r>
      <w:r w:rsidRPr="00CB44FD">
        <w:rPr>
          <w:rFonts w:cs="Arabic Transparent" w:hint="cs"/>
          <w:sz w:val="32"/>
          <w:szCs w:val="32"/>
          <w:rtl/>
        </w:rPr>
        <w:t xml:space="preserve">. وتميزت القيمة المضافة لهذه المقاولات </w:t>
      </w:r>
      <w:r w:rsidR="005E38E9">
        <w:rPr>
          <w:rFonts w:cs="Arabic Transparent" w:hint="cs"/>
          <w:sz w:val="32"/>
          <w:szCs w:val="32"/>
          <w:rtl/>
        </w:rPr>
        <w:t>ب</w:t>
      </w:r>
      <w:r w:rsidRPr="00CB44FD">
        <w:rPr>
          <w:rFonts w:cs="Arabic Transparent" w:hint="cs"/>
          <w:sz w:val="32"/>
          <w:szCs w:val="32"/>
          <w:rtl/>
        </w:rPr>
        <w:t>تباينا</w:t>
      </w:r>
      <w:r w:rsidR="005E38E9">
        <w:rPr>
          <w:rFonts w:cs="Arabic Transparent" w:hint="cs"/>
          <w:sz w:val="32"/>
          <w:szCs w:val="32"/>
          <w:rtl/>
        </w:rPr>
        <w:t>ت</w:t>
      </w:r>
      <w:r w:rsidRPr="00CB44FD">
        <w:rPr>
          <w:rFonts w:cs="Arabic Transparent" w:hint="cs"/>
          <w:sz w:val="32"/>
          <w:szCs w:val="32"/>
          <w:rtl/>
        </w:rPr>
        <w:t xml:space="preserve"> شاسع</w:t>
      </w:r>
      <w:r w:rsidR="005E38E9">
        <w:rPr>
          <w:rFonts w:cs="Arabic Transparent" w:hint="cs"/>
          <w:sz w:val="32"/>
          <w:szCs w:val="32"/>
          <w:rtl/>
        </w:rPr>
        <w:t>ة</w:t>
      </w:r>
      <w:r w:rsidRPr="00CB44FD">
        <w:rPr>
          <w:rFonts w:cs="Arabic Transparent" w:hint="cs"/>
          <w:sz w:val="32"/>
          <w:szCs w:val="32"/>
          <w:rtl/>
        </w:rPr>
        <w:t xml:space="preserve"> حسب الفروع القطاعية، حيث </w:t>
      </w:r>
      <w:r w:rsidR="003F3C24" w:rsidRPr="003F3C24">
        <w:rPr>
          <w:rFonts w:cs="Arabic Transparent"/>
          <w:sz w:val="32"/>
          <w:szCs w:val="32"/>
          <w:rtl/>
        </w:rPr>
        <w:t>بلغ الربع الأول</w:t>
      </w:r>
      <w:r w:rsidR="003F3C24" w:rsidRPr="003F3C24">
        <w:rPr>
          <w:rFonts w:cs="Arabic Transparent" w:hint="cs"/>
          <w:sz w:val="32"/>
          <w:szCs w:val="32"/>
          <w:rtl/>
        </w:rPr>
        <w:t xml:space="preserve"> </w:t>
      </w:r>
      <w:r w:rsidR="009625F6">
        <w:rPr>
          <w:rFonts w:cs="Arabic Transparent" w:hint="cs"/>
          <w:sz w:val="32"/>
          <w:szCs w:val="32"/>
          <w:rtl/>
        </w:rPr>
        <w:t>23000</w:t>
      </w:r>
      <w:r w:rsidR="003F3C24" w:rsidRPr="003F3C24">
        <w:rPr>
          <w:rFonts w:cs="Arabic Transparent"/>
          <w:sz w:val="32"/>
          <w:szCs w:val="32"/>
          <w:rtl/>
        </w:rPr>
        <w:t xml:space="preserve"> درهم، في حين </w:t>
      </w:r>
      <w:r w:rsidR="005E38E9">
        <w:rPr>
          <w:rFonts w:cs="Arabic Transparent" w:hint="cs"/>
          <w:sz w:val="32"/>
          <w:szCs w:val="32"/>
          <w:rtl/>
        </w:rPr>
        <w:t>تضاعف</w:t>
      </w:r>
      <w:r w:rsidR="003F3C24" w:rsidRPr="003F3C24">
        <w:rPr>
          <w:rFonts w:cs="Arabic Transparent"/>
          <w:sz w:val="32"/>
          <w:szCs w:val="32"/>
          <w:rtl/>
        </w:rPr>
        <w:t xml:space="preserve"> الربع الثالث أكثر</w:t>
      </w:r>
      <w:r w:rsidR="003F3C24" w:rsidRPr="003F3C24">
        <w:rPr>
          <w:rFonts w:cs="Arabic Transparent" w:hint="cs"/>
          <w:sz w:val="32"/>
          <w:szCs w:val="32"/>
          <w:rtl/>
        </w:rPr>
        <w:t xml:space="preserve"> </w:t>
      </w:r>
      <w:r w:rsidR="003F3C24" w:rsidRPr="003F3C24">
        <w:rPr>
          <w:rFonts w:cs="Arabic Transparent"/>
          <w:sz w:val="32"/>
          <w:szCs w:val="32"/>
          <w:rtl/>
        </w:rPr>
        <w:t>ب 11 مرة. وقد تميزت الصناعات الغذائية والكهربائية والإلكترونية بت</w:t>
      </w:r>
      <w:r w:rsidR="005E38E9">
        <w:rPr>
          <w:rFonts w:cs="Arabic Transparent" w:hint="cs"/>
          <w:sz w:val="32"/>
          <w:szCs w:val="32"/>
          <w:rtl/>
        </w:rPr>
        <w:t>باين</w:t>
      </w:r>
      <w:r w:rsidR="003F3C24" w:rsidRPr="003F3C24">
        <w:rPr>
          <w:rFonts w:cs="Arabic Transparent"/>
          <w:sz w:val="32"/>
          <w:szCs w:val="32"/>
          <w:rtl/>
        </w:rPr>
        <w:t xml:space="preserve"> جد منخفض</w:t>
      </w:r>
      <w:r w:rsidR="005E38E9">
        <w:rPr>
          <w:rFonts w:cs="Arabic Transparent" w:hint="cs"/>
          <w:sz w:val="32"/>
          <w:szCs w:val="32"/>
          <w:rtl/>
        </w:rPr>
        <w:t xml:space="preserve">، </w:t>
      </w:r>
      <w:r w:rsidR="0007613B">
        <w:rPr>
          <w:rFonts w:cs="Arabic Transparent" w:hint="cs"/>
          <w:sz w:val="32"/>
          <w:szCs w:val="32"/>
          <w:rtl/>
        </w:rPr>
        <w:t>مقابل تباين أكبر</w:t>
      </w:r>
      <w:r w:rsidR="003F3C24" w:rsidRPr="003F3C24">
        <w:rPr>
          <w:rFonts w:cs="Arabic Transparent"/>
          <w:sz w:val="32"/>
          <w:szCs w:val="32"/>
          <w:rtl/>
        </w:rPr>
        <w:t xml:space="preserve"> في صناعات النسيج والجلد، </w:t>
      </w:r>
      <w:r w:rsidR="005E38E9">
        <w:rPr>
          <w:rFonts w:cs="Arabic Transparent" w:hint="cs"/>
          <w:sz w:val="32"/>
          <w:szCs w:val="32"/>
          <w:rtl/>
        </w:rPr>
        <w:t>حيث فاق</w:t>
      </w:r>
      <w:r w:rsidR="003F3C24" w:rsidRPr="003F3C24">
        <w:rPr>
          <w:rFonts w:cs="Arabic Transparent"/>
          <w:sz w:val="32"/>
          <w:szCs w:val="32"/>
          <w:rtl/>
        </w:rPr>
        <w:t xml:space="preserve"> الربع الثالث</w:t>
      </w:r>
      <w:r w:rsidR="005E38E9">
        <w:rPr>
          <w:rFonts w:cs="Arabic Transparent" w:hint="cs"/>
          <w:sz w:val="32"/>
          <w:szCs w:val="32"/>
          <w:rtl/>
        </w:rPr>
        <w:t xml:space="preserve"> </w:t>
      </w:r>
      <w:r w:rsidR="003F3C24" w:rsidRPr="003F3C24">
        <w:rPr>
          <w:rFonts w:cs="Arabic Transparent"/>
          <w:sz w:val="32"/>
          <w:szCs w:val="32"/>
          <w:rtl/>
        </w:rPr>
        <w:t>بأكثر من 15 مرة</w:t>
      </w:r>
      <w:r w:rsidR="0007613B" w:rsidRPr="0007613B">
        <w:rPr>
          <w:rFonts w:cs="Arabic Transparent" w:hint="cs"/>
          <w:sz w:val="32"/>
          <w:szCs w:val="32"/>
          <w:rtl/>
        </w:rPr>
        <w:t xml:space="preserve"> </w:t>
      </w:r>
      <w:r w:rsidR="0007613B">
        <w:rPr>
          <w:rFonts w:cs="Arabic Transparent" w:hint="cs"/>
          <w:sz w:val="32"/>
          <w:szCs w:val="32"/>
          <w:rtl/>
        </w:rPr>
        <w:t>الربع</w:t>
      </w:r>
      <w:r w:rsidR="0007613B" w:rsidRPr="003F3C24">
        <w:rPr>
          <w:rFonts w:cs="Arabic Transparent"/>
          <w:sz w:val="32"/>
          <w:szCs w:val="32"/>
          <w:rtl/>
        </w:rPr>
        <w:t xml:space="preserve"> الأول</w:t>
      </w:r>
      <w:r w:rsidR="003F3C24" w:rsidRPr="003F3C24">
        <w:rPr>
          <w:rFonts w:cs="Arabic Transparent"/>
          <w:sz w:val="32"/>
          <w:szCs w:val="32"/>
          <w:rtl/>
        </w:rPr>
        <w:t>.</w:t>
      </w:r>
    </w:p>
    <w:p w:rsidR="00434D67" w:rsidRPr="00CB44FD" w:rsidRDefault="00434D67" w:rsidP="00434D67">
      <w:pPr>
        <w:bidi/>
        <w:jc w:val="both"/>
        <w:rPr>
          <w:rFonts w:cs="Arabic Transparent"/>
          <w:sz w:val="32"/>
          <w:szCs w:val="32"/>
          <w:rtl/>
        </w:rPr>
      </w:pPr>
    </w:p>
    <w:p w:rsidR="003F3C24" w:rsidRPr="003F3C24" w:rsidRDefault="003F3C24" w:rsidP="003F3C24">
      <w:pPr>
        <w:bidi/>
        <w:jc w:val="both"/>
        <w:rPr>
          <w:b/>
          <w:bCs/>
          <w:color w:val="993366"/>
          <w:sz w:val="32"/>
          <w:szCs w:val="32"/>
        </w:rPr>
      </w:pPr>
      <w:r w:rsidRPr="003F3C24">
        <w:rPr>
          <w:b/>
          <w:bCs/>
          <w:color w:val="993366"/>
          <w:sz w:val="32"/>
          <w:szCs w:val="32"/>
          <w:rtl/>
        </w:rPr>
        <w:t>مساهمة المقاولات الأجنبية</w:t>
      </w:r>
    </w:p>
    <w:p w:rsidR="003F3C24" w:rsidRDefault="003F3C24" w:rsidP="003F3C24">
      <w:pPr>
        <w:bidi/>
        <w:jc w:val="both"/>
        <w:rPr>
          <w:rFonts w:asciiTheme="minorBidi" w:hAnsiTheme="minorBidi"/>
          <w:b/>
          <w:bCs/>
          <w:sz w:val="28"/>
          <w:szCs w:val="28"/>
          <w:rtl/>
        </w:rPr>
      </w:pPr>
    </w:p>
    <w:p w:rsidR="003F3C24" w:rsidRDefault="003F3C24" w:rsidP="006B4A9F">
      <w:pPr>
        <w:bidi/>
        <w:jc w:val="both"/>
        <w:rPr>
          <w:rFonts w:cs="Arabic Transparent"/>
          <w:sz w:val="32"/>
          <w:szCs w:val="32"/>
          <w:rtl/>
        </w:rPr>
      </w:pPr>
      <w:r w:rsidRPr="003F3C24">
        <w:rPr>
          <w:rFonts w:cs="Arabic Transparent"/>
          <w:sz w:val="32"/>
          <w:szCs w:val="32"/>
          <w:rtl/>
        </w:rPr>
        <w:t>مع ما يزيد عن 800 مقاولة ورقم معاملات ناهز 162 مليار درهم، شكلت المقاولات ذات المساهمة الأجنبية 9</w:t>
      </w:r>
      <w:r w:rsidRPr="003F3C24">
        <w:rPr>
          <w:rFonts w:cs="Arabic Transparent"/>
          <w:sz w:val="32"/>
          <w:szCs w:val="32"/>
        </w:rPr>
        <w:t>%</w:t>
      </w:r>
      <w:r w:rsidRPr="003F3C24">
        <w:rPr>
          <w:rFonts w:cs="Arabic Transparent"/>
          <w:sz w:val="32"/>
          <w:szCs w:val="32"/>
          <w:rtl/>
        </w:rPr>
        <w:t xml:space="preserve"> من مقاولات القطاع وساهمت بنسبة 37</w:t>
      </w:r>
      <w:r w:rsidRPr="003F3C24">
        <w:rPr>
          <w:rFonts w:cs="Arabic Transparent"/>
          <w:sz w:val="32"/>
          <w:szCs w:val="32"/>
        </w:rPr>
        <w:t>%</w:t>
      </w:r>
      <w:r w:rsidRPr="003F3C24">
        <w:rPr>
          <w:rFonts w:cs="Arabic Transparent"/>
          <w:sz w:val="32"/>
          <w:szCs w:val="32"/>
          <w:rtl/>
        </w:rPr>
        <w:t xml:space="preserve"> من رقم المعاملات. </w:t>
      </w:r>
      <w:r w:rsidR="0010484E">
        <w:rPr>
          <w:rFonts w:cs="Arabic Transparent" w:hint="cs"/>
          <w:sz w:val="32"/>
          <w:szCs w:val="32"/>
          <w:rtl/>
        </w:rPr>
        <w:t xml:space="preserve">كما </w:t>
      </w:r>
      <w:r w:rsidRPr="003F3C24">
        <w:rPr>
          <w:rFonts w:cs="Arabic Transparent"/>
          <w:sz w:val="32"/>
          <w:szCs w:val="32"/>
          <w:rtl/>
        </w:rPr>
        <w:t>شغلت حوالي 190500 شخص (30</w:t>
      </w:r>
      <w:r w:rsidRPr="003F3C24">
        <w:rPr>
          <w:rFonts w:cs="Arabic Transparent"/>
          <w:sz w:val="32"/>
          <w:szCs w:val="32"/>
        </w:rPr>
        <w:t>%</w:t>
      </w:r>
      <w:r w:rsidRPr="003F3C24">
        <w:rPr>
          <w:rFonts w:cs="Arabic Transparent"/>
          <w:sz w:val="32"/>
          <w:szCs w:val="32"/>
          <w:rtl/>
        </w:rPr>
        <w:t xml:space="preserve"> من العدد الإجمالي)، </w:t>
      </w:r>
      <w:r w:rsidR="0010484E">
        <w:rPr>
          <w:rFonts w:cs="Arabic Transparent" w:hint="cs"/>
          <w:sz w:val="32"/>
          <w:szCs w:val="32"/>
          <w:rtl/>
        </w:rPr>
        <w:t>و</w:t>
      </w:r>
      <w:r w:rsidRPr="003F3C24">
        <w:rPr>
          <w:rFonts w:cs="Arabic Transparent"/>
          <w:sz w:val="32"/>
          <w:szCs w:val="32"/>
          <w:rtl/>
        </w:rPr>
        <w:t>حققت 28</w:t>
      </w:r>
      <w:r w:rsidRPr="003F3C24">
        <w:rPr>
          <w:rFonts w:cs="Arabic Transparent"/>
          <w:sz w:val="32"/>
          <w:szCs w:val="32"/>
        </w:rPr>
        <w:t>%</w:t>
      </w:r>
      <w:r w:rsidRPr="003F3C24">
        <w:rPr>
          <w:rFonts w:cs="Arabic Transparent"/>
          <w:sz w:val="32"/>
          <w:szCs w:val="32"/>
          <w:rtl/>
        </w:rPr>
        <w:t xml:space="preserve"> من القيمة المضافة الإجمالية واستثمرت حوالي 10 مليارات درهم، أي 27</w:t>
      </w:r>
      <w:r w:rsidRPr="003F3C24">
        <w:rPr>
          <w:rFonts w:cs="Arabic Transparent"/>
          <w:sz w:val="32"/>
          <w:szCs w:val="32"/>
        </w:rPr>
        <w:t>%</w:t>
      </w:r>
      <w:r w:rsidRPr="003F3C24">
        <w:rPr>
          <w:rFonts w:cs="Arabic Transparent"/>
          <w:sz w:val="32"/>
          <w:szCs w:val="32"/>
          <w:rtl/>
        </w:rPr>
        <w:t xml:space="preserve"> من الاستثمار الإجمالي.</w:t>
      </w:r>
    </w:p>
    <w:p w:rsidR="0010484E" w:rsidRPr="003F3C24" w:rsidRDefault="0010484E" w:rsidP="0010484E">
      <w:pPr>
        <w:bidi/>
        <w:jc w:val="both"/>
        <w:rPr>
          <w:rFonts w:cs="Arabic Transparent"/>
          <w:sz w:val="32"/>
          <w:szCs w:val="32"/>
        </w:rPr>
      </w:pPr>
    </w:p>
    <w:p w:rsidR="003F3C24" w:rsidRPr="003F3C24" w:rsidRDefault="0010484E" w:rsidP="0010484E">
      <w:pPr>
        <w:bidi/>
        <w:jc w:val="both"/>
        <w:rPr>
          <w:rFonts w:cs="Arabic Transparent"/>
          <w:sz w:val="32"/>
          <w:szCs w:val="32"/>
        </w:rPr>
      </w:pPr>
      <w:r>
        <w:rPr>
          <w:rFonts w:cs="Arabic Transparent" w:hint="cs"/>
          <w:sz w:val="32"/>
          <w:szCs w:val="32"/>
          <w:rtl/>
        </w:rPr>
        <w:t>و</w:t>
      </w:r>
      <w:r w:rsidR="003F3C24" w:rsidRPr="003F3C24">
        <w:rPr>
          <w:rFonts w:cs="Arabic Transparent"/>
          <w:sz w:val="32"/>
          <w:szCs w:val="32"/>
          <w:rtl/>
        </w:rPr>
        <w:t xml:space="preserve">بلغت نسبة المقاولات ذات </w:t>
      </w:r>
      <w:bookmarkStart w:id="1" w:name="_Hlk495359069"/>
      <w:r w:rsidR="003F3C24" w:rsidRPr="003F3C24">
        <w:rPr>
          <w:rFonts w:cs="Arabic Transparent"/>
          <w:sz w:val="32"/>
          <w:szCs w:val="32"/>
          <w:rtl/>
        </w:rPr>
        <w:t xml:space="preserve">المساهمة </w:t>
      </w:r>
      <w:bookmarkEnd w:id="1"/>
      <w:r w:rsidR="003F3C24" w:rsidRPr="003F3C24">
        <w:rPr>
          <w:rFonts w:cs="Arabic Transparent"/>
          <w:sz w:val="32"/>
          <w:szCs w:val="32"/>
          <w:rtl/>
        </w:rPr>
        <w:t>الأجنبية</w:t>
      </w:r>
      <w:r w:rsidR="003F3C24" w:rsidRPr="003F3C24">
        <w:rPr>
          <w:rFonts w:cs="Arabic Transparent"/>
          <w:sz w:val="32"/>
          <w:szCs w:val="32"/>
        </w:rPr>
        <w:t xml:space="preserve"> </w:t>
      </w:r>
      <w:r w:rsidR="003F3C24" w:rsidRPr="003F3C24">
        <w:rPr>
          <w:rFonts w:cs="Arabic Transparent"/>
          <w:sz w:val="32"/>
          <w:szCs w:val="32"/>
          <w:rtl/>
        </w:rPr>
        <w:t>في فروع الصناعات الكهربائية والإلكترونية 25</w:t>
      </w:r>
      <w:r w:rsidR="003F3C24" w:rsidRPr="003F3C24">
        <w:rPr>
          <w:rFonts w:cs="Arabic Transparent"/>
          <w:sz w:val="32"/>
          <w:szCs w:val="32"/>
        </w:rPr>
        <w:t>%</w:t>
      </w:r>
      <w:r w:rsidR="003F3C24" w:rsidRPr="003F3C24">
        <w:rPr>
          <w:rFonts w:cs="Arabic Transparent"/>
          <w:sz w:val="32"/>
          <w:szCs w:val="32"/>
          <w:rtl/>
        </w:rPr>
        <w:t>. كما شغلت نصف عدد المستخدمين وسجلت حوالي نصف رقم المعاملات لهذا الفرع. و</w:t>
      </w:r>
      <w:r>
        <w:rPr>
          <w:rFonts w:cs="Arabic Transparent" w:hint="cs"/>
          <w:sz w:val="32"/>
          <w:szCs w:val="32"/>
          <w:rtl/>
        </w:rPr>
        <w:t>تميزت كونها</w:t>
      </w:r>
      <w:r w:rsidR="003F3C24" w:rsidRPr="003F3C24">
        <w:rPr>
          <w:rFonts w:cs="Arabic Transparent"/>
          <w:sz w:val="32"/>
          <w:szCs w:val="32"/>
          <w:rtl/>
        </w:rPr>
        <w:t xml:space="preserve"> جد ديناميكية على مستوى التصدير، بمعدل صادرات بلغ 70</w:t>
      </w:r>
      <w:r w:rsidR="003F3C24" w:rsidRPr="003F3C24">
        <w:rPr>
          <w:rFonts w:cs="Arabic Transparent"/>
          <w:sz w:val="32"/>
          <w:szCs w:val="32"/>
        </w:rPr>
        <w:t>%</w:t>
      </w:r>
      <w:r w:rsidR="003F3C24" w:rsidRPr="003F3C24">
        <w:rPr>
          <w:rFonts w:cs="Arabic Transparent"/>
          <w:sz w:val="32"/>
          <w:szCs w:val="32"/>
          <w:rtl/>
        </w:rPr>
        <w:t xml:space="preserve"> من رقم المعاملات.</w:t>
      </w:r>
    </w:p>
    <w:p w:rsidR="00271FA6" w:rsidRPr="003F3C24" w:rsidRDefault="003F3C24" w:rsidP="003F3C24">
      <w:pPr>
        <w:bidi/>
        <w:jc w:val="center"/>
        <w:rPr>
          <w:rFonts w:cs="Arabic Transparent"/>
          <w:sz w:val="32"/>
          <w:szCs w:val="32"/>
          <w:rtl/>
        </w:rPr>
      </w:pPr>
      <w:r w:rsidRPr="003F3C24">
        <w:rPr>
          <w:rFonts w:cs="Arabic Transparent"/>
          <w:noProof/>
          <w:sz w:val="32"/>
          <w:szCs w:val="32"/>
          <w:rtl/>
        </w:rPr>
        <w:lastRenderedPageBreak/>
        <w:drawing>
          <wp:inline distT="0" distB="0" distL="0" distR="0">
            <wp:extent cx="4154290" cy="2372007"/>
            <wp:effectExtent l="19050" t="0" r="17660" b="9243"/>
            <wp:docPr id="1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71FA6" w:rsidRPr="00CB44FD" w:rsidRDefault="00271FA6" w:rsidP="00271FA6">
      <w:pPr>
        <w:bidi/>
        <w:jc w:val="both"/>
        <w:rPr>
          <w:rFonts w:cs="Arabic Transparent"/>
          <w:sz w:val="32"/>
          <w:szCs w:val="32"/>
          <w:rtl/>
        </w:rPr>
      </w:pPr>
    </w:p>
    <w:p w:rsidR="003F3C24" w:rsidRPr="003F3C24" w:rsidRDefault="0010484E" w:rsidP="006B4A9F">
      <w:pPr>
        <w:bidi/>
        <w:jc w:val="both"/>
        <w:rPr>
          <w:rFonts w:cs="Arabic Transparent"/>
          <w:sz w:val="32"/>
          <w:szCs w:val="32"/>
        </w:rPr>
      </w:pPr>
      <w:r>
        <w:rPr>
          <w:rFonts w:cs="Arabic Transparent" w:hint="cs"/>
          <w:sz w:val="32"/>
          <w:szCs w:val="32"/>
          <w:rtl/>
        </w:rPr>
        <w:t>و</w:t>
      </w:r>
      <w:r w:rsidR="006B4A9F">
        <w:rPr>
          <w:rFonts w:cs="Arabic Transparent" w:hint="cs"/>
          <w:sz w:val="32"/>
          <w:szCs w:val="32"/>
          <w:rtl/>
        </w:rPr>
        <w:t>ت</w:t>
      </w:r>
      <w:r w:rsidR="003F3C24" w:rsidRPr="003F3C24">
        <w:rPr>
          <w:rFonts w:cs="Arabic Transparent"/>
          <w:sz w:val="32"/>
          <w:szCs w:val="32"/>
          <w:rtl/>
        </w:rPr>
        <w:t>ضم الصناعات المعدنية والميكانيكية 12</w:t>
      </w:r>
      <w:r w:rsidR="003F3C24" w:rsidRPr="003F3C24">
        <w:rPr>
          <w:rFonts w:cs="Arabic Transparent"/>
          <w:sz w:val="32"/>
          <w:szCs w:val="32"/>
        </w:rPr>
        <w:t>%</w:t>
      </w:r>
      <w:r w:rsidR="003F3C24" w:rsidRPr="003F3C24">
        <w:rPr>
          <w:rFonts w:cs="Arabic Transparent"/>
          <w:sz w:val="32"/>
          <w:szCs w:val="32"/>
          <w:rtl/>
        </w:rPr>
        <w:t xml:space="preserve"> من المقاولات ذات المساهمة الأجنبية. </w:t>
      </w:r>
      <w:r>
        <w:rPr>
          <w:rFonts w:cs="Arabic Transparent" w:hint="cs"/>
          <w:sz w:val="32"/>
          <w:szCs w:val="32"/>
          <w:rtl/>
        </w:rPr>
        <w:t xml:space="preserve">حيث </w:t>
      </w:r>
      <w:r w:rsidR="003F3C24" w:rsidRPr="003F3C24">
        <w:rPr>
          <w:rFonts w:cs="Arabic Transparent"/>
          <w:sz w:val="32"/>
          <w:szCs w:val="32"/>
          <w:rtl/>
        </w:rPr>
        <w:t>حققت حوالي نصف رقم المعاملات لهذا الفرع و</w:t>
      </w:r>
      <w:r w:rsidR="00053C11">
        <w:rPr>
          <w:rFonts w:cs="Arabic Transparent"/>
          <w:sz w:val="32"/>
          <w:szCs w:val="32"/>
        </w:rPr>
        <w:t xml:space="preserve"> </w:t>
      </w:r>
      <w:r w:rsidR="003F3C24" w:rsidRPr="003F3C24">
        <w:rPr>
          <w:rFonts w:cs="Arabic Transparent"/>
          <w:sz w:val="32"/>
          <w:szCs w:val="32"/>
          <w:rtl/>
        </w:rPr>
        <w:t>90</w:t>
      </w:r>
      <w:r w:rsidR="003F3C24" w:rsidRPr="003F3C24">
        <w:rPr>
          <w:rFonts w:cs="Arabic Transparent"/>
          <w:sz w:val="32"/>
          <w:szCs w:val="32"/>
        </w:rPr>
        <w:t>%</w:t>
      </w:r>
      <w:r w:rsidR="003F3C24" w:rsidRPr="003F3C24">
        <w:rPr>
          <w:rFonts w:cs="Arabic Transparent"/>
          <w:sz w:val="32"/>
          <w:szCs w:val="32"/>
          <w:rtl/>
        </w:rPr>
        <w:t xml:space="preserve"> من صادراته. و</w:t>
      </w:r>
      <w:r>
        <w:rPr>
          <w:rFonts w:cs="Arabic Transparent" w:hint="cs"/>
          <w:sz w:val="32"/>
          <w:szCs w:val="32"/>
          <w:rtl/>
        </w:rPr>
        <w:t>في</w:t>
      </w:r>
      <w:r w:rsidR="003F3C24" w:rsidRPr="003F3C24">
        <w:rPr>
          <w:rFonts w:cs="Arabic Transparent"/>
          <w:sz w:val="32"/>
          <w:szCs w:val="32"/>
          <w:rtl/>
        </w:rPr>
        <w:t xml:space="preserve"> المقابل، </w:t>
      </w:r>
      <w:r>
        <w:rPr>
          <w:rFonts w:cs="Arabic Transparent" w:hint="cs"/>
          <w:sz w:val="32"/>
          <w:szCs w:val="32"/>
          <w:rtl/>
        </w:rPr>
        <w:t>تعتبر</w:t>
      </w:r>
      <w:r w:rsidR="003F3C24" w:rsidRPr="003F3C24">
        <w:rPr>
          <w:rFonts w:cs="Arabic Transparent"/>
          <w:sz w:val="32"/>
          <w:szCs w:val="32"/>
          <w:rtl/>
        </w:rPr>
        <w:t xml:space="preserve"> مقاولات الصناعات الغذائية الأقل ولوجا من طرف </w:t>
      </w:r>
      <w:r>
        <w:rPr>
          <w:rFonts w:cs="Arabic Transparent" w:hint="cs"/>
          <w:sz w:val="32"/>
          <w:szCs w:val="32"/>
          <w:rtl/>
        </w:rPr>
        <w:t>ا</w:t>
      </w:r>
      <w:r w:rsidR="003F3C24" w:rsidRPr="003F3C24">
        <w:rPr>
          <w:rFonts w:cs="Arabic Transparent"/>
          <w:sz w:val="32"/>
          <w:szCs w:val="32"/>
          <w:rtl/>
        </w:rPr>
        <w:t>لرساميل الأجنبية. إذ مثل</w:t>
      </w:r>
      <w:r>
        <w:rPr>
          <w:rFonts w:cs="Arabic Transparent" w:hint="cs"/>
          <w:sz w:val="32"/>
          <w:szCs w:val="32"/>
          <w:rtl/>
        </w:rPr>
        <w:t>ت</w:t>
      </w:r>
      <w:r w:rsidR="003F3C24" w:rsidRPr="003F3C24">
        <w:rPr>
          <w:rFonts w:cs="Arabic Transparent"/>
          <w:sz w:val="32"/>
          <w:szCs w:val="32"/>
          <w:rtl/>
        </w:rPr>
        <w:t xml:space="preserve"> 5</w:t>
      </w:r>
      <w:r w:rsidR="003F3C24" w:rsidRPr="003F3C24">
        <w:rPr>
          <w:rFonts w:cs="Arabic Transparent"/>
          <w:sz w:val="32"/>
          <w:szCs w:val="32"/>
        </w:rPr>
        <w:t>%</w:t>
      </w:r>
      <w:r w:rsidR="003F3C24" w:rsidRPr="003F3C24">
        <w:rPr>
          <w:rFonts w:cs="Arabic Transparent"/>
          <w:sz w:val="32"/>
          <w:szCs w:val="32"/>
          <w:rtl/>
        </w:rPr>
        <w:t xml:space="preserve"> </w:t>
      </w:r>
      <w:r w:rsidR="003F3C24" w:rsidRPr="003F3C24">
        <w:rPr>
          <w:rFonts w:cs="Arabic Transparent" w:hint="cs"/>
          <w:sz w:val="32"/>
          <w:szCs w:val="32"/>
          <w:rtl/>
        </w:rPr>
        <w:t>فقط من مقاولات ذات المساهمة الأجنبية، لكنها شغل</w:t>
      </w:r>
      <w:r>
        <w:rPr>
          <w:rFonts w:cs="Arabic Transparent" w:hint="cs"/>
          <w:sz w:val="32"/>
          <w:szCs w:val="32"/>
          <w:rtl/>
        </w:rPr>
        <w:t>ت</w:t>
      </w:r>
      <w:r w:rsidR="003F3C24" w:rsidRPr="003F3C24">
        <w:rPr>
          <w:rFonts w:cs="Arabic Transparent" w:hint="cs"/>
          <w:sz w:val="32"/>
          <w:szCs w:val="32"/>
          <w:rtl/>
        </w:rPr>
        <w:t xml:space="preserve"> 28</w:t>
      </w:r>
      <w:r w:rsidR="003F3C24" w:rsidRPr="003F3C24">
        <w:rPr>
          <w:rFonts w:cs="Arabic Transparent"/>
          <w:sz w:val="32"/>
          <w:szCs w:val="32"/>
        </w:rPr>
        <w:t>%</w:t>
      </w:r>
      <w:r w:rsidR="003F3C24" w:rsidRPr="003F3C24">
        <w:rPr>
          <w:rFonts w:cs="Arabic Transparent"/>
          <w:sz w:val="32"/>
          <w:szCs w:val="32"/>
          <w:rtl/>
        </w:rPr>
        <w:t xml:space="preserve"> </w:t>
      </w:r>
      <w:r w:rsidR="003F3C24" w:rsidRPr="003F3C24">
        <w:rPr>
          <w:rFonts w:cs="Arabic Transparent" w:hint="cs"/>
          <w:sz w:val="32"/>
          <w:szCs w:val="32"/>
          <w:rtl/>
        </w:rPr>
        <w:t>من عدد المشتغلين وحققت 23</w:t>
      </w:r>
      <w:r w:rsidR="003F3C24" w:rsidRPr="003F3C24">
        <w:rPr>
          <w:rFonts w:cs="Arabic Transparent"/>
          <w:sz w:val="32"/>
          <w:szCs w:val="32"/>
        </w:rPr>
        <w:t>%</w:t>
      </w:r>
      <w:r w:rsidR="003F3C24" w:rsidRPr="003F3C24">
        <w:rPr>
          <w:rFonts w:cs="Arabic Transparent"/>
          <w:sz w:val="32"/>
          <w:szCs w:val="32"/>
          <w:rtl/>
        </w:rPr>
        <w:t xml:space="preserve"> </w:t>
      </w:r>
      <w:r w:rsidR="003F3C24" w:rsidRPr="003F3C24">
        <w:rPr>
          <w:rFonts w:cs="Arabic Transparent" w:hint="cs"/>
          <w:sz w:val="32"/>
          <w:szCs w:val="32"/>
          <w:rtl/>
        </w:rPr>
        <w:t>من القيمة المضافة.</w:t>
      </w:r>
    </w:p>
    <w:p w:rsidR="003F3C24" w:rsidRDefault="003F3C24" w:rsidP="003F3C24">
      <w:pPr>
        <w:bidi/>
        <w:jc w:val="both"/>
        <w:rPr>
          <w:rFonts w:asciiTheme="minorBidi" w:hAnsiTheme="minorBidi"/>
          <w:sz w:val="28"/>
          <w:szCs w:val="28"/>
          <w:rtl/>
        </w:rPr>
      </w:pPr>
    </w:p>
    <w:p w:rsidR="003F3C24" w:rsidRPr="003F3C24" w:rsidRDefault="003F3C24" w:rsidP="003F3C24">
      <w:pPr>
        <w:bidi/>
        <w:jc w:val="both"/>
        <w:rPr>
          <w:rFonts w:ascii="Book Antiqua" w:hAnsi="Book Antiqua" w:cs="Arial"/>
          <w:b/>
          <w:bCs/>
          <w:color w:val="E36C0A"/>
          <w:sz w:val="36"/>
          <w:szCs w:val="36"/>
        </w:rPr>
      </w:pPr>
      <w:r w:rsidRPr="003F3C24">
        <w:rPr>
          <w:rFonts w:ascii="Book Antiqua" w:hAnsi="Book Antiqua" w:cs="Arial"/>
          <w:b/>
          <w:bCs/>
          <w:color w:val="E36C0A"/>
          <w:sz w:val="36"/>
          <w:szCs w:val="36"/>
          <w:rtl/>
        </w:rPr>
        <w:t>3 - المؤشرات الاقتصادية والمالية للصناعات التحويلية</w:t>
      </w:r>
    </w:p>
    <w:p w:rsidR="003F3C24" w:rsidRDefault="003F3C24" w:rsidP="003F3C24">
      <w:pPr>
        <w:bidi/>
        <w:jc w:val="both"/>
        <w:rPr>
          <w:rFonts w:ascii="Book Antiqua" w:hAnsi="Book Antiqua" w:cs="Arial"/>
          <w:b/>
          <w:bCs/>
          <w:color w:val="E36C0A"/>
          <w:sz w:val="36"/>
          <w:szCs w:val="36"/>
          <w:rtl/>
        </w:rPr>
      </w:pPr>
    </w:p>
    <w:p w:rsidR="003F3C24" w:rsidRPr="003F3C24" w:rsidRDefault="003F3C24" w:rsidP="003F3C24">
      <w:pPr>
        <w:bidi/>
        <w:jc w:val="both"/>
        <w:rPr>
          <w:b/>
          <w:bCs/>
          <w:color w:val="993366"/>
          <w:sz w:val="32"/>
          <w:szCs w:val="32"/>
        </w:rPr>
      </w:pPr>
      <w:r w:rsidRPr="003F3C24">
        <w:rPr>
          <w:b/>
          <w:bCs/>
          <w:color w:val="993366"/>
          <w:sz w:val="32"/>
          <w:szCs w:val="32"/>
          <w:rtl/>
        </w:rPr>
        <w:t>تحسين الاستثمار الإجمالي</w:t>
      </w:r>
    </w:p>
    <w:p w:rsidR="003F3C24" w:rsidRDefault="003F3C24" w:rsidP="003F3C24">
      <w:pPr>
        <w:bidi/>
        <w:jc w:val="both"/>
        <w:rPr>
          <w:rFonts w:asciiTheme="minorBidi" w:hAnsiTheme="minorBidi"/>
          <w:b/>
          <w:bCs/>
          <w:sz w:val="28"/>
          <w:szCs w:val="28"/>
          <w:rtl/>
        </w:rPr>
      </w:pPr>
    </w:p>
    <w:p w:rsidR="003F3C24" w:rsidRDefault="003F3C24" w:rsidP="00243EE5">
      <w:pPr>
        <w:bidi/>
        <w:jc w:val="both"/>
        <w:rPr>
          <w:rFonts w:cs="Arabic Transparent"/>
          <w:sz w:val="32"/>
          <w:szCs w:val="32"/>
          <w:rtl/>
        </w:rPr>
      </w:pPr>
      <w:r w:rsidRPr="003F3C24">
        <w:rPr>
          <w:rFonts w:cs="Arabic Transparent"/>
          <w:sz w:val="32"/>
          <w:szCs w:val="32"/>
          <w:rtl/>
        </w:rPr>
        <w:t>تجاوز الاستثمار في الصناعات التحويلية 38,5 مليار درهم، بمتوسط زيادة سنوية قدره  13,2</w:t>
      </w:r>
      <w:r w:rsidRPr="003F3C24">
        <w:rPr>
          <w:rFonts w:cs="Arabic Transparent"/>
          <w:sz w:val="32"/>
          <w:szCs w:val="32"/>
        </w:rPr>
        <w:t>%</w:t>
      </w:r>
      <w:r w:rsidRPr="003F3C24">
        <w:rPr>
          <w:rFonts w:cs="Arabic Transparent"/>
          <w:sz w:val="32"/>
          <w:szCs w:val="32"/>
          <w:rtl/>
        </w:rPr>
        <w:t xml:space="preserve"> منذ سنة 2006. وتمكنت حوالي 33</w:t>
      </w:r>
      <w:r w:rsidRPr="003F3C24">
        <w:rPr>
          <w:rFonts w:cs="Arabic Transparent"/>
          <w:sz w:val="32"/>
          <w:szCs w:val="32"/>
        </w:rPr>
        <w:t>%</w:t>
      </w:r>
      <w:r w:rsidRPr="003F3C24">
        <w:rPr>
          <w:rFonts w:cs="Arabic Transparent"/>
          <w:sz w:val="32"/>
          <w:szCs w:val="32"/>
          <w:rtl/>
        </w:rPr>
        <w:t xml:space="preserve"> من المقاولات المستثمرة من تحقيق رقم معاملات عند التصدير </w:t>
      </w:r>
      <w:r w:rsidR="00243EE5">
        <w:rPr>
          <w:rFonts w:cs="Arabic Transparent" w:hint="cs"/>
          <w:sz w:val="32"/>
          <w:szCs w:val="32"/>
          <w:rtl/>
        </w:rPr>
        <w:t>و</w:t>
      </w:r>
      <w:r w:rsidRPr="003F3C24">
        <w:rPr>
          <w:rFonts w:cs="Arabic Transparent"/>
          <w:sz w:val="32"/>
          <w:szCs w:val="32"/>
          <w:rtl/>
        </w:rPr>
        <w:t xml:space="preserve">صل إلى 102 مليار درهم، أي ما </w:t>
      </w:r>
      <w:r w:rsidR="00243EE5">
        <w:rPr>
          <w:rFonts w:cs="Arabic Transparent" w:hint="cs"/>
          <w:sz w:val="32"/>
          <w:szCs w:val="32"/>
          <w:rtl/>
        </w:rPr>
        <w:t>قدر</w:t>
      </w:r>
      <w:r w:rsidRPr="003F3C24">
        <w:rPr>
          <w:rFonts w:cs="Arabic Transparent"/>
          <w:sz w:val="32"/>
          <w:szCs w:val="32"/>
          <w:rtl/>
        </w:rPr>
        <w:t>ه 91</w:t>
      </w:r>
      <w:r w:rsidRPr="003F3C24">
        <w:rPr>
          <w:rFonts w:cs="Arabic Transparent"/>
          <w:sz w:val="32"/>
          <w:szCs w:val="32"/>
        </w:rPr>
        <w:t>%</w:t>
      </w:r>
      <w:r w:rsidRPr="003F3C24">
        <w:rPr>
          <w:rFonts w:cs="Arabic Transparent"/>
          <w:sz w:val="32"/>
          <w:szCs w:val="32"/>
          <w:rtl/>
        </w:rPr>
        <w:t xml:space="preserve"> من قيمة صادرات القطاع. وساهمت مقاولات الصناعات الكيم</w:t>
      </w:r>
      <w:r w:rsidR="00243EE5">
        <w:rPr>
          <w:rFonts w:cs="Arabic Transparent" w:hint="cs"/>
          <w:sz w:val="32"/>
          <w:szCs w:val="32"/>
          <w:rtl/>
        </w:rPr>
        <w:t>ي</w:t>
      </w:r>
      <w:r w:rsidRPr="003F3C24">
        <w:rPr>
          <w:rFonts w:cs="Arabic Transparent"/>
          <w:sz w:val="32"/>
          <w:szCs w:val="32"/>
          <w:rtl/>
        </w:rPr>
        <w:t>ا</w:t>
      </w:r>
      <w:r w:rsidR="00243EE5">
        <w:rPr>
          <w:rFonts w:cs="Arabic Transparent" w:hint="cs"/>
          <w:sz w:val="32"/>
          <w:szCs w:val="32"/>
          <w:rtl/>
        </w:rPr>
        <w:t>ئ</w:t>
      </w:r>
      <w:r w:rsidRPr="003F3C24">
        <w:rPr>
          <w:rFonts w:cs="Arabic Transparent"/>
          <w:sz w:val="32"/>
          <w:szCs w:val="32"/>
          <w:rtl/>
        </w:rPr>
        <w:t xml:space="preserve">ية وشبه </w:t>
      </w:r>
      <w:r w:rsidRPr="003F3C24">
        <w:rPr>
          <w:rFonts w:cs="Arabic Transparent" w:hint="cs"/>
          <w:sz w:val="32"/>
          <w:szCs w:val="32"/>
          <w:rtl/>
        </w:rPr>
        <w:t>الكيم</w:t>
      </w:r>
      <w:r w:rsidR="00243EE5">
        <w:rPr>
          <w:rFonts w:cs="Arabic Transparent" w:hint="cs"/>
          <w:sz w:val="32"/>
          <w:szCs w:val="32"/>
          <w:rtl/>
        </w:rPr>
        <w:t>ي</w:t>
      </w:r>
      <w:r w:rsidRPr="003F3C24">
        <w:rPr>
          <w:rFonts w:cs="Arabic Transparent" w:hint="cs"/>
          <w:sz w:val="32"/>
          <w:szCs w:val="32"/>
          <w:rtl/>
        </w:rPr>
        <w:t>ا</w:t>
      </w:r>
      <w:r w:rsidR="00243EE5">
        <w:rPr>
          <w:rFonts w:cs="Arabic Transparent" w:hint="cs"/>
          <w:sz w:val="32"/>
          <w:szCs w:val="32"/>
          <w:rtl/>
        </w:rPr>
        <w:t>ئ</w:t>
      </w:r>
      <w:r w:rsidRPr="003F3C24">
        <w:rPr>
          <w:rFonts w:cs="Arabic Transparent" w:hint="cs"/>
          <w:sz w:val="32"/>
          <w:szCs w:val="32"/>
          <w:rtl/>
        </w:rPr>
        <w:t>ية</w:t>
      </w:r>
      <w:r w:rsidRPr="003F3C24">
        <w:rPr>
          <w:rFonts w:cs="Arabic Transparent"/>
          <w:sz w:val="32"/>
          <w:szCs w:val="32"/>
          <w:rtl/>
        </w:rPr>
        <w:t xml:space="preserve"> بنسبة 76</w:t>
      </w:r>
      <w:r w:rsidRPr="003F3C24">
        <w:rPr>
          <w:rFonts w:cs="Arabic Transparent"/>
          <w:sz w:val="32"/>
          <w:szCs w:val="32"/>
        </w:rPr>
        <w:t>%</w:t>
      </w:r>
      <w:r w:rsidRPr="003F3C24">
        <w:rPr>
          <w:rFonts w:cs="Arabic Transparent"/>
          <w:sz w:val="32"/>
          <w:szCs w:val="32"/>
          <w:rtl/>
        </w:rPr>
        <w:t xml:space="preserve"> من الغلاف الإجمالي للاستثمارات، مسجلة بذلك نموا سنويا متوسطا بلغ 18</w:t>
      </w:r>
      <w:r w:rsidRPr="003F3C24">
        <w:rPr>
          <w:rFonts w:cs="Arabic Transparent"/>
          <w:sz w:val="32"/>
          <w:szCs w:val="32"/>
        </w:rPr>
        <w:t>%</w:t>
      </w:r>
      <w:r w:rsidRPr="003F3C24">
        <w:rPr>
          <w:rFonts w:cs="Arabic Transparent"/>
          <w:sz w:val="32"/>
          <w:szCs w:val="32"/>
          <w:rtl/>
        </w:rPr>
        <w:t xml:space="preserve"> منذ سنة 2006. بالمقابل، عرف استثمار مقاولات النسيج والجلد انخفاضا سنويا متوسطا بلغ 4,6</w:t>
      </w:r>
      <w:r w:rsidRPr="003F3C24">
        <w:rPr>
          <w:rFonts w:cs="Arabic Transparent"/>
          <w:sz w:val="32"/>
          <w:szCs w:val="32"/>
        </w:rPr>
        <w:t>%</w:t>
      </w:r>
      <w:r w:rsidRPr="003F3C24">
        <w:rPr>
          <w:rFonts w:cs="Arabic Transparent"/>
          <w:sz w:val="32"/>
          <w:szCs w:val="32"/>
          <w:rtl/>
        </w:rPr>
        <w:t>، وانتقلت مساهمته من 11</w:t>
      </w:r>
      <w:r w:rsidRPr="003F3C24">
        <w:rPr>
          <w:rFonts w:cs="Arabic Transparent"/>
          <w:sz w:val="32"/>
          <w:szCs w:val="32"/>
        </w:rPr>
        <w:t>%</w:t>
      </w:r>
      <w:r w:rsidRPr="003F3C24">
        <w:rPr>
          <w:rFonts w:cs="Arabic Transparent"/>
          <w:sz w:val="32"/>
          <w:szCs w:val="32"/>
          <w:rtl/>
        </w:rPr>
        <w:t xml:space="preserve"> </w:t>
      </w:r>
      <w:r w:rsidRPr="003F3C24">
        <w:rPr>
          <w:rFonts w:cs="Arabic Transparent" w:hint="cs"/>
          <w:sz w:val="32"/>
          <w:szCs w:val="32"/>
          <w:rtl/>
        </w:rPr>
        <w:t>سنة 2006 إلى 3</w:t>
      </w:r>
      <w:r w:rsidRPr="003F3C24">
        <w:rPr>
          <w:rFonts w:cs="Arabic Transparent"/>
          <w:sz w:val="32"/>
          <w:szCs w:val="32"/>
        </w:rPr>
        <w:t>%</w:t>
      </w:r>
      <w:r w:rsidRPr="003F3C24">
        <w:rPr>
          <w:rFonts w:cs="Arabic Transparent"/>
          <w:sz w:val="32"/>
          <w:szCs w:val="32"/>
          <w:rtl/>
        </w:rPr>
        <w:t xml:space="preserve"> فقط سنة 2014.</w:t>
      </w:r>
    </w:p>
    <w:p w:rsidR="0010484E" w:rsidRPr="003F3C24" w:rsidRDefault="0010484E" w:rsidP="0010484E">
      <w:pPr>
        <w:bidi/>
        <w:jc w:val="both"/>
        <w:rPr>
          <w:rFonts w:cs="Arabic Transparent"/>
          <w:sz w:val="32"/>
          <w:szCs w:val="32"/>
        </w:rPr>
      </w:pPr>
    </w:p>
    <w:p w:rsidR="00271FA6" w:rsidRPr="00CB44FD" w:rsidRDefault="003F3C24" w:rsidP="003F3C24">
      <w:pPr>
        <w:bidi/>
        <w:jc w:val="center"/>
        <w:rPr>
          <w:rFonts w:cs="Arabic Transparent"/>
          <w:sz w:val="32"/>
          <w:szCs w:val="32"/>
          <w:rtl/>
        </w:rPr>
      </w:pPr>
      <w:r w:rsidRPr="003F3C24">
        <w:rPr>
          <w:rFonts w:cs="Arabic Transparent"/>
          <w:noProof/>
          <w:sz w:val="32"/>
          <w:szCs w:val="32"/>
          <w:rtl/>
        </w:rPr>
        <w:drawing>
          <wp:inline distT="0" distB="0" distL="0" distR="0">
            <wp:extent cx="4568843" cy="2462542"/>
            <wp:effectExtent l="19050" t="0" r="22207" b="0"/>
            <wp:docPr id="1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71FA6" w:rsidRPr="00CB44FD" w:rsidRDefault="00271FA6" w:rsidP="00271FA6">
      <w:pPr>
        <w:bidi/>
        <w:jc w:val="both"/>
        <w:rPr>
          <w:rFonts w:cs="Arabic Transparent"/>
          <w:sz w:val="32"/>
          <w:szCs w:val="32"/>
          <w:rtl/>
        </w:rPr>
      </w:pPr>
    </w:p>
    <w:p w:rsidR="003F3C24" w:rsidRPr="003F3C24" w:rsidRDefault="003F3C24" w:rsidP="00787C63">
      <w:pPr>
        <w:bidi/>
        <w:jc w:val="both"/>
        <w:rPr>
          <w:rFonts w:cs="Arabic Transparent"/>
          <w:sz w:val="32"/>
          <w:szCs w:val="32"/>
        </w:rPr>
      </w:pPr>
      <w:r w:rsidRPr="003F3C24">
        <w:rPr>
          <w:rFonts w:cs="Arabic Transparent"/>
          <w:sz w:val="32"/>
          <w:szCs w:val="32"/>
          <w:rtl/>
        </w:rPr>
        <w:t>وتميز الاستثمار بتركيز أقوى مقارنة بباقي المؤشرات</w:t>
      </w:r>
      <w:r w:rsidR="00787C63">
        <w:rPr>
          <w:rFonts w:cs="Arabic Transparent" w:hint="cs"/>
          <w:sz w:val="32"/>
          <w:szCs w:val="32"/>
          <w:rtl/>
        </w:rPr>
        <w:t>، حيث استحوذت</w:t>
      </w:r>
      <w:r w:rsidRPr="003F3C24">
        <w:rPr>
          <w:rFonts w:cs="Arabic Transparent"/>
          <w:sz w:val="32"/>
          <w:szCs w:val="32"/>
          <w:rtl/>
        </w:rPr>
        <w:t xml:space="preserve"> 11</w:t>
      </w:r>
      <w:r w:rsidRPr="003F3C24">
        <w:rPr>
          <w:rFonts w:cs="Arabic Transparent"/>
          <w:sz w:val="32"/>
          <w:szCs w:val="32"/>
        </w:rPr>
        <w:t>%</w:t>
      </w:r>
      <w:r w:rsidRPr="003F3C24">
        <w:rPr>
          <w:rFonts w:cs="Arabic Transparent"/>
          <w:sz w:val="32"/>
          <w:szCs w:val="32"/>
          <w:rtl/>
        </w:rPr>
        <w:t xml:space="preserve"> من المقاولات على 94</w:t>
      </w:r>
      <w:r w:rsidRPr="003F3C24">
        <w:rPr>
          <w:rFonts w:cs="Arabic Transparent"/>
          <w:sz w:val="32"/>
          <w:szCs w:val="32"/>
        </w:rPr>
        <w:t>%</w:t>
      </w:r>
      <w:r w:rsidRPr="003F3C24">
        <w:rPr>
          <w:rFonts w:cs="Arabic Transparent"/>
          <w:sz w:val="32"/>
          <w:szCs w:val="32"/>
          <w:rtl/>
        </w:rPr>
        <w:t xml:space="preserve"> من الغلاف الإجمالي للاستثمار بالقطاع. أما الباقي</w:t>
      </w:r>
      <w:r w:rsidR="0010484E">
        <w:rPr>
          <w:rFonts w:cs="Arabic Transparent" w:hint="cs"/>
          <w:sz w:val="32"/>
          <w:szCs w:val="32"/>
          <w:rtl/>
        </w:rPr>
        <w:t>،</w:t>
      </w:r>
      <w:r w:rsidRPr="003F3C24">
        <w:rPr>
          <w:rFonts w:cs="Arabic Transparent"/>
          <w:sz w:val="32"/>
          <w:szCs w:val="32"/>
          <w:rtl/>
        </w:rPr>
        <w:t xml:space="preserve"> ف</w:t>
      </w:r>
      <w:r w:rsidR="0010484E">
        <w:rPr>
          <w:rFonts w:cs="Arabic Transparent" w:hint="cs"/>
          <w:sz w:val="32"/>
          <w:szCs w:val="32"/>
          <w:rtl/>
        </w:rPr>
        <w:t>كان من نصيب</w:t>
      </w:r>
      <w:r w:rsidRPr="003F3C24">
        <w:rPr>
          <w:rFonts w:cs="Arabic Transparent"/>
          <w:sz w:val="32"/>
          <w:szCs w:val="32"/>
          <w:rtl/>
        </w:rPr>
        <w:t xml:space="preserve"> المقاولات المتوسطة (4,7</w:t>
      </w:r>
      <w:r w:rsidRPr="003F3C24">
        <w:rPr>
          <w:rFonts w:cs="Arabic Transparent"/>
          <w:sz w:val="32"/>
          <w:szCs w:val="32"/>
        </w:rPr>
        <w:t>%</w:t>
      </w:r>
      <w:r w:rsidRPr="003F3C24">
        <w:rPr>
          <w:rFonts w:cs="Arabic Transparent"/>
          <w:sz w:val="32"/>
          <w:szCs w:val="32"/>
          <w:rtl/>
        </w:rPr>
        <w:t>)، والمقاولات الصغرى والصغيرة جدا  1,5</w:t>
      </w:r>
      <w:r w:rsidRPr="003F3C24">
        <w:rPr>
          <w:rFonts w:cs="Arabic Transparent"/>
          <w:sz w:val="32"/>
          <w:szCs w:val="32"/>
        </w:rPr>
        <w:t>%</w:t>
      </w:r>
      <w:r w:rsidRPr="003F3C24">
        <w:rPr>
          <w:rFonts w:cs="Arabic Transparent"/>
          <w:sz w:val="32"/>
          <w:szCs w:val="32"/>
          <w:rtl/>
        </w:rPr>
        <w:t>.</w:t>
      </w:r>
    </w:p>
    <w:p w:rsidR="00434D67" w:rsidRPr="00CB44FD" w:rsidRDefault="00434D67" w:rsidP="00434D67">
      <w:pPr>
        <w:bidi/>
        <w:jc w:val="both"/>
        <w:rPr>
          <w:rFonts w:cs="Arabic Transparent"/>
          <w:sz w:val="32"/>
          <w:szCs w:val="32"/>
          <w:rtl/>
        </w:rPr>
      </w:pPr>
    </w:p>
    <w:p w:rsidR="00434D67" w:rsidRPr="00CB44FD" w:rsidRDefault="003F3C24" w:rsidP="00434D67">
      <w:pPr>
        <w:bidi/>
        <w:jc w:val="both"/>
        <w:rPr>
          <w:rFonts w:cs="Arabic Transparent"/>
          <w:sz w:val="32"/>
          <w:szCs w:val="32"/>
          <w:rtl/>
        </w:rPr>
      </w:pPr>
      <w:r w:rsidRPr="003F3C24">
        <w:rPr>
          <w:rFonts w:cs="Arabic Transparent"/>
          <w:noProof/>
          <w:sz w:val="32"/>
          <w:szCs w:val="32"/>
          <w:rtl/>
        </w:rPr>
        <w:drawing>
          <wp:inline distT="0" distB="0" distL="0" distR="0">
            <wp:extent cx="3039915" cy="2381062"/>
            <wp:effectExtent l="19050" t="0" r="27135" b="188"/>
            <wp:docPr id="2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3F3C24">
        <w:rPr>
          <w:noProof/>
        </w:rPr>
        <w:t xml:space="preserve"> </w:t>
      </w:r>
      <w:r w:rsidRPr="003F3C24">
        <w:rPr>
          <w:rFonts w:cs="Arabic Transparent"/>
          <w:noProof/>
          <w:sz w:val="32"/>
          <w:szCs w:val="32"/>
          <w:rtl/>
        </w:rPr>
        <w:drawing>
          <wp:inline distT="0" distB="0" distL="0" distR="0">
            <wp:extent cx="2915870" cy="2381062"/>
            <wp:effectExtent l="19050" t="0" r="17830" b="188"/>
            <wp:docPr id="2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73C96" w:rsidRDefault="00B73C96" w:rsidP="00C5592F">
      <w:pPr>
        <w:bidi/>
        <w:jc w:val="both"/>
        <w:rPr>
          <w:rFonts w:asciiTheme="majorBidi" w:hAnsiTheme="majorBidi" w:cstheme="majorBidi"/>
          <w:sz w:val="28"/>
          <w:szCs w:val="28"/>
          <w:rtl/>
          <w:lang w:bidi="ar-MA"/>
        </w:rPr>
      </w:pPr>
    </w:p>
    <w:p w:rsidR="00B73C96" w:rsidRPr="00B73C96" w:rsidRDefault="00B73C96" w:rsidP="00B73C96">
      <w:pPr>
        <w:bidi/>
        <w:jc w:val="both"/>
        <w:rPr>
          <w:b/>
          <w:bCs/>
          <w:color w:val="993366"/>
          <w:sz w:val="32"/>
          <w:szCs w:val="32"/>
        </w:rPr>
      </w:pPr>
      <w:r w:rsidRPr="00B73C96">
        <w:rPr>
          <w:b/>
          <w:bCs/>
          <w:color w:val="993366"/>
          <w:sz w:val="32"/>
          <w:szCs w:val="32"/>
          <w:rtl/>
        </w:rPr>
        <w:t>تمويل الاستثمار في القطاع</w:t>
      </w:r>
    </w:p>
    <w:p w:rsidR="00B73C96" w:rsidRDefault="00B73C96" w:rsidP="00B73C96">
      <w:pPr>
        <w:bidi/>
        <w:jc w:val="both"/>
        <w:rPr>
          <w:rFonts w:asciiTheme="minorBidi" w:hAnsiTheme="minorBidi"/>
          <w:b/>
          <w:bCs/>
          <w:sz w:val="28"/>
          <w:szCs w:val="28"/>
          <w:rtl/>
        </w:rPr>
      </w:pPr>
    </w:p>
    <w:p w:rsidR="00B73C96" w:rsidRPr="00B73C96" w:rsidRDefault="00B73C96" w:rsidP="003D10D0">
      <w:pPr>
        <w:bidi/>
        <w:jc w:val="both"/>
        <w:rPr>
          <w:rFonts w:cs="Arabic Transparent"/>
          <w:sz w:val="32"/>
          <w:szCs w:val="32"/>
        </w:rPr>
      </w:pPr>
      <w:r w:rsidRPr="00B73C96">
        <w:rPr>
          <w:rFonts w:cs="Arabic Transparent"/>
          <w:sz w:val="32"/>
          <w:szCs w:val="32"/>
          <w:rtl/>
        </w:rPr>
        <w:t xml:space="preserve">بلغ حجم تمويل الاستثمارات </w:t>
      </w:r>
      <w:r w:rsidR="003D10D0">
        <w:rPr>
          <w:rFonts w:cs="Arabic Transparent" w:hint="cs"/>
          <w:sz w:val="32"/>
          <w:szCs w:val="32"/>
          <w:rtl/>
        </w:rPr>
        <w:t>في</w:t>
      </w:r>
      <w:r w:rsidRPr="00B73C96">
        <w:rPr>
          <w:rFonts w:cs="Arabic Transparent"/>
          <w:sz w:val="32"/>
          <w:szCs w:val="32"/>
          <w:rtl/>
        </w:rPr>
        <w:t xml:space="preserve"> القطاع أكثر من 42 مليار درهم، حوالي 70</w:t>
      </w:r>
      <w:r w:rsidRPr="00B73C96">
        <w:rPr>
          <w:rFonts w:cs="Arabic Transparent"/>
          <w:sz w:val="32"/>
          <w:szCs w:val="32"/>
        </w:rPr>
        <w:t>%</w:t>
      </w:r>
      <w:r w:rsidRPr="00B73C96">
        <w:rPr>
          <w:rFonts w:cs="Arabic Transparent"/>
          <w:sz w:val="32"/>
          <w:szCs w:val="32"/>
          <w:rtl/>
        </w:rPr>
        <w:t xml:space="preserve"> منها تعود لل</w:t>
      </w:r>
      <w:r w:rsidR="00342933">
        <w:rPr>
          <w:rFonts w:cs="Arabic Transparent" w:hint="cs"/>
          <w:sz w:val="32"/>
          <w:szCs w:val="32"/>
          <w:rtl/>
        </w:rPr>
        <w:t>صناعا</w:t>
      </w:r>
      <w:r w:rsidRPr="00B73C96">
        <w:rPr>
          <w:rFonts w:cs="Arabic Transparent"/>
          <w:sz w:val="32"/>
          <w:szCs w:val="32"/>
          <w:rtl/>
        </w:rPr>
        <w:t>ت الكيم</w:t>
      </w:r>
      <w:r w:rsidR="00342933">
        <w:rPr>
          <w:rFonts w:cs="Arabic Transparent" w:hint="cs"/>
          <w:sz w:val="32"/>
          <w:szCs w:val="32"/>
          <w:rtl/>
        </w:rPr>
        <w:t>ي</w:t>
      </w:r>
      <w:r w:rsidRPr="00B73C96">
        <w:rPr>
          <w:rFonts w:cs="Arabic Transparent"/>
          <w:sz w:val="32"/>
          <w:szCs w:val="32"/>
          <w:rtl/>
        </w:rPr>
        <w:t>ا</w:t>
      </w:r>
      <w:r w:rsidR="00342933">
        <w:rPr>
          <w:rFonts w:cs="Arabic Transparent" w:hint="cs"/>
          <w:sz w:val="32"/>
          <w:szCs w:val="32"/>
          <w:rtl/>
        </w:rPr>
        <w:t>ئ</w:t>
      </w:r>
      <w:r w:rsidRPr="00B73C96">
        <w:rPr>
          <w:rFonts w:cs="Arabic Transparent"/>
          <w:sz w:val="32"/>
          <w:szCs w:val="32"/>
          <w:rtl/>
        </w:rPr>
        <w:t>ية وشبه الكيم</w:t>
      </w:r>
      <w:r w:rsidR="00342933">
        <w:rPr>
          <w:rFonts w:cs="Arabic Transparent" w:hint="cs"/>
          <w:sz w:val="32"/>
          <w:szCs w:val="32"/>
          <w:rtl/>
        </w:rPr>
        <w:t>ي</w:t>
      </w:r>
      <w:r w:rsidRPr="00B73C96">
        <w:rPr>
          <w:rFonts w:cs="Arabic Transparent"/>
          <w:sz w:val="32"/>
          <w:szCs w:val="32"/>
          <w:rtl/>
        </w:rPr>
        <w:t>ا</w:t>
      </w:r>
      <w:r w:rsidR="00342933">
        <w:rPr>
          <w:rFonts w:cs="Arabic Transparent" w:hint="cs"/>
          <w:sz w:val="32"/>
          <w:szCs w:val="32"/>
          <w:rtl/>
        </w:rPr>
        <w:t>ئ</w:t>
      </w:r>
      <w:r w:rsidRPr="00B73C96">
        <w:rPr>
          <w:rFonts w:cs="Arabic Transparent"/>
          <w:sz w:val="32"/>
          <w:szCs w:val="32"/>
          <w:rtl/>
        </w:rPr>
        <w:t xml:space="preserve">ية. وظل نمط تمويل هذه الاستثمارات رهينا بحجم المقاولة، حيث لجأت المقاولات الكبيرة أكثر إلى التمويل الخارجي، فيما اعتمدت المقاولات الصغرى والمتوسطة على التمويل الذاتي بنسبة كبيرة. وهكذا، فإن أزيد من نصف القيمة التي استثمرتها المقاولات الكبيرة تم تمويله بواسطة الاستدانة. وبالمقابل، </w:t>
      </w:r>
      <w:r w:rsidR="00342933">
        <w:rPr>
          <w:rFonts w:cs="Arabic Transparent" w:hint="cs"/>
          <w:sz w:val="32"/>
          <w:szCs w:val="32"/>
          <w:rtl/>
        </w:rPr>
        <w:t xml:space="preserve">اعتمدت </w:t>
      </w:r>
      <w:r w:rsidRPr="00B73C96">
        <w:rPr>
          <w:rFonts w:cs="Arabic Transparent"/>
          <w:sz w:val="32"/>
          <w:szCs w:val="32"/>
          <w:rtl/>
        </w:rPr>
        <w:t>حوالي 80</w:t>
      </w:r>
      <w:r w:rsidRPr="00B73C96">
        <w:rPr>
          <w:rFonts w:cs="Arabic Transparent"/>
          <w:sz w:val="32"/>
          <w:szCs w:val="32"/>
        </w:rPr>
        <w:t>%</w:t>
      </w:r>
      <w:r w:rsidRPr="00B73C96">
        <w:rPr>
          <w:rFonts w:cs="Arabic Transparent"/>
          <w:sz w:val="32"/>
          <w:szCs w:val="32"/>
          <w:rtl/>
        </w:rPr>
        <w:t xml:space="preserve"> </w:t>
      </w:r>
      <w:r w:rsidRPr="00B73C96">
        <w:rPr>
          <w:rFonts w:cs="Arabic Transparent" w:hint="cs"/>
          <w:sz w:val="32"/>
          <w:szCs w:val="32"/>
          <w:rtl/>
        </w:rPr>
        <w:t xml:space="preserve">من المقاولات المتوسطة والصغرى على التمويل الذاتي لاستثماراتها، في حين </w:t>
      </w:r>
      <w:r w:rsidR="00342933">
        <w:rPr>
          <w:rFonts w:cs="Arabic Transparent" w:hint="cs"/>
          <w:sz w:val="32"/>
          <w:szCs w:val="32"/>
          <w:rtl/>
        </w:rPr>
        <w:t xml:space="preserve">لجأت </w:t>
      </w:r>
      <w:r w:rsidRPr="00B73C96">
        <w:rPr>
          <w:rFonts w:cs="Arabic Transparent" w:hint="cs"/>
          <w:sz w:val="32"/>
          <w:szCs w:val="32"/>
          <w:rtl/>
        </w:rPr>
        <w:t>14</w:t>
      </w:r>
      <w:r w:rsidRPr="00B73C96">
        <w:rPr>
          <w:rFonts w:cs="Arabic Transparent"/>
          <w:sz w:val="32"/>
          <w:szCs w:val="32"/>
        </w:rPr>
        <w:t>%</w:t>
      </w:r>
      <w:r w:rsidRPr="00B73C96">
        <w:rPr>
          <w:rFonts w:cs="Arabic Transparent"/>
          <w:sz w:val="32"/>
          <w:szCs w:val="32"/>
          <w:rtl/>
        </w:rPr>
        <w:t xml:space="preserve"> منها </w:t>
      </w:r>
      <w:r w:rsidR="00342933">
        <w:rPr>
          <w:rFonts w:cs="Arabic Transparent" w:hint="cs"/>
          <w:sz w:val="32"/>
          <w:szCs w:val="32"/>
          <w:rtl/>
        </w:rPr>
        <w:t>ا</w:t>
      </w:r>
      <w:r w:rsidRPr="00B73C96">
        <w:rPr>
          <w:rFonts w:cs="Arabic Transparent"/>
          <w:sz w:val="32"/>
          <w:szCs w:val="32"/>
          <w:rtl/>
        </w:rPr>
        <w:t>لى الاقتراض من الخارج وأقل من ذلك عن طريق مساهمين جدد. وعلى العموم، بلغت نسبة التمويل الذاتي للمقاولات الصناعية حوالي 46</w:t>
      </w:r>
      <w:r w:rsidRPr="00B73C96">
        <w:rPr>
          <w:rFonts w:cs="Arabic Transparent"/>
          <w:sz w:val="32"/>
          <w:szCs w:val="32"/>
        </w:rPr>
        <w:t>%</w:t>
      </w:r>
      <w:r w:rsidRPr="00B73C96">
        <w:rPr>
          <w:rFonts w:cs="Arabic Transparent"/>
          <w:sz w:val="32"/>
          <w:szCs w:val="32"/>
          <w:rtl/>
        </w:rPr>
        <w:t xml:space="preserve">، </w:t>
      </w:r>
      <w:r w:rsidR="003D10D0">
        <w:rPr>
          <w:rFonts w:cs="Arabic Transparent" w:hint="cs"/>
          <w:sz w:val="32"/>
          <w:szCs w:val="32"/>
          <w:rtl/>
        </w:rPr>
        <w:t>وا</w:t>
      </w:r>
      <w:r w:rsidRPr="00B73C96">
        <w:rPr>
          <w:rFonts w:cs="Arabic Transparent"/>
          <w:sz w:val="32"/>
          <w:szCs w:val="32"/>
          <w:rtl/>
        </w:rPr>
        <w:t>رتفع</w:t>
      </w:r>
      <w:r w:rsidR="003D10D0">
        <w:rPr>
          <w:rFonts w:cs="Arabic Transparent" w:hint="cs"/>
          <w:sz w:val="32"/>
          <w:szCs w:val="32"/>
          <w:rtl/>
        </w:rPr>
        <w:t>ت</w:t>
      </w:r>
      <w:r w:rsidRPr="00B73C96">
        <w:rPr>
          <w:rFonts w:cs="Arabic Transparent"/>
          <w:sz w:val="32"/>
          <w:szCs w:val="32"/>
          <w:rtl/>
        </w:rPr>
        <w:t xml:space="preserve"> إلى 97</w:t>
      </w:r>
      <w:r w:rsidRPr="00B73C96">
        <w:rPr>
          <w:rFonts w:cs="Arabic Transparent"/>
          <w:sz w:val="32"/>
          <w:szCs w:val="32"/>
        </w:rPr>
        <w:t>%</w:t>
      </w:r>
      <w:r w:rsidRPr="00B73C96">
        <w:rPr>
          <w:rFonts w:cs="Arabic Transparent"/>
          <w:sz w:val="32"/>
          <w:szCs w:val="32"/>
          <w:rtl/>
        </w:rPr>
        <w:t xml:space="preserve"> بالنسبة للمقاولات الصغيرة جدا.</w:t>
      </w:r>
    </w:p>
    <w:p w:rsidR="00B73C96" w:rsidRDefault="00B73C96" w:rsidP="00B73C96">
      <w:pPr>
        <w:bidi/>
        <w:jc w:val="both"/>
        <w:rPr>
          <w:rFonts w:cs="Arabic Transparent"/>
          <w:sz w:val="32"/>
          <w:szCs w:val="32"/>
          <w:rtl/>
        </w:rPr>
      </w:pPr>
    </w:p>
    <w:p w:rsidR="00C5592F" w:rsidRDefault="00AF2A4E" w:rsidP="00714C8C">
      <w:pPr>
        <w:bidi/>
        <w:jc w:val="center"/>
        <w:rPr>
          <w:rFonts w:asciiTheme="majorBidi" w:hAnsiTheme="majorBidi" w:cstheme="majorBidi"/>
          <w:sz w:val="32"/>
          <w:szCs w:val="32"/>
          <w:rtl/>
          <w:lang w:bidi="ar-EG"/>
        </w:rPr>
      </w:pPr>
      <w:r w:rsidRPr="00AF2A4E">
        <w:rPr>
          <w:rFonts w:asciiTheme="majorBidi" w:hAnsiTheme="majorBidi"/>
          <w:noProof/>
          <w:sz w:val="32"/>
          <w:szCs w:val="32"/>
          <w:rtl/>
        </w:rPr>
        <w:drawing>
          <wp:inline distT="0" distB="0" distL="0" distR="0">
            <wp:extent cx="2784512" cy="2245259"/>
            <wp:effectExtent l="19050" t="0" r="15838" b="2641"/>
            <wp:docPr id="1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AF2A4E">
        <w:rPr>
          <w:rFonts w:asciiTheme="majorBidi" w:hAnsiTheme="majorBidi"/>
          <w:noProof/>
          <w:sz w:val="32"/>
          <w:szCs w:val="32"/>
          <w:rtl/>
        </w:rPr>
        <w:drawing>
          <wp:inline distT="0" distB="0" distL="0" distR="0">
            <wp:extent cx="2889508" cy="2254313"/>
            <wp:effectExtent l="19050" t="0" r="25142" b="0"/>
            <wp:docPr id="1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F2A4E" w:rsidRDefault="00AF2A4E" w:rsidP="00C5592F">
      <w:pPr>
        <w:bidi/>
        <w:jc w:val="both"/>
        <w:rPr>
          <w:b/>
          <w:bCs/>
          <w:color w:val="993366"/>
          <w:sz w:val="32"/>
          <w:szCs w:val="32"/>
        </w:rPr>
      </w:pPr>
    </w:p>
    <w:p w:rsidR="00B73C96" w:rsidRPr="00B73C96" w:rsidRDefault="00B73C96" w:rsidP="00360F12">
      <w:pPr>
        <w:bidi/>
        <w:jc w:val="both"/>
        <w:rPr>
          <w:rFonts w:cs="Arabic Transparent"/>
          <w:sz w:val="32"/>
          <w:szCs w:val="32"/>
        </w:rPr>
      </w:pPr>
      <w:r w:rsidRPr="00B73C96">
        <w:rPr>
          <w:rFonts w:cs="Arabic Transparent"/>
          <w:sz w:val="32"/>
          <w:szCs w:val="32"/>
          <w:rtl/>
        </w:rPr>
        <w:lastRenderedPageBreak/>
        <w:t>وحسب الفروع القطاعية، يتضح أن التمويل الذاتي للاستثمارات ينتشر أكثر في صفوف المقاولات العاملة في صناعة النسيج والجلد والصناعة الغذائية وصناعة الحديد والميكانيك بنسبة تجاوز</w:t>
      </w:r>
      <w:r w:rsidR="002A28D3">
        <w:rPr>
          <w:rFonts w:cs="Arabic Transparent" w:hint="cs"/>
          <w:sz w:val="32"/>
          <w:szCs w:val="32"/>
          <w:rtl/>
        </w:rPr>
        <w:t>ت</w:t>
      </w:r>
      <w:r w:rsidRPr="00B73C96">
        <w:rPr>
          <w:rFonts w:cs="Arabic Transparent"/>
          <w:sz w:val="32"/>
          <w:szCs w:val="32"/>
          <w:rtl/>
        </w:rPr>
        <w:t xml:space="preserve"> 80</w:t>
      </w:r>
      <w:r w:rsidRPr="00B73C96">
        <w:rPr>
          <w:rFonts w:cs="Arabic Transparent"/>
          <w:sz w:val="32"/>
          <w:szCs w:val="32"/>
        </w:rPr>
        <w:t>%</w:t>
      </w:r>
      <w:r w:rsidRPr="00B73C96">
        <w:rPr>
          <w:rFonts w:cs="Arabic Transparent"/>
          <w:sz w:val="32"/>
          <w:szCs w:val="32"/>
          <w:rtl/>
        </w:rPr>
        <w:t xml:space="preserve"> من القيمة المستثمرة. في </w:t>
      </w:r>
      <w:r w:rsidR="002A28D3">
        <w:rPr>
          <w:rFonts w:cs="Arabic Transparent" w:hint="cs"/>
          <w:sz w:val="32"/>
          <w:szCs w:val="32"/>
          <w:rtl/>
        </w:rPr>
        <w:t>حين</w:t>
      </w:r>
      <w:r w:rsidRPr="00B73C96">
        <w:rPr>
          <w:rFonts w:cs="Arabic Transparent"/>
          <w:sz w:val="32"/>
          <w:szCs w:val="32"/>
          <w:rtl/>
        </w:rPr>
        <w:t>، لجأ</w:t>
      </w:r>
      <w:r w:rsidR="002A28D3">
        <w:rPr>
          <w:rFonts w:cs="Arabic Transparent" w:hint="cs"/>
          <w:sz w:val="32"/>
          <w:szCs w:val="32"/>
          <w:rtl/>
        </w:rPr>
        <w:t>ت</w:t>
      </w:r>
      <w:r w:rsidRPr="00B73C96">
        <w:rPr>
          <w:rFonts w:cs="Arabic Transparent"/>
          <w:sz w:val="32"/>
          <w:szCs w:val="32"/>
          <w:rtl/>
        </w:rPr>
        <w:t xml:space="preserve"> المقاولات العاملة في الصناعة الكيم</w:t>
      </w:r>
      <w:r w:rsidR="002A28D3">
        <w:rPr>
          <w:rFonts w:cs="Arabic Transparent" w:hint="cs"/>
          <w:sz w:val="32"/>
          <w:szCs w:val="32"/>
          <w:rtl/>
        </w:rPr>
        <w:t>ي</w:t>
      </w:r>
      <w:r w:rsidRPr="00B73C96">
        <w:rPr>
          <w:rFonts w:cs="Arabic Transparent"/>
          <w:sz w:val="32"/>
          <w:szCs w:val="32"/>
          <w:rtl/>
        </w:rPr>
        <w:t>ا</w:t>
      </w:r>
      <w:r w:rsidR="002A28D3">
        <w:rPr>
          <w:rFonts w:cs="Arabic Transparent" w:hint="cs"/>
          <w:sz w:val="32"/>
          <w:szCs w:val="32"/>
          <w:rtl/>
        </w:rPr>
        <w:t>ئ</w:t>
      </w:r>
      <w:r w:rsidRPr="00B73C96">
        <w:rPr>
          <w:rFonts w:cs="Arabic Transparent"/>
          <w:sz w:val="32"/>
          <w:szCs w:val="32"/>
          <w:rtl/>
        </w:rPr>
        <w:t>ية وشبه الكيم</w:t>
      </w:r>
      <w:r w:rsidR="002A28D3">
        <w:rPr>
          <w:rFonts w:cs="Arabic Transparent" w:hint="cs"/>
          <w:sz w:val="32"/>
          <w:szCs w:val="32"/>
          <w:rtl/>
        </w:rPr>
        <w:t>ي</w:t>
      </w:r>
      <w:r w:rsidRPr="00B73C96">
        <w:rPr>
          <w:rFonts w:cs="Arabic Transparent"/>
          <w:sz w:val="32"/>
          <w:szCs w:val="32"/>
          <w:rtl/>
        </w:rPr>
        <w:t>ا</w:t>
      </w:r>
      <w:r w:rsidR="002A28D3">
        <w:rPr>
          <w:rFonts w:cs="Arabic Transparent" w:hint="cs"/>
          <w:sz w:val="32"/>
          <w:szCs w:val="32"/>
          <w:rtl/>
        </w:rPr>
        <w:t>ئ</w:t>
      </w:r>
      <w:r w:rsidRPr="00B73C96">
        <w:rPr>
          <w:rFonts w:cs="Arabic Transparent"/>
          <w:sz w:val="32"/>
          <w:szCs w:val="32"/>
          <w:rtl/>
        </w:rPr>
        <w:t>ية أكثر إلى الاقتراض، حيث بلغت نسبة الاستثمارات الممولة عن طريق القروض 67</w:t>
      </w:r>
      <w:r w:rsidRPr="00B73C96">
        <w:rPr>
          <w:rFonts w:cs="Arabic Transparent"/>
          <w:sz w:val="32"/>
          <w:szCs w:val="32"/>
        </w:rPr>
        <w:t>%</w:t>
      </w:r>
      <w:r w:rsidRPr="00B73C96">
        <w:rPr>
          <w:rFonts w:cs="Arabic Transparent"/>
          <w:sz w:val="32"/>
          <w:szCs w:val="32"/>
          <w:rtl/>
        </w:rPr>
        <w:t>.</w:t>
      </w:r>
    </w:p>
    <w:p w:rsidR="00AF2A4E" w:rsidRPr="00B73C96" w:rsidRDefault="00AF2A4E" w:rsidP="00AF2A4E">
      <w:pPr>
        <w:bidi/>
        <w:jc w:val="both"/>
        <w:rPr>
          <w:b/>
          <w:bCs/>
          <w:color w:val="993366"/>
          <w:sz w:val="32"/>
          <w:szCs w:val="32"/>
          <w:rtl/>
        </w:rPr>
      </w:pPr>
    </w:p>
    <w:p w:rsidR="00B73C96" w:rsidRPr="00AF2A4E" w:rsidRDefault="00B73C96" w:rsidP="00B73C96">
      <w:pPr>
        <w:bidi/>
        <w:jc w:val="both"/>
        <w:rPr>
          <w:b/>
          <w:bCs/>
          <w:color w:val="993366"/>
          <w:sz w:val="32"/>
          <w:szCs w:val="32"/>
        </w:rPr>
      </w:pPr>
    </w:p>
    <w:p w:rsidR="00AF2A4E" w:rsidRDefault="00AF2A4E" w:rsidP="00AF2A4E">
      <w:pPr>
        <w:bidi/>
        <w:jc w:val="center"/>
        <w:rPr>
          <w:b/>
          <w:bCs/>
          <w:color w:val="993366"/>
          <w:sz w:val="32"/>
          <w:szCs w:val="32"/>
        </w:rPr>
      </w:pPr>
      <w:r w:rsidRPr="00AF2A4E">
        <w:rPr>
          <w:b/>
          <w:bCs/>
          <w:noProof/>
          <w:color w:val="993366"/>
          <w:sz w:val="32"/>
          <w:szCs w:val="32"/>
          <w:rtl/>
        </w:rPr>
        <w:drawing>
          <wp:inline distT="0" distB="0" distL="0" distR="0">
            <wp:extent cx="4570113" cy="2544024"/>
            <wp:effectExtent l="19050" t="0" r="20937" b="8676"/>
            <wp:docPr id="1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F2A4E" w:rsidRDefault="00AF2A4E" w:rsidP="00AF2A4E">
      <w:pPr>
        <w:bidi/>
        <w:jc w:val="both"/>
        <w:rPr>
          <w:b/>
          <w:bCs/>
          <w:color w:val="993366"/>
          <w:sz w:val="32"/>
          <w:szCs w:val="32"/>
        </w:rPr>
      </w:pPr>
    </w:p>
    <w:p w:rsidR="00AF2A4E" w:rsidRDefault="00AF2A4E" w:rsidP="00AF2A4E">
      <w:pPr>
        <w:bidi/>
        <w:jc w:val="both"/>
        <w:rPr>
          <w:b/>
          <w:bCs/>
          <w:color w:val="993366"/>
          <w:sz w:val="32"/>
          <w:szCs w:val="32"/>
        </w:rPr>
      </w:pPr>
    </w:p>
    <w:p w:rsidR="00C5592F" w:rsidRPr="00357579" w:rsidRDefault="00C5592F" w:rsidP="00AF2A4E">
      <w:pPr>
        <w:bidi/>
        <w:jc w:val="both"/>
        <w:rPr>
          <w:b/>
          <w:bCs/>
          <w:color w:val="993366"/>
          <w:sz w:val="32"/>
          <w:szCs w:val="32"/>
          <w:rtl/>
        </w:rPr>
      </w:pPr>
      <w:r w:rsidRPr="00357579">
        <w:rPr>
          <w:rFonts w:hint="cs"/>
          <w:b/>
          <w:bCs/>
          <w:color w:val="993366"/>
          <w:sz w:val="32"/>
          <w:szCs w:val="32"/>
          <w:rtl/>
        </w:rPr>
        <w:t>المردودية الاقتصادية بالقطاع</w:t>
      </w:r>
    </w:p>
    <w:p w:rsidR="00C5592F" w:rsidRDefault="00C5592F" w:rsidP="00C5592F">
      <w:pPr>
        <w:bidi/>
        <w:jc w:val="both"/>
        <w:rPr>
          <w:rFonts w:asciiTheme="majorBidi" w:hAnsiTheme="majorBidi" w:cstheme="majorBidi"/>
          <w:b/>
          <w:bCs/>
          <w:sz w:val="32"/>
          <w:szCs w:val="32"/>
          <w:rtl/>
          <w:lang w:bidi="ar-EG"/>
        </w:rPr>
      </w:pPr>
    </w:p>
    <w:p w:rsidR="00B73C96" w:rsidRPr="00B73C96" w:rsidRDefault="00B73C96" w:rsidP="00360F12">
      <w:pPr>
        <w:bidi/>
        <w:jc w:val="both"/>
        <w:rPr>
          <w:rFonts w:cs="Arabic Transparent"/>
          <w:sz w:val="32"/>
          <w:szCs w:val="32"/>
        </w:rPr>
      </w:pPr>
      <w:r w:rsidRPr="00B73C96">
        <w:rPr>
          <w:rFonts w:cs="Arabic Transparent"/>
          <w:sz w:val="32"/>
          <w:szCs w:val="32"/>
          <w:rtl/>
        </w:rPr>
        <w:t xml:space="preserve">إن كثافة استخدام الرأسمال </w:t>
      </w:r>
      <w:r w:rsidR="0094399E">
        <w:rPr>
          <w:rFonts w:cs="Arabic Transparent" w:hint="cs"/>
          <w:sz w:val="32"/>
          <w:szCs w:val="32"/>
          <w:rtl/>
        </w:rPr>
        <w:t>و</w:t>
      </w:r>
      <w:r w:rsidRPr="00B73C96">
        <w:rPr>
          <w:rFonts w:cs="Arabic Transparent"/>
          <w:sz w:val="32"/>
          <w:szCs w:val="32"/>
          <w:rtl/>
        </w:rPr>
        <w:t xml:space="preserve">التي تقاس بقيمة الأصول الثابتة المادية </w:t>
      </w:r>
      <w:r w:rsidRPr="00B73C96">
        <w:rPr>
          <w:rFonts w:cs="Arabic Transparent"/>
          <w:sz w:val="32"/>
          <w:szCs w:val="32"/>
        </w:rPr>
        <w:t>)</w:t>
      </w:r>
      <w:r w:rsidRPr="00B73C96">
        <w:rPr>
          <w:rFonts w:cs="Arabic Transparent"/>
          <w:sz w:val="32"/>
          <w:szCs w:val="32"/>
          <w:rtl/>
        </w:rPr>
        <w:t>مباني، تجهيزات ومعدات وأدوات</w:t>
      </w:r>
      <w:r w:rsidRPr="00B73C96">
        <w:rPr>
          <w:rFonts w:cs="Arabic Transparent"/>
          <w:sz w:val="32"/>
          <w:szCs w:val="32"/>
        </w:rPr>
        <w:t>(</w:t>
      </w:r>
      <w:r w:rsidRPr="00B73C96">
        <w:rPr>
          <w:rFonts w:cs="Arabic Transparent"/>
          <w:sz w:val="32"/>
          <w:szCs w:val="32"/>
          <w:rtl/>
        </w:rPr>
        <w:t xml:space="preserve"> </w:t>
      </w:r>
      <w:r w:rsidR="00360F12">
        <w:rPr>
          <w:rFonts w:cs="Arabic Transparent" w:hint="cs"/>
          <w:sz w:val="32"/>
          <w:szCs w:val="32"/>
          <w:rtl/>
        </w:rPr>
        <w:t>على عدد</w:t>
      </w:r>
      <w:r w:rsidRPr="00B73C96">
        <w:rPr>
          <w:rFonts w:cs="Arabic Transparent" w:hint="cs"/>
          <w:sz w:val="32"/>
          <w:szCs w:val="32"/>
          <w:rtl/>
        </w:rPr>
        <w:t xml:space="preserve"> المستخدمين تميز</w:t>
      </w:r>
      <w:r w:rsidR="00663382">
        <w:rPr>
          <w:rFonts w:cs="Arabic Transparent" w:hint="cs"/>
          <w:sz w:val="32"/>
          <w:szCs w:val="32"/>
          <w:rtl/>
        </w:rPr>
        <w:t>ت</w:t>
      </w:r>
      <w:r w:rsidRPr="00B73C96">
        <w:rPr>
          <w:rFonts w:cs="Arabic Transparent" w:hint="cs"/>
          <w:sz w:val="32"/>
          <w:szCs w:val="32"/>
          <w:rtl/>
        </w:rPr>
        <w:t xml:space="preserve"> بتباين كبير حسب الفروع الصناعية، حيث </w:t>
      </w:r>
      <w:r w:rsidR="00663382">
        <w:rPr>
          <w:rFonts w:cs="Arabic Transparent" w:hint="cs"/>
          <w:sz w:val="32"/>
          <w:szCs w:val="32"/>
          <w:rtl/>
        </w:rPr>
        <w:t>ا</w:t>
      </w:r>
      <w:r w:rsidRPr="00B73C96">
        <w:rPr>
          <w:rFonts w:cs="Arabic Transparent" w:hint="cs"/>
          <w:sz w:val="32"/>
          <w:szCs w:val="32"/>
          <w:rtl/>
        </w:rPr>
        <w:t>رتفع</w:t>
      </w:r>
      <w:r w:rsidR="00663382">
        <w:rPr>
          <w:rFonts w:cs="Arabic Transparent" w:hint="cs"/>
          <w:sz w:val="32"/>
          <w:szCs w:val="32"/>
          <w:rtl/>
        </w:rPr>
        <w:t>ت</w:t>
      </w:r>
      <w:r w:rsidRPr="00B73C96">
        <w:rPr>
          <w:rFonts w:cs="Arabic Transparent" w:hint="cs"/>
          <w:sz w:val="32"/>
          <w:szCs w:val="32"/>
          <w:rtl/>
        </w:rPr>
        <w:t xml:space="preserve"> إلى 5313 درهم لكل مستخدم بالصناعات الكيماوية وإلى 3772 درهم لكل مستخدم بصناعة منتجات التبغ و1521 درهم لكل مستخدم بقطاع الصناعة التعدينية، </w:t>
      </w:r>
      <w:r w:rsidR="00663382">
        <w:rPr>
          <w:rFonts w:cs="Arabic Transparent" w:hint="cs"/>
          <w:sz w:val="32"/>
          <w:szCs w:val="32"/>
          <w:rtl/>
        </w:rPr>
        <w:t>فيما</w:t>
      </w:r>
      <w:r w:rsidRPr="00B73C96">
        <w:rPr>
          <w:rFonts w:cs="Arabic Transparent" w:hint="cs"/>
          <w:sz w:val="32"/>
          <w:szCs w:val="32"/>
          <w:rtl/>
        </w:rPr>
        <w:t xml:space="preserve"> </w:t>
      </w:r>
      <w:r w:rsidR="00663382">
        <w:rPr>
          <w:rFonts w:cs="Arabic Transparent" w:hint="cs"/>
          <w:sz w:val="32"/>
          <w:szCs w:val="32"/>
          <w:rtl/>
        </w:rPr>
        <w:t>ا</w:t>
      </w:r>
      <w:r w:rsidRPr="00B73C96">
        <w:rPr>
          <w:rFonts w:cs="Arabic Transparent" w:hint="cs"/>
          <w:sz w:val="32"/>
          <w:szCs w:val="32"/>
          <w:rtl/>
        </w:rPr>
        <w:t>نخفض</w:t>
      </w:r>
      <w:r w:rsidR="00663382">
        <w:rPr>
          <w:rFonts w:cs="Arabic Transparent" w:hint="cs"/>
          <w:sz w:val="32"/>
          <w:szCs w:val="32"/>
          <w:rtl/>
        </w:rPr>
        <w:t>ت</w:t>
      </w:r>
      <w:r w:rsidRPr="00B73C96">
        <w:rPr>
          <w:rFonts w:cs="Arabic Transparent" w:hint="cs"/>
          <w:sz w:val="32"/>
          <w:szCs w:val="32"/>
          <w:rtl/>
        </w:rPr>
        <w:t xml:space="preserve"> إلى أدنى مستوى </w:t>
      </w:r>
      <w:r w:rsidR="00663382">
        <w:rPr>
          <w:rFonts w:cs="Arabic Transparent" w:hint="cs"/>
          <w:sz w:val="32"/>
          <w:szCs w:val="32"/>
          <w:rtl/>
        </w:rPr>
        <w:t xml:space="preserve">لها في </w:t>
      </w:r>
      <w:r w:rsidRPr="00B73C96">
        <w:rPr>
          <w:rFonts w:cs="Arabic Transparent" w:hint="cs"/>
          <w:sz w:val="32"/>
          <w:szCs w:val="32"/>
          <w:rtl/>
        </w:rPr>
        <w:t>صناعة الملابس.</w:t>
      </w:r>
    </w:p>
    <w:p w:rsidR="00B73C96" w:rsidRPr="00B73C96" w:rsidRDefault="00B73C96" w:rsidP="00B73C96">
      <w:pPr>
        <w:bidi/>
        <w:jc w:val="both"/>
        <w:rPr>
          <w:rFonts w:cs="Arabic Transparent"/>
          <w:sz w:val="32"/>
          <w:szCs w:val="32"/>
          <w:rtl/>
        </w:rPr>
      </w:pPr>
    </w:p>
    <w:p w:rsidR="00B73C96" w:rsidRPr="00B73C96" w:rsidRDefault="00663382" w:rsidP="00B73C96">
      <w:pPr>
        <w:bidi/>
        <w:jc w:val="both"/>
        <w:rPr>
          <w:rFonts w:cs="Arabic Transparent"/>
          <w:sz w:val="32"/>
          <w:szCs w:val="32"/>
          <w:rtl/>
        </w:rPr>
      </w:pPr>
      <w:r>
        <w:rPr>
          <w:rFonts w:cs="Arabic Transparent" w:hint="cs"/>
          <w:sz w:val="32"/>
          <w:szCs w:val="32"/>
          <w:rtl/>
        </w:rPr>
        <w:t>و</w:t>
      </w:r>
      <w:r w:rsidR="00B73C96" w:rsidRPr="00B73C96">
        <w:rPr>
          <w:rFonts w:cs="Arabic Transparent"/>
          <w:sz w:val="32"/>
          <w:szCs w:val="32"/>
          <w:rtl/>
        </w:rPr>
        <w:t xml:space="preserve"> سجلت حصة القيمة المضافة المخصصة لتعويض الرأسمال أعلى مستوى بقطاع الصناعات الكيماوية. حيث بلغت نسبة الهامش المعبر عنها بفائض الاستغلال على القيمة المضافة 65%، متجاوزة بشكل كبير المعدل المسجل على مستوى القطاع </w:t>
      </w:r>
      <w:r w:rsidR="00B73C96" w:rsidRPr="00B73C96">
        <w:rPr>
          <w:rFonts w:cs="Arabic Transparent"/>
          <w:sz w:val="32"/>
          <w:szCs w:val="32"/>
        </w:rPr>
        <w:t>)</w:t>
      </w:r>
      <w:r w:rsidR="00B73C96" w:rsidRPr="00B73C96">
        <w:rPr>
          <w:rFonts w:cs="Arabic Transparent"/>
          <w:sz w:val="32"/>
          <w:szCs w:val="32"/>
          <w:rtl/>
        </w:rPr>
        <w:t>47%</w:t>
      </w:r>
      <w:r w:rsidR="00B73C96" w:rsidRPr="00B73C96">
        <w:rPr>
          <w:rFonts w:cs="Arabic Transparent"/>
          <w:sz w:val="32"/>
          <w:szCs w:val="32"/>
        </w:rPr>
        <w:t>(</w:t>
      </w:r>
      <w:r w:rsidR="00B73C96" w:rsidRPr="00B73C96">
        <w:rPr>
          <w:rFonts w:cs="Arabic Transparent"/>
          <w:sz w:val="32"/>
          <w:szCs w:val="32"/>
          <w:rtl/>
        </w:rPr>
        <w:t>، وفي المقابل سجلت صناعات النسيج والجلد أضعف نسب للهامش والاستثمار.</w:t>
      </w:r>
    </w:p>
    <w:p w:rsidR="00B73C96" w:rsidRPr="00B73C96" w:rsidRDefault="00B73C96" w:rsidP="00B73C96">
      <w:pPr>
        <w:bidi/>
        <w:jc w:val="both"/>
        <w:rPr>
          <w:rFonts w:cs="Arabic Transparent"/>
          <w:sz w:val="32"/>
          <w:szCs w:val="32"/>
          <w:rtl/>
        </w:rPr>
      </w:pPr>
    </w:p>
    <w:p w:rsidR="00B73C96" w:rsidRPr="00B73C96" w:rsidRDefault="00B73C96" w:rsidP="0094399E">
      <w:pPr>
        <w:bidi/>
        <w:jc w:val="both"/>
        <w:rPr>
          <w:rFonts w:cs="Arabic Transparent"/>
          <w:sz w:val="32"/>
          <w:szCs w:val="32"/>
          <w:rtl/>
        </w:rPr>
      </w:pPr>
      <w:r w:rsidRPr="00B73C96">
        <w:rPr>
          <w:rFonts w:cs="Arabic Transparent"/>
          <w:sz w:val="32"/>
          <w:szCs w:val="32"/>
          <w:rtl/>
        </w:rPr>
        <w:t>وحققت الصناعة الكيماوية مردودية اقتصادية لفائض الاستغلال على الأصول الثابتة أفضل نسبيا  (14%</w:t>
      </w:r>
      <w:r w:rsidRPr="00B73C96">
        <w:rPr>
          <w:rFonts w:cs="Arabic Transparent"/>
          <w:sz w:val="32"/>
          <w:szCs w:val="32"/>
        </w:rPr>
        <w:t>(</w:t>
      </w:r>
      <w:r w:rsidRPr="00B73C96">
        <w:rPr>
          <w:rFonts w:cs="Arabic Transparent"/>
          <w:sz w:val="32"/>
          <w:szCs w:val="32"/>
          <w:rtl/>
        </w:rPr>
        <w:t xml:space="preserve"> مقارنة بباقي الفروع الصناعية </w:t>
      </w:r>
      <w:r w:rsidRPr="00B73C96">
        <w:rPr>
          <w:rFonts w:cs="Arabic Transparent"/>
          <w:sz w:val="32"/>
          <w:szCs w:val="32"/>
        </w:rPr>
        <w:t>)</w:t>
      </w:r>
      <w:r w:rsidRPr="00B73C96">
        <w:rPr>
          <w:rFonts w:cs="Arabic Transparent"/>
          <w:sz w:val="32"/>
          <w:szCs w:val="32"/>
          <w:rtl/>
        </w:rPr>
        <w:t>أقل من 10%</w:t>
      </w:r>
      <w:r w:rsidRPr="00B73C96">
        <w:rPr>
          <w:rFonts w:cs="Arabic Transparent"/>
          <w:sz w:val="32"/>
          <w:szCs w:val="32"/>
        </w:rPr>
        <w:t>(</w:t>
      </w:r>
      <w:r w:rsidRPr="00B73C96">
        <w:rPr>
          <w:rFonts w:cs="Arabic Transparent"/>
          <w:sz w:val="32"/>
          <w:szCs w:val="32"/>
          <w:rtl/>
        </w:rPr>
        <w:t>. وظل</w:t>
      </w:r>
      <w:r w:rsidR="00663382">
        <w:rPr>
          <w:rFonts w:cs="Arabic Transparent" w:hint="cs"/>
          <w:sz w:val="32"/>
          <w:szCs w:val="32"/>
          <w:rtl/>
        </w:rPr>
        <w:t>ت</w:t>
      </w:r>
      <w:r w:rsidRPr="00B73C96">
        <w:rPr>
          <w:rFonts w:cs="Arabic Transparent"/>
          <w:sz w:val="32"/>
          <w:szCs w:val="32"/>
          <w:rtl/>
        </w:rPr>
        <w:t xml:space="preserve"> هذه المردودية ضعيفة جدا بالمقاولات الصغرى، في حين بلغت 11% بالنسبة للمقاولات الكبرى.</w:t>
      </w:r>
    </w:p>
    <w:p w:rsidR="00663382" w:rsidRDefault="00663382" w:rsidP="00663382">
      <w:pPr>
        <w:bidi/>
        <w:jc w:val="both"/>
        <w:rPr>
          <w:rFonts w:cs="Arabic Transparent"/>
          <w:sz w:val="32"/>
          <w:szCs w:val="32"/>
          <w:rtl/>
        </w:rPr>
      </w:pPr>
    </w:p>
    <w:p w:rsidR="0094399E" w:rsidRDefault="0094399E" w:rsidP="0094399E">
      <w:pPr>
        <w:bidi/>
        <w:jc w:val="both"/>
        <w:rPr>
          <w:rFonts w:cs="Arabic Transparent"/>
          <w:sz w:val="32"/>
          <w:szCs w:val="32"/>
          <w:rtl/>
        </w:rPr>
      </w:pPr>
    </w:p>
    <w:p w:rsidR="0094399E" w:rsidRDefault="0094399E" w:rsidP="0094399E">
      <w:pPr>
        <w:bidi/>
        <w:jc w:val="both"/>
        <w:rPr>
          <w:rFonts w:cs="Arabic Transparent"/>
          <w:sz w:val="32"/>
          <w:szCs w:val="32"/>
          <w:rtl/>
        </w:rPr>
      </w:pPr>
    </w:p>
    <w:p w:rsidR="0094399E" w:rsidRPr="00B73C96" w:rsidRDefault="0094399E" w:rsidP="0094399E">
      <w:pPr>
        <w:bidi/>
        <w:jc w:val="both"/>
        <w:rPr>
          <w:rFonts w:cs="Arabic Transparent"/>
          <w:sz w:val="32"/>
          <w:szCs w:val="32"/>
          <w:rtl/>
        </w:rPr>
      </w:pPr>
    </w:p>
    <w:p w:rsidR="00B73C96" w:rsidRPr="00B73C96" w:rsidRDefault="00B73C96" w:rsidP="00B73C96">
      <w:pPr>
        <w:bidi/>
        <w:jc w:val="both"/>
        <w:rPr>
          <w:b/>
          <w:bCs/>
          <w:color w:val="993366"/>
          <w:sz w:val="32"/>
          <w:szCs w:val="32"/>
          <w:rtl/>
        </w:rPr>
      </w:pPr>
      <w:r w:rsidRPr="00B73C96">
        <w:rPr>
          <w:b/>
          <w:bCs/>
          <w:color w:val="993366"/>
          <w:sz w:val="32"/>
          <w:szCs w:val="32"/>
          <w:rtl/>
        </w:rPr>
        <w:lastRenderedPageBreak/>
        <w:t xml:space="preserve">كلفة اليد العاملة، </w:t>
      </w:r>
      <w:r w:rsidR="0094399E">
        <w:rPr>
          <w:rFonts w:hint="cs"/>
          <w:b/>
          <w:bCs/>
          <w:color w:val="993366"/>
          <w:sz w:val="32"/>
          <w:szCs w:val="32"/>
          <w:rtl/>
        </w:rPr>
        <w:t>و</w:t>
      </w:r>
      <w:r w:rsidRPr="00B73C96">
        <w:rPr>
          <w:b/>
          <w:bCs/>
          <w:color w:val="993366"/>
          <w:sz w:val="32"/>
          <w:szCs w:val="32"/>
          <w:rtl/>
        </w:rPr>
        <w:t>المدخلات والتحملات الأخرى</w:t>
      </w:r>
    </w:p>
    <w:p w:rsidR="00B73C96" w:rsidRPr="00B73C96" w:rsidRDefault="00B73C96" w:rsidP="00B73C96">
      <w:pPr>
        <w:bidi/>
        <w:jc w:val="both"/>
        <w:rPr>
          <w:rFonts w:cs="Arabic Transparent"/>
          <w:sz w:val="32"/>
          <w:szCs w:val="32"/>
          <w:rtl/>
        </w:rPr>
      </w:pPr>
    </w:p>
    <w:p w:rsidR="00B73C96" w:rsidRPr="00B73C96" w:rsidRDefault="00B73C96" w:rsidP="0094399E">
      <w:pPr>
        <w:bidi/>
        <w:jc w:val="both"/>
        <w:rPr>
          <w:rFonts w:cs="Arabic Transparent"/>
          <w:sz w:val="32"/>
          <w:szCs w:val="32"/>
          <w:rtl/>
        </w:rPr>
      </w:pPr>
      <w:r w:rsidRPr="00B73C96">
        <w:rPr>
          <w:rFonts w:cs="Arabic Transparent"/>
          <w:sz w:val="32"/>
          <w:szCs w:val="32"/>
          <w:rtl/>
        </w:rPr>
        <w:t xml:space="preserve">على العموم، تطورت بنية تكاليف اليد العاملة بشكل طفيف في قطاع الصناعات التحويلية بين 2006 و2014. فقد عرفت المساهمات الاجتماعية لأرباب العمل ارتفاعا في قطاع الصناعات الكيماوية والغذائية، في حين سجلت تراجعا في قطاع الصناعات الكهربائية والإلكترونية. وشكلت نفقات الموظفين حوالي 2,6% من مجموع نفقات المقاولات. </w:t>
      </w:r>
      <w:r w:rsidR="0094399E">
        <w:rPr>
          <w:rFonts w:cs="Arabic Transparent" w:hint="cs"/>
          <w:sz w:val="32"/>
          <w:szCs w:val="32"/>
          <w:rtl/>
        </w:rPr>
        <w:t xml:space="preserve">كما </w:t>
      </w:r>
      <w:r w:rsidRPr="00B73C96">
        <w:rPr>
          <w:rFonts w:cs="Arabic Transparent"/>
          <w:sz w:val="32"/>
          <w:szCs w:val="32"/>
          <w:rtl/>
        </w:rPr>
        <w:t>بلغت حصة العمال 51% من كتلة الأج</w:t>
      </w:r>
      <w:r w:rsidR="00663382">
        <w:rPr>
          <w:rFonts w:cs="Arabic Transparent" w:hint="cs"/>
          <w:sz w:val="32"/>
          <w:szCs w:val="32"/>
          <w:rtl/>
        </w:rPr>
        <w:t>و</w:t>
      </w:r>
      <w:r w:rsidRPr="00B73C96">
        <w:rPr>
          <w:rFonts w:cs="Arabic Transparent"/>
          <w:sz w:val="32"/>
          <w:szCs w:val="32"/>
          <w:rtl/>
        </w:rPr>
        <w:t>ر، تلتها حصة الأطر بنسبة 39% وحصة المستخدمين بالمكاتب بنسبة 7%.</w:t>
      </w:r>
    </w:p>
    <w:p w:rsidR="00B73C96" w:rsidRPr="00B73C96" w:rsidRDefault="00B73C96" w:rsidP="00B73C96">
      <w:pPr>
        <w:bidi/>
        <w:jc w:val="both"/>
        <w:rPr>
          <w:rFonts w:cs="Arabic Transparent"/>
          <w:sz w:val="32"/>
          <w:szCs w:val="32"/>
          <w:rtl/>
        </w:rPr>
      </w:pPr>
    </w:p>
    <w:p w:rsidR="00B73C96" w:rsidRPr="00B73C96" w:rsidRDefault="00B73C96" w:rsidP="0094399E">
      <w:pPr>
        <w:bidi/>
        <w:jc w:val="both"/>
        <w:rPr>
          <w:rFonts w:cs="Arabic Transparent"/>
          <w:sz w:val="32"/>
          <w:szCs w:val="32"/>
          <w:rtl/>
        </w:rPr>
      </w:pPr>
      <w:r w:rsidRPr="00B73C96">
        <w:rPr>
          <w:rFonts w:cs="Arabic Transparent"/>
          <w:sz w:val="32"/>
          <w:szCs w:val="32"/>
          <w:rtl/>
        </w:rPr>
        <w:t>وبلغ متوسط الأجر السنوي بالنسبة لأجير مداوم يعمل لوقت كامل على مدار السنة حوالي 56000 درهم، و</w:t>
      </w:r>
      <w:r w:rsidR="00663382">
        <w:rPr>
          <w:rFonts w:cs="Arabic Transparent" w:hint="cs"/>
          <w:sz w:val="32"/>
          <w:szCs w:val="32"/>
          <w:rtl/>
        </w:rPr>
        <w:t>ت</w:t>
      </w:r>
      <w:r w:rsidRPr="00B73C96">
        <w:rPr>
          <w:rFonts w:cs="Arabic Transparent"/>
          <w:sz w:val="32"/>
          <w:szCs w:val="32"/>
          <w:rtl/>
        </w:rPr>
        <w:t xml:space="preserve">قاضى الإطار، في المتوسط، أجرا ضاعف 3,5 مرات أجر عامل غير مؤهل و 2,5 مرات أجر عامل مؤهل. </w:t>
      </w:r>
      <w:r w:rsidR="0094399E">
        <w:rPr>
          <w:rFonts w:cs="Arabic Transparent" w:hint="cs"/>
          <w:sz w:val="32"/>
          <w:szCs w:val="32"/>
          <w:rtl/>
        </w:rPr>
        <w:t>وسجلت</w:t>
      </w:r>
      <w:r w:rsidRPr="00B73C96">
        <w:rPr>
          <w:rFonts w:cs="Arabic Transparent"/>
          <w:sz w:val="32"/>
          <w:szCs w:val="32"/>
          <w:rtl/>
        </w:rPr>
        <w:t xml:space="preserve"> أعلى مستويات متوسط الأجور السنوية</w:t>
      </w:r>
      <w:r w:rsidR="00663382">
        <w:rPr>
          <w:rFonts w:cs="Arabic Transparent" w:hint="cs"/>
          <w:sz w:val="32"/>
          <w:szCs w:val="32"/>
          <w:rtl/>
        </w:rPr>
        <w:t xml:space="preserve"> </w:t>
      </w:r>
      <w:r w:rsidRPr="00B73C96">
        <w:rPr>
          <w:rFonts w:cs="Arabic Transparent"/>
          <w:sz w:val="32"/>
          <w:szCs w:val="32"/>
          <w:rtl/>
        </w:rPr>
        <w:t>في قطاعات الصناعة الكيم</w:t>
      </w:r>
      <w:r w:rsidR="00663382">
        <w:rPr>
          <w:rFonts w:cs="Arabic Transparent" w:hint="cs"/>
          <w:sz w:val="32"/>
          <w:szCs w:val="32"/>
          <w:rtl/>
        </w:rPr>
        <w:t>ي</w:t>
      </w:r>
      <w:r w:rsidRPr="00B73C96">
        <w:rPr>
          <w:rFonts w:cs="Arabic Transparent"/>
          <w:sz w:val="32"/>
          <w:szCs w:val="32"/>
          <w:rtl/>
        </w:rPr>
        <w:t>ا</w:t>
      </w:r>
      <w:r w:rsidR="00663382">
        <w:rPr>
          <w:rFonts w:cs="Arabic Transparent" w:hint="cs"/>
          <w:sz w:val="32"/>
          <w:szCs w:val="32"/>
          <w:rtl/>
        </w:rPr>
        <w:t>ئ</w:t>
      </w:r>
      <w:r w:rsidRPr="00B73C96">
        <w:rPr>
          <w:rFonts w:cs="Arabic Transparent"/>
          <w:sz w:val="32"/>
          <w:szCs w:val="32"/>
          <w:rtl/>
        </w:rPr>
        <w:t>ية وشبه الكيم</w:t>
      </w:r>
      <w:r w:rsidR="00663382">
        <w:rPr>
          <w:rFonts w:cs="Arabic Transparent" w:hint="cs"/>
          <w:sz w:val="32"/>
          <w:szCs w:val="32"/>
          <w:rtl/>
        </w:rPr>
        <w:t>ي</w:t>
      </w:r>
      <w:r w:rsidRPr="00B73C96">
        <w:rPr>
          <w:rFonts w:cs="Arabic Transparent"/>
          <w:sz w:val="32"/>
          <w:szCs w:val="32"/>
          <w:rtl/>
        </w:rPr>
        <w:t>ا</w:t>
      </w:r>
      <w:r w:rsidR="00663382">
        <w:rPr>
          <w:rFonts w:cs="Arabic Transparent" w:hint="cs"/>
          <w:sz w:val="32"/>
          <w:szCs w:val="32"/>
          <w:rtl/>
        </w:rPr>
        <w:t>ئ</w:t>
      </w:r>
      <w:r w:rsidRPr="00B73C96">
        <w:rPr>
          <w:rFonts w:cs="Arabic Transparent"/>
          <w:sz w:val="32"/>
          <w:szCs w:val="32"/>
          <w:rtl/>
        </w:rPr>
        <w:t>ية (90000 درهم</w:t>
      </w:r>
      <w:r w:rsidRPr="00B73C96">
        <w:rPr>
          <w:rFonts w:cs="Arabic Transparent"/>
          <w:sz w:val="32"/>
          <w:szCs w:val="32"/>
        </w:rPr>
        <w:t>(</w:t>
      </w:r>
      <w:r w:rsidRPr="00B73C96">
        <w:rPr>
          <w:rFonts w:cs="Arabic Transparent"/>
          <w:sz w:val="32"/>
          <w:szCs w:val="32"/>
          <w:rtl/>
        </w:rPr>
        <w:t xml:space="preserve"> وأدناها في صناعات النسيج والجلد </w:t>
      </w:r>
      <w:r w:rsidRPr="00B73C96">
        <w:rPr>
          <w:rFonts w:cs="Arabic Transparent"/>
          <w:sz w:val="32"/>
          <w:szCs w:val="32"/>
        </w:rPr>
        <w:t>)</w:t>
      </w:r>
      <w:r w:rsidRPr="00B73C96">
        <w:rPr>
          <w:rFonts w:cs="Arabic Transparent"/>
          <w:sz w:val="32"/>
          <w:szCs w:val="32"/>
          <w:rtl/>
        </w:rPr>
        <w:t>33500 درهم</w:t>
      </w:r>
      <w:r w:rsidRPr="00B73C96">
        <w:rPr>
          <w:rFonts w:cs="Arabic Transparent"/>
          <w:sz w:val="32"/>
          <w:szCs w:val="32"/>
        </w:rPr>
        <w:t>(</w:t>
      </w:r>
      <w:r w:rsidRPr="00B73C96">
        <w:rPr>
          <w:rFonts w:cs="Arabic Transparent"/>
          <w:sz w:val="32"/>
          <w:szCs w:val="32"/>
          <w:rtl/>
        </w:rPr>
        <w:t>.</w:t>
      </w:r>
    </w:p>
    <w:p w:rsidR="00B73C96" w:rsidRPr="00B73C96" w:rsidRDefault="00B73C96" w:rsidP="00B73C96">
      <w:pPr>
        <w:bidi/>
        <w:jc w:val="both"/>
        <w:rPr>
          <w:rFonts w:cs="Arabic Transparent"/>
          <w:sz w:val="32"/>
          <w:szCs w:val="32"/>
          <w:rtl/>
        </w:rPr>
      </w:pPr>
    </w:p>
    <w:p w:rsidR="00B73C96" w:rsidRPr="00B73C96" w:rsidRDefault="00B73C96" w:rsidP="00750E58">
      <w:pPr>
        <w:bidi/>
        <w:jc w:val="both"/>
        <w:rPr>
          <w:rFonts w:cs="Arabic Transparent"/>
          <w:sz w:val="32"/>
          <w:szCs w:val="32"/>
          <w:rtl/>
        </w:rPr>
      </w:pPr>
      <w:r w:rsidRPr="00B73C96">
        <w:rPr>
          <w:rFonts w:cs="Arabic Transparent"/>
          <w:sz w:val="32"/>
          <w:szCs w:val="32"/>
          <w:rtl/>
        </w:rPr>
        <w:t>من جهة أخرى</w:t>
      </w:r>
      <w:r w:rsidR="0094399E">
        <w:rPr>
          <w:rFonts w:cs="Arabic Transparent" w:hint="cs"/>
          <w:sz w:val="32"/>
          <w:szCs w:val="32"/>
          <w:rtl/>
        </w:rPr>
        <w:t>،</w:t>
      </w:r>
      <w:r w:rsidRPr="00B73C96">
        <w:rPr>
          <w:rFonts w:cs="Arabic Transparent"/>
          <w:sz w:val="32"/>
          <w:szCs w:val="32"/>
          <w:rtl/>
        </w:rPr>
        <w:t xml:space="preserve"> بلغت قيمة المشتريات من المواد الأولية والمنتجات المستهلكة، دون احتساب الطاقة، حوالي 228 مليار درهم، ع</w:t>
      </w:r>
      <w:r w:rsidR="00750E58">
        <w:rPr>
          <w:rFonts w:cs="Arabic Transparent" w:hint="cs"/>
          <w:sz w:val="32"/>
          <w:szCs w:val="32"/>
          <w:rtl/>
        </w:rPr>
        <w:t>ا</w:t>
      </w:r>
      <w:r w:rsidRPr="00B73C96">
        <w:rPr>
          <w:rFonts w:cs="Arabic Transparent"/>
          <w:sz w:val="32"/>
          <w:szCs w:val="32"/>
          <w:rtl/>
        </w:rPr>
        <w:t>د</w:t>
      </w:r>
      <w:r w:rsidR="00750E58">
        <w:rPr>
          <w:rFonts w:cs="Arabic Transparent" w:hint="cs"/>
          <w:sz w:val="32"/>
          <w:szCs w:val="32"/>
          <w:rtl/>
        </w:rPr>
        <w:t>ت</w:t>
      </w:r>
      <w:r w:rsidRPr="00B73C96">
        <w:rPr>
          <w:rFonts w:cs="Arabic Transparent"/>
          <w:sz w:val="32"/>
          <w:szCs w:val="32"/>
          <w:rtl/>
        </w:rPr>
        <w:t xml:space="preserve"> 39% منها للصناعات الكيماوية وشبه الكيماوية و 31% للصناعات الغذائية. وحسب حجم المقاولات، </w:t>
      </w:r>
      <w:r w:rsidR="00750E58">
        <w:rPr>
          <w:rFonts w:cs="Arabic Transparent" w:hint="cs"/>
          <w:sz w:val="32"/>
          <w:szCs w:val="32"/>
          <w:rtl/>
        </w:rPr>
        <w:t>همت</w:t>
      </w:r>
      <w:r w:rsidRPr="00B73C96">
        <w:rPr>
          <w:rFonts w:cs="Arabic Transparent"/>
          <w:sz w:val="32"/>
          <w:szCs w:val="32"/>
          <w:rtl/>
        </w:rPr>
        <w:t xml:space="preserve"> حوالي 48% من مشتريات المواد الأولية والمنتجات المستهلكة </w:t>
      </w:r>
      <w:r w:rsidR="00750E58">
        <w:rPr>
          <w:rFonts w:cs="Arabic Transparent" w:hint="cs"/>
          <w:sz w:val="32"/>
          <w:szCs w:val="32"/>
          <w:rtl/>
        </w:rPr>
        <w:t>ا</w:t>
      </w:r>
      <w:r w:rsidRPr="00B73C96">
        <w:rPr>
          <w:rFonts w:cs="Arabic Transparent"/>
          <w:sz w:val="32"/>
          <w:szCs w:val="32"/>
          <w:rtl/>
        </w:rPr>
        <w:t>لمقاولات الكبرى.</w:t>
      </w:r>
    </w:p>
    <w:p w:rsidR="00B73C96" w:rsidRPr="00B73C96" w:rsidRDefault="00B73C96" w:rsidP="00B73C96">
      <w:pPr>
        <w:bidi/>
        <w:jc w:val="both"/>
        <w:rPr>
          <w:rFonts w:cs="Arabic Transparent"/>
          <w:sz w:val="32"/>
          <w:szCs w:val="32"/>
          <w:rtl/>
        </w:rPr>
      </w:pPr>
    </w:p>
    <w:p w:rsidR="00B73C96" w:rsidRPr="00B73C96" w:rsidRDefault="00B73C96" w:rsidP="0094399E">
      <w:pPr>
        <w:bidi/>
        <w:jc w:val="both"/>
        <w:rPr>
          <w:rFonts w:cs="Arabic Transparent"/>
          <w:sz w:val="32"/>
          <w:szCs w:val="32"/>
          <w:rtl/>
        </w:rPr>
      </w:pPr>
      <w:r w:rsidRPr="00B73C96">
        <w:rPr>
          <w:rFonts w:cs="Arabic Transparent"/>
          <w:sz w:val="32"/>
          <w:szCs w:val="32"/>
          <w:rtl/>
        </w:rPr>
        <w:t>كما بلغت المشتريات من الطاقة 14,4 مليار درهم، لتشكل حوالي 4,6</w:t>
      </w:r>
      <w:r w:rsidRPr="00B73C96">
        <w:rPr>
          <w:rFonts w:cs="Arabic Transparent"/>
          <w:sz w:val="32"/>
          <w:szCs w:val="32"/>
        </w:rPr>
        <w:t>%</w:t>
      </w:r>
      <w:r w:rsidRPr="00B73C96">
        <w:rPr>
          <w:rFonts w:cs="Arabic Transparent"/>
          <w:sz w:val="32"/>
          <w:szCs w:val="32"/>
          <w:rtl/>
        </w:rPr>
        <w:t xml:space="preserve"> من الاستهلاك الوسيط و  15,4</w:t>
      </w:r>
      <w:r w:rsidRPr="00B73C96">
        <w:rPr>
          <w:rFonts w:cs="Arabic Transparent"/>
          <w:sz w:val="32"/>
          <w:szCs w:val="32"/>
        </w:rPr>
        <w:t xml:space="preserve"> %</w:t>
      </w:r>
      <w:r w:rsidRPr="00B73C96">
        <w:rPr>
          <w:rFonts w:cs="Arabic Transparent"/>
          <w:sz w:val="32"/>
          <w:szCs w:val="32"/>
          <w:rtl/>
        </w:rPr>
        <w:t>من القيمة المضافة. ويعتبر الكهرباء والغازوال والفيول أنواع الطاقات الثلاث الأكثر استعمالا بنسب 46</w:t>
      </w:r>
      <w:r w:rsidRPr="00B73C96">
        <w:rPr>
          <w:rFonts w:cs="Arabic Transparent"/>
          <w:sz w:val="32"/>
          <w:szCs w:val="32"/>
        </w:rPr>
        <w:t>%</w:t>
      </w:r>
      <w:r w:rsidRPr="00B73C96">
        <w:rPr>
          <w:rFonts w:cs="Arabic Transparent"/>
          <w:sz w:val="32"/>
          <w:szCs w:val="32"/>
          <w:rtl/>
        </w:rPr>
        <w:t xml:space="preserve"> و17</w:t>
      </w:r>
      <w:r w:rsidRPr="00B73C96">
        <w:rPr>
          <w:rFonts w:cs="Arabic Transparent"/>
          <w:sz w:val="32"/>
          <w:szCs w:val="32"/>
        </w:rPr>
        <w:t>%</w:t>
      </w:r>
      <w:r w:rsidRPr="00B73C96">
        <w:rPr>
          <w:rFonts w:cs="Arabic Transparent"/>
          <w:sz w:val="32"/>
          <w:szCs w:val="32"/>
          <w:rtl/>
        </w:rPr>
        <w:t xml:space="preserve"> و15</w:t>
      </w:r>
      <w:r w:rsidRPr="00B73C96">
        <w:rPr>
          <w:rFonts w:cs="Arabic Transparent"/>
          <w:sz w:val="32"/>
          <w:szCs w:val="32"/>
        </w:rPr>
        <w:t>%</w:t>
      </w:r>
      <w:r w:rsidRPr="00B73C96">
        <w:rPr>
          <w:rFonts w:cs="Arabic Transparent"/>
          <w:sz w:val="32"/>
          <w:szCs w:val="32"/>
          <w:rtl/>
        </w:rPr>
        <w:t>، على التوالي، من النفقات الإجمالية للطاقة .</w:t>
      </w:r>
    </w:p>
    <w:p w:rsidR="00B73C96" w:rsidRPr="00B73C96" w:rsidRDefault="00B73C96" w:rsidP="00B73C96">
      <w:pPr>
        <w:bidi/>
        <w:jc w:val="both"/>
        <w:rPr>
          <w:rFonts w:cs="Arabic Transparent"/>
          <w:sz w:val="32"/>
          <w:szCs w:val="32"/>
          <w:rtl/>
        </w:rPr>
      </w:pPr>
    </w:p>
    <w:p w:rsidR="00B73C96" w:rsidRPr="00B73C96" w:rsidRDefault="00B73C96" w:rsidP="00B73C96">
      <w:pPr>
        <w:bidi/>
        <w:jc w:val="both"/>
        <w:rPr>
          <w:rFonts w:cs="Arabic Transparent"/>
          <w:sz w:val="32"/>
          <w:szCs w:val="32"/>
          <w:rtl/>
        </w:rPr>
      </w:pPr>
      <w:r w:rsidRPr="00B73C96">
        <w:rPr>
          <w:rFonts w:cs="Arabic Transparent"/>
          <w:sz w:val="32"/>
          <w:szCs w:val="32"/>
          <w:rtl/>
        </w:rPr>
        <w:t>وتعتبر الصناعات الكيماوية</w:t>
      </w:r>
      <w:r w:rsidR="00750E58">
        <w:rPr>
          <w:rFonts w:cs="Arabic Transparent" w:hint="cs"/>
          <w:sz w:val="32"/>
          <w:szCs w:val="32"/>
          <w:rtl/>
        </w:rPr>
        <w:t>،</w:t>
      </w:r>
      <w:r w:rsidRPr="00B73C96">
        <w:rPr>
          <w:rFonts w:cs="Arabic Transparent"/>
          <w:sz w:val="32"/>
          <w:szCs w:val="32"/>
          <w:rtl/>
        </w:rPr>
        <w:t xml:space="preserve"> وبدرجة أقل</w:t>
      </w:r>
      <w:r w:rsidR="00750E58">
        <w:rPr>
          <w:rFonts w:cs="Arabic Transparent" w:hint="cs"/>
          <w:sz w:val="32"/>
          <w:szCs w:val="32"/>
          <w:rtl/>
        </w:rPr>
        <w:t>،</w:t>
      </w:r>
      <w:r w:rsidRPr="00B73C96">
        <w:rPr>
          <w:rFonts w:cs="Arabic Transparent"/>
          <w:sz w:val="32"/>
          <w:szCs w:val="32"/>
          <w:rtl/>
        </w:rPr>
        <w:t xml:space="preserve"> الصناعات الغذائية والصناعات المعدنية والميكانيكية الأكثر استعمالا للطاقة</w:t>
      </w:r>
      <w:r w:rsidRPr="00B73C96">
        <w:rPr>
          <w:rFonts w:cs="Arabic Transparent"/>
          <w:sz w:val="32"/>
          <w:szCs w:val="32"/>
        </w:rPr>
        <w:t>.</w:t>
      </w:r>
      <w:r w:rsidRPr="00B73C96">
        <w:rPr>
          <w:rFonts w:cs="Arabic Transparent"/>
          <w:sz w:val="32"/>
          <w:szCs w:val="32"/>
          <w:rtl/>
        </w:rPr>
        <w:t xml:space="preserve"> حيت بلغت حصتها، على التوالي، ما يناهز 47</w:t>
      </w:r>
      <w:r w:rsidRPr="00B73C96">
        <w:rPr>
          <w:rFonts w:cs="Arabic Transparent"/>
          <w:sz w:val="32"/>
          <w:szCs w:val="32"/>
        </w:rPr>
        <w:t>%</w:t>
      </w:r>
      <w:r w:rsidRPr="00B73C96">
        <w:rPr>
          <w:rFonts w:cs="Arabic Transparent"/>
          <w:sz w:val="32"/>
          <w:szCs w:val="32"/>
          <w:rtl/>
        </w:rPr>
        <w:t xml:space="preserve"> و22,4</w:t>
      </w:r>
      <w:r w:rsidRPr="00B73C96">
        <w:rPr>
          <w:rFonts w:cs="Arabic Transparent"/>
          <w:sz w:val="32"/>
          <w:szCs w:val="32"/>
        </w:rPr>
        <w:t>%</w:t>
      </w:r>
      <w:r w:rsidRPr="00B73C96">
        <w:rPr>
          <w:rFonts w:cs="Arabic Transparent"/>
          <w:sz w:val="32"/>
          <w:szCs w:val="32"/>
          <w:rtl/>
        </w:rPr>
        <w:t xml:space="preserve"> و17,7</w:t>
      </w:r>
      <w:r w:rsidRPr="00B73C96">
        <w:rPr>
          <w:rFonts w:cs="Arabic Transparent"/>
          <w:sz w:val="32"/>
          <w:szCs w:val="32"/>
        </w:rPr>
        <w:t>%</w:t>
      </w:r>
      <w:r w:rsidRPr="00B73C96">
        <w:rPr>
          <w:rFonts w:cs="Arabic Transparent"/>
          <w:sz w:val="32"/>
          <w:szCs w:val="32"/>
          <w:rtl/>
        </w:rPr>
        <w:t xml:space="preserve"> من إجمالي الطاقة المستهلكة من طرف القطاع، في حين تقاسمت النسبة المتبقية (12,9</w:t>
      </w:r>
      <w:r w:rsidRPr="00B73C96">
        <w:rPr>
          <w:rFonts w:cs="Arabic Transparent"/>
          <w:sz w:val="32"/>
          <w:szCs w:val="32"/>
        </w:rPr>
        <w:t>%</w:t>
      </w:r>
      <w:r w:rsidRPr="00B73C96">
        <w:rPr>
          <w:rFonts w:cs="Arabic Transparent"/>
          <w:sz w:val="32"/>
          <w:szCs w:val="32"/>
          <w:rtl/>
        </w:rPr>
        <w:t>) كل من صناعات النسيج والجلد والصناعات الكهربائية والالكترونية.</w:t>
      </w:r>
    </w:p>
    <w:p w:rsidR="00B73C96" w:rsidRPr="00B73C96" w:rsidRDefault="00B73C96" w:rsidP="00B73C96">
      <w:pPr>
        <w:bidi/>
        <w:jc w:val="both"/>
        <w:rPr>
          <w:rFonts w:cs="Arabic Transparent"/>
          <w:sz w:val="32"/>
          <w:szCs w:val="32"/>
          <w:rtl/>
        </w:rPr>
      </w:pPr>
    </w:p>
    <w:p w:rsidR="00B73C96" w:rsidRPr="00B73C96" w:rsidRDefault="00B73C96" w:rsidP="0094399E">
      <w:pPr>
        <w:bidi/>
        <w:jc w:val="both"/>
        <w:rPr>
          <w:rFonts w:cs="Arabic Transparent"/>
          <w:sz w:val="32"/>
          <w:szCs w:val="32"/>
          <w:rtl/>
        </w:rPr>
      </w:pPr>
      <w:r w:rsidRPr="00B73C96">
        <w:rPr>
          <w:rFonts w:cs="Arabic Transparent"/>
          <w:sz w:val="32"/>
          <w:szCs w:val="32"/>
          <w:rtl/>
        </w:rPr>
        <w:t>أما باقي النفقات الخارجية والمتعلقة خصوصا بنفقات الكراء وخدمات الدين والإشهار فلم تتجاوز 2,2</w:t>
      </w:r>
      <w:r w:rsidRPr="00B73C96">
        <w:rPr>
          <w:rFonts w:cs="Arabic Transparent"/>
          <w:sz w:val="32"/>
          <w:szCs w:val="32"/>
        </w:rPr>
        <w:t>%</w:t>
      </w:r>
      <w:r w:rsidRPr="00B73C96">
        <w:rPr>
          <w:rFonts w:cs="Arabic Transparent"/>
          <w:sz w:val="32"/>
          <w:szCs w:val="32"/>
          <w:rtl/>
        </w:rPr>
        <w:t xml:space="preserve"> من مجموع النفقات. وبلغت النفقات المتعلقة بالدراسات والأبحاث والتوثيق 238 </w:t>
      </w:r>
      <w:r w:rsidR="00750E58">
        <w:rPr>
          <w:rFonts w:cs="Arabic Transparent" w:hint="cs"/>
          <w:sz w:val="32"/>
          <w:szCs w:val="32"/>
          <w:rtl/>
        </w:rPr>
        <w:t>مليون</w:t>
      </w:r>
      <w:r w:rsidRPr="00B73C96">
        <w:rPr>
          <w:rFonts w:cs="Arabic Transparent"/>
          <w:sz w:val="32"/>
          <w:szCs w:val="32"/>
          <w:rtl/>
        </w:rPr>
        <w:t xml:space="preserve"> درهم، وتم تسجيلها أساسا بقطاع الصناعات المعدنية والميكانيكية.</w:t>
      </w:r>
    </w:p>
    <w:p w:rsidR="00B73C96" w:rsidRPr="00B73C96" w:rsidRDefault="00B73C96" w:rsidP="00B73C96">
      <w:pPr>
        <w:bidi/>
        <w:jc w:val="both"/>
        <w:rPr>
          <w:rFonts w:cs="Arabic Transparent"/>
          <w:sz w:val="32"/>
          <w:szCs w:val="32"/>
          <w:rtl/>
        </w:rPr>
      </w:pPr>
    </w:p>
    <w:p w:rsidR="00B73C96" w:rsidRPr="00B73C96" w:rsidRDefault="00B73C96" w:rsidP="002431E1">
      <w:pPr>
        <w:bidi/>
        <w:jc w:val="both"/>
        <w:rPr>
          <w:rFonts w:cs="Arabic Transparent"/>
          <w:sz w:val="32"/>
          <w:szCs w:val="32"/>
          <w:rtl/>
        </w:rPr>
      </w:pPr>
      <w:r w:rsidRPr="00B73C96">
        <w:rPr>
          <w:rFonts w:cs="Arabic Transparent"/>
          <w:sz w:val="32"/>
          <w:szCs w:val="32"/>
          <w:rtl/>
        </w:rPr>
        <w:t>وعلى العموم، بلغت نسبة اندماج النسيج الصناعي المغربي، والتي تقاس بشكل تقريبي بحصة المدخلات التي توفرها السوق المحلية، ما يقرب 65</w:t>
      </w:r>
      <w:r w:rsidRPr="00B73C96">
        <w:rPr>
          <w:rFonts w:cs="Arabic Transparent"/>
          <w:sz w:val="32"/>
          <w:szCs w:val="32"/>
        </w:rPr>
        <w:t xml:space="preserve"> %</w:t>
      </w:r>
      <w:r w:rsidRPr="00B73C96">
        <w:rPr>
          <w:rFonts w:cs="Arabic Transparent"/>
          <w:sz w:val="32"/>
          <w:szCs w:val="32"/>
          <w:rtl/>
        </w:rPr>
        <w:t>في 2014. إلا أن هذه النسبة تخفي تفاوتات كبيرة بين مختلف الفروع الصناعية، حيث سجلت أضعف نسبة اندماج في قطاع صناعة السيارات (33</w:t>
      </w:r>
      <w:r w:rsidRPr="00B73C96">
        <w:rPr>
          <w:rFonts w:cs="Arabic Transparent"/>
          <w:sz w:val="32"/>
          <w:szCs w:val="32"/>
        </w:rPr>
        <w:t>%</w:t>
      </w:r>
      <w:r w:rsidRPr="00B73C96">
        <w:rPr>
          <w:rFonts w:cs="Arabic Transparent"/>
          <w:sz w:val="32"/>
          <w:szCs w:val="32"/>
          <w:rtl/>
        </w:rPr>
        <w:t>) وفي صناعة التجهيزات الكهربائية (37</w:t>
      </w:r>
      <w:r w:rsidRPr="00B73C96">
        <w:rPr>
          <w:rFonts w:cs="Arabic Transparent"/>
          <w:sz w:val="32"/>
          <w:szCs w:val="32"/>
        </w:rPr>
        <w:t>%</w:t>
      </w:r>
      <w:r w:rsidRPr="00B73C96">
        <w:rPr>
          <w:rFonts w:cs="Arabic Transparent"/>
          <w:sz w:val="32"/>
          <w:szCs w:val="32"/>
          <w:rtl/>
        </w:rPr>
        <w:t xml:space="preserve">). في </w:t>
      </w:r>
      <w:r w:rsidR="002431E1">
        <w:rPr>
          <w:rFonts w:cs="Arabic Transparent" w:hint="cs"/>
          <w:sz w:val="32"/>
          <w:szCs w:val="32"/>
          <w:rtl/>
        </w:rPr>
        <w:t>حين</w:t>
      </w:r>
      <w:r w:rsidRPr="00B73C96">
        <w:rPr>
          <w:rFonts w:cs="Arabic Transparent"/>
          <w:sz w:val="32"/>
          <w:szCs w:val="32"/>
          <w:rtl/>
        </w:rPr>
        <w:t xml:space="preserve">، </w:t>
      </w:r>
      <w:r w:rsidR="002431E1">
        <w:rPr>
          <w:rFonts w:cs="Arabic Transparent" w:hint="cs"/>
          <w:sz w:val="32"/>
          <w:szCs w:val="32"/>
          <w:rtl/>
        </w:rPr>
        <w:t>ا</w:t>
      </w:r>
      <w:r w:rsidRPr="00B73C96">
        <w:rPr>
          <w:rFonts w:cs="Arabic Transparent"/>
          <w:sz w:val="32"/>
          <w:szCs w:val="32"/>
          <w:rtl/>
        </w:rPr>
        <w:t>عتبر</w:t>
      </w:r>
      <w:r w:rsidR="002431E1">
        <w:rPr>
          <w:rFonts w:cs="Arabic Transparent" w:hint="cs"/>
          <w:sz w:val="32"/>
          <w:szCs w:val="32"/>
          <w:rtl/>
        </w:rPr>
        <w:t>ت</w:t>
      </w:r>
      <w:r w:rsidRPr="00B73C96">
        <w:rPr>
          <w:rFonts w:cs="Arabic Transparent"/>
          <w:sz w:val="32"/>
          <w:szCs w:val="32"/>
          <w:rtl/>
        </w:rPr>
        <w:t xml:space="preserve"> الصناعات الغذائية (86</w:t>
      </w:r>
      <w:r w:rsidRPr="00B73C96">
        <w:rPr>
          <w:rFonts w:cs="Arabic Transparent"/>
          <w:sz w:val="32"/>
          <w:szCs w:val="32"/>
        </w:rPr>
        <w:t>%</w:t>
      </w:r>
      <w:r w:rsidRPr="00B73C96">
        <w:rPr>
          <w:rFonts w:cs="Arabic Transparent"/>
          <w:sz w:val="32"/>
          <w:szCs w:val="32"/>
          <w:rtl/>
        </w:rPr>
        <w:t>) وصناعة النسيج والجلد (69</w:t>
      </w:r>
      <w:r w:rsidRPr="00B73C96">
        <w:rPr>
          <w:rFonts w:cs="Arabic Transparent"/>
          <w:sz w:val="32"/>
          <w:szCs w:val="32"/>
        </w:rPr>
        <w:t>%</w:t>
      </w:r>
      <w:r w:rsidRPr="00B73C96">
        <w:rPr>
          <w:rFonts w:cs="Arabic Transparent"/>
          <w:sz w:val="32"/>
          <w:szCs w:val="32"/>
          <w:rtl/>
        </w:rPr>
        <w:t xml:space="preserve">) الفروع الأكثر اندماجا.  </w:t>
      </w:r>
    </w:p>
    <w:p w:rsidR="00B73C96" w:rsidRDefault="00B73C96" w:rsidP="00B73C96">
      <w:pPr>
        <w:bidi/>
        <w:jc w:val="both"/>
        <w:rPr>
          <w:rFonts w:asciiTheme="minorBidi" w:hAnsiTheme="minorBidi"/>
          <w:sz w:val="28"/>
          <w:szCs w:val="28"/>
          <w:rtl/>
          <w:lang w:bidi="ar-EG"/>
        </w:rPr>
      </w:pPr>
    </w:p>
    <w:p w:rsidR="00EA5C5D" w:rsidRPr="00D95455" w:rsidRDefault="00EA5C5D" w:rsidP="00714C8C">
      <w:pPr>
        <w:bidi/>
        <w:jc w:val="center"/>
        <w:rPr>
          <w:rFonts w:asciiTheme="majorBidi" w:hAnsiTheme="majorBidi" w:cstheme="majorBidi"/>
          <w:sz w:val="32"/>
          <w:szCs w:val="32"/>
          <w:rtl/>
          <w:lang w:bidi="ar-EG"/>
        </w:rPr>
      </w:pPr>
      <w:r w:rsidRPr="00EA5C5D">
        <w:rPr>
          <w:rFonts w:asciiTheme="majorBidi" w:hAnsiTheme="majorBidi"/>
          <w:noProof/>
          <w:sz w:val="32"/>
          <w:szCs w:val="32"/>
          <w:rtl/>
        </w:rPr>
        <w:lastRenderedPageBreak/>
        <w:drawing>
          <wp:inline distT="0" distB="0" distL="0" distR="0">
            <wp:extent cx="2985921" cy="2607399"/>
            <wp:effectExtent l="19050" t="0" r="23979" b="2451"/>
            <wp:docPr id="12"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EA5C5D">
        <w:rPr>
          <w:rFonts w:asciiTheme="majorBidi" w:hAnsiTheme="majorBidi"/>
          <w:noProof/>
          <w:sz w:val="32"/>
          <w:szCs w:val="32"/>
          <w:rtl/>
        </w:rPr>
        <w:drawing>
          <wp:inline distT="0" distB="0" distL="0" distR="0">
            <wp:extent cx="2854237" cy="2607186"/>
            <wp:effectExtent l="19050" t="0" r="3263" b="0"/>
            <wp:docPr id="14" name="Image 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2851472" cy="2604660"/>
                    </a:xfrm>
                    <a:prstGeom prst="rect">
                      <a:avLst/>
                    </a:prstGeom>
                    <a:noFill/>
                    <a:ln>
                      <a:noFill/>
                    </a:ln>
                  </pic:spPr>
                </pic:pic>
              </a:graphicData>
            </a:graphic>
          </wp:inline>
        </w:drawing>
      </w:r>
    </w:p>
    <w:p w:rsidR="00C5592F" w:rsidRPr="00075495" w:rsidRDefault="00C5592F" w:rsidP="00C5592F">
      <w:pPr>
        <w:bidi/>
        <w:jc w:val="both"/>
        <w:rPr>
          <w:rFonts w:cs="Arabic Transparent"/>
          <w:sz w:val="32"/>
          <w:szCs w:val="32"/>
        </w:rPr>
      </w:pPr>
    </w:p>
    <w:p w:rsidR="00075495" w:rsidRPr="00075495" w:rsidRDefault="00075495" w:rsidP="00075495">
      <w:pPr>
        <w:jc w:val="right"/>
        <w:rPr>
          <w:rFonts w:ascii="Book Antiqua" w:hAnsi="Book Antiqua" w:cs="Arial"/>
          <w:b/>
          <w:bCs/>
          <w:color w:val="E36C0A"/>
          <w:sz w:val="36"/>
          <w:szCs w:val="36"/>
        </w:rPr>
      </w:pPr>
      <w:r w:rsidRPr="00075495">
        <w:rPr>
          <w:rFonts w:ascii="Book Antiqua" w:hAnsi="Book Antiqua" w:cs="Arial"/>
          <w:b/>
          <w:bCs/>
          <w:color w:val="E36C0A"/>
          <w:sz w:val="36"/>
          <w:szCs w:val="36"/>
          <w:rtl/>
        </w:rPr>
        <w:t>ال</w:t>
      </w:r>
      <w:r>
        <w:rPr>
          <w:rFonts w:ascii="Book Antiqua" w:hAnsi="Book Antiqua" w:cs="Arial" w:hint="cs"/>
          <w:b/>
          <w:bCs/>
          <w:color w:val="E36C0A"/>
          <w:sz w:val="36"/>
          <w:szCs w:val="36"/>
          <w:rtl/>
        </w:rPr>
        <w:t>ــ</w:t>
      </w:r>
      <w:r w:rsidRPr="00075495">
        <w:rPr>
          <w:rFonts w:ascii="Book Antiqua" w:hAnsi="Book Antiqua" w:cs="Arial"/>
          <w:b/>
          <w:bCs/>
          <w:color w:val="E36C0A"/>
          <w:sz w:val="36"/>
          <w:szCs w:val="36"/>
          <w:rtl/>
        </w:rPr>
        <w:t>خ</w:t>
      </w:r>
      <w:r>
        <w:rPr>
          <w:rFonts w:ascii="Book Antiqua" w:hAnsi="Book Antiqua" w:cs="Arial" w:hint="cs"/>
          <w:b/>
          <w:bCs/>
          <w:color w:val="E36C0A"/>
          <w:sz w:val="36"/>
          <w:szCs w:val="36"/>
          <w:rtl/>
        </w:rPr>
        <w:t>ــ</w:t>
      </w:r>
      <w:r w:rsidRPr="00075495">
        <w:rPr>
          <w:rFonts w:ascii="Book Antiqua" w:hAnsi="Book Antiqua" w:cs="Arial"/>
          <w:b/>
          <w:bCs/>
          <w:color w:val="E36C0A"/>
          <w:sz w:val="36"/>
          <w:szCs w:val="36"/>
          <w:rtl/>
        </w:rPr>
        <w:t>لاص</w:t>
      </w:r>
      <w:r>
        <w:rPr>
          <w:rFonts w:ascii="Book Antiqua" w:hAnsi="Book Antiqua" w:cs="Arial" w:hint="cs"/>
          <w:b/>
          <w:bCs/>
          <w:color w:val="E36C0A"/>
          <w:sz w:val="36"/>
          <w:szCs w:val="36"/>
          <w:rtl/>
        </w:rPr>
        <w:t>ــ</w:t>
      </w:r>
      <w:r w:rsidRPr="00075495">
        <w:rPr>
          <w:rFonts w:ascii="Book Antiqua" w:hAnsi="Book Antiqua" w:cs="Arial"/>
          <w:b/>
          <w:bCs/>
          <w:color w:val="E36C0A"/>
          <w:sz w:val="36"/>
          <w:szCs w:val="36"/>
          <w:rtl/>
        </w:rPr>
        <w:t>ة</w:t>
      </w:r>
    </w:p>
    <w:p w:rsidR="00075495" w:rsidRPr="00075495" w:rsidRDefault="00075495" w:rsidP="00075495">
      <w:pPr>
        <w:jc w:val="right"/>
        <w:rPr>
          <w:rFonts w:cs="Arabic Transparent"/>
          <w:sz w:val="32"/>
          <w:szCs w:val="32"/>
          <w:rtl/>
        </w:rPr>
      </w:pPr>
    </w:p>
    <w:p w:rsidR="00075495" w:rsidRPr="00075495" w:rsidRDefault="00075495" w:rsidP="00627BA9">
      <w:pPr>
        <w:pStyle w:val="Corpsdetexte"/>
        <w:bidi/>
        <w:rPr>
          <w:rFonts w:cs="Arabic Transparent"/>
          <w:sz w:val="32"/>
          <w:szCs w:val="32"/>
          <w:rtl/>
        </w:rPr>
      </w:pPr>
      <w:r w:rsidRPr="00075495">
        <w:rPr>
          <w:rFonts w:cs="Arabic Transparent"/>
          <w:sz w:val="32"/>
          <w:szCs w:val="32"/>
          <w:rtl/>
        </w:rPr>
        <w:t>تميز</w:t>
      </w:r>
      <w:r w:rsidR="008B0FC3">
        <w:rPr>
          <w:rFonts w:cs="Arabic Transparent" w:hint="cs"/>
          <w:sz w:val="32"/>
          <w:szCs w:val="32"/>
          <w:rtl/>
        </w:rPr>
        <w:t>ت</w:t>
      </w:r>
      <w:r w:rsidRPr="00075495">
        <w:rPr>
          <w:rFonts w:cs="Arabic Transparent"/>
          <w:sz w:val="32"/>
          <w:szCs w:val="32"/>
          <w:rtl/>
        </w:rPr>
        <w:t xml:space="preserve"> الصناعة التحويلية بالخصائص الهيكلية لاقتصاد في طور</w:t>
      </w:r>
      <w:r w:rsidR="008B0FC3">
        <w:rPr>
          <w:rFonts w:cs="Arabic Transparent" w:hint="cs"/>
          <w:sz w:val="32"/>
          <w:szCs w:val="32"/>
          <w:rtl/>
        </w:rPr>
        <w:t xml:space="preserve"> النمو</w:t>
      </w:r>
      <w:r w:rsidRPr="00075495">
        <w:rPr>
          <w:rFonts w:cs="Arabic Transparent"/>
          <w:sz w:val="32"/>
          <w:szCs w:val="32"/>
          <w:rtl/>
        </w:rPr>
        <w:t xml:space="preserve">، بمساهمة أقل من إمكانياتها من حيث خلق فرص الشغل والثروة. </w:t>
      </w:r>
      <w:r w:rsidR="008B0FC3">
        <w:rPr>
          <w:rFonts w:cs="Arabic Transparent" w:hint="cs"/>
          <w:sz w:val="32"/>
          <w:szCs w:val="32"/>
          <w:rtl/>
        </w:rPr>
        <w:t>ف</w:t>
      </w:r>
      <w:r w:rsidRPr="00075495">
        <w:rPr>
          <w:rFonts w:cs="Arabic Transparent"/>
          <w:sz w:val="32"/>
          <w:szCs w:val="32"/>
          <w:rtl/>
        </w:rPr>
        <w:t>بين سنتي 2006 و2014، سجلت القيمة المضافة للقطاع نموا سنويا متوسطا قدره 5%، إلا أن حصة القيمة المضافة للقطاع في الناتج الداخلي الإجمالي انخفضت بحوالي نقطة واحدة مقارنة مع سنة 2006 لتصل إلى 11,3% سنة 2014. و</w:t>
      </w:r>
      <w:r w:rsidR="007218C2">
        <w:rPr>
          <w:rFonts w:cs="Arabic Transparent" w:hint="cs"/>
          <w:sz w:val="32"/>
          <w:szCs w:val="32"/>
          <w:rtl/>
        </w:rPr>
        <w:t xml:space="preserve">شكلت الصادرات ربع </w:t>
      </w:r>
      <w:r w:rsidRPr="00075495">
        <w:rPr>
          <w:rFonts w:cs="Arabic Transparent"/>
          <w:sz w:val="32"/>
          <w:szCs w:val="32"/>
          <w:rtl/>
        </w:rPr>
        <w:t xml:space="preserve">قيمة المعاملات، بنسبة </w:t>
      </w:r>
      <w:r w:rsidR="007218C2">
        <w:rPr>
          <w:rFonts w:cs="Arabic Transparent" w:hint="cs"/>
          <w:sz w:val="32"/>
          <w:szCs w:val="32"/>
          <w:rtl/>
        </w:rPr>
        <w:t>نمو</w:t>
      </w:r>
      <w:r w:rsidRPr="00075495">
        <w:rPr>
          <w:rFonts w:cs="Arabic Transparent"/>
          <w:sz w:val="32"/>
          <w:szCs w:val="32"/>
          <w:rtl/>
        </w:rPr>
        <w:t xml:space="preserve"> </w:t>
      </w:r>
      <w:r w:rsidR="008B0FC3">
        <w:rPr>
          <w:rFonts w:cs="Arabic Transparent" w:hint="cs"/>
          <w:sz w:val="32"/>
          <w:szCs w:val="32"/>
          <w:rtl/>
        </w:rPr>
        <w:t>ناهز</w:t>
      </w:r>
      <w:r w:rsidRPr="00075495">
        <w:rPr>
          <w:rFonts w:cs="Arabic Transparent"/>
          <w:sz w:val="32"/>
          <w:szCs w:val="32"/>
          <w:rtl/>
        </w:rPr>
        <w:t xml:space="preserve"> 6,4% في المتوسط ​​سنويا، فيما </w:t>
      </w:r>
      <w:r w:rsidR="008B0FC3">
        <w:rPr>
          <w:rFonts w:cs="Arabic Transparent" w:hint="cs"/>
          <w:sz w:val="32"/>
          <w:szCs w:val="32"/>
          <w:rtl/>
        </w:rPr>
        <w:t>عادت</w:t>
      </w:r>
      <w:r w:rsidRPr="00075495">
        <w:rPr>
          <w:rFonts w:cs="Arabic Transparent"/>
          <w:sz w:val="32"/>
          <w:szCs w:val="32"/>
          <w:rtl/>
        </w:rPr>
        <w:t xml:space="preserve"> أكثر من 42% من الصادرات إلى الصناعات الكيماوية وشبه الكيماوية</w:t>
      </w:r>
      <w:r w:rsidRPr="00075495">
        <w:rPr>
          <w:rFonts w:cs="Arabic Transparent"/>
          <w:sz w:val="32"/>
          <w:szCs w:val="32"/>
        </w:rPr>
        <w:t>.</w:t>
      </w:r>
    </w:p>
    <w:p w:rsidR="00075495" w:rsidRPr="00075495" w:rsidRDefault="00075495" w:rsidP="00075495">
      <w:pPr>
        <w:pStyle w:val="Corpsdetexte"/>
        <w:bidi/>
        <w:rPr>
          <w:rFonts w:cs="Arabic Transparent"/>
          <w:sz w:val="32"/>
          <w:szCs w:val="32"/>
          <w:rtl/>
        </w:rPr>
      </w:pPr>
    </w:p>
    <w:p w:rsidR="00075495" w:rsidRPr="00075495" w:rsidRDefault="008B0FC3" w:rsidP="00C06723">
      <w:pPr>
        <w:pStyle w:val="Corpsdetexte"/>
        <w:bidi/>
        <w:rPr>
          <w:rFonts w:cs="Arabic Transparent"/>
          <w:sz w:val="32"/>
          <w:szCs w:val="32"/>
          <w:rtl/>
        </w:rPr>
      </w:pPr>
      <w:r>
        <w:rPr>
          <w:rFonts w:cs="Arabic Transparent" w:hint="cs"/>
          <w:sz w:val="32"/>
          <w:szCs w:val="32"/>
          <w:rtl/>
        </w:rPr>
        <w:t>و</w:t>
      </w:r>
      <w:r w:rsidR="00075495" w:rsidRPr="00075495">
        <w:rPr>
          <w:rFonts w:cs="Arabic Transparent"/>
          <w:sz w:val="32"/>
          <w:szCs w:val="32"/>
          <w:rtl/>
        </w:rPr>
        <w:t xml:space="preserve">عرف القطاع تحسنا في استخدام رأس المال على حساب الشغل. </w:t>
      </w:r>
      <w:r>
        <w:rPr>
          <w:rFonts w:cs="Arabic Transparent" w:hint="cs"/>
          <w:sz w:val="32"/>
          <w:szCs w:val="32"/>
          <w:rtl/>
        </w:rPr>
        <w:t>حيث</w:t>
      </w:r>
      <w:r w:rsidR="00075495" w:rsidRPr="00075495">
        <w:rPr>
          <w:rFonts w:cs="Arabic Transparent"/>
          <w:sz w:val="32"/>
          <w:szCs w:val="32"/>
          <w:rtl/>
        </w:rPr>
        <w:t xml:space="preserve"> </w:t>
      </w:r>
      <w:r w:rsidR="00627BA9">
        <w:rPr>
          <w:rFonts w:cs="Arabic Transparent" w:hint="cs"/>
          <w:sz w:val="32"/>
          <w:szCs w:val="32"/>
          <w:rtl/>
        </w:rPr>
        <w:t>ارتفع</w:t>
      </w:r>
      <w:r w:rsidR="00075495" w:rsidRPr="00075495">
        <w:rPr>
          <w:rFonts w:cs="Arabic Transparent"/>
          <w:sz w:val="32"/>
          <w:szCs w:val="32"/>
          <w:rtl/>
        </w:rPr>
        <w:t xml:space="preserve">ت استثماراته بنسبة 13,2% في المتوسط ​​سنويا منذ سنة 2006. </w:t>
      </w:r>
      <w:r w:rsidR="00627BA9">
        <w:rPr>
          <w:rFonts w:cs="Arabic Transparent" w:hint="cs"/>
          <w:sz w:val="32"/>
          <w:szCs w:val="32"/>
          <w:rtl/>
        </w:rPr>
        <w:t xml:space="preserve">فيما </w:t>
      </w:r>
      <w:r w:rsidR="00075495" w:rsidRPr="00075495">
        <w:rPr>
          <w:rFonts w:cs="Arabic Transparent"/>
          <w:sz w:val="32"/>
          <w:szCs w:val="32"/>
          <w:rtl/>
        </w:rPr>
        <w:t xml:space="preserve">عرف إجمالي الشغل ارتفاعا سنويا ​​قدره 2,6% في المتوسط، </w:t>
      </w:r>
      <w:r>
        <w:rPr>
          <w:rFonts w:cs="Arabic Transparent" w:hint="cs"/>
          <w:sz w:val="32"/>
          <w:szCs w:val="32"/>
          <w:rtl/>
        </w:rPr>
        <w:t xml:space="preserve">مما ساهم في تحسن </w:t>
      </w:r>
      <w:r w:rsidR="00075495" w:rsidRPr="00075495">
        <w:rPr>
          <w:rFonts w:cs="Arabic Transparent"/>
          <w:sz w:val="32"/>
          <w:szCs w:val="32"/>
          <w:rtl/>
        </w:rPr>
        <w:t>إنتاجية القطاع بنسبة 2%. وبلغت حصة مناصب الشغل الصناعية في الساكنة النشيطة الوطنية المشتغلة 6%. وشكل</w:t>
      </w:r>
      <w:r>
        <w:rPr>
          <w:rFonts w:cs="Arabic Transparent" w:hint="cs"/>
          <w:sz w:val="32"/>
          <w:szCs w:val="32"/>
          <w:rtl/>
        </w:rPr>
        <w:t>ت</w:t>
      </w:r>
      <w:r w:rsidR="00075495" w:rsidRPr="00075495">
        <w:rPr>
          <w:rFonts w:cs="Arabic Transparent"/>
          <w:sz w:val="32"/>
          <w:szCs w:val="32"/>
          <w:rtl/>
        </w:rPr>
        <w:t xml:space="preserve"> النساء قرابة ثلث المشتغلين، حيث </w:t>
      </w:r>
      <w:r>
        <w:rPr>
          <w:rFonts w:cs="Arabic Transparent" w:hint="cs"/>
          <w:sz w:val="32"/>
          <w:szCs w:val="32"/>
          <w:rtl/>
        </w:rPr>
        <w:t xml:space="preserve">اشتغل </w:t>
      </w:r>
      <w:r w:rsidR="00075495" w:rsidRPr="00075495">
        <w:rPr>
          <w:rFonts w:cs="Arabic Transparent"/>
          <w:sz w:val="32"/>
          <w:szCs w:val="32"/>
          <w:rtl/>
        </w:rPr>
        <w:t xml:space="preserve">نصفهن تقريبا في صناعات النسيج والجلد، في حين </w:t>
      </w:r>
      <w:r w:rsidR="00C06723">
        <w:rPr>
          <w:rFonts w:cs="Arabic Transparent" w:hint="cs"/>
          <w:sz w:val="32"/>
          <w:szCs w:val="32"/>
          <w:rtl/>
        </w:rPr>
        <w:t>ضلت</w:t>
      </w:r>
      <w:r w:rsidR="00075495" w:rsidRPr="00075495">
        <w:rPr>
          <w:rFonts w:cs="Arabic Transparent"/>
          <w:sz w:val="32"/>
          <w:szCs w:val="32"/>
          <w:rtl/>
        </w:rPr>
        <w:t xml:space="preserve"> الصناعة الكيماوية وشبه الكيماوية أقل القطاعات تأنيثا</w:t>
      </w:r>
      <w:r w:rsidR="00075495" w:rsidRPr="00075495">
        <w:rPr>
          <w:rFonts w:cs="Arabic Transparent"/>
          <w:sz w:val="32"/>
          <w:szCs w:val="32"/>
        </w:rPr>
        <w:t>.</w:t>
      </w:r>
    </w:p>
    <w:p w:rsidR="00075495" w:rsidRPr="00075495" w:rsidRDefault="00075495" w:rsidP="00075495">
      <w:pPr>
        <w:pStyle w:val="Corpsdetexte"/>
        <w:bidi/>
        <w:rPr>
          <w:rFonts w:cs="Arabic Transparent"/>
          <w:sz w:val="32"/>
          <w:szCs w:val="32"/>
        </w:rPr>
      </w:pPr>
    </w:p>
    <w:p w:rsidR="00075495" w:rsidRPr="00075495" w:rsidRDefault="00F72E9D" w:rsidP="008E0C60">
      <w:pPr>
        <w:pStyle w:val="Corpsdetexte"/>
        <w:bidi/>
        <w:rPr>
          <w:rFonts w:cs="Arabic Transparent"/>
          <w:sz w:val="32"/>
          <w:szCs w:val="32"/>
          <w:rtl/>
        </w:rPr>
      </w:pPr>
      <w:r>
        <w:rPr>
          <w:rFonts w:cs="Arabic Transparent" w:hint="cs"/>
          <w:sz w:val="32"/>
          <w:szCs w:val="32"/>
          <w:rtl/>
        </w:rPr>
        <w:t>و</w:t>
      </w:r>
      <w:r w:rsidR="00075495" w:rsidRPr="00075495">
        <w:rPr>
          <w:rFonts w:cs="Arabic Transparent"/>
          <w:sz w:val="32"/>
          <w:szCs w:val="32"/>
          <w:rtl/>
        </w:rPr>
        <w:t>مع تشغيل ما يقرب من ثلثي اليد العاملة للقطاع، حققت المقاولات الكبرى الجزء الأهم من قيمة المعاملات والصادرات وبشكل أكبر من حيث الاستثمار، بنسبة 94% من مجموع الاستثمارات المنجزة. وقد تم تمويل جزء كبير من هذه الأخيرة عن طريق الاقتراض، في حين اعتمدت المقاولات الصغيرة جدا والصغرى والمتوسطة، والتي تمثل ما يقرب من 89% من المقاولات، على التمويل الذاتي لاستثماراتها ولا سيما في فرع النسيج والجلد</w:t>
      </w:r>
      <w:r w:rsidR="00075495" w:rsidRPr="00075495">
        <w:rPr>
          <w:rFonts w:cs="Arabic Transparent"/>
          <w:sz w:val="32"/>
          <w:szCs w:val="32"/>
        </w:rPr>
        <w:t>.</w:t>
      </w:r>
    </w:p>
    <w:p w:rsidR="00075495" w:rsidRPr="00075495" w:rsidRDefault="00075495" w:rsidP="00075495">
      <w:pPr>
        <w:pStyle w:val="Corpsdetexte"/>
        <w:bidi/>
        <w:rPr>
          <w:rFonts w:cs="Arabic Transparent"/>
          <w:sz w:val="32"/>
          <w:szCs w:val="32"/>
        </w:rPr>
      </w:pPr>
    </w:p>
    <w:p w:rsidR="00075495" w:rsidRPr="00075495" w:rsidRDefault="00075495" w:rsidP="002277E1">
      <w:pPr>
        <w:pStyle w:val="Corpsdetexte"/>
        <w:bidi/>
        <w:rPr>
          <w:rFonts w:cs="Arabic Transparent"/>
          <w:sz w:val="32"/>
          <w:szCs w:val="32"/>
          <w:rtl/>
        </w:rPr>
      </w:pPr>
      <w:r w:rsidRPr="00075495">
        <w:rPr>
          <w:rFonts w:cs="Arabic Transparent"/>
          <w:sz w:val="32"/>
          <w:szCs w:val="32"/>
          <w:rtl/>
        </w:rPr>
        <w:t>ول</w:t>
      </w:r>
      <w:r w:rsidR="00F72E9D">
        <w:rPr>
          <w:rFonts w:cs="Arabic Transparent" w:hint="cs"/>
          <w:sz w:val="32"/>
          <w:szCs w:val="32"/>
          <w:rtl/>
        </w:rPr>
        <w:t>و</w:t>
      </w:r>
      <w:r w:rsidRPr="00075495">
        <w:rPr>
          <w:rFonts w:cs="Arabic Transparent"/>
          <w:sz w:val="32"/>
          <w:szCs w:val="32"/>
          <w:rtl/>
        </w:rPr>
        <w:t>حظ تواجد مهم للمقاولات ذات المساهمة الأجنبية</w:t>
      </w:r>
      <w:r w:rsidR="00F72E9D">
        <w:rPr>
          <w:rFonts w:cs="Arabic Transparent" w:hint="cs"/>
          <w:sz w:val="32"/>
          <w:szCs w:val="32"/>
          <w:rtl/>
        </w:rPr>
        <w:t>،</w:t>
      </w:r>
      <w:r w:rsidRPr="00075495">
        <w:rPr>
          <w:rFonts w:cs="Arabic Transparent"/>
          <w:sz w:val="32"/>
          <w:szCs w:val="32"/>
          <w:rtl/>
        </w:rPr>
        <w:t xml:space="preserve"> وخاصة على مستوى المهن العالمية، كالصناعات الكهربائية والإلكترونية والصناعات المعدنية والميكانيكية المعتمدة أكثر على الرساميل. في المقابل، كانت مساهمتها </w:t>
      </w:r>
      <w:r w:rsidR="00F72E9D">
        <w:rPr>
          <w:rFonts w:cs="Arabic Transparent" w:hint="cs"/>
          <w:sz w:val="32"/>
          <w:szCs w:val="32"/>
          <w:rtl/>
        </w:rPr>
        <w:t>ضعيفة</w:t>
      </w:r>
      <w:r w:rsidRPr="00075495">
        <w:rPr>
          <w:rFonts w:cs="Arabic Transparent"/>
          <w:sz w:val="32"/>
          <w:szCs w:val="32"/>
          <w:rtl/>
        </w:rPr>
        <w:t xml:space="preserve"> في الصناعات الغذائية والنسيج والجلد </w:t>
      </w:r>
      <w:r w:rsidR="00F72E9D">
        <w:rPr>
          <w:rFonts w:cs="Arabic Transparent" w:hint="cs"/>
          <w:sz w:val="32"/>
          <w:szCs w:val="32"/>
          <w:rtl/>
        </w:rPr>
        <w:t>و</w:t>
      </w:r>
      <w:r w:rsidRPr="00075495">
        <w:rPr>
          <w:rFonts w:cs="Arabic Transparent"/>
          <w:sz w:val="32"/>
          <w:szCs w:val="32"/>
          <w:rtl/>
        </w:rPr>
        <w:t>الم</w:t>
      </w:r>
      <w:r w:rsidR="00F72E9D">
        <w:rPr>
          <w:rFonts w:cs="Arabic Transparent" w:hint="cs"/>
          <w:sz w:val="32"/>
          <w:szCs w:val="32"/>
          <w:rtl/>
        </w:rPr>
        <w:t>عتمدة على</w:t>
      </w:r>
      <w:r w:rsidRPr="00075495">
        <w:rPr>
          <w:rFonts w:cs="Arabic Transparent"/>
          <w:sz w:val="32"/>
          <w:szCs w:val="32"/>
          <w:rtl/>
        </w:rPr>
        <w:t xml:space="preserve"> </w:t>
      </w:r>
      <w:r w:rsidR="00F72E9D">
        <w:rPr>
          <w:rFonts w:cs="Arabic Transparent" w:hint="cs"/>
          <w:sz w:val="32"/>
          <w:szCs w:val="32"/>
          <w:rtl/>
        </w:rPr>
        <w:t>ا</w:t>
      </w:r>
      <w:r w:rsidRPr="00075495">
        <w:rPr>
          <w:rFonts w:cs="Arabic Transparent"/>
          <w:sz w:val="32"/>
          <w:szCs w:val="32"/>
          <w:rtl/>
        </w:rPr>
        <w:t>ليد العاملة</w:t>
      </w:r>
      <w:r w:rsidRPr="00075495">
        <w:rPr>
          <w:rFonts w:cs="Arabic Transparent"/>
          <w:sz w:val="32"/>
          <w:szCs w:val="32"/>
        </w:rPr>
        <w:t>.</w:t>
      </w:r>
    </w:p>
    <w:p w:rsidR="00075495" w:rsidRPr="00075495" w:rsidRDefault="00075495" w:rsidP="00075495">
      <w:pPr>
        <w:pStyle w:val="Corpsdetexte"/>
        <w:bidi/>
        <w:rPr>
          <w:rFonts w:cs="Arabic Transparent"/>
          <w:sz w:val="32"/>
          <w:szCs w:val="32"/>
        </w:rPr>
      </w:pPr>
    </w:p>
    <w:p w:rsidR="00075495" w:rsidRDefault="00075495" w:rsidP="002D40F6">
      <w:pPr>
        <w:pStyle w:val="Corpsdetexte"/>
        <w:bidi/>
        <w:rPr>
          <w:rFonts w:cs="Arabic Transparent"/>
          <w:sz w:val="32"/>
          <w:szCs w:val="32"/>
          <w:rtl/>
        </w:rPr>
      </w:pPr>
      <w:r w:rsidRPr="00075495">
        <w:rPr>
          <w:rFonts w:cs="Arabic Transparent"/>
          <w:sz w:val="32"/>
          <w:szCs w:val="32"/>
          <w:rtl/>
        </w:rPr>
        <w:t>وتجدر الإشارة إلى أن بنية النسيج الصناعي، الذي تميز</w:t>
      </w:r>
      <w:r w:rsidR="00EB10D5">
        <w:rPr>
          <w:rFonts w:cs="Arabic Transparent" w:hint="cs"/>
          <w:sz w:val="32"/>
          <w:szCs w:val="32"/>
          <w:rtl/>
        </w:rPr>
        <w:t>ت</w:t>
      </w:r>
      <w:r w:rsidRPr="00075495">
        <w:rPr>
          <w:rFonts w:cs="Arabic Transparent"/>
          <w:sz w:val="32"/>
          <w:szCs w:val="32"/>
          <w:rtl/>
        </w:rPr>
        <w:t xml:space="preserve">، لمدة طويلة، بهيمنة الصناعات الغذائية وصناعة النسيج والجلد، </w:t>
      </w:r>
      <w:r w:rsidR="00EB10D5">
        <w:rPr>
          <w:rFonts w:cs="Arabic Transparent" w:hint="cs"/>
          <w:sz w:val="32"/>
          <w:szCs w:val="32"/>
          <w:rtl/>
        </w:rPr>
        <w:t>شهدت</w:t>
      </w:r>
      <w:r w:rsidRPr="00075495">
        <w:rPr>
          <w:rFonts w:cs="Arabic Transparent"/>
          <w:sz w:val="32"/>
          <w:szCs w:val="32"/>
          <w:rtl/>
        </w:rPr>
        <w:t xml:space="preserve"> تغيرا طفيفا في السنوات الأخيرة وذلك بفضل تطور الصناعات الكيم</w:t>
      </w:r>
      <w:r w:rsidR="00EB10D5">
        <w:rPr>
          <w:rFonts w:cs="Arabic Transparent" w:hint="cs"/>
          <w:sz w:val="32"/>
          <w:szCs w:val="32"/>
          <w:rtl/>
        </w:rPr>
        <w:t>ي</w:t>
      </w:r>
      <w:r w:rsidRPr="00075495">
        <w:rPr>
          <w:rFonts w:cs="Arabic Transparent"/>
          <w:sz w:val="32"/>
          <w:szCs w:val="32"/>
          <w:rtl/>
        </w:rPr>
        <w:t>ا</w:t>
      </w:r>
      <w:r w:rsidR="00EB10D5">
        <w:rPr>
          <w:rFonts w:cs="Arabic Transparent" w:hint="cs"/>
          <w:sz w:val="32"/>
          <w:szCs w:val="32"/>
          <w:rtl/>
        </w:rPr>
        <w:t>ئ</w:t>
      </w:r>
      <w:r w:rsidRPr="00075495">
        <w:rPr>
          <w:rFonts w:cs="Arabic Transparent"/>
          <w:sz w:val="32"/>
          <w:szCs w:val="32"/>
          <w:rtl/>
        </w:rPr>
        <w:t>ية وشبه الكيم</w:t>
      </w:r>
      <w:r w:rsidR="00EB10D5">
        <w:rPr>
          <w:rFonts w:cs="Arabic Transparent" w:hint="cs"/>
          <w:sz w:val="32"/>
          <w:szCs w:val="32"/>
          <w:rtl/>
        </w:rPr>
        <w:t>ي</w:t>
      </w:r>
      <w:r w:rsidRPr="00075495">
        <w:rPr>
          <w:rFonts w:cs="Arabic Transparent"/>
          <w:sz w:val="32"/>
          <w:szCs w:val="32"/>
          <w:rtl/>
        </w:rPr>
        <w:t>ا</w:t>
      </w:r>
      <w:r w:rsidR="00EB10D5">
        <w:rPr>
          <w:rFonts w:cs="Arabic Transparent" w:hint="cs"/>
          <w:sz w:val="32"/>
          <w:szCs w:val="32"/>
          <w:rtl/>
        </w:rPr>
        <w:t>ئ</w:t>
      </w:r>
      <w:r w:rsidRPr="00075495">
        <w:rPr>
          <w:rFonts w:cs="Arabic Transparent"/>
          <w:sz w:val="32"/>
          <w:szCs w:val="32"/>
          <w:rtl/>
        </w:rPr>
        <w:t>ية والإلكترونية والكهربائية، وتجهيزات السيارات وتركيب السيارات وصناعة الطيران. إلا أن ثلاثة فروع شكلت حوالي 75% من مقاولات القطاع، وهي الصناعات الكيم</w:t>
      </w:r>
      <w:r w:rsidR="00EB10D5">
        <w:rPr>
          <w:rFonts w:cs="Arabic Transparent" w:hint="cs"/>
          <w:sz w:val="32"/>
          <w:szCs w:val="32"/>
          <w:rtl/>
        </w:rPr>
        <w:t>ي</w:t>
      </w:r>
      <w:r w:rsidRPr="00075495">
        <w:rPr>
          <w:rFonts w:cs="Arabic Transparent"/>
          <w:sz w:val="32"/>
          <w:szCs w:val="32"/>
          <w:rtl/>
        </w:rPr>
        <w:t>ا</w:t>
      </w:r>
      <w:r w:rsidR="00EB10D5">
        <w:rPr>
          <w:rFonts w:cs="Arabic Transparent" w:hint="cs"/>
          <w:sz w:val="32"/>
          <w:szCs w:val="32"/>
          <w:rtl/>
        </w:rPr>
        <w:t>ئ</w:t>
      </w:r>
      <w:r w:rsidRPr="00075495">
        <w:rPr>
          <w:rFonts w:cs="Arabic Transparent"/>
          <w:sz w:val="32"/>
          <w:szCs w:val="32"/>
          <w:rtl/>
        </w:rPr>
        <w:t>ية وشبه الكيم</w:t>
      </w:r>
      <w:r w:rsidR="00EB10D5">
        <w:rPr>
          <w:rFonts w:cs="Arabic Transparent" w:hint="cs"/>
          <w:sz w:val="32"/>
          <w:szCs w:val="32"/>
          <w:rtl/>
        </w:rPr>
        <w:t>ي</w:t>
      </w:r>
      <w:r w:rsidRPr="00075495">
        <w:rPr>
          <w:rFonts w:cs="Arabic Transparent"/>
          <w:sz w:val="32"/>
          <w:szCs w:val="32"/>
          <w:rtl/>
        </w:rPr>
        <w:t>ا</w:t>
      </w:r>
      <w:r w:rsidR="00EB10D5">
        <w:rPr>
          <w:rFonts w:cs="Arabic Transparent" w:hint="cs"/>
          <w:sz w:val="32"/>
          <w:szCs w:val="32"/>
          <w:rtl/>
        </w:rPr>
        <w:t>ئ</w:t>
      </w:r>
      <w:r w:rsidRPr="00075495">
        <w:rPr>
          <w:rFonts w:cs="Arabic Transparent"/>
          <w:sz w:val="32"/>
          <w:szCs w:val="32"/>
          <w:rtl/>
        </w:rPr>
        <w:t>ية والصناعات الغذائية والصناعات المعدنية والميكانيكية. وقد ساهمت هذه الأخيرة، بكل تأكيد</w:t>
      </w:r>
      <w:r w:rsidR="00EB10D5">
        <w:rPr>
          <w:rFonts w:cs="Arabic Transparent" w:hint="cs"/>
          <w:sz w:val="32"/>
          <w:szCs w:val="32"/>
          <w:rtl/>
        </w:rPr>
        <w:t>،</w:t>
      </w:r>
      <w:r w:rsidRPr="00075495">
        <w:rPr>
          <w:rFonts w:cs="Arabic Transparent"/>
          <w:sz w:val="32"/>
          <w:szCs w:val="32"/>
          <w:rtl/>
        </w:rPr>
        <w:t xml:space="preserve"> في تحسين صادراتنا</w:t>
      </w:r>
      <w:r w:rsidR="00EB10D5">
        <w:rPr>
          <w:rFonts w:cs="Arabic Transparent" w:hint="cs"/>
          <w:sz w:val="32"/>
          <w:szCs w:val="32"/>
          <w:rtl/>
        </w:rPr>
        <w:t xml:space="preserve"> الوطنية</w:t>
      </w:r>
      <w:r w:rsidRPr="00075495">
        <w:rPr>
          <w:rFonts w:cs="Arabic Transparent"/>
          <w:sz w:val="32"/>
          <w:szCs w:val="32"/>
          <w:rtl/>
        </w:rPr>
        <w:t>، ولكن دون إحداث تأثير جوهري على الجهاز الإنتاجي ككل، وبالتالي الرفع من القيمة المضافة للقطاع غير الفلاحي</w:t>
      </w:r>
      <w:r w:rsidRPr="00075495">
        <w:rPr>
          <w:rFonts w:cs="Arabic Transparent"/>
          <w:sz w:val="32"/>
          <w:szCs w:val="32"/>
        </w:rPr>
        <w:t>.</w:t>
      </w:r>
    </w:p>
    <w:p w:rsidR="00075495" w:rsidRPr="00075495" w:rsidRDefault="00075495" w:rsidP="00075495">
      <w:pPr>
        <w:pStyle w:val="Corpsdetexte"/>
        <w:bidi/>
        <w:rPr>
          <w:rFonts w:cs="Arabic Transparent"/>
          <w:sz w:val="32"/>
          <w:szCs w:val="32"/>
        </w:rPr>
      </w:pPr>
    </w:p>
    <w:p w:rsidR="00075495" w:rsidRPr="00075495" w:rsidRDefault="00075495" w:rsidP="00E3765F">
      <w:pPr>
        <w:pStyle w:val="Corpsdetexte"/>
        <w:bidi/>
        <w:rPr>
          <w:rFonts w:cs="Arabic Transparent"/>
          <w:sz w:val="32"/>
          <w:szCs w:val="32"/>
        </w:rPr>
      </w:pPr>
      <w:r w:rsidRPr="00075495">
        <w:rPr>
          <w:rFonts w:cs="Arabic Transparent"/>
          <w:sz w:val="32"/>
          <w:szCs w:val="32"/>
          <w:rtl/>
        </w:rPr>
        <w:t>وي</w:t>
      </w:r>
      <w:r w:rsidR="00EB10D5">
        <w:rPr>
          <w:rFonts w:cs="Arabic Transparent" w:hint="cs"/>
          <w:sz w:val="32"/>
          <w:szCs w:val="32"/>
          <w:rtl/>
        </w:rPr>
        <w:t>واصل</w:t>
      </w:r>
      <w:r w:rsidRPr="00075495">
        <w:rPr>
          <w:rFonts w:cs="Arabic Transparent"/>
          <w:sz w:val="32"/>
          <w:szCs w:val="32"/>
          <w:rtl/>
        </w:rPr>
        <w:t xml:space="preserve"> عدم توفر المدخلات </w:t>
      </w:r>
      <w:r w:rsidR="00EB10D5">
        <w:rPr>
          <w:rFonts w:cs="Arabic Transparent" w:hint="cs"/>
          <w:sz w:val="32"/>
          <w:szCs w:val="32"/>
          <w:rtl/>
        </w:rPr>
        <w:t xml:space="preserve">الضرورية </w:t>
      </w:r>
      <w:r w:rsidRPr="00075495">
        <w:rPr>
          <w:rFonts w:cs="Arabic Transparent"/>
          <w:sz w:val="32"/>
          <w:szCs w:val="32"/>
          <w:rtl/>
        </w:rPr>
        <w:t>في السوق الوطنية، وخاصة المواد الأولية، تأثير</w:t>
      </w:r>
      <w:r w:rsidR="00EB10D5">
        <w:rPr>
          <w:rFonts w:cs="Arabic Transparent" w:hint="cs"/>
          <w:sz w:val="32"/>
          <w:szCs w:val="32"/>
          <w:rtl/>
        </w:rPr>
        <w:t>ه</w:t>
      </w:r>
      <w:r w:rsidRPr="00075495">
        <w:rPr>
          <w:rFonts w:cs="Arabic Transparent"/>
          <w:sz w:val="32"/>
          <w:szCs w:val="32"/>
          <w:rtl/>
        </w:rPr>
        <w:t xml:space="preserve"> على تطور العرض الوطني ذو قيمة مضافة عالية </w:t>
      </w:r>
      <w:r w:rsidR="00E3765F" w:rsidRPr="00075495">
        <w:rPr>
          <w:rFonts w:cs="Arabic Transparent"/>
          <w:sz w:val="32"/>
          <w:szCs w:val="32"/>
          <w:rtl/>
        </w:rPr>
        <w:t xml:space="preserve">الموجه للتصدير </w:t>
      </w:r>
      <w:r w:rsidRPr="00075495">
        <w:rPr>
          <w:rFonts w:cs="Arabic Transparent"/>
          <w:sz w:val="32"/>
          <w:szCs w:val="32"/>
          <w:rtl/>
        </w:rPr>
        <w:t>والتأثير على الامتيازات المقارنة للمغرب من حيث التكلفة، والقرب والآجال. وبلغ معدل اندماج النسيج الصناعي المغربي، في المتوسط،  65% ​​سنة 2014. ويعتبر</w:t>
      </w:r>
      <w:r w:rsidR="00EB10D5">
        <w:rPr>
          <w:rFonts w:cs="Arabic Transparent" w:hint="cs"/>
          <w:sz w:val="32"/>
          <w:szCs w:val="32"/>
          <w:rtl/>
        </w:rPr>
        <w:t xml:space="preserve"> </w:t>
      </w:r>
      <w:r w:rsidRPr="00075495">
        <w:rPr>
          <w:rFonts w:cs="Arabic Transparent"/>
          <w:sz w:val="32"/>
          <w:szCs w:val="32"/>
          <w:rtl/>
        </w:rPr>
        <w:t>هذا المعدل ضعيفا نسبيا في صناعة السيارات (33%) وفي صناعة التجهيزات الكهربائية (37%)، بينما بلغ 86% في الصناعات الغذائية و69% في صناعة النسيج والجلد.</w:t>
      </w:r>
    </w:p>
    <w:p w:rsidR="00075495" w:rsidRPr="00075495" w:rsidRDefault="00075495" w:rsidP="00075495">
      <w:pPr>
        <w:pStyle w:val="Corpsdetexte"/>
        <w:bidi/>
        <w:rPr>
          <w:rFonts w:cs="Arabic Transparent"/>
          <w:sz w:val="32"/>
          <w:szCs w:val="32"/>
          <w:rtl/>
        </w:rPr>
      </w:pPr>
    </w:p>
    <w:p w:rsidR="00F9384B" w:rsidRPr="00CB44FD" w:rsidRDefault="00F9384B" w:rsidP="0032191A">
      <w:pPr>
        <w:pStyle w:val="NormalWeb"/>
        <w:spacing w:before="0" w:beforeAutospacing="0" w:after="0" w:afterAutospacing="0"/>
        <w:jc w:val="center"/>
        <w:rPr>
          <w:b/>
          <w:bCs/>
          <w:sz w:val="32"/>
          <w:szCs w:val="32"/>
          <w:lang w:bidi="ar-MA"/>
        </w:rPr>
      </w:pPr>
    </w:p>
    <w:sectPr w:rsidR="00F9384B" w:rsidRPr="00CB44FD" w:rsidSect="001F1B56">
      <w:footerReference w:type="even" r:id="rId20"/>
      <w:footerReference w:type="default" r:id="rId21"/>
      <w:headerReference w:type="first" r:id="rId22"/>
      <w:footerReference w:type="first" r:id="rId23"/>
      <w:pgSz w:w="11906" w:h="16838"/>
      <w:pgMar w:top="993" w:right="1133" w:bottom="1418" w:left="993"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108" w:rsidRDefault="009B2108">
      <w:r>
        <w:separator/>
      </w:r>
    </w:p>
  </w:endnote>
  <w:endnote w:type="continuationSeparator" w:id="1">
    <w:p w:rsidR="009B2108" w:rsidRDefault="009B21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abic Transparent">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CS AL SHAMAL">
    <w:altName w:val="Times New Roman"/>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D8" w:rsidRDefault="00B42152" w:rsidP="00CB05C8">
    <w:pPr>
      <w:pStyle w:val="Pieddepage"/>
      <w:framePr w:wrap="auto" w:vAnchor="text" w:hAnchor="margin" w:xAlign="center" w:y="1"/>
      <w:rPr>
        <w:rStyle w:val="Numrodepage"/>
      </w:rPr>
    </w:pPr>
    <w:r>
      <w:rPr>
        <w:rStyle w:val="Numrodepage"/>
      </w:rPr>
      <w:fldChar w:fldCharType="begin"/>
    </w:r>
    <w:r w:rsidR="00A375D8">
      <w:rPr>
        <w:rStyle w:val="Numrodepage"/>
      </w:rPr>
      <w:instrText xml:space="preserve">PAGE  </w:instrText>
    </w:r>
    <w:r>
      <w:rPr>
        <w:rStyle w:val="Numrodepage"/>
      </w:rPr>
      <w:fldChar w:fldCharType="end"/>
    </w:r>
  </w:p>
  <w:p w:rsidR="00A375D8" w:rsidRDefault="00A375D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D8" w:rsidRPr="006D7FA4" w:rsidRDefault="00B42152"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A375D8" w:rsidRPr="006D7FA4">
      <w:rPr>
        <w:rStyle w:val="Numrodepage"/>
        <w:sz w:val="20"/>
        <w:szCs w:val="20"/>
      </w:rPr>
      <w:instrText xml:space="preserve">PAGE  </w:instrText>
    </w:r>
    <w:r w:rsidRPr="006D7FA4">
      <w:rPr>
        <w:rStyle w:val="Numrodepage"/>
        <w:sz w:val="20"/>
        <w:szCs w:val="20"/>
      </w:rPr>
      <w:fldChar w:fldCharType="separate"/>
    </w:r>
    <w:r w:rsidR="003A78E4">
      <w:rPr>
        <w:rStyle w:val="Numrodepage"/>
        <w:noProof/>
        <w:sz w:val="20"/>
        <w:szCs w:val="20"/>
      </w:rPr>
      <w:t>11</w:t>
    </w:r>
    <w:r w:rsidRPr="006D7FA4">
      <w:rPr>
        <w:rStyle w:val="Numrodepage"/>
        <w:sz w:val="20"/>
        <w:szCs w:val="20"/>
      </w:rPr>
      <w:fldChar w:fldCharType="end"/>
    </w:r>
    <w:r w:rsidR="00A375D8" w:rsidRPr="006D7FA4">
      <w:rPr>
        <w:rStyle w:val="Numrodepage"/>
        <w:sz w:val="20"/>
        <w:szCs w:val="20"/>
      </w:rPr>
      <w:t>/</w:t>
    </w:r>
    <w:r w:rsidRPr="006D7FA4">
      <w:rPr>
        <w:rStyle w:val="Numrodepage"/>
        <w:sz w:val="20"/>
        <w:szCs w:val="20"/>
      </w:rPr>
      <w:fldChar w:fldCharType="begin"/>
    </w:r>
    <w:r w:rsidR="00A375D8" w:rsidRPr="006D7FA4">
      <w:rPr>
        <w:rStyle w:val="Numrodepage"/>
        <w:sz w:val="20"/>
        <w:szCs w:val="20"/>
      </w:rPr>
      <w:instrText xml:space="preserve"> NUMPAGES </w:instrText>
    </w:r>
    <w:r w:rsidRPr="006D7FA4">
      <w:rPr>
        <w:rStyle w:val="Numrodepage"/>
        <w:sz w:val="20"/>
        <w:szCs w:val="20"/>
      </w:rPr>
      <w:fldChar w:fldCharType="separate"/>
    </w:r>
    <w:r w:rsidR="003A78E4">
      <w:rPr>
        <w:rStyle w:val="Numrodepage"/>
        <w:noProof/>
        <w:sz w:val="20"/>
        <w:szCs w:val="20"/>
      </w:rPr>
      <w:t>11</w:t>
    </w:r>
    <w:r w:rsidRPr="006D7FA4">
      <w:rPr>
        <w:rStyle w:val="Numrodepage"/>
        <w:sz w:val="20"/>
        <w:szCs w:val="20"/>
      </w:rPr>
      <w:fldChar w:fldCharType="end"/>
    </w:r>
  </w:p>
  <w:p w:rsidR="00A375D8" w:rsidRDefault="00A375D8">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D8" w:rsidRDefault="00B42152">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198pt;margin-top:20.55pt;width:1in;height:18pt;z-index:251659776" filled="f" stroked="f">
          <v:textbox style="mso-next-textbox:#_x0000_s2050">
            <w:txbxContent>
              <w:p w:rsidR="00A375D8" w:rsidRPr="00350C40" w:rsidRDefault="00A375D8" w:rsidP="00CC289A">
                <w:pP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_x0000_s2051" type="#_x0000_t202" style="position:absolute;margin-left:171pt;margin-top:2.55pt;width:126pt;height:37.35pt;z-index:251656704" stroked="f">
          <v:textbox style="mso-next-textbox:#_x0000_s2051">
            <w:txbxContent>
              <w:p w:rsidR="00A375D8" w:rsidRPr="00350C40" w:rsidRDefault="00A375D8"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_x0000_s2052" type="#_x0000_t202" style="position:absolute;margin-left:252pt;margin-top:-15.45pt;width:234pt;height:18pt;z-index:251654656" stroked="f">
          <v:textbox style="mso-next-textbox:#_x0000_s2052">
            <w:txbxContent>
              <w:p w:rsidR="00A375D8" w:rsidRPr="00773F09" w:rsidRDefault="00A375D8" w:rsidP="00350C40">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w:t>
                </w:r>
                <w:r w:rsidRPr="00350C40">
                  <w:rPr>
                    <w:color w:val="993366"/>
                    <w:sz w:val="18"/>
                    <w:szCs w:val="18"/>
                    <w:rtl/>
                    <w:lang w:bidi="ar-MA"/>
                  </w:rPr>
                  <w:t xml:space="preserve"> </w:t>
                </w:r>
                <w:r w:rsidRPr="00350C40">
                  <w:rPr>
                    <w:rFonts w:ascii="Arial" w:hAnsi="Arial" w:cs="Arial"/>
                    <w:color w:val="993366"/>
                    <w:sz w:val="18"/>
                    <w:szCs w:val="18"/>
                    <w:rtl/>
                    <w:lang w:bidi="ar-MA"/>
                  </w:rPr>
                  <w:t>–</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Arial"/>
                    <w:color w:val="993366"/>
                    <w:sz w:val="18"/>
                    <w:szCs w:val="18"/>
                    <w:rtl/>
                    <w:lang w:bidi="ar-MA"/>
                  </w:rPr>
                  <w:t>المغرب</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ص.</w:t>
                </w:r>
                <w:r>
                  <w:rPr>
                    <w:rFonts w:ascii="Arial" w:hAnsi="Arial" w:cs="Arial"/>
                    <w:color w:val="993366"/>
                    <w:sz w:val="20"/>
                    <w:szCs w:val="20"/>
                    <w:rtl/>
                    <w:lang w:bidi="ar-MA"/>
                  </w:rPr>
                  <w:t>ب </w:t>
                </w:r>
                <w:r w:rsidRPr="00773F09">
                  <w:rPr>
                    <w:rFonts w:ascii="Arial" w:hAnsi="Arial" w:cs="MCS AL SHAMAL"/>
                    <w:color w:val="993366"/>
                    <w:sz w:val="20"/>
                    <w:szCs w:val="20"/>
                    <w:rtl/>
                    <w:lang w:bidi="ar-MA"/>
                  </w:rPr>
                  <w:t xml:space="preserve">: </w:t>
                </w:r>
              </w:p>
            </w:txbxContent>
          </v:textbox>
        </v:shape>
      </w:pict>
    </w:r>
    <w:r>
      <w:rPr>
        <w:noProof/>
      </w:rPr>
      <w:pict>
        <v:shape id="_x0000_s2053" type="#_x0000_t202" style="position:absolute;margin-left:-9pt;margin-top:-15.45pt;width:270pt;height:17.25pt;z-index:251657728" stroked="f">
          <v:textbox style="mso-next-textbox:#_x0000_s2053">
            <w:txbxContent>
              <w:p w:rsidR="00A375D8" w:rsidRPr="00350C40" w:rsidRDefault="00A375D8" w:rsidP="00350C40">
                <w:pPr>
                  <w:rPr>
                    <w:rFonts w:ascii="Arial" w:hAnsi="Arial" w:cs="Arial"/>
                    <w:color w:val="993366"/>
                    <w:sz w:val="18"/>
                    <w:szCs w:val="18"/>
                    <w:lang w:val="en-US"/>
                  </w:rPr>
                </w:pPr>
                <w:r w:rsidRPr="00350C40">
                  <w:rPr>
                    <w:rFonts w:ascii="Arial" w:hAnsi="Arial" w:cs="Arial"/>
                    <w:color w:val="993366"/>
                    <w:sz w:val="18"/>
                    <w:szCs w:val="18"/>
                    <w:lang w:val="en-US"/>
                  </w:rPr>
                  <w:t xml:space="preserve">Ilot 31-3, secteur 16, Hay Riad, 10001, </w:t>
                </w:r>
                <w:smartTag w:uri="urn:schemas-microsoft-com:office:smarttags" w:element="City">
                  <w:smartTag w:uri="urn:schemas-microsoft-com:office:smarttags" w:element="place">
                    <w:r w:rsidRPr="00350C40">
                      <w:rPr>
                        <w:rFonts w:ascii="Arial" w:hAnsi="Arial" w:cs="Arial"/>
                        <w:color w:val="993366"/>
                        <w:sz w:val="18"/>
                        <w:szCs w:val="18"/>
                        <w:lang w:val="en-US"/>
                      </w:rPr>
                      <w:t>Rabat</w:t>
                    </w:r>
                  </w:smartTag>
                </w:smartTag>
                <w:r w:rsidRPr="00350C40">
                  <w:rPr>
                    <w:rFonts w:ascii="Arial" w:hAnsi="Arial" w:cs="Arial"/>
                    <w:color w:val="993366"/>
                    <w:sz w:val="18"/>
                    <w:szCs w:val="18"/>
                    <w:lang w:val="en-US"/>
                  </w:rPr>
                  <w:t xml:space="preserve"> - Maroc BP : 178 </w:t>
                </w:r>
              </w:p>
              <w:p w:rsidR="00A375D8" w:rsidRPr="00773F09" w:rsidRDefault="00A375D8"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4" type="#_x0000_t202" style="position:absolute;margin-left:0;margin-top:2.05pt;width:171pt;height:27pt;z-index:251655680" stroked="f">
          <v:textbox style="mso-next-textbox:#_x0000_s2054">
            <w:txbxContent>
              <w:p w:rsidR="00A375D8" w:rsidRPr="00F94487" w:rsidRDefault="00A375D8" w:rsidP="00984C53">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 xml:space="preserve"> – Fax</w:t>
                </w:r>
                <w:r>
                  <w:rPr>
                    <w:rFonts w:ascii="Arial" w:hAnsi="Arial" w:cs="Arial"/>
                    <w:color w:val="993366"/>
                    <w:sz w:val="20"/>
                    <w:szCs w:val="20"/>
                  </w:rPr>
                  <w:t xml:space="preserve"> : </w:t>
                </w:r>
              </w:p>
            </w:txbxContent>
          </v:textbox>
        </v:shape>
      </w:pict>
    </w:r>
    <w:r>
      <w:rPr>
        <w:noProof/>
      </w:rPr>
      <w:pict>
        <v:shape id="_x0000_s2055" type="#_x0000_t202" style="position:absolute;margin-left:4in;margin-top:2.05pt;width:210.55pt;height:37.35pt;z-index:251658752" stroked="f">
          <v:textbox style="mso-next-textbox:#_x0000_s2055">
            <w:txbxContent>
              <w:p w:rsidR="00A375D8" w:rsidRPr="00350C40" w:rsidRDefault="00A375D8" w:rsidP="00350C40">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 xml:space="preserve">الهاتف : 04 69 57 37 05   (212+) –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108" w:rsidRDefault="009B2108">
      <w:r>
        <w:separator/>
      </w:r>
    </w:p>
  </w:footnote>
  <w:footnote w:type="continuationSeparator" w:id="1">
    <w:p w:rsidR="009B2108" w:rsidRDefault="009B2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D8" w:rsidRDefault="00A375D8" w:rsidP="001C7C18">
    <w:pPr>
      <w:pStyle w:val="En-tte"/>
    </w:pPr>
    <w:r>
      <w:rPr>
        <w:noProof/>
      </w:rPr>
      <w:drawing>
        <wp:anchor distT="0" distB="0" distL="114300" distR="114300" simplePos="0" relativeHeight="251660800" behindDoc="0" locked="0" layoutInCell="1" allowOverlap="1">
          <wp:simplePos x="0" y="0"/>
          <wp:positionH relativeFrom="column">
            <wp:posOffset>-989508</wp:posOffset>
          </wp:positionH>
          <wp:positionV relativeFrom="paragraph">
            <wp:posOffset>-150292</wp:posOffset>
          </wp:positionV>
          <wp:extent cx="8707984" cy="5040173"/>
          <wp:effectExtent l="19050" t="0" r="0" b="0"/>
          <wp:wrapNone/>
          <wp:docPr id="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7984" cy="5040173"/>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embedSystemFonts/>
  <w:stylePaneFormatFilter w:val="3F01"/>
  <w:defaultTabStop w:val="708"/>
  <w:hyphenationZone w:val="425"/>
  <w:doNotHyphenateCaps/>
  <w:characterSpacingControl w:val="doNotCompress"/>
  <w:doNotValidateAgainstSchema/>
  <w:doNotDemarcateInvalidXml/>
  <w:hdrShapeDefaults>
    <o:shapedefaults v:ext="edit" spidmax="135170"/>
    <o:shapelayout v:ext="edit">
      <o:idmap v:ext="edit" data="2"/>
    </o:shapelayout>
  </w:hdrShapeDefaults>
  <w:footnotePr>
    <w:footnote w:id="0"/>
    <w:footnote w:id="1"/>
  </w:footnotePr>
  <w:endnotePr>
    <w:endnote w:id="0"/>
    <w:endnote w:id="1"/>
  </w:endnotePr>
  <w:compat/>
  <w:rsids>
    <w:rsidRoot w:val="00A7067D"/>
    <w:rsid w:val="000005D6"/>
    <w:rsid w:val="00000BA6"/>
    <w:rsid w:val="000017C7"/>
    <w:rsid w:val="00001D6D"/>
    <w:rsid w:val="00001D8E"/>
    <w:rsid w:val="000025B3"/>
    <w:rsid w:val="00002878"/>
    <w:rsid w:val="00002CA4"/>
    <w:rsid w:val="00003123"/>
    <w:rsid w:val="00003781"/>
    <w:rsid w:val="000037BD"/>
    <w:rsid w:val="00003B57"/>
    <w:rsid w:val="0000471A"/>
    <w:rsid w:val="0000510A"/>
    <w:rsid w:val="00005213"/>
    <w:rsid w:val="00006244"/>
    <w:rsid w:val="000064D1"/>
    <w:rsid w:val="00006EB7"/>
    <w:rsid w:val="00006EDF"/>
    <w:rsid w:val="00007079"/>
    <w:rsid w:val="00007544"/>
    <w:rsid w:val="00007945"/>
    <w:rsid w:val="00007F2B"/>
    <w:rsid w:val="0001024A"/>
    <w:rsid w:val="00010615"/>
    <w:rsid w:val="00010C4A"/>
    <w:rsid w:val="000114B3"/>
    <w:rsid w:val="000115A6"/>
    <w:rsid w:val="000119BC"/>
    <w:rsid w:val="00011B9F"/>
    <w:rsid w:val="00011C2F"/>
    <w:rsid w:val="00011EB7"/>
    <w:rsid w:val="0001202E"/>
    <w:rsid w:val="0001207A"/>
    <w:rsid w:val="0001261B"/>
    <w:rsid w:val="000134E6"/>
    <w:rsid w:val="000135FC"/>
    <w:rsid w:val="0001390E"/>
    <w:rsid w:val="000139AC"/>
    <w:rsid w:val="00013A7F"/>
    <w:rsid w:val="00013C22"/>
    <w:rsid w:val="00013C37"/>
    <w:rsid w:val="00013D86"/>
    <w:rsid w:val="00013F33"/>
    <w:rsid w:val="00014298"/>
    <w:rsid w:val="000147FB"/>
    <w:rsid w:val="00014A7D"/>
    <w:rsid w:val="00014BF3"/>
    <w:rsid w:val="00014C35"/>
    <w:rsid w:val="00014FD6"/>
    <w:rsid w:val="000150B8"/>
    <w:rsid w:val="00015111"/>
    <w:rsid w:val="00015113"/>
    <w:rsid w:val="000151F6"/>
    <w:rsid w:val="000152BC"/>
    <w:rsid w:val="000152DE"/>
    <w:rsid w:val="000162C9"/>
    <w:rsid w:val="000166FE"/>
    <w:rsid w:val="00016BD3"/>
    <w:rsid w:val="0001761A"/>
    <w:rsid w:val="000178C1"/>
    <w:rsid w:val="00017B37"/>
    <w:rsid w:val="00017FF8"/>
    <w:rsid w:val="000205FA"/>
    <w:rsid w:val="00020B70"/>
    <w:rsid w:val="000211C4"/>
    <w:rsid w:val="000214AF"/>
    <w:rsid w:val="0002158D"/>
    <w:rsid w:val="00021C8C"/>
    <w:rsid w:val="00021F86"/>
    <w:rsid w:val="000223AA"/>
    <w:rsid w:val="000223DD"/>
    <w:rsid w:val="0002259B"/>
    <w:rsid w:val="000229BA"/>
    <w:rsid w:val="0002327D"/>
    <w:rsid w:val="00024095"/>
    <w:rsid w:val="00024268"/>
    <w:rsid w:val="0002444F"/>
    <w:rsid w:val="00024574"/>
    <w:rsid w:val="000245ED"/>
    <w:rsid w:val="0002477A"/>
    <w:rsid w:val="00024945"/>
    <w:rsid w:val="00024FBE"/>
    <w:rsid w:val="00025026"/>
    <w:rsid w:val="0002516D"/>
    <w:rsid w:val="00025552"/>
    <w:rsid w:val="00025B47"/>
    <w:rsid w:val="00025DC7"/>
    <w:rsid w:val="000266D8"/>
    <w:rsid w:val="0002686C"/>
    <w:rsid w:val="00026D88"/>
    <w:rsid w:val="000270E0"/>
    <w:rsid w:val="0002751B"/>
    <w:rsid w:val="000275DD"/>
    <w:rsid w:val="0002766D"/>
    <w:rsid w:val="00027850"/>
    <w:rsid w:val="000301D2"/>
    <w:rsid w:val="0003099D"/>
    <w:rsid w:val="00031B9A"/>
    <w:rsid w:val="00031D25"/>
    <w:rsid w:val="00032582"/>
    <w:rsid w:val="00032899"/>
    <w:rsid w:val="0003300A"/>
    <w:rsid w:val="00033123"/>
    <w:rsid w:val="0003349D"/>
    <w:rsid w:val="0003420B"/>
    <w:rsid w:val="000344E3"/>
    <w:rsid w:val="0003456C"/>
    <w:rsid w:val="00034671"/>
    <w:rsid w:val="000348FD"/>
    <w:rsid w:val="00034EAB"/>
    <w:rsid w:val="00034EE3"/>
    <w:rsid w:val="00034EE5"/>
    <w:rsid w:val="0003559E"/>
    <w:rsid w:val="0003561F"/>
    <w:rsid w:val="00035FA3"/>
    <w:rsid w:val="000365D0"/>
    <w:rsid w:val="0003680E"/>
    <w:rsid w:val="00036A9C"/>
    <w:rsid w:val="00037668"/>
    <w:rsid w:val="00037B80"/>
    <w:rsid w:val="000408C3"/>
    <w:rsid w:val="00040953"/>
    <w:rsid w:val="00040D62"/>
    <w:rsid w:val="00041285"/>
    <w:rsid w:val="00041524"/>
    <w:rsid w:val="000415AD"/>
    <w:rsid w:val="0004185B"/>
    <w:rsid w:val="000425ED"/>
    <w:rsid w:val="0004281E"/>
    <w:rsid w:val="00042974"/>
    <w:rsid w:val="00042C94"/>
    <w:rsid w:val="0004311A"/>
    <w:rsid w:val="00043186"/>
    <w:rsid w:val="000431D8"/>
    <w:rsid w:val="0004391D"/>
    <w:rsid w:val="00043DE6"/>
    <w:rsid w:val="0004444E"/>
    <w:rsid w:val="0004447B"/>
    <w:rsid w:val="0004487A"/>
    <w:rsid w:val="00044A2A"/>
    <w:rsid w:val="00044A9F"/>
    <w:rsid w:val="00044D29"/>
    <w:rsid w:val="00044D54"/>
    <w:rsid w:val="00044F23"/>
    <w:rsid w:val="0004533B"/>
    <w:rsid w:val="00045461"/>
    <w:rsid w:val="00045579"/>
    <w:rsid w:val="0004624E"/>
    <w:rsid w:val="00046322"/>
    <w:rsid w:val="00046404"/>
    <w:rsid w:val="000466FD"/>
    <w:rsid w:val="00046C0A"/>
    <w:rsid w:val="00046DEC"/>
    <w:rsid w:val="00046F56"/>
    <w:rsid w:val="0004718B"/>
    <w:rsid w:val="00047ECA"/>
    <w:rsid w:val="000500AF"/>
    <w:rsid w:val="000500E6"/>
    <w:rsid w:val="00050A6E"/>
    <w:rsid w:val="00050B69"/>
    <w:rsid w:val="00051098"/>
    <w:rsid w:val="000510D6"/>
    <w:rsid w:val="00051106"/>
    <w:rsid w:val="0005135E"/>
    <w:rsid w:val="00051689"/>
    <w:rsid w:val="00051923"/>
    <w:rsid w:val="00051BAD"/>
    <w:rsid w:val="0005275C"/>
    <w:rsid w:val="0005286C"/>
    <w:rsid w:val="000528D8"/>
    <w:rsid w:val="00052A57"/>
    <w:rsid w:val="00052AEA"/>
    <w:rsid w:val="00053171"/>
    <w:rsid w:val="000534D0"/>
    <w:rsid w:val="00053C11"/>
    <w:rsid w:val="000543FD"/>
    <w:rsid w:val="00054B65"/>
    <w:rsid w:val="00054C6C"/>
    <w:rsid w:val="00054F53"/>
    <w:rsid w:val="000550D8"/>
    <w:rsid w:val="0005517A"/>
    <w:rsid w:val="000551FC"/>
    <w:rsid w:val="000554EE"/>
    <w:rsid w:val="000558C2"/>
    <w:rsid w:val="00055C1A"/>
    <w:rsid w:val="000568AD"/>
    <w:rsid w:val="00056FFA"/>
    <w:rsid w:val="000570B2"/>
    <w:rsid w:val="0005775E"/>
    <w:rsid w:val="000579D0"/>
    <w:rsid w:val="00057B97"/>
    <w:rsid w:val="000601D4"/>
    <w:rsid w:val="000602E9"/>
    <w:rsid w:val="00060321"/>
    <w:rsid w:val="00060436"/>
    <w:rsid w:val="000606EF"/>
    <w:rsid w:val="00060896"/>
    <w:rsid w:val="00060E08"/>
    <w:rsid w:val="00060F0D"/>
    <w:rsid w:val="00061060"/>
    <w:rsid w:val="00061164"/>
    <w:rsid w:val="00061CE4"/>
    <w:rsid w:val="0006213D"/>
    <w:rsid w:val="0006264E"/>
    <w:rsid w:val="00062880"/>
    <w:rsid w:val="000628A8"/>
    <w:rsid w:val="00062925"/>
    <w:rsid w:val="00062AFD"/>
    <w:rsid w:val="000632C2"/>
    <w:rsid w:val="0006348D"/>
    <w:rsid w:val="0006383C"/>
    <w:rsid w:val="00064386"/>
    <w:rsid w:val="0006442F"/>
    <w:rsid w:val="00064BCC"/>
    <w:rsid w:val="0006553F"/>
    <w:rsid w:val="00065712"/>
    <w:rsid w:val="00065935"/>
    <w:rsid w:val="00065F87"/>
    <w:rsid w:val="00065FE2"/>
    <w:rsid w:val="00066C89"/>
    <w:rsid w:val="00066E4B"/>
    <w:rsid w:val="000671B0"/>
    <w:rsid w:val="000674D7"/>
    <w:rsid w:val="00070037"/>
    <w:rsid w:val="00070595"/>
    <w:rsid w:val="00070861"/>
    <w:rsid w:val="00071EFF"/>
    <w:rsid w:val="000721C3"/>
    <w:rsid w:val="00072320"/>
    <w:rsid w:val="000723B5"/>
    <w:rsid w:val="000728D2"/>
    <w:rsid w:val="000728FA"/>
    <w:rsid w:val="00072B60"/>
    <w:rsid w:val="00072EBF"/>
    <w:rsid w:val="000730EC"/>
    <w:rsid w:val="000732CB"/>
    <w:rsid w:val="0007340C"/>
    <w:rsid w:val="00073805"/>
    <w:rsid w:val="00074130"/>
    <w:rsid w:val="00074314"/>
    <w:rsid w:val="00074401"/>
    <w:rsid w:val="00074FF0"/>
    <w:rsid w:val="00075495"/>
    <w:rsid w:val="000754E3"/>
    <w:rsid w:val="00075616"/>
    <w:rsid w:val="00075B34"/>
    <w:rsid w:val="00075F5C"/>
    <w:rsid w:val="0007613B"/>
    <w:rsid w:val="000761D8"/>
    <w:rsid w:val="00076587"/>
    <w:rsid w:val="00076AC1"/>
    <w:rsid w:val="0007711B"/>
    <w:rsid w:val="0007757C"/>
    <w:rsid w:val="0007798B"/>
    <w:rsid w:val="00077D70"/>
    <w:rsid w:val="000801F4"/>
    <w:rsid w:val="0008035D"/>
    <w:rsid w:val="0008084B"/>
    <w:rsid w:val="000808D0"/>
    <w:rsid w:val="00080A06"/>
    <w:rsid w:val="00081456"/>
    <w:rsid w:val="00081BE5"/>
    <w:rsid w:val="000821F2"/>
    <w:rsid w:val="00082561"/>
    <w:rsid w:val="000827BA"/>
    <w:rsid w:val="00082856"/>
    <w:rsid w:val="00082F34"/>
    <w:rsid w:val="000832C9"/>
    <w:rsid w:val="0008339B"/>
    <w:rsid w:val="0008388A"/>
    <w:rsid w:val="000839B9"/>
    <w:rsid w:val="000842CE"/>
    <w:rsid w:val="000847F4"/>
    <w:rsid w:val="0008484E"/>
    <w:rsid w:val="0008495C"/>
    <w:rsid w:val="00084B30"/>
    <w:rsid w:val="00084E9D"/>
    <w:rsid w:val="00085524"/>
    <w:rsid w:val="00085895"/>
    <w:rsid w:val="000859F9"/>
    <w:rsid w:val="00085DC6"/>
    <w:rsid w:val="00085E86"/>
    <w:rsid w:val="0008606C"/>
    <w:rsid w:val="000862E0"/>
    <w:rsid w:val="000873C3"/>
    <w:rsid w:val="00087554"/>
    <w:rsid w:val="00087F93"/>
    <w:rsid w:val="00090012"/>
    <w:rsid w:val="000900E8"/>
    <w:rsid w:val="00090590"/>
    <w:rsid w:val="0009062C"/>
    <w:rsid w:val="000906B8"/>
    <w:rsid w:val="00090769"/>
    <w:rsid w:val="000909E7"/>
    <w:rsid w:val="00090C3A"/>
    <w:rsid w:val="00090DED"/>
    <w:rsid w:val="00091017"/>
    <w:rsid w:val="00091532"/>
    <w:rsid w:val="00091A3B"/>
    <w:rsid w:val="00091D36"/>
    <w:rsid w:val="000921CD"/>
    <w:rsid w:val="00092466"/>
    <w:rsid w:val="00092EFE"/>
    <w:rsid w:val="000931A9"/>
    <w:rsid w:val="000935C8"/>
    <w:rsid w:val="00093B91"/>
    <w:rsid w:val="00093F9E"/>
    <w:rsid w:val="00094694"/>
    <w:rsid w:val="00094710"/>
    <w:rsid w:val="0009503C"/>
    <w:rsid w:val="0009560D"/>
    <w:rsid w:val="00096239"/>
    <w:rsid w:val="00096A77"/>
    <w:rsid w:val="00096CD1"/>
    <w:rsid w:val="00096CE5"/>
    <w:rsid w:val="00097007"/>
    <w:rsid w:val="0009781A"/>
    <w:rsid w:val="00097D9C"/>
    <w:rsid w:val="00097FF5"/>
    <w:rsid w:val="000A0205"/>
    <w:rsid w:val="000A0209"/>
    <w:rsid w:val="000A068A"/>
    <w:rsid w:val="000A0948"/>
    <w:rsid w:val="000A0D23"/>
    <w:rsid w:val="000A11E5"/>
    <w:rsid w:val="000A141E"/>
    <w:rsid w:val="000A1CCD"/>
    <w:rsid w:val="000A1DAF"/>
    <w:rsid w:val="000A1E2C"/>
    <w:rsid w:val="000A3264"/>
    <w:rsid w:val="000A342C"/>
    <w:rsid w:val="000A3468"/>
    <w:rsid w:val="000A34BE"/>
    <w:rsid w:val="000A3B54"/>
    <w:rsid w:val="000A3BE9"/>
    <w:rsid w:val="000A4141"/>
    <w:rsid w:val="000A4C3D"/>
    <w:rsid w:val="000A4CF5"/>
    <w:rsid w:val="000A4E25"/>
    <w:rsid w:val="000A4F68"/>
    <w:rsid w:val="000A51AD"/>
    <w:rsid w:val="000A5547"/>
    <w:rsid w:val="000A62B6"/>
    <w:rsid w:val="000A6449"/>
    <w:rsid w:val="000A6476"/>
    <w:rsid w:val="000A66F7"/>
    <w:rsid w:val="000A6F23"/>
    <w:rsid w:val="000A6F7B"/>
    <w:rsid w:val="000A7249"/>
    <w:rsid w:val="000A7281"/>
    <w:rsid w:val="000A79CD"/>
    <w:rsid w:val="000B0102"/>
    <w:rsid w:val="000B0626"/>
    <w:rsid w:val="000B07C1"/>
    <w:rsid w:val="000B08E9"/>
    <w:rsid w:val="000B091D"/>
    <w:rsid w:val="000B0F43"/>
    <w:rsid w:val="000B0F81"/>
    <w:rsid w:val="000B106E"/>
    <w:rsid w:val="000B12C2"/>
    <w:rsid w:val="000B1DE6"/>
    <w:rsid w:val="000B241E"/>
    <w:rsid w:val="000B2498"/>
    <w:rsid w:val="000B28B6"/>
    <w:rsid w:val="000B2A3E"/>
    <w:rsid w:val="000B2C65"/>
    <w:rsid w:val="000B3183"/>
    <w:rsid w:val="000B31FB"/>
    <w:rsid w:val="000B4618"/>
    <w:rsid w:val="000B46AD"/>
    <w:rsid w:val="000B711F"/>
    <w:rsid w:val="000B717A"/>
    <w:rsid w:val="000B71A7"/>
    <w:rsid w:val="000B71DE"/>
    <w:rsid w:val="000B797F"/>
    <w:rsid w:val="000C0879"/>
    <w:rsid w:val="000C0BF6"/>
    <w:rsid w:val="000C109A"/>
    <w:rsid w:val="000C111B"/>
    <w:rsid w:val="000C1271"/>
    <w:rsid w:val="000C15E5"/>
    <w:rsid w:val="000C1880"/>
    <w:rsid w:val="000C1AAC"/>
    <w:rsid w:val="000C2555"/>
    <w:rsid w:val="000C291A"/>
    <w:rsid w:val="000C29D8"/>
    <w:rsid w:val="000C2DCE"/>
    <w:rsid w:val="000C2F16"/>
    <w:rsid w:val="000C30D9"/>
    <w:rsid w:val="000C3365"/>
    <w:rsid w:val="000C3419"/>
    <w:rsid w:val="000C36F2"/>
    <w:rsid w:val="000C379A"/>
    <w:rsid w:val="000C3807"/>
    <w:rsid w:val="000C3D76"/>
    <w:rsid w:val="000C3ED5"/>
    <w:rsid w:val="000C3F6E"/>
    <w:rsid w:val="000C4271"/>
    <w:rsid w:val="000C467D"/>
    <w:rsid w:val="000C48BD"/>
    <w:rsid w:val="000C4C8C"/>
    <w:rsid w:val="000C509F"/>
    <w:rsid w:val="000C50CD"/>
    <w:rsid w:val="000C52F2"/>
    <w:rsid w:val="000C52FB"/>
    <w:rsid w:val="000C55E1"/>
    <w:rsid w:val="000C5C87"/>
    <w:rsid w:val="000C5E10"/>
    <w:rsid w:val="000C5E54"/>
    <w:rsid w:val="000C6BAB"/>
    <w:rsid w:val="000C6ED9"/>
    <w:rsid w:val="000C7682"/>
    <w:rsid w:val="000C76B5"/>
    <w:rsid w:val="000C7E13"/>
    <w:rsid w:val="000D0202"/>
    <w:rsid w:val="000D04BB"/>
    <w:rsid w:val="000D0544"/>
    <w:rsid w:val="000D0EDD"/>
    <w:rsid w:val="000D13F1"/>
    <w:rsid w:val="000D1585"/>
    <w:rsid w:val="000D176A"/>
    <w:rsid w:val="000D1CBD"/>
    <w:rsid w:val="000D1D9A"/>
    <w:rsid w:val="000D1F90"/>
    <w:rsid w:val="000D25AF"/>
    <w:rsid w:val="000D2930"/>
    <w:rsid w:val="000D2EA1"/>
    <w:rsid w:val="000D354F"/>
    <w:rsid w:val="000D3623"/>
    <w:rsid w:val="000D3736"/>
    <w:rsid w:val="000D3FC6"/>
    <w:rsid w:val="000D403A"/>
    <w:rsid w:val="000D4277"/>
    <w:rsid w:val="000D5297"/>
    <w:rsid w:val="000D53E5"/>
    <w:rsid w:val="000D57C6"/>
    <w:rsid w:val="000D5971"/>
    <w:rsid w:val="000D6113"/>
    <w:rsid w:val="000D6400"/>
    <w:rsid w:val="000D6907"/>
    <w:rsid w:val="000D6980"/>
    <w:rsid w:val="000D6F0F"/>
    <w:rsid w:val="000D6F73"/>
    <w:rsid w:val="000D6F94"/>
    <w:rsid w:val="000D7304"/>
    <w:rsid w:val="000D75CE"/>
    <w:rsid w:val="000D7ACC"/>
    <w:rsid w:val="000D7B58"/>
    <w:rsid w:val="000D7B8B"/>
    <w:rsid w:val="000D7D65"/>
    <w:rsid w:val="000D7F7C"/>
    <w:rsid w:val="000E05BC"/>
    <w:rsid w:val="000E0614"/>
    <w:rsid w:val="000E1618"/>
    <w:rsid w:val="000E1C51"/>
    <w:rsid w:val="000E21D3"/>
    <w:rsid w:val="000E26F5"/>
    <w:rsid w:val="000E2711"/>
    <w:rsid w:val="000E29D8"/>
    <w:rsid w:val="000E2B65"/>
    <w:rsid w:val="000E3E08"/>
    <w:rsid w:val="000E41EC"/>
    <w:rsid w:val="000E485F"/>
    <w:rsid w:val="000E4CB6"/>
    <w:rsid w:val="000E4E59"/>
    <w:rsid w:val="000E4FE5"/>
    <w:rsid w:val="000E5A13"/>
    <w:rsid w:val="000E631F"/>
    <w:rsid w:val="000E6595"/>
    <w:rsid w:val="000E6811"/>
    <w:rsid w:val="000E698E"/>
    <w:rsid w:val="000E6AF3"/>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BD2"/>
    <w:rsid w:val="000F2C69"/>
    <w:rsid w:val="000F3330"/>
    <w:rsid w:val="000F3768"/>
    <w:rsid w:val="000F3899"/>
    <w:rsid w:val="000F4582"/>
    <w:rsid w:val="000F476D"/>
    <w:rsid w:val="000F58D4"/>
    <w:rsid w:val="000F605C"/>
    <w:rsid w:val="000F6A4A"/>
    <w:rsid w:val="000F6E2A"/>
    <w:rsid w:val="000F6E40"/>
    <w:rsid w:val="000F765F"/>
    <w:rsid w:val="000F76C6"/>
    <w:rsid w:val="000F7A90"/>
    <w:rsid w:val="000F7C56"/>
    <w:rsid w:val="00100069"/>
    <w:rsid w:val="0010029B"/>
    <w:rsid w:val="00100944"/>
    <w:rsid w:val="00100AF5"/>
    <w:rsid w:val="00100CF6"/>
    <w:rsid w:val="0010121C"/>
    <w:rsid w:val="00101A1F"/>
    <w:rsid w:val="00101EAA"/>
    <w:rsid w:val="00102385"/>
    <w:rsid w:val="00103315"/>
    <w:rsid w:val="00103353"/>
    <w:rsid w:val="001035A6"/>
    <w:rsid w:val="001035EB"/>
    <w:rsid w:val="001036A2"/>
    <w:rsid w:val="0010414A"/>
    <w:rsid w:val="00104151"/>
    <w:rsid w:val="001043ED"/>
    <w:rsid w:val="0010454D"/>
    <w:rsid w:val="0010474F"/>
    <w:rsid w:val="0010484E"/>
    <w:rsid w:val="00104865"/>
    <w:rsid w:val="00104A16"/>
    <w:rsid w:val="00105259"/>
    <w:rsid w:val="00105452"/>
    <w:rsid w:val="0010548F"/>
    <w:rsid w:val="00105497"/>
    <w:rsid w:val="001056ED"/>
    <w:rsid w:val="0010587F"/>
    <w:rsid w:val="001063C7"/>
    <w:rsid w:val="00106B8D"/>
    <w:rsid w:val="00106FC0"/>
    <w:rsid w:val="00107113"/>
    <w:rsid w:val="0010714B"/>
    <w:rsid w:val="0010714C"/>
    <w:rsid w:val="00107751"/>
    <w:rsid w:val="00107A4F"/>
    <w:rsid w:val="0011075B"/>
    <w:rsid w:val="00110B8D"/>
    <w:rsid w:val="0011192F"/>
    <w:rsid w:val="00111A12"/>
    <w:rsid w:val="00111FE3"/>
    <w:rsid w:val="0011249B"/>
    <w:rsid w:val="0011266E"/>
    <w:rsid w:val="00113142"/>
    <w:rsid w:val="001134AF"/>
    <w:rsid w:val="00113928"/>
    <w:rsid w:val="00114033"/>
    <w:rsid w:val="00114209"/>
    <w:rsid w:val="00114235"/>
    <w:rsid w:val="00114A43"/>
    <w:rsid w:val="00114C6B"/>
    <w:rsid w:val="00114C7E"/>
    <w:rsid w:val="00115490"/>
    <w:rsid w:val="001155EE"/>
    <w:rsid w:val="00115709"/>
    <w:rsid w:val="00115798"/>
    <w:rsid w:val="00115AC1"/>
    <w:rsid w:val="001164AC"/>
    <w:rsid w:val="00116A90"/>
    <w:rsid w:val="00116B4A"/>
    <w:rsid w:val="0011730B"/>
    <w:rsid w:val="001174BE"/>
    <w:rsid w:val="001178E8"/>
    <w:rsid w:val="00117CCB"/>
    <w:rsid w:val="0012006B"/>
    <w:rsid w:val="001200E8"/>
    <w:rsid w:val="001201BB"/>
    <w:rsid w:val="0012067C"/>
    <w:rsid w:val="00120AF1"/>
    <w:rsid w:val="00120AF9"/>
    <w:rsid w:val="00120BC3"/>
    <w:rsid w:val="00120BD7"/>
    <w:rsid w:val="00120CC5"/>
    <w:rsid w:val="00121C07"/>
    <w:rsid w:val="00122001"/>
    <w:rsid w:val="00122298"/>
    <w:rsid w:val="001222E9"/>
    <w:rsid w:val="0012250D"/>
    <w:rsid w:val="0012265F"/>
    <w:rsid w:val="001227D1"/>
    <w:rsid w:val="00122813"/>
    <w:rsid w:val="00122A75"/>
    <w:rsid w:val="00122C48"/>
    <w:rsid w:val="00124572"/>
    <w:rsid w:val="001247F6"/>
    <w:rsid w:val="00124CD0"/>
    <w:rsid w:val="00124D01"/>
    <w:rsid w:val="00124D81"/>
    <w:rsid w:val="00124DEE"/>
    <w:rsid w:val="0012515E"/>
    <w:rsid w:val="0012549C"/>
    <w:rsid w:val="00125A1B"/>
    <w:rsid w:val="00126059"/>
    <w:rsid w:val="0012616E"/>
    <w:rsid w:val="001264CB"/>
    <w:rsid w:val="0012690A"/>
    <w:rsid w:val="00126B15"/>
    <w:rsid w:val="00127635"/>
    <w:rsid w:val="00127B2D"/>
    <w:rsid w:val="00127BB0"/>
    <w:rsid w:val="00127C34"/>
    <w:rsid w:val="00127C36"/>
    <w:rsid w:val="0013025A"/>
    <w:rsid w:val="00130421"/>
    <w:rsid w:val="001305AD"/>
    <w:rsid w:val="00130A54"/>
    <w:rsid w:val="00130C4A"/>
    <w:rsid w:val="00131257"/>
    <w:rsid w:val="00131839"/>
    <w:rsid w:val="00132203"/>
    <w:rsid w:val="001322B6"/>
    <w:rsid w:val="00132700"/>
    <w:rsid w:val="00132AE5"/>
    <w:rsid w:val="00132DD9"/>
    <w:rsid w:val="00132F46"/>
    <w:rsid w:val="001330FB"/>
    <w:rsid w:val="00133181"/>
    <w:rsid w:val="001334EE"/>
    <w:rsid w:val="00133879"/>
    <w:rsid w:val="0013390F"/>
    <w:rsid w:val="00133C95"/>
    <w:rsid w:val="001343D8"/>
    <w:rsid w:val="00134611"/>
    <w:rsid w:val="001348AD"/>
    <w:rsid w:val="00134ACB"/>
    <w:rsid w:val="0013515A"/>
    <w:rsid w:val="0013554E"/>
    <w:rsid w:val="00135840"/>
    <w:rsid w:val="00135CDC"/>
    <w:rsid w:val="00135E71"/>
    <w:rsid w:val="00136243"/>
    <w:rsid w:val="001363AC"/>
    <w:rsid w:val="001364F4"/>
    <w:rsid w:val="001365F9"/>
    <w:rsid w:val="00136AE5"/>
    <w:rsid w:val="00136E6A"/>
    <w:rsid w:val="00136F4D"/>
    <w:rsid w:val="00137169"/>
    <w:rsid w:val="00137652"/>
    <w:rsid w:val="001379C2"/>
    <w:rsid w:val="00137BD3"/>
    <w:rsid w:val="00137CAD"/>
    <w:rsid w:val="00137D8F"/>
    <w:rsid w:val="00137FF2"/>
    <w:rsid w:val="00140182"/>
    <w:rsid w:val="001404C2"/>
    <w:rsid w:val="00140CD2"/>
    <w:rsid w:val="00141592"/>
    <w:rsid w:val="00141788"/>
    <w:rsid w:val="0014289F"/>
    <w:rsid w:val="0014338E"/>
    <w:rsid w:val="0014360D"/>
    <w:rsid w:val="001437B0"/>
    <w:rsid w:val="00143BBC"/>
    <w:rsid w:val="00144480"/>
    <w:rsid w:val="00144578"/>
    <w:rsid w:val="0014485F"/>
    <w:rsid w:val="00144B79"/>
    <w:rsid w:val="00145A0E"/>
    <w:rsid w:val="00145C07"/>
    <w:rsid w:val="00145EE4"/>
    <w:rsid w:val="00145F4D"/>
    <w:rsid w:val="00146C7E"/>
    <w:rsid w:val="00147262"/>
    <w:rsid w:val="001472F8"/>
    <w:rsid w:val="0014749F"/>
    <w:rsid w:val="00147EEB"/>
    <w:rsid w:val="0015075E"/>
    <w:rsid w:val="00150C13"/>
    <w:rsid w:val="00150E32"/>
    <w:rsid w:val="00151281"/>
    <w:rsid w:val="00151B07"/>
    <w:rsid w:val="00151FA7"/>
    <w:rsid w:val="001522F1"/>
    <w:rsid w:val="001525A5"/>
    <w:rsid w:val="001525CA"/>
    <w:rsid w:val="00152858"/>
    <w:rsid w:val="001529A7"/>
    <w:rsid w:val="001534CE"/>
    <w:rsid w:val="00153A6D"/>
    <w:rsid w:val="00153DC3"/>
    <w:rsid w:val="00153DC7"/>
    <w:rsid w:val="001545FC"/>
    <w:rsid w:val="001547A3"/>
    <w:rsid w:val="00154A61"/>
    <w:rsid w:val="00154B92"/>
    <w:rsid w:val="00155095"/>
    <w:rsid w:val="00155EBB"/>
    <w:rsid w:val="0015633D"/>
    <w:rsid w:val="001563BE"/>
    <w:rsid w:val="001563CC"/>
    <w:rsid w:val="001565C3"/>
    <w:rsid w:val="0015676A"/>
    <w:rsid w:val="00156B63"/>
    <w:rsid w:val="00156B7B"/>
    <w:rsid w:val="00156C44"/>
    <w:rsid w:val="00156CEC"/>
    <w:rsid w:val="00157569"/>
    <w:rsid w:val="00157BF8"/>
    <w:rsid w:val="00157DEC"/>
    <w:rsid w:val="00157E9B"/>
    <w:rsid w:val="001600E5"/>
    <w:rsid w:val="00160B88"/>
    <w:rsid w:val="00160D0F"/>
    <w:rsid w:val="00161678"/>
    <w:rsid w:val="00162421"/>
    <w:rsid w:val="0016271E"/>
    <w:rsid w:val="00162BD9"/>
    <w:rsid w:val="00162E2E"/>
    <w:rsid w:val="00163073"/>
    <w:rsid w:val="001630F0"/>
    <w:rsid w:val="00163242"/>
    <w:rsid w:val="0016342D"/>
    <w:rsid w:val="001634DC"/>
    <w:rsid w:val="0016363C"/>
    <w:rsid w:val="00163F02"/>
    <w:rsid w:val="001640A8"/>
    <w:rsid w:val="001640AC"/>
    <w:rsid w:val="0016504E"/>
    <w:rsid w:val="00165D57"/>
    <w:rsid w:val="0016605D"/>
    <w:rsid w:val="00166479"/>
    <w:rsid w:val="001666F0"/>
    <w:rsid w:val="00166E77"/>
    <w:rsid w:val="00167CD8"/>
    <w:rsid w:val="00167F77"/>
    <w:rsid w:val="00171065"/>
    <w:rsid w:val="001712FF"/>
    <w:rsid w:val="00171484"/>
    <w:rsid w:val="00171694"/>
    <w:rsid w:val="00171B90"/>
    <w:rsid w:val="00171D37"/>
    <w:rsid w:val="00172514"/>
    <w:rsid w:val="001726B1"/>
    <w:rsid w:val="00172D78"/>
    <w:rsid w:val="001732B6"/>
    <w:rsid w:val="00173482"/>
    <w:rsid w:val="001735DE"/>
    <w:rsid w:val="001736E1"/>
    <w:rsid w:val="001739F3"/>
    <w:rsid w:val="00173BFF"/>
    <w:rsid w:val="00173DF2"/>
    <w:rsid w:val="00173E34"/>
    <w:rsid w:val="001741F2"/>
    <w:rsid w:val="00174719"/>
    <w:rsid w:val="00174F4F"/>
    <w:rsid w:val="0017502C"/>
    <w:rsid w:val="00175540"/>
    <w:rsid w:val="00175B80"/>
    <w:rsid w:val="0017603A"/>
    <w:rsid w:val="00176051"/>
    <w:rsid w:val="00176842"/>
    <w:rsid w:val="00176B63"/>
    <w:rsid w:val="00176C25"/>
    <w:rsid w:val="00176CC0"/>
    <w:rsid w:val="00176F41"/>
    <w:rsid w:val="00177956"/>
    <w:rsid w:val="00177C97"/>
    <w:rsid w:val="00177EC0"/>
    <w:rsid w:val="0018006D"/>
    <w:rsid w:val="00180277"/>
    <w:rsid w:val="0018127C"/>
    <w:rsid w:val="001818AB"/>
    <w:rsid w:val="00181EFF"/>
    <w:rsid w:val="0018221C"/>
    <w:rsid w:val="0018259A"/>
    <w:rsid w:val="001827A2"/>
    <w:rsid w:val="00182841"/>
    <w:rsid w:val="001828C4"/>
    <w:rsid w:val="00182DF5"/>
    <w:rsid w:val="00183006"/>
    <w:rsid w:val="00183325"/>
    <w:rsid w:val="001835A9"/>
    <w:rsid w:val="00183612"/>
    <w:rsid w:val="001839FB"/>
    <w:rsid w:val="0018413F"/>
    <w:rsid w:val="0018461F"/>
    <w:rsid w:val="00185BC2"/>
    <w:rsid w:val="00185D73"/>
    <w:rsid w:val="0018601D"/>
    <w:rsid w:val="00186D74"/>
    <w:rsid w:val="00186DD8"/>
    <w:rsid w:val="00186E82"/>
    <w:rsid w:val="001873B4"/>
    <w:rsid w:val="00187BC3"/>
    <w:rsid w:val="00190068"/>
    <w:rsid w:val="00190FF5"/>
    <w:rsid w:val="0019122F"/>
    <w:rsid w:val="0019172A"/>
    <w:rsid w:val="00191FD1"/>
    <w:rsid w:val="00192295"/>
    <w:rsid w:val="00193188"/>
    <w:rsid w:val="00193485"/>
    <w:rsid w:val="0019380C"/>
    <w:rsid w:val="00193D92"/>
    <w:rsid w:val="00194390"/>
    <w:rsid w:val="00194927"/>
    <w:rsid w:val="00194B01"/>
    <w:rsid w:val="00194FAC"/>
    <w:rsid w:val="00195392"/>
    <w:rsid w:val="0019592D"/>
    <w:rsid w:val="00196310"/>
    <w:rsid w:val="001969FA"/>
    <w:rsid w:val="00196CF2"/>
    <w:rsid w:val="00196FED"/>
    <w:rsid w:val="0019727D"/>
    <w:rsid w:val="001A037A"/>
    <w:rsid w:val="001A0449"/>
    <w:rsid w:val="001A0836"/>
    <w:rsid w:val="001A1A9C"/>
    <w:rsid w:val="001A1B4C"/>
    <w:rsid w:val="001A1BE0"/>
    <w:rsid w:val="001A309F"/>
    <w:rsid w:val="001A33DE"/>
    <w:rsid w:val="001A3C55"/>
    <w:rsid w:val="001A3E80"/>
    <w:rsid w:val="001A4339"/>
    <w:rsid w:val="001A447C"/>
    <w:rsid w:val="001A4A63"/>
    <w:rsid w:val="001A4DC4"/>
    <w:rsid w:val="001A4FEF"/>
    <w:rsid w:val="001A614A"/>
    <w:rsid w:val="001A68AB"/>
    <w:rsid w:val="001A7093"/>
    <w:rsid w:val="001A711D"/>
    <w:rsid w:val="001A7936"/>
    <w:rsid w:val="001A7C7E"/>
    <w:rsid w:val="001B081E"/>
    <w:rsid w:val="001B0903"/>
    <w:rsid w:val="001B0A39"/>
    <w:rsid w:val="001B0CBD"/>
    <w:rsid w:val="001B0DD2"/>
    <w:rsid w:val="001B110A"/>
    <w:rsid w:val="001B12AF"/>
    <w:rsid w:val="001B1827"/>
    <w:rsid w:val="001B191E"/>
    <w:rsid w:val="001B1A97"/>
    <w:rsid w:val="001B1D9A"/>
    <w:rsid w:val="001B2B15"/>
    <w:rsid w:val="001B2BE8"/>
    <w:rsid w:val="001B2E7B"/>
    <w:rsid w:val="001B2FF8"/>
    <w:rsid w:val="001B31CB"/>
    <w:rsid w:val="001B32E2"/>
    <w:rsid w:val="001B355E"/>
    <w:rsid w:val="001B3E09"/>
    <w:rsid w:val="001B401E"/>
    <w:rsid w:val="001B40CB"/>
    <w:rsid w:val="001B42E2"/>
    <w:rsid w:val="001B430A"/>
    <w:rsid w:val="001B4329"/>
    <w:rsid w:val="001B4542"/>
    <w:rsid w:val="001B4E03"/>
    <w:rsid w:val="001B5011"/>
    <w:rsid w:val="001B506B"/>
    <w:rsid w:val="001B50DF"/>
    <w:rsid w:val="001B6286"/>
    <w:rsid w:val="001B6A8F"/>
    <w:rsid w:val="001B6D2A"/>
    <w:rsid w:val="001B6D9B"/>
    <w:rsid w:val="001B6EC9"/>
    <w:rsid w:val="001B6F64"/>
    <w:rsid w:val="001C006D"/>
    <w:rsid w:val="001C0375"/>
    <w:rsid w:val="001C07A5"/>
    <w:rsid w:val="001C0E3D"/>
    <w:rsid w:val="001C117E"/>
    <w:rsid w:val="001C1435"/>
    <w:rsid w:val="001C1CF4"/>
    <w:rsid w:val="001C1EDB"/>
    <w:rsid w:val="001C1F61"/>
    <w:rsid w:val="001C2196"/>
    <w:rsid w:val="001C2876"/>
    <w:rsid w:val="001C2B14"/>
    <w:rsid w:val="001C2D08"/>
    <w:rsid w:val="001C2DE1"/>
    <w:rsid w:val="001C2DFD"/>
    <w:rsid w:val="001C2F4A"/>
    <w:rsid w:val="001C2FA8"/>
    <w:rsid w:val="001C3687"/>
    <w:rsid w:val="001C38C6"/>
    <w:rsid w:val="001C3920"/>
    <w:rsid w:val="001C393F"/>
    <w:rsid w:val="001C42B6"/>
    <w:rsid w:val="001C4793"/>
    <w:rsid w:val="001C4A4F"/>
    <w:rsid w:val="001C4BE1"/>
    <w:rsid w:val="001C51D8"/>
    <w:rsid w:val="001C58AD"/>
    <w:rsid w:val="001C5963"/>
    <w:rsid w:val="001C5E9E"/>
    <w:rsid w:val="001C6191"/>
    <w:rsid w:val="001C6199"/>
    <w:rsid w:val="001C62AD"/>
    <w:rsid w:val="001C6705"/>
    <w:rsid w:val="001C6D03"/>
    <w:rsid w:val="001C6E90"/>
    <w:rsid w:val="001C7200"/>
    <w:rsid w:val="001C74AC"/>
    <w:rsid w:val="001C7C18"/>
    <w:rsid w:val="001D0340"/>
    <w:rsid w:val="001D0374"/>
    <w:rsid w:val="001D0712"/>
    <w:rsid w:val="001D07F7"/>
    <w:rsid w:val="001D08BB"/>
    <w:rsid w:val="001D0B13"/>
    <w:rsid w:val="001D0C90"/>
    <w:rsid w:val="001D0F1F"/>
    <w:rsid w:val="001D1847"/>
    <w:rsid w:val="001D18E1"/>
    <w:rsid w:val="001D1FC0"/>
    <w:rsid w:val="001D2986"/>
    <w:rsid w:val="001D31CC"/>
    <w:rsid w:val="001D342E"/>
    <w:rsid w:val="001D34E6"/>
    <w:rsid w:val="001D3CEC"/>
    <w:rsid w:val="001D3F51"/>
    <w:rsid w:val="001D4041"/>
    <w:rsid w:val="001D479B"/>
    <w:rsid w:val="001D4D7B"/>
    <w:rsid w:val="001D4DBB"/>
    <w:rsid w:val="001D55C1"/>
    <w:rsid w:val="001D57E1"/>
    <w:rsid w:val="001D67FA"/>
    <w:rsid w:val="001D6B6A"/>
    <w:rsid w:val="001D6DD2"/>
    <w:rsid w:val="001D72FF"/>
    <w:rsid w:val="001D7311"/>
    <w:rsid w:val="001D7A90"/>
    <w:rsid w:val="001E0012"/>
    <w:rsid w:val="001E04AA"/>
    <w:rsid w:val="001E05D5"/>
    <w:rsid w:val="001E0CBF"/>
    <w:rsid w:val="001E13F3"/>
    <w:rsid w:val="001E1405"/>
    <w:rsid w:val="001E1780"/>
    <w:rsid w:val="001E1FE8"/>
    <w:rsid w:val="001E2204"/>
    <w:rsid w:val="001E2469"/>
    <w:rsid w:val="001E29C3"/>
    <w:rsid w:val="001E2CAE"/>
    <w:rsid w:val="001E2E19"/>
    <w:rsid w:val="001E3168"/>
    <w:rsid w:val="001E3430"/>
    <w:rsid w:val="001E37B2"/>
    <w:rsid w:val="001E3B10"/>
    <w:rsid w:val="001E3E88"/>
    <w:rsid w:val="001E457D"/>
    <w:rsid w:val="001E45D1"/>
    <w:rsid w:val="001E46D8"/>
    <w:rsid w:val="001E4A5F"/>
    <w:rsid w:val="001E4AC2"/>
    <w:rsid w:val="001E5C77"/>
    <w:rsid w:val="001E5D17"/>
    <w:rsid w:val="001E6122"/>
    <w:rsid w:val="001E7076"/>
    <w:rsid w:val="001E70D5"/>
    <w:rsid w:val="001E728E"/>
    <w:rsid w:val="001E75BA"/>
    <w:rsid w:val="001E7BE4"/>
    <w:rsid w:val="001E7E56"/>
    <w:rsid w:val="001F0B5C"/>
    <w:rsid w:val="001F0ECC"/>
    <w:rsid w:val="001F10DB"/>
    <w:rsid w:val="001F1343"/>
    <w:rsid w:val="001F14FD"/>
    <w:rsid w:val="001F1B56"/>
    <w:rsid w:val="001F1B91"/>
    <w:rsid w:val="001F1F6F"/>
    <w:rsid w:val="001F2B62"/>
    <w:rsid w:val="001F2E6F"/>
    <w:rsid w:val="001F3315"/>
    <w:rsid w:val="001F3482"/>
    <w:rsid w:val="001F38DF"/>
    <w:rsid w:val="001F3A25"/>
    <w:rsid w:val="001F4836"/>
    <w:rsid w:val="001F4B9B"/>
    <w:rsid w:val="001F4E0B"/>
    <w:rsid w:val="001F4F2A"/>
    <w:rsid w:val="001F54B2"/>
    <w:rsid w:val="001F5D94"/>
    <w:rsid w:val="001F632E"/>
    <w:rsid w:val="001F67D5"/>
    <w:rsid w:val="001F69CF"/>
    <w:rsid w:val="001F6DCA"/>
    <w:rsid w:val="001F6EFC"/>
    <w:rsid w:val="001F6F8A"/>
    <w:rsid w:val="001F7291"/>
    <w:rsid w:val="001F760B"/>
    <w:rsid w:val="001F7C00"/>
    <w:rsid w:val="0020014E"/>
    <w:rsid w:val="00200A13"/>
    <w:rsid w:val="00200AB3"/>
    <w:rsid w:val="00200C0E"/>
    <w:rsid w:val="00200D02"/>
    <w:rsid w:val="00201A20"/>
    <w:rsid w:val="00201D83"/>
    <w:rsid w:val="002021D7"/>
    <w:rsid w:val="00202523"/>
    <w:rsid w:val="002028D3"/>
    <w:rsid w:val="002028D5"/>
    <w:rsid w:val="00202CF1"/>
    <w:rsid w:val="00202CFF"/>
    <w:rsid w:val="00203BF4"/>
    <w:rsid w:val="00203E48"/>
    <w:rsid w:val="002042CD"/>
    <w:rsid w:val="00204307"/>
    <w:rsid w:val="00204366"/>
    <w:rsid w:val="002045F9"/>
    <w:rsid w:val="002048C2"/>
    <w:rsid w:val="00204C16"/>
    <w:rsid w:val="00204EAF"/>
    <w:rsid w:val="00204EC8"/>
    <w:rsid w:val="00204F0A"/>
    <w:rsid w:val="00205257"/>
    <w:rsid w:val="0020543C"/>
    <w:rsid w:val="00205467"/>
    <w:rsid w:val="00205484"/>
    <w:rsid w:val="00205A6A"/>
    <w:rsid w:val="002062EB"/>
    <w:rsid w:val="002063A8"/>
    <w:rsid w:val="00206591"/>
    <w:rsid w:val="00206659"/>
    <w:rsid w:val="00206B20"/>
    <w:rsid w:val="00206BAE"/>
    <w:rsid w:val="00207097"/>
    <w:rsid w:val="002076B5"/>
    <w:rsid w:val="002078F3"/>
    <w:rsid w:val="00210221"/>
    <w:rsid w:val="0021027B"/>
    <w:rsid w:val="002103EF"/>
    <w:rsid w:val="00210504"/>
    <w:rsid w:val="00210576"/>
    <w:rsid w:val="00211BB6"/>
    <w:rsid w:val="00212491"/>
    <w:rsid w:val="00213134"/>
    <w:rsid w:val="00213925"/>
    <w:rsid w:val="002139B6"/>
    <w:rsid w:val="00213B90"/>
    <w:rsid w:val="00214463"/>
    <w:rsid w:val="00214B72"/>
    <w:rsid w:val="00214F78"/>
    <w:rsid w:val="0021541E"/>
    <w:rsid w:val="002157EF"/>
    <w:rsid w:val="00216D2A"/>
    <w:rsid w:val="00217187"/>
    <w:rsid w:val="0022010C"/>
    <w:rsid w:val="00220131"/>
    <w:rsid w:val="00220549"/>
    <w:rsid w:val="00220739"/>
    <w:rsid w:val="002207AB"/>
    <w:rsid w:val="00220DF6"/>
    <w:rsid w:val="00221087"/>
    <w:rsid w:val="0022116C"/>
    <w:rsid w:val="0022170D"/>
    <w:rsid w:val="00222462"/>
    <w:rsid w:val="00222936"/>
    <w:rsid w:val="0022299E"/>
    <w:rsid w:val="00222DF0"/>
    <w:rsid w:val="00223311"/>
    <w:rsid w:val="00223B71"/>
    <w:rsid w:val="00223D57"/>
    <w:rsid w:val="00223DAD"/>
    <w:rsid w:val="0022444A"/>
    <w:rsid w:val="0022525E"/>
    <w:rsid w:val="002255B8"/>
    <w:rsid w:val="00225611"/>
    <w:rsid w:val="0022562A"/>
    <w:rsid w:val="0022597E"/>
    <w:rsid w:val="00226111"/>
    <w:rsid w:val="00226BDC"/>
    <w:rsid w:val="002277E1"/>
    <w:rsid w:val="00227F0A"/>
    <w:rsid w:val="0023043F"/>
    <w:rsid w:val="0023061A"/>
    <w:rsid w:val="00230C16"/>
    <w:rsid w:val="00230C49"/>
    <w:rsid w:val="00230D38"/>
    <w:rsid w:val="00231293"/>
    <w:rsid w:val="002313AF"/>
    <w:rsid w:val="002315AA"/>
    <w:rsid w:val="002315AE"/>
    <w:rsid w:val="00231716"/>
    <w:rsid w:val="00231990"/>
    <w:rsid w:val="0023289B"/>
    <w:rsid w:val="00232927"/>
    <w:rsid w:val="00232AD6"/>
    <w:rsid w:val="0023322D"/>
    <w:rsid w:val="00233328"/>
    <w:rsid w:val="002333F3"/>
    <w:rsid w:val="002334D2"/>
    <w:rsid w:val="00233515"/>
    <w:rsid w:val="0023373D"/>
    <w:rsid w:val="00233815"/>
    <w:rsid w:val="002339B2"/>
    <w:rsid w:val="0023442A"/>
    <w:rsid w:val="0023494C"/>
    <w:rsid w:val="00234B63"/>
    <w:rsid w:val="00234CDC"/>
    <w:rsid w:val="00235418"/>
    <w:rsid w:val="00235903"/>
    <w:rsid w:val="00235E22"/>
    <w:rsid w:val="00236009"/>
    <w:rsid w:val="00236272"/>
    <w:rsid w:val="0023650B"/>
    <w:rsid w:val="00236DF3"/>
    <w:rsid w:val="00237269"/>
    <w:rsid w:val="002378E6"/>
    <w:rsid w:val="00237FA9"/>
    <w:rsid w:val="00237FD4"/>
    <w:rsid w:val="00240C9A"/>
    <w:rsid w:val="00240CC6"/>
    <w:rsid w:val="00240FBB"/>
    <w:rsid w:val="00241064"/>
    <w:rsid w:val="00241292"/>
    <w:rsid w:val="00241484"/>
    <w:rsid w:val="002419BA"/>
    <w:rsid w:val="0024272F"/>
    <w:rsid w:val="002427A5"/>
    <w:rsid w:val="00242C76"/>
    <w:rsid w:val="00242CBE"/>
    <w:rsid w:val="002431E1"/>
    <w:rsid w:val="0024389A"/>
    <w:rsid w:val="00243C7A"/>
    <w:rsid w:val="00243DBD"/>
    <w:rsid w:val="00243E0E"/>
    <w:rsid w:val="00243EE5"/>
    <w:rsid w:val="00244218"/>
    <w:rsid w:val="00244367"/>
    <w:rsid w:val="002443AA"/>
    <w:rsid w:val="002444AA"/>
    <w:rsid w:val="00244652"/>
    <w:rsid w:val="002446C4"/>
    <w:rsid w:val="00244809"/>
    <w:rsid w:val="00244825"/>
    <w:rsid w:val="00244890"/>
    <w:rsid w:val="00244AAF"/>
    <w:rsid w:val="00244D2F"/>
    <w:rsid w:val="00244F63"/>
    <w:rsid w:val="00245041"/>
    <w:rsid w:val="0024586A"/>
    <w:rsid w:val="00245D6E"/>
    <w:rsid w:val="002462D7"/>
    <w:rsid w:val="002462FC"/>
    <w:rsid w:val="002464E5"/>
    <w:rsid w:val="002465D0"/>
    <w:rsid w:val="00247069"/>
    <w:rsid w:val="0024744A"/>
    <w:rsid w:val="00247675"/>
    <w:rsid w:val="00247F25"/>
    <w:rsid w:val="00250801"/>
    <w:rsid w:val="00250998"/>
    <w:rsid w:val="00250D0A"/>
    <w:rsid w:val="0025220D"/>
    <w:rsid w:val="00252581"/>
    <w:rsid w:val="00252C3C"/>
    <w:rsid w:val="00252D80"/>
    <w:rsid w:val="00253159"/>
    <w:rsid w:val="002538D1"/>
    <w:rsid w:val="0025503A"/>
    <w:rsid w:val="00255615"/>
    <w:rsid w:val="002558CC"/>
    <w:rsid w:val="00256291"/>
    <w:rsid w:val="00256534"/>
    <w:rsid w:val="0025654F"/>
    <w:rsid w:val="00256601"/>
    <w:rsid w:val="00256702"/>
    <w:rsid w:val="002569F2"/>
    <w:rsid w:val="00256B7B"/>
    <w:rsid w:val="00257243"/>
    <w:rsid w:val="002572FD"/>
    <w:rsid w:val="00257435"/>
    <w:rsid w:val="00257470"/>
    <w:rsid w:val="002577A6"/>
    <w:rsid w:val="00260132"/>
    <w:rsid w:val="002601A1"/>
    <w:rsid w:val="002602B3"/>
    <w:rsid w:val="002603C8"/>
    <w:rsid w:val="00260557"/>
    <w:rsid w:val="002605EB"/>
    <w:rsid w:val="00260D9F"/>
    <w:rsid w:val="0026130B"/>
    <w:rsid w:val="00261B05"/>
    <w:rsid w:val="00261B82"/>
    <w:rsid w:val="002629E3"/>
    <w:rsid w:val="00262AA7"/>
    <w:rsid w:val="00262B92"/>
    <w:rsid w:val="00262DFD"/>
    <w:rsid w:val="00262F1D"/>
    <w:rsid w:val="00263AD6"/>
    <w:rsid w:val="00263C9E"/>
    <w:rsid w:val="00263D87"/>
    <w:rsid w:val="00263F12"/>
    <w:rsid w:val="002640A8"/>
    <w:rsid w:val="00264343"/>
    <w:rsid w:val="0026439C"/>
    <w:rsid w:val="00264D30"/>
    <w:rsid w:val="00264E4B"/>
    <w:rsid w:val="00265CC9"/>
    <w:rsid w:val="002667BA"/>
    <w:rsid w:val="00266E07"/>
    <w:rsid w:val="00267342"/>
    <w:rsid w:val="00267435"/>
    <w:rsid w:val="00267509"/>
    <w:rsid w:val="0026763A"/>
    <w:rsid w:val="00267D1B"/>
    <w:rsid w:val="00270128"/>
    <w:rsid w:val="00270BDF"/>
    <w:rsid w:val="00270DDD"/>
    <w:rsid w:val="00271092"/>
    <w:rsid w:val="0027114B"/>
    <w:rsid w:val="00271633"/>
    <w:rsid w:val="00271922"/>
    <w:rsid w:val="00271ED8"/>
    <w:rsid w:val="00271FA6"/>
    <w:rsid w:val="00272739"/>
    <w:rsid w:val="0027292B"/>
    <w:rsid w:val="002729D6"/>
    <w:rsid w:val="00272BD9"/>
    <w:rsid w:val="00272D15"/>
    <w:rsid w:val="00272D2A"/>
    <w:rsid w:val="00272E07"/>
    <w:rsid w:val="00273FAF"/>
    <w:rsid w:val="0027408D"/>
    <w:rsid w:val="002743C5"/>
    <w:rsid w:val="00275817"/>
    <w:rsid w:val="002758A5"/>
    <w:rsid w:val="002765A6"/>
    <w:rsid w:val="0027662C"/>
    <w:rsid w:val="002768CD"/>
    <w:rsid w:val="002769D6"/>
    <w:rsid w:val="00276B45"/>
    <w:rsid w:val="00277402"/>
    <w:rsid w:val="00277821"/>
    <w:rsid w:val="002779FE"/>
    <w:rsid w:val="00277C2B"/>
    <w:rsid w:val="00280244"/>
    <w:rsid w:val="002803E2"/>
    <w:rsid w:val="00280427"/>
    <w:rsid w:val="0028091A"/>
    <w:rsid w:val="00280992"/>
    <w:rsid w:val="00281698"/>
    <w:rsid w:val="00281A57"/>
    <w:rsid w:val="00281CA6"/>
    <w:rsid w:val="0028280E"/>
    <w:rsid w:val="0028291C"/>
    <w:rsid w:val="0028297C"/>
    <w:rsid w:val="00282B8C"/>
    <w:rsid w:val="00282C9C"/>
    <w:rsid w:val="002832B8"/>
    <w:rsid w:val="00283376"/>
    <w:rsid w:val="00283507"/>
    <w:rsid w:val="00283933"/>
    <w:rsid w:val="00283C27"/>
    <w:rsid w:val="002845B4"/>
    <w:rsid w:val="00284880"/>
    <w:rsid w:val="00284D8F"/>
    <w:rsid w:val="0028501B"/>
    <w:rsid w:val="0028585A"/>
    <w:rsid w:val="00285C4C"/>
    <w:rsid w:val="00285C8D"/>
    <w:rsid w:val="00286104"/>
    <w:rsid w:val="002864D6"/>
    <w:rsid w:val="002867C3"/>
    <w:rsid w:val="0028696C"/>
    <w:rsid w:val="00286B68"/>
    <w:rsid w:val="00286F23"/>
    <w:rsid w:val="0028778B"/>
    <w:rsid w:val="00290055"/>
    <w:rsid w:val="00290292"/>
    <w:rsid w:val="002907E8"/>
    <w:rsid w:val="002908CB"/>
    <w:rsid w:val="00290B88"/>
    <w:rsid w:val="00290D9E"/>
    <w:rsid w:val="0029139F"/>
    <w:rsid w:val="00291911"/>
    <w:rsid w:val="00292008"/>
    <w:rsid w:val="0029207E"/>
    <w:rsid w:val="0029229A"/>
    <w:rsid w:val="0029288F"/>
    <w:rsid w:val="002929DF"/>
    <w:rsid w:val="002934D2"/>
    <w:rsid w:val="00293C15"/>
    <w:rsid w:val="00293D4A"/>
    <w:rsid w:val="00293ED6"/>
    <w:rsid w:val="002942F2"/>
    <w:rsid w:val="00294367"/>
    <w:rsid w:val="00294424"/>
    <w:rsid w:val="00294B02"/>
    <w:rsid w:val="002950AB"/>
    <w:rsid w:val="00295318"/>
    <w:rsid w:val="002958ED"/>
    <w:rsid w:val="00295A86"/>
    <w:rsid w:val="00295A9E"/>
    <w:rsid w:val="00295B5B"/>
    <w:rsid w:val="00295C9F"/>
    <w:rsid w:val="00295CD7"/>
    <w:rsid w:val="00296898"/>
    <w:rsid w:val="00296C29"/>
    <w:rsid w:val="0029758C"/>
    <w:rsid w:val="00297ED3"/>
    <w:rsid w:val="002A05D8"/>
    <w:rsid w:val="002A0CCC"/>
    <w:rsid w:val="002A1027"/>
    <w:rsid w:val="002A1315"/>
    <w:rsid w:val="002A2203"/>
    <w:rsid w:val="002A25B2"/>
    <w:rsid w:val="002A281B"/>
    <w:rsid w:val="002A28D3"/>
    <w:rsid w:val="002A297C"/>
    <w:rsid w:val="002A2ECE"/>
    <w:rsid w:val="002A30E4"/>
    <w:rsid w:val="002A40F3"/>
    <w:rsid w:val="002A414D"/>
    <w:rsid w:val="002A4202"/>
    <w:rsid w:val="002A44E8"/>
    <w:rsid w:val="002A5048"/>
    <w:rsid w:val="002A570C"/>
    <w:rsid w:val="002A5A7C"/>
    <w:rsid w:val="002A5E39"/>
    <w:rsid w:val="002A5F14"/>
    <w:rsid w:val="002A636A"/>
    <w:rsid w:val="002A688F"/>
    <w:rsid w:val="002A6C31"/>
    <w:rsid w:val="002A6CDA"/>
    <w:rsid w:val="002A6D16"/>
    <w:rsid w:val="002A6E43"/>
    <w:rsid w:val="002A6F8B"/>
    <w:rsid w:val="002A7103"/>
    <w:rsid w:val="002A7770"/>
    <w:rsid w:val="002A7B89"/>
    <w:rsid w:val="002B00AB"/>
    <w:rsid w:val="002B013E"/>
    <w:rsid w:val="002B0505"/>
    <w:rsid w:val="002B086B"/>
    <w:rsid w:val="002B0C22"/>
    <w:rsid w:val="002B10D9"/>
    <w:rsid w:val="002B1565"/>
    <w:rsid w:val="002B196E"/>
    <w:rsid w:val="002B1EB3"/>
    <w:rsid w:val="002B216C"/>
    <w:rsid w:val="002B2748"/>
    <w:rsid w:val="002B2A9A"/>
    <w:rsid w:val="002B2C1F"/>
    <w:rsid w:val="002B336E"/>
    <w:rsid w:val="002B3931"/>
    <w:rsid w:val="002B396D"/>
    <w:rsid w:val="002B4CFA"/>
    <w:rsid w:val="002B5142"/>
    <w:rsid w:val="002B59B8"/>
    <w:rsid w:val="002B5AF5"/>
    <w:rsid w:val="002B6019"/>
    <w:rsid w:val="002B644C"/>
    <w:rsid w:val="002B6922"/>
    <w:rsid w:val="002B6CD7"/>
    <w:rsid w:val="002B7263"/>
    <w:rsid w:val="002B7742"/>
    <w:rsid w:val="002B7A91"/>
    <w:rsid w:val="002B7E07"/>
    <w:rsid w:val="002C0055"/>
    <w:rsid w:val="002C02CC"/>
    <w:rsid w:val="002C09B2"/>
    <w:rsid w:val="002C1942"/>
    <w:rsid w:val="002C1C74"/>
    <w:rsid w:val="002C1CBD"/>
    <w:rsid w:val="002C1D8F"/>
    <w:rsid w:val="002C2121"/>
    <w:rsid w:val="002C25CA"/>
    <w:rsid w:val="002C268F"/>
    <w:rsid w:val="002C2950"/>
    <w:rsid w:val="002C318B"/>
    <w:rsid w:val="002C32A4"/>
    <w:rsid w:val="002C336D"/>
    <w:rsid w:val="002C3B5F"/>
    <w:rsid w:val="002C3CD6"/>
    <w:rsid w:val="002C3E10"/>
    <w:rsid w:val="002C3F0E"/>
    <w:rsid w:val="002C3FB3"/>
    <w:rsid w:val="002C44D1"/>
    <w:rsid w:val="002C46B4"/>
    <w:rsid w:val="002C4B20"/>
    <w:rsid w:val="002C55C1"/>
    <w:rsid w:val="002C5766"/>
    <w:rsid w:val="002C5795"/>
    <w:rsid w:val="002C57A1"/>
    <w:rsid w:val="002C5A26"/>
    <w:rsid w:val="002C5C8A"/>
    <w:rsid w:val="002C5DCC"/>
    <w:rsid w:val="002C62E9"/>
    <w:rsid w:val="002C6301"/>
    <w:rsid w:val="002C6663"/>
    <w:rsid w:val="002C6CA0"/>
    <w:rsid w:val="002C6DD3"/>
    <w:rsid w:val="002C71B8"/>
    <w:rsid w:val="002C744D"/>
    <w:rsid w:val="002C7571"/>
    <w:rsid w:val="002C784A"/>
    <w:rsid w:val="002D022C"/>
    <w:rsid w:val="002D0A0D"/>
    <w:rsid w:val="002D0D03"/>
    <w:rsid w:val="002D1138"/>
    <w:rsid w:val="002D115E"/>
    <w:rsid w:val="002D1782"/>
    <w:rsid w:val="002D194F"/>
    <w:rsid w:val="002D1ABE"/>
    <w:rsid w:val="002D1AF1"/>
    <w:rsid w:val="002D1E06"/>
    <w:rsid w:val="002D1FE3"/>
    <w:rsid w:val="002D21E5"/>
    <w:rsid w:val="002D224B"/>
    <w:rsid w:val="002D23D5"/>
    <w:rsid w:val="002D26F9"/>
    <w:rsid w:val="002D271E"/>
    <w:rsid w:val="002D2CDD"/>
    <w:rsid w:val="002D2D8B"/>
    <w:rsid w:val="002D31D1"/>
    <w:rsid w:val="002D33BF"/>
    <w:rsid w:val="002D3AF5"/>
    <w:rsid w:val="002D3BD2"/>
    <w:rsid w:val="002D40F6"/>
    <w:rsid w:val="002D417C"/>
    <w:rsid w:val="002D4615"/>
    <w:rsid w:val="002D4933"/>
    <w:rsid w:val="002D49EF"/>
    <w:rsid w:val="002D4DF4"/>
    <w:rsid w:val="002D54B6"/>
    <w:rsid w:val="002D5525"/>
    <w:rsid w:val="002D5F62"/>
    <w:rsid w:val="002D643D"/>
    <w:rsid w:val="002D6444"/>
    <w:rsid w:val="002E00AA"/>
    <w:rsid w:val="002E07D6"/>
    <w:rsid w:val="002E0986"/>
    <w:rsid w:val="002E0A2D"/>
    <w:rsid w:val="002E0B77"/>
    <w:rsid w:val="002E0BDA"/>
    <w:rsid w:val="002E0EAB"/>
    <w:rsid w:val="002E164D"/>
    <w:rsid w:val="002E16E5"/>
    <w:rsid w:val="002E16FB"/>
    <w:rsid w:val="002E1766"/>
    <w:rsid w:val="002E2A2C"/>
    <w:rsid w:val="002E2D22"/>
    <w:rsid w:val="002E379A"/>
    <w:rsid w:val="002E38E3"/>
    <w:rsid w:val="002E4117"/>
    <w:rsid w:val="002E4400"/>
    <w:rsid w:val="002E4A33"/>
    <w:rsid w:val="002E4FE3"/>
    <w:rsid w:val="002E52B0"/>
    <w:rsid w:val="002E5B97"/>
    <w:rsid w:val="002E5BCA"/>
    <w:rsid w:val="002E62F1"/>
    <w:rsid w:val="002E69C8"/>
    <w:rsid w:val="002E6D51"/>
    <w:rsid w:val="002E7169"/>
    <w:rsid w:val="002E7184"/>
    <w:rsid w:val="002E7900"/>
    <w:rsid w:val="002E7F2B"/>
    <w:rsid w:val="002E7F72"/>
    <w:rsid w:val="002F05C4"/>
    <w:rsid w:val="002F0656"/>
    <w:rsid w:val="002F0BE2"/>
    <w:rsid w:val="002F0E31"/>
    <w:rsid w:val="002F15E0"/>
    <w:rsid w:val="002F171E"/>
    <w:rsid w:val="002F1787"/>
    <w:rsid w:val="002F25EC"/>
    <w:rsid w:val="002F2E3D"/>
    <w:rsid w:val="002F32E7"/>
    <w:rsid w:val="002F356F"/>
    <w:rsid w:val="002F372C"/>
    <w:rsid w:val="002F37C3"/>
    <w:rsid w:val="002F395A"/>
    <w:rsid w:val="002F3B72"/>
    <w:rsid w:val="002F3DD8"/>
    <w:rsid w:val="002F43B1"/>
    <w:rsid w:val="002F44E9"/>
    <w:rsid w:val="002F4644"/>
    <w:rsid w:val="002F4874"/>
    <w:rsid w:val="002F4EFD"/>
    <w:rsid w:val="002F50B8"/>
    <w:rsid w:val="002F50D2"/>
    <w:rsid w:val="002F5AAD"/>
    <w:rsid w:val="002F5BAF"/>
    <w:rsid w:val="002F5CEF"/>
    <w:rsid w:val="002F628D"/>
    <w:rsid w:val="002F63FB"/>
    <w:rsid w:val="002F64F6"/>
    <w:rsid w:val="002F667B"/>
    <w:rsid w:val="002F6773"/>
    <w:rsid w:val="002F6A92"/>
    <w:rsid w:val="002F7AE9"/>
    <w:rsid w:val="003003CB"/>
    <w:rsid w:val="00300A3F"/>
    <w:rsid w:val="00300B1C"/>
    <w:rsid w:val="003010FB"/>
    <w:rsid w:val="00301364"/>
    <w:rsid w:val="003014AC"/>
    <w:rsid w:val="003017FB"/>
    <w:rsid w:val="00301BE0"/>
    <w:rsid w:val="00301D2D"/>
    <w:rsid w:val="00301F32"/>
    <w:rsid w:val="00302AFC"/>
    <w:rsid w:val="003031AE"/>
    <w:rsid w:val="003032D8"/>
    <w:rsid w:val="0030397E"/>
    <w:rsid w:val="00303B25"/>
    <w:rsid w:val="00303DFC"/>
    <w:rsid w:val="00303F4A"/>
    <w:rsid w:val="00304CBB"/>
    <w:rsid w:val="00305C04"/>
    <w:rsid w:val="00305D9C"/>
    <w:rsid w:val="0030605C"/>
    <w:rsid w:val="00306B9D"/>
    <w:rsid w:val="00306D78"/>
    <w:rsid w:val="00306E33"/>
    <w:rsid w:val="00307E8D"/>
    <w:rsid w:val="00310CC9"/>
    <w:rsid w:val="003111EE"/>
    <w:rsid w:val="00311556"/>
    <w:rsid w:val="003118AF"/>
    <w:rsid w:val="00311AA0"/>
    <w:rsid w:val="00311DEA"/>
    <w:rsid w:val="003121A0"/>
    <w:rsid w:val="00312237"/>
    <w:rsid w:val="00312A29"/>
    <w:rsid w:val="00312A4F"/>
    <w:rsid w:val="00312A58"/>
    <w:rsid w:val="0031310C"/>
    <w:rsid w:val="00314191"/>
    <w:rsid w:val="00314300"/>
    <w:rsid w:val="00314AE4"/>
    <w:rsid w:val="0031507F"/>
    <w:rsid w:val="00315466"/>
    <w:rsid w:val="0031557D"/>
    <w:rsid w:val="00315AA2"/>
    <w:rsid w:val="00315E06"/>
    <w:rsid w:val="00316030"/>
    <w:rsid w:val="00316A57"/>
    <w:rsid w:val="00316F85"/>
    <w:rsid w:val="0031735D"/>
    <w:rsid w:val="003173FC"/>
    <w:rsid w:val="003174FB"/>
    <w:rsid w:val="00317710"/>
    <w:rsid w:val="003204A1"/>
    <w:rsid w:val="003208CE"/>
    <w:rsid w:val="00320A3E"/>
    <w:rsid w:val="00320EC9"/>
    <w:rsid w:val="003210B5"/>
    <w:rsid w:val="0032191A"/>
    <w:rsid w:val="00321E42"/>
    <w:rsid w:val="003227A2"/>
    <w:rsid w:val="00322AF4"/>
    <w:rsid w:val="0032376B"/>
    <w:rsid w:val="00323A39"/>
    <w:rsid w:val="00323CF1"/>
    <w:rsid w:val="00323F5F"/>
    <w:rsid w:val="0032434D"/>
    <w:rsid w:val="003243B5"/>
    <w:rsid w:val="003244DB"/>
    <w:rsid w:val="00324633"/>
    <w:rsid w:val="003249E4"/>
    <w:rsid w:val="003258E3"/>
    <w:rsid w:val="003259FA"/>
    <w:rsid w:val="00326623"/>
    <w:rsid w:val="00326824"/>
    <w:rsid w:val="0032687F"/>
    <w:rsid w:val="00326B38"/>
    <w:rsid w:val="00326BA1"/>
    <w:rsid w:val="00326D98"/>
    <w:rsid w:val="00326FCA"/>
    <w:rsid w:val="00327972"/>
    <w:rsid w:val="00327DAD"/>
    <w:rsid w:val="003304A6"/>
    <w:rsid w:val="00330C4D"/>
    <w:rsid w:val="00331569"/>
    <w:rsid w:val="003315A1"/>
    <w:rsid w:val="00331693"/>
    <w:rsid w:val="003316B0"/>
    <w:rsid w:val="0033179B"/>
    <w:rsid w:val="003323DB"/>
    <w:rsid w:val="00332D84"/>
    <w:rsid w:val="0033332D"/>
    <w:rsid w:val="003339D9"/>
    <w:rsid w:val="00334273"/>
    <w:rsid w:val="00334574"/>
    <w:rsid w:val="003345E8"/>
    <w:rsid w:val="003347C0"/>
    <w:rsid w:val="003348D8"/>
    <w:rsid w:val="00334B79"/>
    <w:rsid w:val="00334BD2"/>
    <w:rsid w:val="00334DEF"/>
    <w:rsid w:val="003359DF"/>
    <w:rsid w:val="00335D8A"/>
    <w:rsid w:val="003361ED"/>
    <w:rsid w:val="00336336"/>
    <w:rsid w:val="003365E3"/>
    <w:rsid w:val="00336F11"/>
    <w:rsid w:val="0033724B"/>
    <w:rsid w:val="00337546"/>
    <w:rsid w:val="00337638"/>
    <w:rsid w:val="00337B49"/>
    <w:rsid w:val="003400C9"/>
    <w:rsid w:val="0034042D"/>
    <w:rsid w:val="003409C4"/>
    <w:rsid w:val="00340FB5"/>
    <w:rsid w:val="00341745"/>
    <w:rsid w:val="0034184F"/>
    <w:rsid w:val="00341BE6"/>
    <w:rsid w:val="00341E22"/>
    <w:rsid w:val="00342146"/>
    <w:rsid w:val="0034236C"/>
    <w:rsid w:val="00342933"/>
    <w:rsid w:val="00342938"/>
    <w:rsid w:val="00342DB5"/>
    <w:rsid w:val="00343151"/>
    <w:rsid w:val="003439DB"/>
    <w:rsid w:val="0034430A"/>
    <w:rsid w:val="003446D7"/>
    <w:rsid w:val="003449BA"/>
    <w:rsid w:val="00344A6C"/>
    <w:rsid w:val="00345220"/>
    <w:rsid w:val="0034539A"/>
    <w:rsid w:val="00345A64"/>
    <w:rsid w:val="00345B8C"/>
    <w:rsid w:val="00346358"/>
    <w:rsid w:val="003463CC"/>
    <w:rsid w:val="003464B2"/>
    <w:rsid w:val="003465A5"/>
    <w:rsid w:val="0034687E"/>
    <w:rsid w:val="00346B56"/>
    <w:rsid w:val="00346F33"/>
    <w:rsid w:val="00346FAA"/>
    <w:rsid w:val="0034794E"/>
    <w:rsid w:val="00347B61"/>
    <w:rsid w:val="00347E46"/>
    <w:rsid w:val="00347E5D"/>
    <w:rsid w:val="00350073"/>
    <w:rsid w:val="003501AB"/>
    <w:rsid w:val="003506BE"/>
    <w:rsid w:val="00350C40"/>
    <w:rsid w:val="00350FBE"/>
    <w:rsid w:val="0035116A"/>
    <w:rsid w:val="00351A98"/>
    <w:rsid w:val="00351D4C"/>
    <w:rsid w:val="00351D66"/>
    <w:rsid w:val="00352378"/>
    <w:rsid w:val="00352408"/>
    <w:rsid w:val="003525A9"/>
    <w:rsid w:val="0035268C"/>
    <w:rsid w:val="00353128"/>
    <w:rsid w:val="0035465E"/>
    <w:rsid w:val="00354790"/>
    <w:rsid w:val="00354CDC"/>
    <w:rsid w:val="00354E8B"/>
    <w:rsid w:val="003550E7"/>
    <w:rsid w:val="00355262"/>
    <w:rsid w:val="003553D7"/>
    <w:rsid w:val="003557D2"/>
    <w:rsid w:val="00355DAB"/>
    <w:rsid w:val="0035630C"/>
    <w:rsid w:val="00356BE4"/>
    <w:rsid w:val="0035706C"/>
    <w:rsid w:val="00357164"/>
    <w:rsid w:val="00360207"/>
    <w:rsid w:val="00360296"/>
    <w:rsid w:val="003605CF"/>
    <w:rsid w:val="00360732"/>
    <w:rsid w:val="00360B71"/>
    <w:rsid w:val="00360F12"/>
    <w:rsid w:val="00361796"/>
    <w:rsid w:val="00361814"/>
    <w:rsid w:val="003619D3"/>
    <w:rsid w:val="003623B6"/>
    <w:rsid w:val="003627F1"/>
    <w:rsid w:val="0036288F"/>
    <w:rsid w:val="00363079"/>
    <w:rsid w:val="0036329C"/>
    <w:rsid w:val="003634A8"/>
    <w:rsid w:val="00363BCF"/>
    <w:rsid w:val="00363CB8"/>
    <w:rsid w:val="00363DD9"/>
    <w:rsid w:val="00363F52"/>
    <w:rsid w:val="0036416B"/>
    <w:rsid w:val="0036439E"/>
    <w:rsid w:val="00364554"/>
    <w:rsid w:val="00364B01"/>
    <w:rsid w:val="00364C7E"/>
    <w:rsid w:val="00364CD1"/>
    <w:rsid w:val="0036525E"/>
    <w:rsid w:val="00365395"/>
    <w:rsid w:val="00365396"/>
    <w:rsid w:val="003656A8"/>
    <w:rsid w:val="00365EB4"/>
    <w:rsid w:val="00366246"/>
    <w:rsid w:val="00366569"/>
    <w:rsid w:val="00366C79"/>
    <w:rsid w:val="003671BE"/>
    <w:rsid w:val="0036767B"/>
    <w:rsid w:val="0037024F"/>
    <w:rsid w:val="00370A87"/>
    <w:rsid w:val="003711BC"/>
    <w:rsid w:val="003717DF"/>
    <w:rsid w:val="00371955"/>
    <w:rsid w:val="003719E6"/>
    <w:rsid w:val="00371C99"/>
    <w:rsid w:val="00371FFD"/>
    <w:rsid w:val="00373371"/>
    <w:rsid w:val="00373477"/>
    <w:rsid w:val="003736E1"/>
    <w:rsid w:val="00374013"/>
    <w:rsid w:val="00374196"/>
    <w:rsid w:val="00374461"/>
    <w:rsid w:val="00374467"/>
    <w:rsid w:val="00374C7B"/>
    <w:rsid w:val="00374CE1"/>
    <w:rsid w:val="00374D2A"/>
    <w:rsid w:val="00374EDB"/>
    <w:rsid w:val="00375144"/>
    <w:rsid w:val="003754B5"/>
    <w:rsid w:val="003755A7"/>
    <w:rsid w:val="00375953"/>
    <w:rsid w:val="00375CCC"/>
    <w:rsid w:val="00376957"/>
    <w:rsid w:val="00376C2C"/>
    <w:rsid w:val="00376C4A"/>
    <w:rsid w:val="00376C4F"/>
    <w:rsid w:val="00376EDC"/>
    <w:rsid w:val="00377D63"/>
    <w:rsid w:val="00380347"/>
    <w:rsid w:val="00380572"/>
    <w:rsid w:val="00380605"/>
    <w:rsid w:val="00380611"/>
    <w:rsid w:val="003808E5"/>
    <w:rsid w:val="003810A0"/>
    <w:rsid w:val="003814FD"/>
    <w:rsid w:val="00381A1C"/>
    <w:rsid w:val="00381EEE"/>
    <w:rsid w:val="00382752"/>
    <w:rsid w:val="0038283B"/>
    <w:rsid w:val="00382BB0"/>
    <w:rsid w:val="00382F66"/>
    <w:rsid w:val="00382F7F"/>
    <w:rsid w:val="00383005"/>
    <w:rsid w:val="0038300E"/>
    <w:rsid w:val="003830C6"/>
    <w:rsid w:val="00383421"/>
    <w:rsid w:val="00383865"/>
    <w:rsid w:val="00383E16"/>
    <w:rsid w:val="00383EDF"/>
    <w:rsid w:val="003847E7"/>
    <w:rsid w:val="00384882"/>
    <w:rsid w:val="00384AEA"/>
    <w:rsid w:val="00385013"/>
    <w:rsid w:val="00385A65"/>
    <w:rsid w:val="00385FA7"/>
    <w:rsid w:val="00386634"/>
    <w:rsid w:val="0038715C"/>
    <w:rsid w:val="003871E5"/>
    <w:rsid w:val="003875A2"/>
    <w:rsid w:val="0038762C"/>
    <w:rsid w:val="00387D8B"/>
    <w:rsid w:val="00390215"/>
    <w:rsid w:val="00390240"/>
    <w:rsid w:val="003902A7"/>
    <w:rsid w:val="00390393"/>
    <w:rsid w:val="0039063A"/>
    <w:rsid w:val="0039082D"/>
    <w:rsid w:val="00391724"/>
    <w:rsid w:val="0039194D"/>
    <w:rsid w:val="003919E2"/>
    <w:rsid w:val="00392825"/>
    <w:rsid w:val="00392D8D"/>
    <w:rsid w:val="003931C9"/>
    <w:rsid w:val="00393293"/>
    <w:rsid w:val="00393B90"/>
    <w:rsid w:val="00393D84"/>
    <w:rsid w:val="00393DF4"/>
    <w:rsid w:val="00393EF8"/>
    <w:rsid w:val="00394336"/>
    <w:rsid w:val="003945AC"/>
    <w:rsid w:val="00394B80"/>
    <w:rsid w:val="0039595A"/>
    <w:rsid w:val="00396D01"/>
    <w:rsid w:val="00396DD4"/>
    <w:rsid w:val="00397186"/>
    <w:rsid w:val="00397C32"/>
    <w:rsid w:val="00397F3B"/>
    <w:rsid w:val="003A0651"/>
    <w:rsid w:val="003A068E"/>
    <w:rsid w:val="003A0DCE"/>
    <w:rsid w:val="003A0E3A"/>
    <w:rsid w:val="003A1006"/>
    <w:rsid w:val="003A14B5"/>
    <w:rsid w:val="003A18EE"/>
    <w:rsid w:val="003A1E9A"/>
    <w:rsid w:val="003A2191"/>
    <w:rsid w:val="003A240E"/>
    <w:rsid w:val="003A2441"/>
    <w:rsid w:val="003A24A1"/>
    <w:rsid w:val="003A2864"/>
    <w:rsid w:val="003A2B7E"/>
    <w:rsid w:val="003A2B8C"/>
    <w:rsid w:val="003A38B6"/>
    <w:rsid w:val="003A3B82"/>
    <w:rsid w:val="003A4060"/>
    <w:rsid w:val="003A419F"/>
    <w:rsid w:val="003A472F"/>
    <w:rsid w:val="003A4B7C"/>
    <w:rsid w:val="003A50C7"/>
    <w:rsid w:val="003A562F"/>
    <w:rsid w:val="003A58B5"/>
    <w:rsid w:val="003A58E2"/>
    <w:rsid w:val="003A5CB2"/>
    <w:rsid w:val="003A5D55"/>
    <w:rsid w:val="003A6281"/>
    <w:rsid w:val="003A62CF"/>
    <w:rsid w:val="003A64C5"/>
    <w:rsid w:val="003A69BA"/>
    <w:rsid w:val="003A76C2"/>
    <w:rsid w:val="003A78E4"/>
    <w:rsid w:val="003A7AE2"/>
    <w:rsid w:val="003A7B67"/>
    <w:rsid w:val="003B022D"/>
    <w:rsid w:val="003B029A"/>
    <w:rsid w:val="003B09E5"/>
    <w:rsid w:val="003B09EF"/>
    <w:rsid w:val="003B12E7"/>
    <w:rsid w:val="003B1A1F"/>
    <w:rsid w:val="003B1A56"/>
    <w:rsid w:val="003B1AFF"/>
    <w:rsid w:val="003B220F"/>
    <w:rsid w:val="003B2E7A"/>
    <w:rsid w:val="003B2F78"/>
    <w:rsid w:val="003B3913"/>
    <w:rsid w:val="003B3BF0"/>
    <w:rsid w:val="003B3C18"/>
    <w:rsid w:val="003B43D2"/>
    <w:rsid w:val="003B455D"/>
    <w:rsid w:val="003B464F"/>
    <w:rsid w:val="003B48C1"/>
    <w:rsid w:val="003B48D9"/>
    <w:rsid w:val="003B49D6"/>
    <w:rsid w:val="003B4E31"/>
    <w:rsid w:val="003B5195"/>
    <w:rsid w:val="003B52CD"/>
    <w:rsid w:val="003B5812"/>
    <w:rsid w:val="003B5CE3"/>
    <w:rsid w:val="003B6792"/>
    <w:rsid w:val="003B69CD"/>
    <w:rsid w:val="003B6A5C"/>
    <w:rsid w:val="003B6D25"/>
    <w:rsid w:val="003B7047"/>
    <w:rsid w:val="003B7158"/>
    <w:rsid w:val="003B755E"/>
    <w:rsid w:val="003B7C9A"/>
    <w:rsid w:val="003B7DFF"/>
    <w:rsid w:val="003C010C"/>
    <w:rsid w:val="003C04D6"/>
    <w:rsid w:val="003C0557"/>
    <w:rsid w:val="003C0559"/>
    <w:rsid w:val="003C119B"/>
    <w:rsid w:val="003C1975"/>
    <w:rsid w:val="003C29C0"/>
    <w:rsid w:val="003C2B72"/>
    <w:rsid w:val="003C2E24"/>
    <w:rsid w:val="003C30C8"/>
    <w:rsid w:val="003C3132"/>
    <w:rsid w:val="003C357A"/>
    <w:rsid w:val="003C3D34"/>
    <w:rsid w:val="003C42AE"/>
    <w:rsid w:val="003C441B"/>
    <w:rsid w:val="003C4661"/>
    <w:rsid w:val="003C524C"/>
    <w:rsid w:val="003C58C2"/>
    <w:rsid w:val="003C593F"/>
    <w:rsid w:val="003C595B"/>
    <w:rsid w:val="003C5C66"/>
    <w:rsid w:val="003C5DB4"/>
    <w:rsid w:val="003C5DD2"/>
    <w:rsid w:val="003C6A7C"/>
    <w:rsid w:val="003C6AEF"/>
    <w:rsid w:val="003C6B6B"/>
    <w:rsid w:val="003C6BA6"/>
    <w:rsid w:val="003C6CBD"/>
    <w:rsid w:val="003C6D97"/>
    <w:rsid w:val="003C6E40"/>
    <w:rsid w:val="003C7428"/>
    <w:rsid w:val="003C795E"/>
    <w:rsid w:val="003C7C64"/>
    <w:rsid w:val="003C7F93"/>
    <w:rsid w:val="003D031E"/>
    <w:rsid w:val="003D03CB"/>
    <w:rsid w:val="003D0450"/>
    <w:rsid w:val="003D078E"/>
    <w:rsid w:val="003D10D0"/>
    <w:rsid w:val="003D1281"/>
    <w:rsid w:val="003D1740"/>
    <w:rsid w:val="003D17FE"/>
    <w:rsid w:val="003D18AE"/>
    <w:rsid w:val="003D1B91"/>
    <w:rsid w:val="003D1BB3"/>
    <w:rsid w:val="003D1F6E"/>
    <w:rsid w:val="003D21C3"/>
    <w:rsid w:val="003D21C5"/>
    <w:rsid w:val="003D236F"/>
    <w:rsid w:val="003D2432"/>
    <w:rsid w:val="003D2643"/>
    <w:rsid w:val="003D28BE"/>
    <w:rsid w:val="003D30DB"/>
    <w:rsid w:val="003D312F"/>
    <w:rsid w:val="003D31DC"/>
    <w:rsid w:val="003D3A90"/>
    <w:rsid w:val="003D3B62"/>
    <w:rsid w:val="003D3F77"/>
    <w:rsid w:val="003D4283"/>
    <w:rsid w:val="003D4918"/>
    <w:rsid w:val="003D4A00"/>
    <w:rsid w:val="003D4D47"/>
    <w:rsid w:val="003D501D"/>
    <w:rsid w:val="003D534E"/>
    <w:rsid w:val="003D602D"/>
    <w:rsid w:val="003D64AD"/>
    <w:rsid w:val="003D64B7"/>
    <w:rsid w:val="003D6EF6"/>
    <w:rsid w:val="003D706E"/>
    <w:rsid w:val="003D7869"/>
    <w:rsid w:val="003E0034"/>
    <w:rsid w:val="003E0073"/>
    <w:rsid w:val="003E0947"/>
    <w:rsid w:val="003E1216"/>
    <w:rsid w:val="003E137C"/>
    <w:rsid w:val="003E1380"/>
    <w:rsid w:val="003E1A40"/>
    <w:rsid w:val="003E1AD6"/>
    <w:rsid w:val="003E1CB0"/>
    <w:rsid w:val="003E1CF4"/>
    <w:rsid w:val="003E1E85"/>
    <w:rsid w:val="003E208F"/>
    <w:rsid w:val="003E2641"/>
    <w:rsid w:val="003E2D4B"/>
    <w:rsid w:val="003E3169"/>
    <w:rsid w:val="003E3929"/>
    <w:rsid w:val="003E3BFB"/>
    <w:rsid w:val="003E3CCF"/>
    <w:rsid w:val="003E3D8C"/>
    <w:rsid w:val="003E424F"/>
    <w:rsid w:val="003E43BB"/>
    <w:rsid w:val="003E44E7"/>
    <w:rsid w:val="003E4CBD"/>
    <w:rsid w:val="003E53D9"/>
    <w:rsid w:val="003E5DDB"/>
    <w:rsid w:val="003E6DA1"/>
    <w:rsid w:val="003E705C"/>
    <w:rsid w:val="003E79A3"/>
    <w:rsid w:val="003E7AAD"/>
    <w:rsid w:val="003E7BC6"/>
    <w:rsid w:val="003F019A"/>
    <w:rsid w:val="003F0294"/>
    <w:rsid w:val="003F078F"/>
    <w:rsid w:val="003F101D"/>
    <w:rsid w:val="003F130B"/>
    <w:rsid w:val="003F15D9"/>
    <w:rsid w:val="003F1CD7"/>
    <w:rsid w:val="003F2314"/>
    <w:rsid w:val="003F28EA"/>
    <w:rsid w:val="003F2932"/>
    <w:rsid w:val="003F29F2"/>
    <w:rsid w:val="003F2E24"/>
    <w:rsid w:val="003F33B2"/>
    <w:rsid w:val="003F3A5C"/>
    <w:rsid w:val="003F3BD3"/>
    <w:rsid w:val="003F3C24"/>
    <w:rsid w:val="003F3D2B"/>
    <w:rsid w:val="003F46F3"/>
    <w:rsid w:val="003F47BC"/>
    <w:rsid w:val="003F4B55"/>
    <w:rsid w:val="003F4C2E"/>
    <w:rsid w:val="003F5197"/>
    <w:rsid w:val="003F5AE6"/>
    <w:rsid w:val="003F5C35"/>
    <w:rsid w:val="003F660A"/>
    <w:rsid w:val="003F673C"/>
    <w:rsid w:val="003F6B32"/>
    <w:rsid w:val="003F70F5"/>
    <w:rsid w:val="003F71A9"/>
    <w:rsid w:val="003F7BEC"/>
    <w:rsid w:val="003F7E49"/>
    <w:rsid w:val="0040014D"/>
    <w:rsid w:val="004001A2"/>
    <w:rsid w:val="004007AB"/>
    <w:rsid w:val="00400B36"/>
    <w:rsid w:val="00400B86"/>
    <w:rsid w:val="00400C34"/>
    <w:rsid w:val="004019E3"/>
    <w:rsid w:val="00401B1B"/>
    <w:rsid w:val="00401BA6"/>
    <w:rsid w:val="00401D3E"/>
    <w:rsid w:val="004021D5"/>
    <w:rsid w:val="00402579"/>
    <w:rsid w:val="00403870"/>
    <w:rsid w:val="00403A20"/>
    <w:rsid w:val="00403B9E"/>
    <w:rsid w:val="00403D3B"/>
    <w:rsid w:val="00403D8A"/>
    <w:rsid w:val="00404420"/>
    <w:rsid w:val="00405111"/>
    <w:rsid w:val="00405428"/>
    <w:rsid w:val="0040560C"/>
    <w:rsid w:val="004062D3"/>
    <w:rsid w:val="004063F2"/>
    <w:rsid w:val="004068D4"/>
    <w:rsid w:val="00407226"/>
    <w:rsid w:val="0040728C"/>
    <w:rsid w:val="00407302"/>
    <w:rsid w:val="0041096A"/>
    <w:rsid w:val="0041106B"/>
    <w:rsid w:val="00411302"/>
    <w:rsid w:val="00411314"/>
    <w:rsid w:val="004114D3"/>
    <w:rsid w:val="004117BE"/>
    <w:rsid w:val="00411FE7"/>
    <w:rsid w:val="004126E9"/>
    <w:rsid w:val="004128B1"/>
    <w:rsid w:val="00412C11"/>
    <w:rsid w:val="004133BF"/>
    <w:rsid w:val="00413B52"/>
    <w:rsid w:val="004140A0"/>
    <w:rsid w:val="00414557"/>
    <w:rsid w:val="00414B39"/>
    <w:rsid w:val="00415012"/>
    <w:rsid w:val="00415499"/>
    <w:rsid w:val="00415B2B"/>
    <w:rsid w:val="00415D00"/>
    <w:rsid w:val="00416455"/>
    <w:rsid w:val="004165BB"/>
    <w:rsid w:val="0041746F"/>
    <w:rsid w:val="00417A5B"/>
    <w:rsid w:val="00417F64"/>
    <w:rsid w:val="004202D5"/>
    <w:rsid w:val="0042082C"/>
    <w:rsid w:val="00420961"/>
    <w:rsid w:val="00420BD2"/>
    <w:rsid w:val="00420FEA"/>
    <w:rsid w:val="0042115D"/>
    <w:rsid w:val="00421A38"/>
    <w:rsid w:val="00422019"/>
    <w:rsid w:val="00422355"/>
    <w:rsid w:val="0042253A"/>
    <w:rsid w:val="00422687"/>
    <w:rsid w:val="00422B18"/>
    <w:rsid w:val="00422F0E"/>
    <w:rsid w:val="004231B8"/>
    <w:rsid w:val="0042333F"/>
    <w:rsid w:val="0042347B"/>
    <w:rsid w:val="00423845"/>
    <w:rsid w:val="00423B4C"/>
    <w:rsid w:val="00424910"/>
    <w:rsid w:val="00424B69"/>
    <w:rsid w:val="0042502B"/>
    <w:rsid w:val="004254E0"/>
    <w:rsid w:val="00425686"/>
    <w:rsid w:val="00425860"/>
    <w:rsid w:val="004258BD"/>
    <w:rsid w:val="004258BF"/>
    <w:rsid w:val="00425D3E"/>
    <w:rsid w:val="00426712"/>
    <w:rsid w:val="00426BD5"/>
    <w:rsid w:val="00426E3A"/>
    <w:rsid w:val="00426ECF"/>
    <w:rsid w:val="004275D6"/>
    <w:rsid w:val="004278E5"/>
    <w:rsid w:val="00427B8D"/>
    <w:rsid w:val="00427F1E"/>
    <w:rsid w:val="00430414"/>
    <w:rsid w:val="004304CA"/>
    <w:rsid w:val="00430720"/>
    <w:rsid w:val="00430C54"/>
    <w:rsid w:val="00431EBB"/>
    <w:rsid w:val="00432557"/>
    <w:rsid w:val="00432916"/>
    <w:rsid w:val="00432B66"/>
    <w:rsid w:val="00432F5F"/>
    <w:rsid w:val="00433CBE"/>
    <w:rsid w:val="00433D4E"/>
    <w:rsid w:val="00433EE1"/>
    <w:rsid w:val="004342E2"/>
    <w:rsid w:val="004346C0"/>
    <w:rsid w:val="00434D67"/>
    <w:rsid w:val="0043504C"/>
    <w:rsid w:val="00435537"/>
    <w:rsid w:val="00435C3D"/>
    <w:rsid w:val="004364B6"/>
    <w:rsid w:val="004366D6"/>
    <w:rsid w:val="004367EB"/>
    <w:rsid w:val="004375C7"/>
    <w:rsid w:val="00437730"/>
    <w:rsid w:val="00437B22"/>
    <w:rsid w:val="00440248"/>
    <w:rsid w:val="00440669"/>
    <w:rsid w:val="00440687"/>
    <w:rsid w:val="0044076F"/>
    <w:rsid w:val="00440876"/>
    <w:rsid w:val="004412B1"/>
    <w:rsid w:val="00441338"/>
    <w:rsid w:val="00441992"/>
    <w:rsid w:val="0044235E"/>
    <w:rsid w:val="004435FA"/>
    <w:rsid w:val="004438E6"/>
    <w:rsid w:val="0044395C"/>
    <w:rsid w:val="004439D7"/>
    <w:rsid w:val="00443CE5"/>
    <w:rsid w:val="00443ECC"/>
    <w:rsid w:val="0044404B"/>
    <w:rsid w:val="0044429D"/>
    <w:rsid w:val="004443FF"/>
    <w:rsid w:val="00444588"/>
    <w:rsid w:val="004447EA"/>
    <w:rsid w:val="00444AA5"/>
    <w:rsid w:val="00444CCA"/>
    <w:rsid w:val="00444D28"/>
    <w:rsid w:val="00444E3C"/>
    <w:rsid w:val="00445393"/>
    <w:rsid w:val="00445614"/>
    <w:rsid w:val="004457DF"/>
    <w:rsid w:val="004459C5"/>
    <w:rsid w:val="00445A8D"/>
    <w:rsid w:val="00445C6A"/>
    <w:rsid w:val="00446509"/>
    <w:rsid w:val="004466E3"/>
    <w:rsid w:val="00446A1A"/>
    <w:rsid w:val="00446A28"/>
    <w:rsid w:val="00446A4A"/>
    <w:rsid w:val="00446DB7"/>
    <w:rsid w:val="004471BA"/>
    <w:rsid w:val="00447FBC"/>
    <w:rsid w:val="00450C21"/>
    <w:rsid w:val="004512B6"/>
    <w:rsid w:val="004523B1"/>
    <w:rsid w:val="00452677"/>
    <w:rsid w:val="004528E3"/>
    <w:rsid w:val="0045402C"/>
    <w:rsid w:val="00455990"/>
    <w:rsid w:val="00455C09"/>
    <w:rsid w:val="0045601C"/>
    <w:rsid w:val="004567ED"/>
    <w:rsid w:val="00457672"/>
    <w:rsid w:val="0045794E"/>
    <w:rsid w:val="00457CE6"/>
    <w:rsid w:val="00457D12"/>
    <w:rsid w:val="00457E66"/>
    <w:rsid w:val="00457E78"/>
    <w:rsid w:val="00460984"/>
    <w:rsid w:val="00461335"/>
    <w:rsid w:val="00461421"/>
    <w:rsid w:val="004617BF"/>
    <w:rsid w:val="00461898"/>
    <w:rsid w:val="004618BB"/>
    <w:rsid w:val="00461AC3"/>
    <w:rsid w:val="00461D0B"/>
    <w:rsid w:val="00461D82"/>
    <w:rsid w:val="00461E07"/>
    <w:rsid w:val="004622FB"/>
    <w:rsid w:val="004623A7"/>
    <w:rsid w:val="004625AB"/>
    <w:rsid w:val="004625B7"/>
    <w:rsid w:val="004625D3"/>
    <w:rsid w:val="004626C5"/>
    <w:rsid w:val="004629AF"/>
    <w:rsid w:val="00462B75"/>
    <w:rsid w:val="004631BF"/>
    <w:rsid w:val="00463331"/>
    <w:rsid w:val="004634A4"/>
    <w:rsid w:val="00463534"/>
    <w:rsid w:val="00463870"/>
    <w:rsid w:val="00463E58"/>
    <w:rsid w:val="00464D1E"/>
    <w:rsid w:val="00464E9F"/>
    <w:rsid w:val="0046561C"/>
    <w:rsid w:val="00465F6A"/>
    <w:rsid w:val="00466376"/>
    <w:rsid w:val="004664F3"/>
    <w:rsid w:val="004665B2"/>
    <w:rsid w:val="004672E1"/>
    <w:rsid w:val="00467618"/>
    <w:rsid w:val="00467A93"/>
    <w:rsid w:val="00467EA7"/>
    <w:rsid w:val="0047019C"/>
    <w:rsid w:val="0047019F"/>
    <w:rsid w:val="004702E6"/>
    <w:rsid w:val="00470737"/>
    <w:rsid w:val="00470FAF"/>
    <w:rsid w:val="0047181D"/>
    <w:rsid w:val="00471CD4"/>
    <w:rsid w:val="00471E92"/>
    <w:rsid w:val="0047207F"/>
    <w:rsid w:val="00472290"/>
    <w:rsid w:val="00472940"/>
    <w:rsid w:val="0047294B"/>
    <w:rsid w:val="004729E0"/>
    <w:rsid w:val="00472C88"/>
    <w:rsid w:val="00472E04"/>
    <w:rsid w:val="004732D5"/>
    <w:rsid w:val="00473CB7"/>
    <w:rsid w:val="00473D5D"/>
    <w:rsid w:val="004744FF"/>
    <w:rsid w:val="004751DD"/>
    <w:rsid w:val="00475347"/>
    <w:rsid w:val="00475375"/>
    <w:rsid w:val="00475DA9"/>
    <w:rsid w:val="004762F5"/>
    <w:rsid w:val="00476BD6"/>
    <w:rsid w:val="004771B9"/>
    <w:rsid w:val="004778FB"/>
    <w:rsid w:val="004800BF"/>
    <w:rsid w:val="00480191"/>
    <w:rsid w:val="004802DA"/>
    <w:rsid w:val="004807C4"/>
    <w:rsid w:val="00481173"/>
    <w:rsid w:val="0048146B"/>
    <w:rsid w:val="004814EB"/>
    <w:rsid w:val="004815BC"/>
    <w:rsid w:val="004816CB"/>
    <w:rsid w:val="00481E24"/>
    <w:rsid w:val="004825E6"/>
    <w:rsid w:val="004829F7"/>
    <w:rsid w:val="00482B28"/>
    <w:rsid w:val="00482D95"/>
    <w:rsid w:val="00483348"/>
    <w:rsid w:val="004834D9"/>
    <w:rsid w:val="004838EF"/>
    <w:rsid w:val="00483F9B"/>
    <w:rsid w:val="004843D0"/>
    <w:rsid w:val="004845A8"/>
    <w:rsid w:val="00484C20"/>
    <w:rsid w:val="00484E8D"/>
    <w:rsid w:val="00485022"/>
    <w:rsid w:val="0048521D"/>
    <w:rsid w:val="004853D3"/>
    <w:rsid w:val="00485691"/>
    <w:rsid w:val="00485A1F"/>
    <w:rsid w:val="00485D00"/>
    <w:rsid w:val="004861BD"/>
    <w:rsid w:val="00486796"/>
    <w:rsid w:val="00486BE7"/>
    <w:rsid w:val="00486C74"/>
    <w:rsid w:val="00487582"/>
    <w:rsid w:val="00487EB1"/>
    <w:rsid w:val="004901CB"/>
    <w:rsid w:val="004904D6"/>
    <w:rsid w:val="00490BCC"/>
    <w:rsid w:val="004910AC"/>
    <w:rsid w:val="00491321"/>
    <w:rsid w:val="00492195"/>
    <w:rsid w:val="00492364"/>
    <w:rsid w:val="004923C7"/>
    <w:rsid w:val="004924C0"/>
    <w:rsid w:val="004925E7"/>
    <w:rsid w:val="00492682"/>
    <w:rsid w:val="00492B01"/>
    <w:rsid w:val="00492E2B"/>
    <w:rsid w:val="00493093"/>
    <w:rsid w:val="004932E8"/>
    <w:rsid w:val="0049362E"/>
    <w:rsid w:val="004943F7"/>
    <w:rsid w:val="00494A8A"/>
    <w:rsid w:val="00494DA3"/>
    <w:rsid w:val="00495542"/>
    <w:rsid w:val="00496642"/>
    <w:rsid w:val="004966A6"/>
    <w:rsid w:val="0049688E"/>
    <w:rsid w:val="00496B37"/>
    <w:rsid w:val="00496CDF"/>
    <w:rsid w:val="00496F86"/>
    <w:rsid w:val="004973C4"/>
    <w:rsid w:val="004977F8"/>
    <w:rsid w:val="00497A89"/>
    <w:rsid w:val="004A0525"/>
    <w:rsid w:val="004A0D52"/>
    <w:rsid w:val="004A10EB"/>
    <w:rsid w:val="004A10F1"/>
    <w:rsid w:val="004A1173"/>
    <w:rsid w:val="004A13C3"/>
    <w:rsid w:val="004A225B"/>
    <w:rsid w:val="004A2535"/>
    <w:rsid w:val="004A2542"/>
    <w:rsid w:val="004A25B1"/>
    <w:rsid w:val="004A2710"/>
    <w:rsid w:val="004A2951"/>
    <w:rsid w:val="004A2955"/>
    <w:rsid w:val="004A3487"/>
    <w:rsid w:val="004A352F"/>
    <w:rsid w:val="004A3701"/>
    <w:rsid w:val="004A3D3C"/>
    <w:rsid w:val="004A40D2"/>
    <w:rsid w:val="004A4111"/>
    <w:rsid w:val="004A4332"/>
    <w:rsid w:val="004A4361"/>
    <w:rsid w:val="004A4451"/>
    <w:rsid w:val="004A50BB"/>
    <w:rsid w:val="004A5FD5"/>
    <w:rsid w:val="004A6269"/>
    <w:rsid w:val="004A6B78"/>
    <w:rsid w:val="004A6C23"/>
    <w:rsid w:val="004A6DC4"/>
    <w:rsid w:val="004A73C5"/>
    <w:rsid w:val="004A7AAD"/>
    <w:rsid w:val="004A7B48"/>
    <w:rsid w:val="004A7E5A"/>
    <w:rsid w:val="004A7F99"/>
    <w:rsid w:val="004B0228"/>
    <w:rsid w:val="004B02C8"/>
    <w:rsid w:val="004B0521"/>
    <w:rsid w:val="004B0EDD"/>
    <w:rsid w:val="004B10AB"/>
    <w:rsid w:val="004B171C"/>
    <w:rsid w:val="004B1B53"/>
    <w:rsid w:val="004B2602"/>
    <w:rsid w:val="004B2746"/>
    <w:rsid w:val="004B2EBB"/>
    <w:rsid w:val="004B322C"/>
    <w:rsid w:val="004B3775"/>
    <w:rsid w:val="004B3780"/>
    <w:rsid w:val="004B3B09"/>
    <w:rsid w:val="004B3E33"/>
    <w:rsid w:val="004B42B1"/>
    <w:rsid w:val="004B42BC"/>
    <w:rsid w:val="004B49E6"/>
    <w:rsid w:val="004B4D2F"/>
    <w:rsid w:val="004B4D92"/>
    <w:rsid w:val="004B4E09"/>
    <w:rsid w:val="004B5569"/>
    <w:rsid w:val="004B5839"/>
    <w:rsid w:val="004B5ED7"/>
    <w:rsid w:val="004B5EDE"/>
    <w:rsid w:val="004B5FB0"/>
    <w:rsid w:val="004B6126"/>
    <w:rsid w:val="004B66EA"/>
    <w:rsid w:val="004B691E"/>
    <w:rsid w:val="004B69E7"/>
    <w:rsid w:val="004B6C18"/>
    <w:rsid w:val="004B7570"/>
    <w:rsid w:val="004B794F"/>
    <w:rsid w:val="004B7AF8"/>
    <w:rsid w:val="004C02A5"/>
    <w:rsid w:val="004C0779"/>
    <w:rsid w:val="004C086C"/>
    <w:rsid w:val="004C0DC3"/>
    <w:rsid w:val="004C0E56"/>
    <w:rsid w:val="004C159A"/>
    <w:rsid w:val="004C1793"/>
    <w:rsid w:val="004C2259"/>
    <w:rsid w:val="004C2335"/>
    <w:rsid w:val="004C233E"/>
    <w:rsid w:val="004C2B5A"/>
    <w:rsid w:val="004C2C6D"/>
    <w:rsid w:val="004C3426"/>
    <w:rsid w:val="004C35F7"/>
    <w:rsid w:val="004C3F70"/>
    <w:rsid w:val="004C43FD"/>
    <w:rsid w:val="004C4566"/>
    <w:rsid w:val="004C4E56"/>
    <w:rsid w:val="004C4E85"/>
    <w:rsid w:val="004C51CB"/>
    <w:rsid w:val="004C537A"/>
    <w:rsid w:val="004C54F5"/>
    <w:rsid w:val="004C5776"/>
    <w:rsid w:val="004C6301"/>
    <w:rsid w:val="004C7217"/>
    <w:rsid w:val="004C7620"/>
    <w:rsid w:val="004C7BD9"/>
    <w:rsid w:val="004D0159"/>
    <w:rsid w:val="004D053D"/>
    <w:rsid w:val="004D08F1"/>
    <w:rsid w:val="004D0A4A"/>
    <w:rsid w:val="004D0A75"/>
    <w:rsid w:val="004D10F8"/>
    <w:rsid w:val="004D116B"/>
    <w:rsid w:val="004D12FA"/>
    <w:rsid w:val="004D1698"/>
    <w:rsid w:val="004D3228"/>
    <w:rsid w:val="004D3330"/>
    <w:rsid w:val="004D35BD"/>
    <w:rsid w:val="004D4335"/>
    <w:rsid w:val="004D44EE"/>
    <w:rsid w:val="004D45A9"/>
    <w:rsid w:val="004D46A3"/>
    <w:rsid w:val="004D47E7"/>
    <w:rsid w:val="004D5437"/>
    <w:rsid w:val="004D5988"/>
    <w:rsid w:val="004D5CCF"/>
    <w:rsid w:val="004D5CE9"/>
    <w:rsid w:val="004D64C7"/>
    <w:rsid w:val="004D7646"/>
    <w:rsid w:val="004D781F"/>
    <w:rsid w:val="004D7A09"/>
    <w:rsid w:val="004E0161"/>
    <w:rsid w:val="004E084F"/>
    <w:rsid w:val="004E09C4"/>
    <w:rsid w:val="004E0FB0"/>
    <w:rsid w:val="004E117C"/>
    <w:rsid w:val="004E118B"/>
    <w:rsid w:val="004E1DD2"/>
    <w:rsid w:val="004E1F22"/>
    <w:rsid w:val="004E21D7"/>
    <w:rsid w:val="004E2F2C"/>
    <w:rsid w:val="004E3057"/>
    <w:rsid w:val="004E316F"/>
    <w:rsid w:val="004E36E2"/>
    <w:rsid w:val="004E3BA0"/>
    <w:rsid w:val="004E3CEE"/>
    <w:rsid w:val="004E40EF"/>
    <w:rsid w:val="004E436A"/>
    <w:rsid w:val="004E458B"/>
    <w:rsid w:val="004E46CD"/>
    <w:rsid w:val="004E4A70"/>
    <w:rsid w:val="004E5031"/>
    <w:rsid w:val="004E5333"/>
    <w:rsid w:val="004E579C"/>
    <w:rsid w:val="004E5B29"/>
    <w:rsid w:val="004E60B1"/>
    <w:rsid w:val="004E67F8"/>
    <w:rsid w:val="004E6BF1"/>
    <w:rsid w:val="004E6C91"/>
    <w:rsid w:val="004E7953"/>
    <w:rsid w:val="004E7B4B"/>
    <w:rsid w:val="004F0B46"/>
    <w:rsid w:val="004F0C84"/>
    <w:rsid w:val="004F0CAD"/>
    <w:rsid w:val="004F0E48"/>
    <w:rsid w:val="004F1302"/>
    <w:rsid w:val="004F160F"/>
    <w:rsid w:val="004F165E"/>
    <w:rsid w:val="004F17BB"/>
    <w:rsid w:val="004F1D88"/>
    <w:rsid w:val="004F24E7"/>
    <w:rsid w:val="004F25D5"/>
    <w:rsid w:val="004F2896"/>
    <w:rsid w:val="004F295F"/>
    <w:rsid w:val="004F2DD1"/>
    <w:rsid w:val="004F3379"/>
    <w:rsid w:val="004F3534"/>
    <w:rsid w:val="004F379E"/>
    <w:rsid w:val="004F3CB1"/>
    <w:rsid w:val="004F3CDC"/>
    <w:rsid w:val="004F4916"/>
    <w:rsid w:val="004F4F21"/>
    <w:rsid w:val="004F572F"/>
    <w:rsid w:val="004F57F8"/>
    <w:rsid w:val="004F59B2"/>
    <w:rsid w:val="004F5A08"/>
    <w:rsid w:val="004F5C0C"/>
    <w:rsid w:val="004F5C70"/>
    <w:rsid w:val="004F5DB6"/>
    <w:rsid w:val="004F5E34"/>
    <w:rsid w:val="004F636D"/>
    <w:rsid w:val="004F65EA"/>
    <w:rsid w:val="004F7335"/>
    <w:rsid w:val="004F749A"/>
    <w:rsid w:val="004F750D"/>
    <w:rsid w:val="004F751F"/>
    <w:rsid w:val="004F7774"/>
    <w:rsid w:val="004F7C39"/>
    <w:rsid w:val="005005AB"/>
    <w:rsid w:val="00500B43"/>
    <w:rsid w:val="00500F36"/>
    <w:rsid w:val="005015F7"/>
    <w:rsid w:val="00501998"/>
    <w:rsid w:val="00501B13"/>
    <w:rsid w:val="00501BEF"/>
    <w:rsid w:val="00502240"/>
    <w:rsid w:val="00502E10"/>
    <w:rsid w:val="00502F61"/>
    <w:rsid w:val="00504604"/>
    <w:rsid w:val="00504969"/>
    <w:rsid w:val="0050508C"/>
    <w:rsid w:val="005052E3"/>
    <w:rsid w:val="00505313"/>
    <w:rsid w:val="00505806"/>
    <w:rsid w:val="00505897"/>
    <w:rsid w:val="00505A0C"/>
    <w:rsid w:val="00505F47"/>
    <w:rsid w:val="00506280"/>
    <w:rsid w:val="0050660F"/>
    <w:rsid w:val="0050671A"/>
    <w:rsid w:val="0050690A"/>
    <w:rsid w:val="00506918"/>
    <w:rsid w:val="00506ABD"/>
    <w:rsid w:val="00506EE2"/>
    <w:rsid w:val="005070B1"/>
    <w:rsid w:val="005070DE"/>
    <w:rsid w:val="005078CD"/>
    <w:rsid w:val="005079E5"/>
    <w:rsid w:val="00507ABF"/>
    <w:rsid w:val="00507C14"/>
    <w:rsid w:val="00507EEA"/>
    <w:rsid w:val="00507EF5"/>
    <w:rsid w:val="00507F00"/>
    <w:rsid w:val="0051011C"/>
    <w:rsid w:val="0051018E"/>
    <w:rsid w:val="005108AE"/>
    <w:rsid w:val="00510BBA"/>
    <w:rsid w:val="00511577"/>
    <w:rsid w:val="005115E9"/>
    <w:rsid w:val="00511C9B"/>
    <w:rsid w:val="005120A2"/>
    <w:rsid w:val="00512668"/>
    <w:rsid w:val="005126CC"/>
    <w:rsid w:val="005129BA"/>
    <w:rsid w:val="005130B9"/>
    <w:rsid w:val="0051319A"/>
    <w:rsid w:val="00513303"/>
    <w:rsid w:val="0051376C"/>
    <w:rsid w:val="00513B09"/>
    <w:rsid w:val="00513D9A"/>
    <w:rsid w:val="00514856"/>
    <w:rsid w:val="005149E8"/>
    <w:rsid w:val="00514BED"/>
    <w:rsid w:val="00514DF4"/>
    <w:rsid w:val="005151FD"/>
    <w:rsid w:val="005157F8"/>
    <w:rsid w:val="0051581A"/>
    <w:rsid w:val="00515FA3"/>
    <w:rsid w:val="0051620F"/>
    <w:rsid w:val="00516482"/>
    <w:rsid w:val="00516A95"/>
    <w:rsid w:val="00516B16"/>
    <w:rsid w:val="00516BC3"/>
    <w:rsid w:val="00516EAB"/>
    <w:rsid w:val="00517225"/>
    <w:rsid w:val="005174A3"/>
    <w:rsid w:val="005178FE"/>
    <w:rsid w:val="00517F8F"/>
    <w:rsid w:val="00517FA3"/>
    <w:rsid w:val="00520978"/>
    <w:rsid w:val="00520B6D"/>
    <w:rsid w:val="00520D97"/>
    <w:rsid w:val="00521796"/>
    <w:rsid w:val="0052189E"/>
    <w:rsid w:val="00521F90"/>
    <w:rsid w:val="005226AE"/>
    <w:rsid w:val="00523617"/>
    <w:rsid w:val="005239D6"/>
    <w:rsid w:val="00523BEF"/>
    <w:rsid w:val="00523C13"/>
    <w:rsid w:val="00524745"/>
    <w:rsid w:val="005249F5"/>
    <w:rsid w:val="00524BFD"/>
    <w:rsid w:val="005254B4"/>
    <w:rsid w:val="00525941"/>
    <w:rsid w:val="0052635A"/>
    <w:rsid w:val="005270F8"/>
    <w:rsid w:val="00530011"/>
    <w:rsid w:val="005303DB"/>
    <w:rsid w:val="005304DD"/>
    <w:rsid w:val="0053071C"/>
    <w:rsid w:val="00530BE8"/>
    <w:rsid w:val="00530F4A"/>
    <w:rsid w:val="005311B1"/>
    <w:rsid w:val="005316F4"/>
    <w:rsid w:val="00531793"/>
    <w:rsid w:val="0053190B"/>
    <w:rsid w:val="00531DB5"/>
    <w:rsid w:val="005322FC"/>
    <w:rsid w:val="0053266A"/>
    <w:rsid w:val="0053288F"/>
    <w:rsid w:val="00532F80"/>
    <w:rsid w:val="00533262"/>
    <w:rsid w:val="0053330B"/>
    <w:rsid w:val="005336EB"/>
    <w:rsid w:val="00533A1E"/>
    <w:rsid w:val="00534786"/>
    <w:rsid w:val="00534D18"/>
    <w:rsid w:val="00535864"/>
    <w:rsid w:val="00536292"/>
    <w:rsid w:val="00536B5C"/>
    <w:rsid w:val="00536FD6"/>
    <w:rsid w:val="005374F4"/>
    <w:rsid w:val="00537883"/>
    <w:rsid w:val="00537897"/>
    <w:rsid w:val="00537DE9"/>
    <w:rsid w:val="00537EA3"/>
    <w:rsid w:val="00540A15"/>
    <w:rsid w:val="00540BB9"/>
    <w:rsid w:val="0054109E"/>
    <w:rsid w:val="005412C9"/>
    <w:rsid w:val="005413B1"/>
    <w:rsid w:val="005414BB"/>
    <w:rsid w:val="00541A89"/>
    <w:rsid w:val="00541C46"/>
    <w:rsid w:val="00542043"/>
    <w:rsid w:val="0054221F"/>
    <w:rsid w:val="005429F7"/>
    <w:rsid w:val="00542DDD"/>
    <w:rsid w:val="00542DFE"/>
    <w:rsid w:val="00542E3A"/>
    <w:rsid w:val="00543511"/>
    <w:rsid w:val="0054358F"/>
    <w:rsid w:val="00543B65"/>
    <w:rsid w:val="00544472"/>
    <w:rsid w:val="0054468D"/>
    <w:rsid w:val="005446B5"/>
    <w:rsid w:val="00544952"/>
    <w:rsid w:val="0054520C"/>
    <w:rsid w:val="00545419"/>
    <w:rsid w:val="005458EF"/>
    <w:rsid w:val="00545C73"/>
    <w:rsid w:val="00546389"/>
    <w:rsid w:val="0054685C"/>
    <w:rsid w:val="00547582"/>
    <w:rsid w:val="00547ECD"/>
    <w:rsid w:val="00550169"/>
    <w:rsid w:val="00550528"/>
    <w:rsid w:val="005506DA"/>
    <w:rsid w:val="0055079E"/>
    <w:rsid w:val="005507DA"/>
    <w:rsid w:val="00550EE4"/>
    <w:rsid w:val="00551750"/>
    <w:rsid w:val="00551A22"/>
    <w:rsid w:val="00551AE3"/>
    <w:rsid w:val="0055203D"/>
    <w:rsid w:val="005527BD"/>
    <w:rsid w:val="00552881"/>
    <w:rsid w:val="00553984"/>
    <w:rsid w:val="00553B89"/>
    <w:rsid w:val="00553CEE"/>
    <w:rsid w:val="005542EB"/>
    <w:rsid w:val="0055439E"/>
    <w:rsid w:val="00554827"/>
    <w:rsid w:val="00554A45"/>
    <w:rsid w:val="00554CB7"/>
    <w:rsid w:val="00554DCA"/>
    <w:rsid w:val="0055502E"/>
    <w:rsid w:val="00555557"/>
    <w:rsid w:val="00555949"/>
    <w:rsid w:val="00555F15"/>
    <w:rsid w:val="005561FF"/>
    <w:rsid w:val="005565E3"/>
    <w:rsid w:val="0055668C"/>
    <w:rsid w:val="005567E5"/>
    <w:rsid w:val="0055689B"/>
    <w:rsid w:val="005568C0"/>
    <w:rsid w:val="00556A94"/>
    <w:rsid w:val="00556CAA"/>
    <w:rsid w:val="005578A2"/>
    <w:rsid w:val="00557F75"/>
    <w:rsid w:val="00560504"/>
    <w:rsid w:val="00560695"/>
    <w:rsid w:val="00561524"/>
    <w:rsid w:val="0056182D"/>
    <w:rsid w:val="00561A65"/>
    <w:rsid w:val="00561B04"/>
    <w:rsid w:val="00561C23"/>
    <w:rsid w:val="00561D95"/>
    <w:rsid w:val="00561E0C"/>
    <w:rsid w:val="00561FBE"/>
    <w:rsid w:val="0056244F"/>
    <w:rsid w:val="005626F3"/>
    <w:rsid w:val="00563569"/>
    <w:rsid w:val="0056385D"/>
    <w:rsid w:val="00563B13"/>
    <w:rsid w:val="0056419F"/>
    <w:rsid w:val="0056469A"/>
    <w:rsid w:val="00564AE3"/>
    <w:rsid w:val="00564B1C"/>
    <w:rsid w:val="00564D2F"/>
    <w:rsid w:val="005655A5"/>
    <w:rsid w:val="00565794"/>
    <w:rsid w:val="00565D32"/>
    <w:rsid w:val="005673AD"/>
    <w:rsid w:val="005673B5"/>
    <w:rsid w:val="005676A8"/>
    <w:rsid w:val="00567B37"/>
    <w:rsid w:val="00567FBB"/>
    <w:rsid w:val="005703C0"/>
    <w:rsid w:val="00570561"/>
    <w:rsid w:val="00570A04"/>
    <w:rsid w:val="00570A93"/>
    <w:rsid w:val="00570A9A"/>
    <w:rsid w:val="00570EAB"/>
    <w:rsid w:val="00571032"/>
    <w:rsid w:val="0057148E"/>
    <w:rsid w:val="0057172D"/>
    <w:rsid w:val="00571918"/>
    <w:rsid w:val="00571AF9"/>
    <w:rsid w:val="00571C42"/>
    <w:rsid w:val="00571D9E"/>
    <w:rsid w:val="0057211F"/>
    <w:rsid w:val="0057221F"/>
    <w:rsid w:val="00572B0E"/>
    <w:rsid w:val="00572E80"/>
    <w:rsid w:val="0057360B"/>
    <w:rsid w:val="00573997"/>
    <w:rsid w:val="00573FD3"/>
    <w:rsid w:val="005746EB"/>
    <w:rsid w:val="005754A6"/>
    <w:rsid w:val="005757BB"/>
    <w:rsid w:val="005758DC"/>
    <w:rsid w:val="00575EE0"/>
    <w:rsid w:val="00576239"/>
    <w:rsid w:val="005762BC"/>
    <w:rsid w:val="00576374"/>
    <w:rsid w:val="00576D98"/>
    <w:rsid w:val="00577110"/>
    <w:rsid w:val="0057727E"/>
    <w:rsid w:val="0057736E"/>
    <w:rsid w:val="00577560"/>
    <w:rsid w:val="0058001A"/>
    <w:rsid w:val="0058097B"/>
    <w:rsid w:val="00581210"/>
    <w:rsid w:val="005812E4"/>
    <w:rsid w:val="005814DE"/>
    <w:rsid w:val="00581859"/>
    <w:rsid w:val="00581939"/>
    <w:rsid w:val="00581954"/>
    <w:rsid w:val="00581E80"/>
    <w:rsid w:val="00582403"/>
    <w:rsid w:val="00582577"/>
    <w:rsid w:val="0058284C"/>
    <w:rsid w:val="00582D6E"/>
    <w:rsid w:val="00583507"/>
    <w:rsid w:val="00583574"/>
    <w:rsid w:val="00583A1E"/>
    <w:rsid w:val="00583DF0"/>
    <w:rsid w:val="00583E43"/>
    <w:rsid w:val="0058475F"/>
    <w:rsid w:val="00584B44"/>
    <w:rsid w:val="00584B6A"/>
    <w:rsid w:val="00584D39"/>
    <w:rsid w:val="00584F77"/>
    <w:rsid w:val="0058510D"/>
    <w:rsid w:val="00585153"/>
    <w:rsid w:val="00585EC9"/>
    <w:rsid w:val="00585F2C"/>
    <w:rsid w:val="0058643B"/>
    <w:rsid w:val="00586595"/>
    <w:rsid w:val="00586691"/>
    <w:rsid w:val="00586BAD"/>
    <w:rsid w:val="00586BDE"/>
    <w:rsid w:val="00586C79"/>
    <w:rsid w:val="00586E67"/>
    <w:rsid w:val="00586F5E"/>
    <w:rsid w:val="005878DF"/>
    <w:rsid w:val="0059000D"/>
    <w:rsid w:val="00590083"/>
    <w:rsid w:val="005908F5"/>
    <w:rsid w:val="00590C1C"/>
    <w:rsid w:val="00590E1B"/>
    <w:rsid w:val="00591220"/>
    <w:rsid w:val="00591659"/>
    <w:rsid w:val="00591935"/>
    <w:rsid w:val="00591C85"/>
    <w:rsid w:val="00591CAD"/>
    <w:rsid w:val="0059257E"/>
    <w:rsid w:val="00592CCD"/>
    <w:rsid w:val="00592D6B"/>
    <w:rsid w:val="0059338B"/>
    <w:rsid w:val="0059398E"/>
    <w:rsid w:val="00593A2C"/>
    <w:rsid w:val="00594250"/>
    <w:rsid w:val="00594951"/>
    <w:rsid w:val="00594D60"/>
    <w:rsid w:val="00594FD0"/>
    <w:rsid w:val="00595235"/>
    <w:rsid w:val="005954D0"/>
    <w:rsid w:val="00595679"/>
    <w:rsid w:val="00595770"/>
    <w:rsid w:val="00595855"/>
    <w:rsid w:val="00595FD2"/>
    <w:rsid w:val="005967D8"/>
    <w:rsid w:val="005968B1"/>
    <w:rsid w:val="00596AF9"/>
    <w:rsid w:val="00596EDF"/>
    <w:rsid w:val="00596FDB"/>
    <w:rsid w:val="00597046"/>
    <w:rsid w:val="005974C2"/>
    <w:rsid w:val="00597776"/>
    <w:rsid w:val="00597B7D"/>
    <w:rsid w:val="005A0DE0"/>
    <w:rsid w:val="005A10FB"/>
    <w:rsid w:val="005A1289"/>
    <w:rsid w:val="005A1331"/>
    <w:rsid w:val="005A1792"/>
    <w:rsid w:val="005A1982"/>
    <w:rsid w:val="005A1C09"/>
    <w:rsid w:val="005A26C1"/>
    <w:rsid w:val="005A2D5B"/>
    <w:rsid w:val="005A2DF4"/>
    <w:rsid w:val="005A3203"/>
    <w:rsid w:val="005A35C7"/>
    <w:rsid w:val="005A3943"/>
    <w:rsid w:val="005A3CA5"/>
    <w:rsid w:val="005A3D80"/>
    <w:rsid w:val="005A41A6"/>
    <w:rsid w:val="005A497F"/>
    <w:rsid w:val="005A4F47"/>
    <w:rsid w:val="005A53A0"/>
    <w:rsid w:val="005A557B"/>
    <w:rsid w:val="005A6161"/>
    <w:rsid w:val="005A66A0"/>
    <w:rsid w:val="005A69D5"/>
    <w:rsid w:val="005A6F07"/>
    <w:rsid w:val="005A764C"/>
    <w:rsid w:val="005A7D60"/>
    <w:rsid w:val="005A7FC1"/>
    <w:rsid w:val="005B01E3"/>
    <w:rsid w:val="005B03EF"/>
    <w:rsid w:val="005B0675"/>
    <w:rsid w:val="005B0E8F"/>
    <w:rsid w:val="005B1270"/>
    <w:rsid w:val="005B129D"/>
    <w:rsid w:val="005B1D8D"/>
    <w:rsid w:val="005B1E18"/>
    <w:rsid w:val="005B1EA3"/>
    <w:rsid w:val="005B22D0"/>
    <w:rsid w:val="005B2626"/>
    <w:rsid w:val="005B29E3"/>
    <w:rsid w:val="005B2B0F"/>
    <w:rsid w:val="005B2C05"/>
    <w:rsid w:val="005B2C7A"/>
    <w:rsid w:val="005B32CD"/>
    <w:rsid w:val="005B3AFB"/>
    <w:rsid w:val="005B3B08"/>
    <w:rsid w:val="005B401B"/>
    <w:rsid w:val="005B48EA"/>
    <w:rsid w:val="005B48F5"/>
    <w:rsid w:val="005B5344"/>
    <w:rsid w:val="005B60C2"/>
    <w:rsid w:val="005B6941"/>
    <w:rsid w:val="005B6A3E"/>
    <w:rsid w:val="005B6DA0"/>
    <w:rsid w:val="005B6E38"/>
    <w:rsid w:val="005B76BB"/>
    <w:rsid w:val="005B778A"/>
    <w:rsid w:val="005B77E0"/>
    <w:rsid w:val="005B7885"/>
    <w:rsid w:val="005B7D0D"/>
    <w:rsid w:val="005C0A48"/>
    <w:rsid w:val="005C11B9"/>
    <w:rsid w:val="005C179A"/>
    <w:rsid w:val="005C1973"/>
    <w:rsid w:val="005C1B36"/>
    <w:rsid w:val="005C1C71"/>
    <w:rsid w:val="005C1C85"/>
    <w:rsid w:val="005C246F"/>
    <w:rsid w:val="005C28E5"/>
    <w:rsid w:val="005C293A"/>
    <w:rsid w:val="005C3179"/>
    <w:rsid w:val="005C318A"/>
    <w:rsid w:val="005C4751"/>
    <w:rsid w:val="005C4965"/>
    <w:rsid w:val="005C4E0C"/>
    <w:rsid w:val="005C50F9"/>
    <w:rsid w:val="005C5FA7"/>
    <w:rsid w:val="005C6137"/>
    <w:rsid w:val="005C6181"/>
    <w:rsid w:val="005C63A9"/>
    <w:rsid w:val="005C67E6"/>
    <w:rsid w:val="005C68C1"/>
    <w:rsid w:val="005C68E2"/>
    <w:rsid w:val="005C691B"/>
    <w:rsid w:val="005C6A07"/>
    <w:rsid w:val="005C6E1D"/>
    <w:rsid w:val="005C6F0C"/>
    <w:rsid w:val="005C707A"/>
    <w:rsid w:val="005C71DB"/>
    <w:rsid w:val="005C749E"/>
    <w:rsid w:val="005C7D21"/>
    <w:rsid w:val="005D0235"/>
    <w:rsid w:val="005D036D"/>
    <w:rsid w:val="005D0550"/>
    <w:rsid w:val="005D113E"/>
    <w:rsid w:val="005D11A4"/>
    <w:rsid w:val="005D11BE"/>
    <w:rsid w:val="005D14CD"/>
    <w:rsid w:val="005D15AE"/>
    <w:rsid w:val="005D16E3"/>
    <w:rsid w:val="005D17E6"/>
    <w:rsid w:val="005D1AE7"/>
    <w:rsid w:val="005D1E19"/>
    <w:rsid w:val="005D1F76"/>
    <w:rsid w:val="005D1FC2"/>
    <w:rsid w:val="005D23CD"/>
    <w:rsid w:val="005D2591"/>
    <w:rsid w:val="005D25DA"/>
    <w:rsid w:val="005D2708"/>
    <w:rsid w:val="005D31F4"/>
    <w:rsid w:val="005D3C7D"/>
    <w:rsid w:val="005D3C80"/>
    <w:rsid w:val="005D3F6F"/>
    <w:rsid w:val="005D47FD"/>
    <w:rsid w:val="005D49EC"/>
    <w:rsid w:val="005D548D"/>
    <w:rsid w:val="005D5CE6"/>
    <w:rsid w:val="005D69BB"/>
    <w:rsid w:val="005D6AA2"/>
    <w:rsid w:val="005D6D05"/>
    <w:rsid w:val="005D6DA6"/>
    <w:rsid w:val="005D6DF1"/>
    <w:rsid w:val="005D6FDE"/>
    <w:rsid w:val="005D71A1"/>
    <w:rsid w:val="005D72D0"/>
    <w:rsid w:val="005D741C"/>
    <w:rsid w:val="005D7DD2"/>
    <w:rsid w:val="005E03E0"/>
    <w:rsid w:val="005E06A7"/>
    <w:rsid w:val="005E0760"/>
    <w:rsid w:val="005E07BC"/>
    <w:rsid w:val="005E09A6"/>
    <w:rsid w:val="005E0A01"/>
    <w:rsid w:val="005E16F8"/>
    <w:rsid w:val="005E17F8"/>
    <w:rsid w:val="005E1DE6"/>
    <w:rsid w:val="005E2267"/>
    <w:rsid w:val="005E35B0"/>
    <w:rsid w:val="005E38E9"/>
    <w:rsid w:val="005E3BDC"/>
    <w:rsid w:val="005E4078"/>
    <w:rsid w:val="005E4433"/>
    <w:rsid w:val="005E4938"/>
    <w:rsid w:val="005E510F"/>
    <w:rsid w:val="005E529A"/>
    <w:rsid w:val="005E5645"/>
    <w:rsid w:val="005E5976"/>
    <w:rsid w:val="005E59E4"/>
    <w:rsid w:val="005E6455"/>
    <w:rsid w:val="005E65F9"/>
    <w:rsid w:val="005E695F"/>
    <w:rsid w:val="005E7343"/>
    <w:rsid w:val="005E75D7"/>
    <w:rsid w:val="005E7957"/>
    <w:rsid w:val="005E7B70"/>
    <w:rsid w:val="005F0372"/>
    <w:rsid w:val="005F0BF2"/>
    <w:rsid w:val="005F0D4C"/>
    <w:rsid w:val="005F1297"/>
    <w:rsid w:val="005F1682"/>
    <w:rsid w:val="005F1A43"/>
    <w:rsid w:val="005F20FD"/>
    <w:rsid w:val="005F2239"/>
    <w:rsid w:val="005F22F2"/>
    <w:rsid w:val="005F2599"/>
    <w:rsid w:val="005F2947"/>
    <w:rsid w:val="005F3F2E"/>
    <w:rsid w:val="005F4575"/>
    <w:rsid w:val="005F459F"/>
    <w:rsid w:val="005F4BB3"/>
    <w:rsid w:val="005F52E5"/>
    <w:rsid w:val="005F52E8"/>
    <w:rsid w:val="005F5933"/>
    <w:rsid w:val="005F5AB2"/>
    <w:rsid w:val="005F62E3"/>
    <w:rsid w:val="005F659B"/>
    <w:rsid w:val="005F7442"/>
    <w:rsid w:val="005F74A4"/>
    <w:rsid w:val="005F7658"/>
    <w:rsid w:val="005F7D05"/>
    <w:rsid w:val="0060033C"/>
    <w:rsid w:val="00600415"/>
    <w:rsid w:val="00600575"/>
    <w:rsid w:val="00600D44"/>
    <w:rsid w:val="00601054"/>
    <w:rsid w:val="006015C2"/>
    <w:rsid w:val="00601C3D"/>
    <w:rsid w:val="00601E14"/>
    <w:rsid w:val="00602875"/>
    <w:rsid w:val="0060300E"/>
    <w:rsid w:val="0060304D"/>
    <w:rsid w:val="006030E6"/>
    <w:rsid w:val="00603BFC"/>
    <w:rsid w:val="00603C30"/>
    <w:rsid w:val="006040EB"/>
    <w:rsid w:val="006041ED"/>
    <w:rsid w:val="006041F2"/>
    <w:rsid w:val="006043C0"/>
    <w:rsid w:val="00604836"/>
    <w:rsid w:val="00604872"/>
    <w:rsid w:val="006054F2"/>
    <w:rsid w:val="006061CA"/>
    <w:rsid w:val="0060635C"/>
    <w:rsid w:val="00606B2F"/>
    <w:rsid w:val="00606E05"/>
    <w:rsid w:val="006074E0"/>
    <w:rsid w:val="006074E2"/>
    <w:rsid w:val="00607C7F"/>
    <w:rsid w:val="00610072"/>
    <w:rsid w:val="00610ADF"/>
    <w:rsid w:val="00610C29"/>
    <w:rsid w:val="00610FD1"/>
    <w:rsid w:val="006113B3"/>
    <w:rsid w:val="0061186B"/>
    <w:rsid w:val="006118F0"/>
    <w:rsid w:val="00611B94"/>
    <w:rsid w:val="00611CEE"/>
    <w:rsid w:val="00612159"/>
    <w:rsid w:val="006128F8"/>
    <w:rsid w:val="00612A25"/>
    <w:rsid w:val="006133BE"/>
    <w:rsid w:val="00613644"/>
    <w:rsid w:val="00613A63"/>
    <w:rsid w:val="00613C23"/>
    <w:rsid w:val="00613D9D"/>
    <w:rsid w:val="00614208"/>
    <w:rsid w:val="0061442D"/>
    <w:rsid w:val="006145F0"/>
    <w:rsid w:val="00614943"/>
    <w:rsid w:val="00614AEC"/>
    <w:rsid w:val="00614B29"/>
    <w:rsid w:val="00614F78"/>
    <w:rsid w:val="006159F2"/>
    <w:rsid w:val="006163B4"/>
    <w:rsid w:val="0061640B"/>
    <w:rsid w:val="00616872"/>
    <w:rsid w:val="00616F0F"/>
    <w:rsid w:val="006175B7"/>
    <w:rsid w:val="00617863"/>
    <w:rsid w:val="00617D0E"/>
    <w:rsid w:val="006201D1"/>
    <w:rsid w:val="00620769"/>
    <w:rsid w:val="0062093D"/>
    <w:rsid w:val="006211E2"/>
    <w:rsid w:val="00621336"/>
    <w:rsid w:val="006214D2"/>
    <w:rsid w:val="00621F5D"/>
    <w:rsid w:val="00622004"/>
    <w:rsid w:val="0062207D"/>
    <w:rsid w:val="0062236C"/>
    <w:rsid w:val="00622495"/>
    <w:rsid w:val="0062262A"/>
    <w:rsid w:val="00622DF5"/>
    <w:rsid w:val="006235E5"/>
    <w:rsid w:val="00623932"/>
    <w:rsid w:val="00623CA4"/>
    <w:rsid w:val="0062406F"/>
    <w:rsid w:val="00624307"/>
    <w:rsid w:val="0062482E"/>
    <w:rsid w:val="00625471"/>
    <w:rsid w:val="00625844"/>
    <w:rsid w:val="00625882"/>
    <w:rsid w:val="00625B69"/>
    <w:rsid w:val="00626368"/>
    <w:rsid w:val="006265D1"/>
    <w:rsid w:val="006266CD"/>
    <w:rsid w:val="006269C2"/>
    <w:rsid w:val="00627AB1"/>
    <w:rsid w:val="00627BA9"/>
    <w:rsid w:val="006300FE"/>
    <w:rsid w:val="0063059D"/>
    <w:rsid w:val="00630D22"/>
    <w:rsid w:val="00630E13"/>
    <w:rsid w:val="00630F3A"/>
    <w:rsid w:val="0063123E"/>
    <w:rsid w:val="00631280"/>
    <w:rsid w:val="00631285"/>
    <w:rsid w:val="0063197B"/>
    <w:rsid w:val="00631984"/>
    <w:rsid w:val="006319A7"/>
    <w:rsid w:val="00632480"/>
    <w:rsid w:val="006326AF"/>
    <w:rsid w:val="00632A3D"/>
    <w:rsid w:val="00632CC9"/>
    <w:rsid w:val="006330C9"/>
    <w:rsid w:val="00633614"/>
    <w:rsid w:val="00633726"/>
    <w:rsid w:val="00633846"/>
    <w:rsid w:val="00633897"/>
    <w:rsid w:val="006338AB"/>
    <w:rsid w:val="00633B44"/>
    <w:rsid w:val="00633BBA"/>
    <w:rsid w:val="00633D84"/>
    <w:rsid w:val="0063416F"/>
    <w:rsid w:val="00634FE2"/>
    <w:rsid w:val="00635566"/>
    <w:rsid w:val="00635AEC"/>
    <w:rsid w:val="006362FD"/>
    <w:rsid w:val="006363A0"/>
    <w:rsid w:val="00636F25"/>
    <w:rsid w:val="0063762D"/>
    <w:rsid w:val="00640680"/>
    <w:rsid w:val="006406CE"/>
    <w:rsid w:val="006408D7"/>
    <w:rsid w:val="00640B07"/>
    <w:rsid w:val="00641781"/>
    <w:rsid w:val="006418B5"/>
    <w:rsid w:val="00641B1D"/>
    <w:rsid w:val="00641E3D"/>
    <w:rsid w:val="00641EAB"/>
    <w:rsid w:val="0064202F"/>
    <w:rsid w:val="0064214F"/>
    <w:rsid w:val="0064246B"/>
    <w:rsid w:val="00642552"/>
    <w:rsid w:val="00642A16"/>
    <w:rsid w:val="00642AA4"/>
    <w:rsid w:val="00642D86"/>
    <w:rsid w:val="00643BDC"/>
    <w:rsid w:val="0064406F"/>
    <w:rsid w:val="006443AC"/>
    <w:rsid w:val="0064491C"/>
    <w:rsid w:val="00645D28"/>
    <w:rsid w:val="00645ED5"/>
    <w:rsid w:val="00646C5B"/>
    <w:rsid w:val="0064707E"/>
    <w:rsid w:val="00647198"/>
    <w:rsid w:val="006471A4"/>
    <w:rsid w:val="00647227"/>
    <w:rsid w:val="006476A1"/>
    <w:rsid w:val="00647DBC"/>
    <w:rsid w:val="00647E2C"/>
    <w:rsid w:val="00650073"/>
    <w:rsid w:val="006508D0"/>
    <w:rsid w:val="00650A4D"/>
    <w:rsid w:val="00650B09"/>
    <w:rsid w:val="00650DB0"/>
    <w:rsid w:val="00650FBE"/>
    <w:rsid w:val="006514F4"/>
    <w:rsid w:val="0065188B"/>
    <w:rsid w:val="00652513"/>
    <w:rsid w:val="006528C9"/>
    <w:rsid w:val="0065295A"/>
    <w:rsid w:val="00652BF3"/>
    <w:rsid w:val="00653403"/>
    <w:rsid w:val="0065342C"/>
    <w:rsid w:val="00653952"/>
    <w:rsid w:val="00653C41"/>
    <w:rsid w:val="006542A4"/>
    <w:rsid w:val="006549E5"/>
    <w:rsid w:val="00654B72"/>
    <w:rsid w:val="00654F57"/>
    <w:rsid w:val="00654FD5"/>
    <w:rsid w:val="006553B3"/>
    <w:rsid w:val="006558A7"/>
    <w:rsid w:val="006558BE"/>
    <w:rsid w:val="00655E2E"/>
    <w:rsid w:val="006560C3"/>
    <w:rsid w:val="00656750"/>
    <w:rsid w:val="00656983"/>
    <w:rsid w:val="00656EDF"/>
    <w:rsid w:val="00657376"/>
    <w:rsid w:val="00657EFF"/>
    <w:rsid w:val="0066022E"/>
    <w:rsid w:val="00660337"/>
    <w:rsid w:val="00660463"/>
    <w:rsid w:val="0066053B"/>
    <w:rsid w:val="0066092D"/>
    <w:rsid w:val="00660AB4"/>
    <w:rsid w:val="006616BF"/>
    <w:rsid w:val="00661780"/>
    <w:rsid w:val="00661B0F"/>
    <w:rsid w:val="00661B48"/>
    <w:rsid w:val="00662030"/>
    <w:rsid w:val="00662087"/>
    <w:rsid w:val="00662238"/>
    <w:rsid w:val="00662C80"/>
    <w:rsid w:val="00662CB1"/>
    <w:rsid w:val="00663382"/>
    <w:rsid w:val="006633CF"/>
    <w:rsid w:val="00663528"/>
    <w:rsid w:val="006638DC"/>
    <w:rsid w:val="00663991"/>
    <w:rsid w:val="00663F4D"/>
    <w:rsid w:val="006645C3"/>
    <w:rsid w:val="0066489E"/>
    <w:rsid w:val="00664E25"/>
    <w:rsid w:val="00665088"/>
    <w:rsid w:val="00665592"/>
    <w:rsid w:val="0066600D"/>
    <w:rsid w:val="0066627E"/>
    <w:rsid w:val="00666AC9"/>
    <w:rsid w:val="00667150"/>
    <w:rsid w:val="006675F6"/>
    <w:rsid w:val="00667E75"/>
    <w:rsid w:val="00667ECC"/>
    <w:rsid w:val="00667FF9"/>
    <w:rsid w:val="00670290"/>
    <w:rsid w:val="006707C0"/>
    <w:rsid w:val="00670A1C"/>
    <w:rsid w:val="00671B6B"/>
    <w:rsid w:val="00671C60"/>
    <w:rsid w:val="0067273C"/>
    <w:rsid w:val="00672B17"/>
    <w:rsid w:val="00672B1E"/>
    <w:rsid w:val="006730B2"/>
    <w:rsid w:val="006732B3"/>
    <w:rsid w:val="0067341D"/>
    <w:rsid w:val="00674172"/>
    <w:rsid w:val="006741C8"/>
    <w:rsid w:val="006743CB"/>
    <w:rsid w:val="00674DF2"/>
    <w:rsid w:val="0067556B"/>
    <w:rsid w:val="006755B5"/>
    <w:rsid w:val="00675E6D"/>
    <w:rsid w:val="00676FF0"/>
    <w:rsid w:val="006776D8"/>
    <w:rsid w:val="006800AE"/>
    <w:rsid w:val="006802A9"/>
    <w:rsid w:val="006809B9"/>
    <w:rsid w:val="00680FE1"/>
    <w:rsid w:val="00681327"/>
    <w:rsid w:val="00681765"/>
    <w:rsid w:val="00681DD0"/>
    <w:rsid w:val="00681E1E"/>
    <w:rsid w:val="00682878"/>
    <w:rsid w:val="00682D4E"/>
    <w:rsid w:val="00682DA0"/>
    <w:rsid w:val="00682F1B"/>
    <w:rsid w:val="0068349F"/>
    <w:rsid w:val="006838A7"/>
    <w:rsid w:val="00683CCD"/>
    <w:rsid w:val="00684832"/>
    <w:rsid w:val="00684D15"/>
    <w:rsid w:val="00684FEA"/>
    <w:rsid w:val="0068506D"/>
    <w:rsid w:val="006851E2"/>
    <w:rsid w:val="00685418"/>
    <w:rsid w:val="00686110"/>
    <w:rsid w:val="00686344"/>
    <w:rsid w:val="0068647B"/>
    <w:rsid w:val="00686573"/>
    <w:rsid w:val="00686695"/>
    <w:rsid w:val="00687075"/>
    <w:rsid w:val="006873C9"/>
    <w:rsid w:val="006874A5"/>
    <w:rsid w:val="006875E9"/>
    <w:rsid w:val="006878B1"/>
    <w:rsid w:val="00687A01"/>
    <w:rsid w:val="00687A8F"/>
    <w:rsid w:val="00690224"/>
    <w:rsid w:val="00690248"/>
    <w:rsid w:val="00690427"/>
    <w:rsid w:val="00690640"/>
    <w:rsid w:val="00690733"/>
    <w:rsid w:val="00690CED"/>
    <w:rsid w:val="006914C9"/>
    <w:rsid w:val="006917D1"/>
    <w:rsid w:val="00691865"/>
    <w:rsid w:val="00691DF8"/>
    <w:rsid w:val="00691FCE"/>
    <w:rsid w:val="0069250A"/>
    <w:rsid w:val="00692513"/>
    <w:rsid w:val="00692552"/>
    <w:rsid w:val="006926DF"/>
    <w:rsid w:val="006927E3"/>
    <w:rsid w:val="00692B9F"/>
    <w:rsid w:val="00692CF0"/>
    <w:rsid w:val="00692D55"/>
    <w:rsid w:val="00692DED"/>
    <w:rsid w:val="00692E3D"/>
    <w:rsid w:val="006940D2"/>
    <w:rsid w:val="00694111"/>
    <w:rsid w:val="006943D0"/>
    <w:rsid w:val="00694FF6"/>
    <w:rsid w:val="00695102"/>
    <w:rsid w:val="00695660"/>
    <w:rsid w:val="00695BAE"/>
    <w:rsid w:val="00695EFD"/>
    <w:rsid w:val="00695F98"/>
    <w:rsid w:val="0069682C"/>
    <w:rsid w:val="00696A14"/>
    <w:rsid w:val="00696A8C"/>
    <w:rsid w:val="00696B74"/>
    <w:rsid w:val="00696FE6"/>
    <w:rsid w:val="0069702A"/>
    <w:rsid w:val="00697F0E"/>
    <w:rsid w:val="00697F38"/>
    <w:rsid w:val="006A0106"/>
    <w:rsid w:val="006A0727"/>
    <w:rsid w:val="006A0946"/>
    <w:rsid w:val="006A0A53"/>
    <w:rsid w:val="006A0B31"/>
    <w:rsid w:val="006A0BDA"/>
    <w:rsid w:val="006A11ED"/>
    <w:rsid w:val="006A1663"/>
    <w:rsid w:val="006A1D7D"/>
    <w:rsid w:val="006A1D8A"/>
    <w:rsid w:val="006A22D5"/>
    <w:rsid w:val="006A2388"/>
    <w:rsid w:val="006A2763"/>
    <w:rsid w:val="006A2B9C"/>
    <w:rsid w:val="006A3190"/>
    <w:rsid w:val="006A3265"/>
    <w:rsid w:val="006A33C9"/>
    <w:rsid w:val="006A3883"/>
    <w:rsid w:val="006A41A0"/>
    <w:rsid w:val="006A4320"/>
    <w:rsid w:val="006A47BB"/>
    <w:rsid w:val="006A4928"/>
    <w:rsid w:val="006A4C9D"/>
    <w:rsid w:val="006A4D68"/>
    <w:rsid w:val="006A5386"/>
    <w:rsid w:val="006A551B"/>
    <w:rsid w:val="006A58DC"/>
    <w:rsid w:val="006A5B63"/>
    <w:rsid w:val="006A5B68"/>
    <w:rsid w:val="006A66EF"/>
    <w:rsid w:val="006A6A19"/>
    <w:rsid w:val="006A6A96"/>
    <w:rsid w:val="006A6BE2"/>
    <w:rsid w:val="006A6C52"/>
    <w:rsid w:val="006A6EA1"/>
    <w:rsid w:val="006A6EF1"/>
    <w:rsid w:val="006A7163"/>
    <w:rsid w:val="006A7295"/>
    <w:rsid w:val="006A74F0"/>
    <w:rsid w:val="006A75B6"/>
    <w:rsid w:val="006B0175"/>
    <w:rsid w:val="006B0420"/>
    <w:rsid w:val="006B04A7"/>
    <w:rsid w:val="006B204C"/>
    <w:rsid w:val="006B2238"/>
    <w:rsid w:val="006B2AEC"/>
    <w:rsid w:val="006B395B"/>
    <w:rsid w:val="006B3B74"/>
    <w:rsid w:val="006B48EB"/>
    <w:rsid w:val="006B4A9F"/>
    <w:rsid w:val="006B4BB6"/>
    <w:rsid w:val="006B5887"/>
    <w:rsid w:val="006B5F68"/>
    <w:rsid w:val="006B6332"/>
    <w:rsid w:val="006B635D"/>
    <w:rsid w:val="006B6786"/>
    <w:rsid w:val="006B6844"/>
    <w:rsid w:val="006B6DAD"/>
    <w:rsid w:val="006B70FA"/>
    <w:rsid w:val="006B7364"/>
    <w:rsid w:val="006B74BC"/>
    <w:rsid w:val="006B7F33"/>
    <w:rsid w:val="006C029B"/>
    <w:rsid w:val="006C0640"/>
    <w:rsid w:val="006C11FF"/>
    <w:rsid w:val="006C1438"/>
    <w:rsid w:val="006C182A"/>
    <w:rsid w:val="006C1861"/>
    <w:rsid w:val="006C1A15"/>
    <w:rsid w:val="006C221D"/>
    <w:rsid w:val="006C23D5"/>
    <w:rsid w:val="006C2DB9"/>
    <w:rsid w:val="006C3452"/>
    <w:rsid w:val="006C3725"/>
    <w:rsid w:val="006C3F20"/>
    <w:rsid w:val="006C3FF5"/>
    <w:rsid w:val="006C4458"/>
    <w:rsid w:val="006C4536"/>
    <w:rsid w:val="006C458E"/>
    <w:rsid w:val="006C48D4"/>
    <w:rsid w:val="006C4D6D"/>
    <w:rsid w:val="006C5037"/>
    <w:rsid w:val="006C5241"/>
    <w:rsid w:val="006C6113"/>
    <w:rsid w:val="006C6900"/>
    <w:rsid w:val="006C6EF7"/>
    <w:rsid w:val="006C7193"/>
    <w:rsid w:val="006C747B"/>
    <w:rsid w:val="006C7993"/>
    <w:rsid w:val="006C7D68"/>
    <w:rsid w:val="006D01DE"/>
    <w:rsid w:val="006D0575"/>
    <w:rsid w:val="006D0727"/>
    <w:rsid w:val="006D0A89"/>
    <w:rsid w:val="006D0B63"/>
    <w:rsid w:val="006D0B99"/>
    <w:rsid w:val="006D173B"/>
    <w:rsid w:val="006D1C0C"/>
    <w:rsid w:val="006D21E9"/>
    <w:rsid w:val="006D22BC"/>
    <w:rsid w:val="006D2849"/>
    <w:rsid w:val="006D2B5C"/>
    <w:rsid w:val="006D2F60"/>
    <w:rsid w:val="006D3131"/>
    <w:rsid w:val="006D31B1"/>
    <w:rsid w:val="006D3342"/>
    <w:rsid w:val="006D34CC"/>
    <w:rsid w:val="006D34D5"/>
    <w:rsid w:val="006D3C52"/>
    <w:rsid w:val="006D3C9E"/>
    <w:rsid w:val="006D3DFC"/>
    <w:rsid w:val="006D40D6"/>
    <w:rsid w:val="006D455E"/>
    <w:rsid w:val="006D46BF"/>
    <w:rsid w:val="006D4B30"/>
    <w:rsid w:val="006D4F49"/>
    <w:rsid w:val="006D537B"/>
    <w:rsid w:val="006D5EE4"/>
    <w:rsid w:val="006D5F16"/>
    <w:rsid w:val="006D636C"/>
    <w:rsid w:val="006D6BDA"/>
    <w:rsid w:val="006D6D9B"/>
    <w:rsid w:val="006D6DF1"/>
    <w:rsid w:val="006D6DFA"/>
    <w:rsid w:val="006D6F8C"/>
    <w:rsid w:val="006D73AF"/>
    <w:rsid w:val="006D78B9"/>
    <w:rsid w:val="006D7ACB"/>
    <w:rsid w:val="006D7AEF"/>
    <w:rsid w:val="006D7F55"/>
    <w:rsid w:val="006D7FA4"/>
    <w:rsid w:val="006E0232"/>
    <w:rsid w:val="006E1163"/>
    <w:rsid w:val="006E124F"/>
    <w:rsid w:val="006E15F6"/>
    <w:rsid w:val="006E1814"/>
    <w:rsid w:val="006E1B88"/>
    <w:rsid w:val="006E1D00"/>
    <w:rsid w:val="006E1D54"/>
    <w:rsid w:val="006E2B01"/>
    <w:rsid w:val="006E2C7A"/>
    <w:rsid w:val="006E32D6"/>
    <w:rsid w:val="006E42DC"/>
    <w:rsid w:val="006E445C"/>
    <w:rsid w:val="006E456F"/>
    <w:rsid w:val="006E52D5"/>
    <w:rsid w:val="006E5335"/>
    <w:rsid w:val="006E552D"/>
    <w:rsid w:val="006E5679"/>
    <w:rsid w:val="006E57AB"/>
    <w:rsid w:val="006E57B7"/>
    <w:rsid w:val="006E6405"/>
    <w:rsid w:val="006E685B"/>
    <w:rsid w:val="006E6AA0"/>
    <w:rsid w:val="006E6D41"/>
    <w:rsid w:val="006E6E3D"/>
    <w:rsid w:val="006E746E"/>
    <w:rsid w:val="006E7909"/>
    <w:rsid w:val="006E7AA2"/>
    <w:rsid w:val="006E7D8C"/>
    <w:rsid w:val="006E7F29"/>
    <w:rsid w:val="006F019B"/>
    <w:rsid w:val="006F0B44"/>
    <w:rsid w:val="006F1041"/>
    <w:rsid w:val="006F172C"/>
    <w:rsid w:val="006F1A05"/>
    <w:rsid w:val="006F1E4A"/>
    <w:rsid w:val="006F266D"/>
    <w:rsid w:val="006F27F1"/>
    <w:rsid w:val="006F2E11"/>
    <w:rsid w:val="006F33CA"/>
    <w:rsid w:val="006F3447"/>
    <w:rsid w:val="006F3CC9"/>
    <w:rsid w:val="006F4317"/>
    <w:rsid w:val="006F438F"/>
    <w:rsid w:val="006F48C0"/>
    <w:rsid w:val="006F4F6B"/>
    <w:rsid w:val="006F5AB5"/>
    <w:rsid w:val="006F6AAD"/>
    <w:rsid w:val="006F6B84"/>
    <w:rsid w:val="006F6E22"/>
    <w:rsid w:val="006F7C9F"/>
    <w:rsid w:val="00700305"/>
    <w:rsid w:val="00700E75"/>
    <w:rsid w:val="00701175"/>
    <w:rsid w:val="007016D1"/>
    <w:rsid w:val="007017F0"/>
    <w:rsid w:val="00701915"/>
    <w:rsid w:val="00702F08"/>
    <w:rsid w:val="00702FBB"/>
    <w:rsid w:val="007032B2"/>
    <w:rsid w:val="007033A1"/>
    <w:rsid w:val="007036C9"/>
    <w:rsid w:val="00703836"/>
    <w:rsid w:val="00703C35"/>
    <w:rsid w:val="00703D37"/>
    <w:rsid w:val="0070427B"/>
    <w:rsid w:val="007042FA"/>
    <w:rsid w:val="007055A7"/>
    <w:rsid w:val="007056F2"/>
    <w:rsid w:val="00705B00"/>
    <w:rsid w:val="00705B44"/>
    <w:rsid w:val="00705D20"/>
    <w:rsid w:val="007060C1"/>
    <w:rsid w:val="007066F4"/>
    <w:rsid w:val="00706A61"/>
    <w:rsid w:val="007072B8"/>
    <w:rsid w:val="007100FB"/>
    <w:rsid w:val="007103A1"/>
    <w:rsid w:val="007108E3"/>
    <w:rsid w:val="00711F41"/>
    <w:rsid w:val="00711F7D"/>
    <w:rsid w:val="007123A3"/>
    <w:rsid w:val="0071247E"/>
    <w:rsid w:val="00712A73"/>
    <w:rsid w:val="00712D0E"/>
    <w:rsid w:val="0071313E"/>
    <w:rsid w:val="007132BD"/>
    <w:rsid w:val="00713497"/>
    <w:rsid w:val="00713575"/>
    <w:rsid w:val="00714331"/>
    <w:rsid w:val="00714678"/>
    <w:rsid w:val="00714BC0"/>
    <w:rsid w:val="00714C8C"/>
    <w:rsid w:val="00714F10"/>
    <w:rsid w:val="00714FAA"/>
    <w:rsid w:val="007159BA"/>
    <w:rsid w:val="00716882"/>
    <w:rsid w:val="00716BA3"/>
    <w:rsid w:val="00717906"/>
    <w:rsid w:val="007206D4"/>
    <w:rsid w:val="0072137D"/>
    <w:rsid w:val="00721384"/>
    <w:rsid w:val="007213A3"/>
    <w:rsid w:val="00721647"/>
    <w:rsid w:val="0072179D"/>
    <w:rsid w:val="007218C2"/>
    <w:rsid w:val="00721969"/>
    <w:rsid w:val="00721CAE"/>
    <w:rsid w:val="007222F1"/>
    <w:rsid w:val="00722C53"/>
    <w:rsid w:val="00722CD2"/>
    <w:rsid w:val="00722FCA"/>
    <w:rsid w:val="00723EE0"/>
    <w:rsid w:val="007248E6"/>
    <w:rsid w:val="00725403"/>
    <w:rsid w:val="00725508"/>
    <w:rsid w:val="00725C78"/>
    <w:rsid w:val="0072692D"/>
    <w:rsid w:val="00726E93"/>
    <w:rsid w:val="0072721B"/>
    <w:rsid w:val="0072723E"/>
    <w:rsid w:val="007273F0"/>
    <w:rsid w:val="007275C3"/>
    <w:rsid w:val="0072766A"/>
    <w:rsid w:val="007276E7"/>
    <w:rsid w:val="007300B9"/>
    <w:rsid w:val="007300C3"/>
    <w:rsid w:val="00730261"/>
    <w:rsid w:val="007303F6"/>
    <w:rsid w:val="00730497"/>
    <w:rsid w:val="00730764"/>
    <w:rsid w:val="00730838"/>
    <w:rsid w:val="00730982"/>
    <w:rsid w:val="00730B63"/>
    <w:rsid w:val="00730BE7"/>
    <w:rsid w:val="00730CFE"/>
    <w:rsid w:val="00730D16"/>
    <w:rsid w:val="00730E07"/>
    <w:rsid w:val="00731AEA"/>
    <w:rsid w:val="00731D02"/>
    <w:rsid w:val="007320F2"/>
    <w:rsid w:val="007322CD"/>
    <w:rsid w:val="00732695"/>
    <w:rsid w:val="00732994"/>
    <w:rsid w:val="00732D94"/>
    <w:rsid w:val="007331C7"/>
    <w:rsid w:val="00733342"/>
    <w:rsid w:val="0073374C"/>
    <w:rsid w:val="007342C5"/>
    <w:rsid w:val="007349D3"/>
    <w:rsid w:val="0073535F"/>
    <w:rsid w:val="00735461"/>
    <w:rsid w:val="00735A95"/>
    <w:rsid w:val="00735D5D"/>
    <w:rsid w:val="00736D15"/>
    <w:rsid w:val="00737166"/>
    <w:rsid w:val="007373C4"/>
    <w:rsid w:val="00737D26"/>
    <w:rsid w:val="00740015"/>
    <w:rsid w:val="0074037C"/>
    <w:rsid w:val="007404DE"/>
    <w:rsid w:val="0074063B"/>
    <w:rsid w:val="00740F00"/>
    <w:rsid w:val="00741292"/>
    <w:rsid w:val="007418E0"/>
    <w:rsid w:val="00741936"/>
    <w:rsid w:val="00741CC4"/>
    <w:rsid w:val="00742312"/>
    <w:rsid w:val="00742349"/>
    <w:rsid w:val="0074247C"/>
    <w:rsid w:val="00742585"/>
    <w:rsid w:val="00742BE8"/>
    <w:rsid w:val="00742C2A"/>
    <w:rsid w:val="00742C95"/>
    <w:rsid w:val="00742CA5"/>
    <w:rsid w:val="00742DA6"/>
    <w:rsid w:val="00743846"/>
    <w:rsid w:val="00743A7F"/>
    <w:rsid w:val="00743B56"/>
    <w:rsid w:val="0074404A"/>
    <w:rsid w:val="00744075"/>
    <w:rsid w:val="0074443B"/>
    <w:rsid w:val="0074486C"/>
    <w:rsid w:val="00744A10"/>
    <w:rsid w:val="0074531D"/>
    <w:rsid w:val="00745EE9"/>
    <w:rsid w:val="0074646E"/>
    <w:rsid w:val="007469FE"/>
    <w:rsid w:val="00746A5F"/>
    <w:rsid w:val="00746A98"/>
    <w:rsid w:val="00746F9A"/>
    <w:rsid w:val="00747017"/>
    <w:rsid w:val="00747175"/>
    <w:rsid w:val="00747A0A"/>
    <w:rsid w:val="007503A7"/>
    <w:rsid w:val="007503DB"/>
    <w:rsid w:val="00750565"/>
    <w:rsid w:val="0075089B"/>
    <w:rsid w:val="00750E58"/>
    <w:rsid w:val="00751D33"/>
    <w:rsid w:val="00751E14"/>
    <w:rsid w:val="00752224"/>
    <w:rsid w:val="00752B53"/>
    <w:rsid w:val="00752E42"/>
    <w:rsid w:val="00753393"/>
    <w:rsid w:val="007538A2"/>
    <w:rsid w:val="00753B4B"/>
    <w:rsid w:val="00754728"/>
    <w:rsid w:val="00755029"/>
    <w:rsid w:val="007555A2"/>
    <w:rsid w:val="00755A0F"/>
    <w:rsid w:val="00755D76"/>
    <w:rsid w:val="007564EE"/>
    <w:rsid w:val="00756B59"/>
    <w:rsid w:val="0075702B"/>
    <w:rsid w:val="007575A9"/>
    <w:rsid w:val="0075766A"/>
    <w:rsid w:val="0076039C"/>
    <w:rsid w:val="007604F1"/>
    <w:rsid w:val="00760A33"/>
    <w:rsid w:val="00760A9A"/>
    <w:rsid w:val="00760C00"/>
    <w:rsid w:val="00760F26"/>
    <w:rsid w:val="00761428"/>
    <w:rsid w:val="00761D0E"/>
    <w:rsid w:val="00762594"/>
    <w:rsid w:val="00762728"/>
    <w:rsid w:val="007627CC"/>
    <w:rsid w:val="00763262"/>
    <w:rsid w:val="00763527"/>
    <w:rsid w:val="0076370A"/>
    <w:rsid w:val="00763A45"/>
    <w:rsid w:val="00763A6F"/>
    <w:rsid w:val="00763C9C"/>
    <w:rsid w:val="0076402B"/>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210"/>
    <w:rsid w:val="0076742D"/>
    <w:rsid w:val="00767B5D"/>
    <w:rsid w:val="00767EE2"/>
    <w:rsid w:val="00770508"/>
    <w:rsid w:val="00770681"/>
    <w:rsid w:val="007706D4"/>
    <w:rsid w:val="007706DE"/>
    <w:rsid w:val="00770797"/>
    <w:rsid w:val="007712EB"/>
    <w:rsid w:val="00771765"/>
    <w:rsid w:val="00771B10"/>
    <w:rsid w:val="00772673"/>
    <w:rsid w:val="00773327"/>
    <w:rsid w:val="00773A7C"/>
    <w:rsid w:val="00773BA7"/>
    <w:rsid w:val="00773F09"/>
    <w:rsid w:val="00774414"/>
    <w:rsid w:val="00774608"/>
    <w:rsid w:val="0077485B"/>
    <w:rsid w:val="00774B41"/>
    <w:rsid w:val="007750A6"/>
    <w:rsid w:val="00775AD2"/>
    <w:rsid w:val="00775B80"/>
    <w:rsid w:val="00775E64"/>
    <w:rsid w:val="007760AE"/>
    <w:rsid w:val="00776177"/>
    <w:rsid w:val="00776576"/>
    <w:rsid w:val="007766F6"/>
    <w:rsid w:val="0077680F"/>
    <w:rsid w:val="00776F25"/>
    <w:rsid w:val="00776F26"/>
    <w:rsid w:val="007775DC"/>
    <w:rsid w:val="00777CDD"/>
    <w:rsid w:val="00777FA8"/>
    <w:rsid w:val="00780464"/>
    <w:rsid w:val="007804D2"/>
    <w:rsid w:val="00780F78"/>
    <w:rsid w:val="00781112"/>
    <w:rsid w:val="00781223"/>
    <w:rsid w:val="007813B4"/>
    <w:rsid w:val="007819AB"/>
    <w:rsid w:val="00781C86"/>
    <w:rsid w:val="00781DD8"/>
    <w:rsid w:val="00781E98"/>
    <w:rsid w:val="0078204D"/>
    <w:rsid w:val="00782073"/>
    <w:rsid w:val="00782208"/>
    <w:rsid w:val="007824BB"/>
    <w:rsid w:val="00782749"/>
    <w:rsid w:val="0078295D"/>
    <w:rsid w:val="00783AA0"/>
    <w:rsid w:val="00783D81"/>
    <w:rsid w:val="007846ED"/>
    <w:rsid w:val="00784724"/>
    <w:rsid w:val="0078480C"/>
    <w:rsid w:val="00784DA8"/>
    <w:rsid w:val="00785044"/>
    <w:rsid w:val="00785179"/>
    <w:rsid w:val="00785275"/>
    <w:rsid w:val="0078548D"/>
    <w:rsid w:val="00785E90"/>
    <w:rsid w:val="00785EFE"/>
    <w:rsid w:val="00786364"/>
    <w:rsid w:val="00786A04"/>
    <w:rsid w:val="00786CBD"/>
    <w:rsid w:val="00786DFF"/>
    <w:rsid w:val="0078709C"/>
    <w:rsid w:val="00787968"/>
    <w:rsid w:val="00787C63"/>
    <w:rsid w:val="00787F11"/>
    <w:rsid w:val="007900CD"/>
    <w:rsid w:val="00790A3D"/>
    <w:rsid w:val="00790AAA"/>
    <w:rsid w:val="00790B01"/>
    <w:rsid w:val="00790C4F"/>
    <w:rsid w:val="00791243"/>
    <w:rsid w:val="00791486"/>
    <w:rsid w:val="00791540"/>
    <w:rsid w:val="00791B1D"/>
    <w:rsid w:val="00791D8B"/>
    <w:rsid w:val="00791EB6"/>
    <w:rsid w:val="00792408"/>
    <w:rsid w:val="00792A4A"/>
    <w:rsid w:val="00792C62"/>
    <w:rsid w:val="0079359B"/>
    <w:rsid w:val="00793A20"/>
    <w:rsid w:val="00793CEE"/>
    <w:rsid w:val="00794197"/>
    <w:rsid w:val="00794AF5"/>
    <w:rsid w:val="00794B9C"/>
    <w:rsid w:val="007957DF"/>
    <w:rsid w:val="00795AE0"/>
    <w:rsid w:val="007962DE"/>
    <w:rsid w:val="00796547"/>
    <w:rsid w:val="007967CB"/>
    <w:rsid w:val="007967CE"/>
    <w:rsid w:val="0079682D"/>
    <w:rsid w:val="00796CD8"/>
    <w:rsid w:val="0079708C"/>
    <w:rsid w:val="007972E1"/>
    <w:rsid w:val="00797362"/>
    <w:rsid w:val="0079799C"/>
    <w:rsid w:val="00797E37"/>
    <w:rsid w:val="007A0401"/>
    <w:rsid w:val="007A042E"/>
    <w:rsid w:val="007A0832"/>
    <w:rsid w:val="007A0EA5"/>
    <w:rsid w:val="007A101D"/>
    <w:rsid w:val="007A1A5D"/>
    <w:rsid w:val="007A1AF2"/>
    <w:rsid w:val="007A1D44"/>
    <w:rsid w:val="007A26A2"/>
    <w:rsid w:val="007A29C6"/>
    <w:rsid w:val="007A2A30"/>
    <w:rsid w:val="007A2ACF"/>
    <w:rsid w:val="007A32DB"/>
    <w:rsid w:val="007A353D"/>
    <w:rsid w:val="007A36BB"/>
    <w:rsid w:val="007A3834"/>
    <w:rsid w:val="007A3A90"/>
    <w:rsid w:val="007A3E8E"/>
    <w:rsid w:val="007A4361"/>
    <w:rsid w:val="007A466F"/>
    <w:rsid w:val="007A4A18"/>
    <w:rsid w:val="007A4B3D"/>
    <w:rsid w:val="007A4BAD"/>
    <w:rsid w:val="007A50DC"/>
    <w:rsid w:val="007A5EF4"/>
    <w:rsid w:val="007A623B"/>
    <w:rsid w:val="007A6298"/>
    <w:rsid w:val="007A645B"/>
    <w:rsid w:val="007A687E"/>
    <w:rsid w:val="007A6AEF"/>
    <w:rsid w:val="007A6EF9"/>
    <w:rsid w:val="007A7277"/>
    <w:rsid w:val="007A739F"/>
    <w:rsid w:val="007A78CA"/>
    <w:rsid w:val="007A7CD4"/>
    <w:rsid w:val="007B0061"/>
    <w:rsid w:val="007B0066"/>
    <w:rsid w:val="007B0BC4"/>
    <w:rsid w:val="007B0C68"/>
    <w:rsid w:val="007B0E89"/>
    <w:rsid w:val="007B19D0"/>
    <w:rsid w:val="007B21FF"/>
    <w:rsid w:val="007B22A8"/>
    <w:rsid w:val="007B2384"/>
    <w:rsid w:val="007B27BF"/>
    <w:rsid w:val="007B28F1"/>
    <w:rsid w:val="007B3165"/>
    <w:rsid w:val="007B33EC"/>
    <w:rsid w:val="007B37A8"/>
    <w:rsid w:val="007B39A8"/>
    <w:rsid w:val="007B41ED"/>
    <w:rsid w:val="007B4208"/>
    <w:rsid w:val="007B4E11"/>
    <w:rsid w:val="007B4EE1"/>
    <w:rsid w:val="007B4F31"/>
    <w:rsid w:val="007B5417"/>
    <w:rsid w:val="007B5686"/>
    <w:rsid w:val="007B5A71"/>
    <w:rsid w:val="007B5CF1"/>
    <w:rsid w:val="007B5F3B"/>
    <w:rsid w:val="007B68AF"/>
    <w:rsid w:val="007B68B0"/>
    <w:rsid w:val="007B6986"/>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1D98"/>
    <w:rsid w:val="007C1FF3"/>
    <w:rsid w:val="007C21B0"/>
    <w:rsid w:val="007C282E"/>
    <w:rsid w:val="007C2F75"/>
    <w:rsid w:val="007C304B"/>
    <w:rsid w:val="007C339A"/>
    <w:rsid w:val="007C3480"/>
    <w:rsid w:val="007C36A0"/>
    <w:rsid w:val="007C402D"/>
    <w:rsid w:val="007C40EA"/>
    <w:rsid w:val="007C4BD9"/>
    <w:rsid w:val="007C4D40"/>
    <w:rsid w:val="007C5545"/>
    <w:rsid w:val="007C556E"/>
    <w:rsid w:val="007C59B0"/>
    <w:rsid w:val="007C5B87"/>
    <w:rsid w:val="007C6380"/>
    <w:rsid w:val="007C659C"/>
    <w:rsid w:val="007C6A02"/>
    <w:rsid w:val="007C6B83"/>
    <w:rsid w:val="007C6C82"/>
    <w:rsid w:val="007C72E4"/>
    <w:rsid w:val="007C78C8"/>
    <w:rsid w:val="007D0401"/>
    <w:rsid w:val="007D064B"/>
    <w:rsid w:val="007D20BA"/>
    <w:rsid w:val="007D292B"/>
    <w:rsid w:val="007D295D"/>
    <w:rsid w:val="007D2B6B"/>
    <w:rsid w:val="007D3310"/>
    <w:rsid w:val="007D39E9"/>
    <w:rsid w:val="007D4262"/>
    <w:rsid w:val="007D485D"/>
    <w:rsid w:val="007D4FC1"/>
    <w:rsid w:val="007D5A80"/>
    <w:rsid w:val="007D64FE"/>
    <w:rsid w:val="007D6CB5"/>
    <w:rsid w:val="007D7010"/>
    <w:rsid w:val="007D7087"/>
    <w:rsid w:val="007D7F9B"/>
    <w:rsid w:val="007E035F"/>
    <w:rsid w:val="007E0613"/>
    <w:rsid w:val="007E0656"/>
    <w:rsid w:val="007E0A2E"/>
    <w:rsid w:val="007E0DD3"/>
    <w:rsid w:val="007E1420"/>
    <w:rsid w:val="007E1733"/>
    <w:rsid w:val="007E1CA4"/>
    <w:rsid w:val="007E2265"/>
    <w:rsid w:val="007E23DD"/>
    <w:rsid w:val="007E278E"/>
    <w:rsid w:val="007E27B9"/>
    <w:rsid w:val="007E2C32"/>
    <w:rsid w:val="007E2D18"/>
    <w:rsid w:val="007E34D7"/>
    <w:rsid w:val="007E3956"/>
    <w:rsid w:val="007E43DE"/>
    <w:rsid w:val="007E474D"/>
    <w:rsid w:val="007E47FC"/>
    <w:rsid w:val="007E4C1E"/>
    <w:rsid w:val="007E54DE"/>
    <w:rsid w:val="007E5E97"/>
    <w:rsid w:val="007E6587"/>
    <w:rsid w:val="007E66FB"/>
    <w:rsid w:val="007E691C"/>
    <w:rsid w:val="007E6C40"/>
    <w:rsid w:val="007F0535"/>
    <w:rsid w:val="007F05FB"/>
    <w:rsid w:val="007F061E"/>
    <w:rsid w:val="007F39EE"/>
    <w:rsid w:val="007F3ACC"/>
    <w:rsid w:val="007F3D50"/>
    <w:rsid w:val="007F3F12"/>
    <w:rsid w:val="007F475F"/>
    <w:rsid w:val="007F478E"/>
    <w:rsid w:val="007F4A8D"/>
    <w:rsid w:val="007F5000"/>
    <w:rsid w:val="007F5A28"/>
    <w:rsid w:val="007F5E60"/>
    <w:rsid w:val="007F6255"/>
    <w:rsid w:val="007F66C2"/>
    <w:rsid w:val="007F795A"/>
    <w:rsid w:val="007F79CE"/>
    <w:rsid w:val="007F7ABF"/>
    <w:rsid w:val="0080084F"/>
    <w:rsid w:val="00801A48"/>
    <w:rsid w:val="00801DEB"/>
    <w:rsid w:val="0080272D"/>
    <w:rsid w:val="0080308C"/>
    <w:rsid w:val="00803256"/>
    <w:rsid w:val="00803479"/>
    <w:rsid w:val="0080364D"/>
    <w:rsid w:val="0080377B"/>
    <w:rsid w:val="008039AD"/>
    <w:rsid w:val="00803FC2"/>
    <w:rsid w:val="008048FE"/>
    <w:rsid w:val="00804F88"/>
    <w:rsid w:val="0080511F"/>
    <w:rsid w:val="008053AA"/>
    <w:rsid w:val="0080593A"/>
    <w:rsid w:val="008059E3"/>
    <w:rsid w:val="008065D7"/>
    <w:rsid w:val="00806641"/>
    <w:rsid w:val="008068C9"/>
    <w:rsid w:val="0080690E"/>
    <w:rsid w:val="00807837"/>
    <w:rsid w:val="00807908"/>
    <w:rsid w:val="00807C1A"/>
    <w:rsid w:val="00807DC4"/>
    <w:rsid w:val="0081001D"/>
    <w:rsid w:val="00811055"/>
    <w:rsid w:val="0081112E"/>
    <w:rsid w:val="0081113F"/>
    <w:rsid w:val="00811C0E"/>
    <w:rsid w:val="00811CEF"/>
    <w:rsid w:val="008120ED"/>
    <w:rsid w:val="008121ED"/>
    <w:rsid w:val="008123C0"/>
    <w:rsid w:val="008127E4"/>
    <w:rsid w:val="0081287C"/>
    <w:rsid w:val="00812DBB"/>
    <w:rsid w:val="00813679"/>
    <w:rsid w:val="008147CE"/>
    <w:rsid w:val="008148E1"/>
    <w:rsid w:val="0081494C"/>
    <w:rsid w:val="00814C26"/>
    <w:rsid w:val="00814CCD"/>
    <w:rsid w:val="00814E0C"/>
    <w:rsid w:val="00814F96"/>
    <w:rsid w:val="008151FD"/>
    <w:rsid w:val="00816377"/>
    <w:rsid w:val="00816740"/>
    <w:rsid w:val="0081695C"/>
    <w:rsid w:val="008169DF"/>
    <w:rsid w:val="00816E32"/>
    <w:rsid w:val="00817695"/>
    <w:rsid w:val="00817905"/>
    <w:rsid w:val="0081799F"/>
    <w:rsid w:val="00817D3A"/>
    <w:rsid w:val="00817E11"/>
    <w:rsid w:val="00817FFD"/>
    <w:rsid w:val="00820102"/>
    <w:rsid w:val="00820190"/>
    <w:rsid w:val="00820F53"/>
    <w:rsid w:val="0082139E"/>
    <w:rsid w:val="00821558"/>
    <w:rsid w:val="00821A5B"/>
    <w:rsid w:val="00821C57"/>
    <w:rsid w:val="00821E69"/>
    <w:rsid w:val="0082237F"/>
    <w:rsid w:val="00822386"/>
    <w:rsid w:val="0082247A"/>
    <w:rsid w:val="008226C7"/>
    <w:rsid w:val="00822A86"/>
    <w:rsid w:val="00823FFD"/>
    <w:rsid w:val="0082437F"/>
    <w:rsid w:val="0082446C"/>
    <w:rsid w:val="00824B3B"/>
    <w:rsid w:val="00824BC4"/>
    <w:rsid w:val="00825039"/>
    <w:rsid w:val="0082570F"/>
    <w:rsid w:val="00825885"/>
    <w:rsid w:val="00825B71"/>
    <w:rsid w:val="00825EED"/>
    <w:rsid w:val="0082660C"/>
    <w:rsid w:val="008267A8"/>
    <w:rsid w:val="00826C7C"/>
    <w:rsid w:val="00826CE9"/>
    <w:rsid w:val="008271AA"/>
    <w:rsid w:val="00827337"/>
    <w:rsid w:val="008275B6"/>
    <w:rsid w:val="00827BE1"/>
    <w:rsid w:val="00827E6D"/>
    <w:rsid w:val="00827FC2"/>
    <w:rsid w:val="00830681"/>
    <w:rsid w:val="0083082C"/>
    <w:rsid w:val="00831290"/>
    <w:rsid w:val="00831319"/>
    <w:rsid w:val="00831629"/>
    <w:rsid w:val="008317AF"/>
    <w:rsid w:val="00831F27"/>
    <w:rsid w:val="00832695"/>
    <w:rsid w:val="008328CD"/>
    <w:rsid w:val="00832AB5"/>
    <w:rsid w:val="00832D5C"/>
    <w:rsid w:val="00834027"/>
    <w:rsid w:val="0083531B"/>
    <w:rsid w:val="00835853"/>
    <w:rsid w:val="008359E9"/>
    <w:rsid w:val="00835B52"/>
    <w:rsid w:val="00835DAE"/>
    <w:rsid w:val="008360CE"/>
    <w:rsid w:val="0083660E"/>
    <w:rsid w:val="00836C38"/>
    <w:rsid w:val="00837218"/>
    <w:rsid w:val="008373A3"/>
    <w:rsid w:val="008373FA"/>
    <w:rsid w:val="0083768E"/>
    <w:rsid w:val="0083782A"/>
    <w:rsid w:val="008379F0"/>
    <w:rsid w:val="00837A42"/>
    <w:rsid w:val="00837AA7"/>
    <w:rsid w:val="00837C17"/>
    <w:rsid w:val="00837D9D"/>
    <w:rsid w:val="00840A05"/>
    <w:rsid w:val="00840DC5"/>
    <w:rsid w:val="008410F6"/>
    <w:rsid w:val="0084132F"/>
    <w:rsid w:val="00841576"/>
    <w:rsid w:val="0084167F"/>
    <w:rsid w:val="008422E2"/>
    <w:rsid w:val="0084269C"/>
    <w:rsid w:val="0084387B"/>
    <w:rsid w:val="00843C20"/>
    <w:rsid w:val="008440FA"/>
    <w:rsid w:val="0084411F"/>
    <w:rsid w:val="00844358"/>
    <w:rsid w:val="00844766"/>
    <w:rsid w:val="00844E00"/>
    <w:rsid w:val="00845CE7"/>
    <w:rsid w:val="00846115"/>
    <w:rsid w:val="00846DB2"/>
    <w:rsid w:val="008473BB"/>
    <w:rsid w:val="00847455"/>
    <w:rsid w:val="00847A13"/>
    <w:rsid w:val="00847D80"/>
    <w:rsid w:val="00847DF4"/>
    <w:rsid w:val="00851DE5"/>
    <w:rsid w:val="008523F8"/>
    <w:rsid w:val="008523FE"/>
    <w:rsid w:val="00852402"/>
    <w:rsid w:val="008525AC"/>
    <w:rsid w:val="0085297B"/>
    <w:rsid w:val="00852D31"/>
    <w:rsid w:val="0085331E"/>
    <w:rsid w:val="0085351A"/>
    <w:rsid w:val="0085374F"/>
    <w:rsid w:val="00853928"/>
    <w:rsid w:val="00853DE4"/>
    <w:rsid w:val="00854343"/>
    <w:rsid w:val="008545AF"/>
    <w:rsid w:val="00854BDA"/>
    <w:rsid w:val="00854E80"/>
    <w:rsid w:val="008551B4"/>
    <w:rsid w:val="00855313"/>
    <w:rsid w:val="0085534C"/>
    <w:rsid w:val="00856F45"/>
    <w:rsid w:val="008572C1"/>
    <w:rsid w:val="00857C77"/>
    <w:rsid w:val="00857E5F"/>
    <w:rsid w:val="00857F55"/>
    <w:rsid w:val="008604F7"/>
    <w:rsid w:val="0086177A"/>
    <w:rsid w:val="00861786"/>
    <w:rsid w:val="008618FA"/>
    <w:rsid w:val="00861DDA"/>
    <w:rsid w:val="008624FA"/>
    <w:rsid w:val="008627D1"/>
    <w:rsid w:val="00862B55"/>
    <w:rsid w:val="00863290"/>
    <w:rsid w:val="008635CE"/>
    <w:rsid w:val="00863E0B"/>
    <w:rsid w:val="00863E27"/>
    <w:rsid w:val="00863ED8"/>
    <w:rsid w:val="008649A0"/>
    <w:rsid w:val="00864E7F"/>
    <w:rsid w:val="00866410"/>
    <w:rsid w:val="008669B3"/>
    <w:rsid w:val="00866B44"/>
    <w:rsid w:val="00866E62"/>
    <w:rsid w:val="00867A30"/>
    <w:rsid w:val="00867ABD"/>
    <w:rsid w:val="00867F82"/>
    <w:rsid w:val="00870033"/>
    <w:rsid w:val="008702BD"/>
    <w:rsid w:val="0087042E"/>
    <w:rsid w:val="008705DA"/>
    <w:rsid w:val="0087094D"/>
    <w:rsid w:val="00870EC7"/>
    <w:rsid w:val="008712A1"/>
    <w:rsid w:val="00871355"/>
    <w:rsid w:val="008716B8"/>
    <w:rsid w:val="00871B7F"/>
    <w:rsid w:val="008721FB"/>
    <w:rsid w:val="00872648"/>
    <w:rsid w:val="0087282F"/>
    <w:rsid w:val="00872A19"/>
    <w:rsid w:val="00872BB0"/>
    <w:rsid w:val="00872CDB"/>
    <w:rsid w:val="0087314A"/>
    <w:rsid w:val="00873491"/>
    <w:rsid w:val="0087361F"/>
    <w:rsid w:val="008738CC"/>
    <w:rsid w:val="008739D1"/>
    <w:rsid w:val="00873AEF"/>
    <w:rsid w:val="00873F28"/>
    <w:rsid w:val="00873F8C"/>
    <w:rsid w:val="0087409F"/>
    <w:rsid w:val="00874325"/>
    <w:rsid w:val="00874425"/>
    <w:rsid w:val="0087466E"/>
    <w:rsid w:val="00874742"/>
    <w:rsid w:val="0087498C"/>
    <w:rsid w:val="008749AE"/>
    <w:rsid w:val="00874AFE"/>
    <w:rsid w:val="00874CC7"/>
    <w:rsid w:val="00875217"/>
    <w:rsid w:val="008752CE"/>
    <w:rsid w:val="008753B1"/>
    <w:rsid w:val="0087551F"/>
    <w:rsid w:val="0087623D"/>
    <w:rsid w:val="008763DC"/>
    <w:rsid w:val="00876419"/>
    <w:rsid w:val="008765BF"/>
    <w:rsid w:val="00876F64"/>
    <w:rsid w:val="00876FCC"/>
    <w:rsid w:val="008772ED"/>
    <w:rsid w:val="00877951"/>
    <w:rsid w:val="00877A6C"/>
    <w:rsid w:val="00877E3C"/>
    <w:rsid w:val="0088015C"/>
    <w:rsid w:val="0088110C"/>
    <w:rsid w:val="00881D65"/>
    <w:rsid w:val="00882556"/>
    <w:rsid w:val="00883300"/>
    <w:rsid w:val="00883A1F"/>
    <w:rsid w:val="0088425B"/>
    <w:rsid w:val="0088425D"/>
    <w:rsid w:val="00884A8F"/>
    <w:rsid w:val="00884BC0"/>
    <w:rsid w:val="00884C20"/>
    <w:rsid w:val="00885516"/>
    <w:rsid w:val="008857D5"/>
    <w:rsid w:val="00885BBB"/>
    <w:rsid w:val="00885D94"/>
    <w:rsid w:val="008860B7"/>
    <w:rsid w:val="0088639D"/>
    <w:rsid w:val="00886A65"/>
    <w:rsid w:val="00886AD7"/>
    <w:rsid w:val="008874E8"/>
    <w:rsid w:val="008875D8"/>
    <w:rsid w:val="00887B0B"/>
    <w:rsid w:val="008901EA"/>
    <w:rsid w:val="00890499"/>
    <w:rsid w:val="0089052D"/>
    <w:rsid w:val="008915CB"/>
    <w:rsid w:val="0089178E"/>
    <w:rsid w:val="00891B62"/>
    <w:rsid w:val="008922FD"/>
    <w:rsid w:val="00892B2B"/>
    <w:rsid w:val="00892DC6"/>
    <w:rsid w:val="00893205"/>
    <w:rsid w:val="0089332E"/>
    <w:rsid w:val="0089356E"/>
    <w:rsid w:val="00893834"/>
    <w:rsid w:val="008938AA"/>
    <w:rsid w:val="00893B46"/>
    <w:rsid w:val="0089451B"/>
    <w:rsid w:val="008946E5"/>
    <w:rsid w:val="00894A15"/>
    <w:rsid w:val="00894A1D"/>
    <w:rsid w:val="00894C3A"/>
    <w:rsid w:val="00894CDD"/>
    <w:rsid w:val="008951BF"/>
    <w:rsid w:val="00895366"/>
    <w:rsid w:val="0089562E"/>
    <w:rsid w:val="008964D1"/>
    <w:rsid w:val="008970CF"/>
    <w:rsid w:val="008977ED"/>
    <w:rsid w:val="00897985"/>
    <w:rsid w:val="008A0284"/>
    <w:rsid w:val="008A0B0D"/>
    <w:rsid w:val="008A15C7"/>
    <w:rsid w:val="008A2878"/>
    <w:rsid w:val="008A28DB"/>
    <w:rsid w:val="008A2B70"/>
    <w:rsid w:val="008A2B99"/>
    <w:rsid w:val="008A2CAA"/>
    <w:rsid w:val="008A308B"/>
    <w:rsid w:val="008A3E10"/>
    <w:rsid w:val="008A4459"/>
    <w:rsid w:val="008A452F"/>
    <w:rsid w:val="008A4898"/>
    <w:rsid w:val="008A4CDA"/>
    <w:rsid w:val="008A4CF7"/>
    <w:rsid w:val="008A57FE"/>
    <w:rsid w:val="008A58D7"/>
    <w:rsid w:val="008A5967"/>
    <w:rsid w:val="008A6877"/>
    <w:rsid w:val="008A69D1"/>
    <w:rsid w:val="008A6A9C"/>
    <w:rsid w:val="008A73C5"/>
    <w:rsid w:val="008A74E0"/>
    <w:rsid w:val="008A76D1"/>
    <w:rsid w:val="008B01C2"/>
    <w:rsid w:val="008B0EE2"/>
    <w:rsid w:val="008B0FC3"/>
    <w:rsid w:val="008B2234"/>
    <w:rsid w:val="008B2A3E"/>
    <w:rsid w:val="008B2CB8"/>
    <w:rsid w:val="008B2D1D"/>
    <w:rsid w:val="008B3036"/>
    <w:rsid w:val="008B313C"/>
    <w:rsid w:val="008B32BE"/>
    <w:rsid w:val="008B32CA"/>
    <w:rsid w:val="008B364A"/>
    <w:rsid w:val="008B3B40"/>
    <w:rsid w:val="008B3E7A"/>
    <w:rsid w:val="008B464B"/>
    <w:rsid w:val="008B5548"/>
    <w:rsid w:val="008B574F"/>
    <w:rsid w:val="008B5BB4"/>
    <w:rsid w:val="008B61F8"/>
    <w:rsid w:val="008B6643"/>
    <w:rsid w:val="008B6B6B"/>
    <w:rsid w:val="008B6BD0"/>
    <w:rsid w:val="008B75F4"/>
    <w:rsid w:val="008B7AA2"/>
    <w:rsid w:val="008B7EB0"/>
    <w:rsid w:val="008C0193"/>
    <w:rsid w:val="008C05D6"/>
    <w:rsid w:val="008C0A74"/>
    <w:rsid w:val="008C0B49"/>
    <w:rsid w:val="008C0CED"/>
    <w:rsid w:val="008C0DF1"/>
    <w:rsid w:val="008C0EEE"/>
    <w:rsid w:val="008C11B5"/>
    <w:rsid w:val="008C128A"/>
    <w:rsid w:val="008C14D7"/>
    <w:rsid w:val="008C1989"/>
    <w:rsid w:val="008C1F55"/>
    <w:rsid w:val="008C22BF"/>
    <w:rsid w:val="008C247E"/>
    <w:rsid w:val="008C251B"/>
    <w:rsid w:val="008C2B4C"/>
    <w:rsid w:val="008C2C3C"/>
    <w:rsid w:val="008C317D"/>
    <w:rsid w:val="008C33CF"/>
    <w:rsid w:val="008C364D"/>
    <w:rsid w:val="008C3CB5"/>
    <w:rsid w:val="008C4E81"/>
    <w:rsid w:val="008C591D"/>
    <w:rsid w:val="008C5F10"/>
    <w:rsid w:val="008C6340"/>
    <w:rsid w:val="008C6ACF"/>
    <w:rsid w:val="008C6B42"/>
    <w:rsid w:val="008C72D1"/>
    <w:rsid w:val="008C79BB"/>
    <w:rsid w:val="008C7EB5"/>
    <w:rsid w:val="008C7FB1"/>
    <w:rsid w:val="008C7FC5"/>
    <w:rsid w:val="008D00EB"/>
    <w:rsid w:val="008D0337"/>
    <w:rsid w:val="008D0C14"/>
    <w:rsid w:val="008D0E4F"/>
    <w:rsid w:val="008D0FBC"/>
    <w:rsid w:val="008D1B92"/>
    <w:rsid w:val="008D1ED5"/>
    <w:rsid w:val="008D25F8"/>
    <w:rsid w:val="008D2BB8"/>
    <w:rsid w:val="008D36E3"/>
    <w:rsid w:val="008D38D9"/>
    <w:rsid w:val="008D3C8F"/>
    <w:rsid w:val="008D3EFF"/>
    <w:rsid w:val="008D4263"/>
    <w:rsid w:val="008D4618"/>
    <w:rsid w:val="008D49EC"/>
    <w:rsid w:val="008D5334"/>
    <w:rsid w:val="008D5342"/>
    <w:rsid w:val="008D5618"/>
    <w:rsid w:val="008D635B"/>
    <w:rsid w:val="008D6632"/>
    <w:rsid w:val="008D674C"/>
    <w:rsid w:val="008D7448"/>
    <w:rsid w:val="008D75D5"/>
    <w:rsid w:val="008D767F"/>
    <w:rsid w:val="008D7681"/>
    <w:rsid w:val="008D7EA5"/>
    <w:rsid w:val="008E0C60"/>
    <w:rsid w:val="008E1C63"/>
    <w:rsid w:val="008E23CE"/>
    <w:rsid w:val="008E28F1"/>
    <w:rsid w:val="008E2BD5"/>
    <w:rsid w:val="008E34A8"/>
    <w:rsid w:val="008E3724"/>
    <w:rsid w:val="008E3979"/>
    <w:rsid w:val="008E3A13"/>
    <w:rsid w:val="008E4143"/>
    <w:rsid w:val="008E41BF"/>
    <w:rsid w:val="008E42E5"/>
    <w:rsid w:val="008E4A4E"/>
    <w:rsid w:val="008E5556"/>
    <w:rsid w:val="008E5564"/>
    <w:rsid w:val="008E5603"/>
    <w:rsid w:val="008E57C2"/>
    <w:rsid w:val="008E5F18"/>
    <w:rsid w:val="008E6723"/>
    <w:rsid w:val="008E7379"/>
    <w:rsid w:val="008E7660"/>
    <w:rsid w:val="008E79C3"/>
    <w:rsid w:val="008E79F1"/>
    <w:rsid w:val="008F04B1"/>
    <w:rsid w:val="008F0528"/>
    <w:rsid w:val="008F0775"/>
    <w:rsid w:val="008F097F"/>
    <w:rsid w:val="008F194A"/>
    <w:rsid w:val="008F2136"/>
    <w:rsid w:val="008F2340"/>
    <w:rsid w:val="008F2557"/>
    <w:rsid w:val="008F2C20"/>
    <w:rsid w:val="008F2E21"/>
    <w:rsid w:val="008F3700"/>
    <w:rsid w:val="008F3BD3"/>
    <w:rsid w:val="008F40E0"/>
    <w:rsid w:val="008F416D"/>
    <w:rsid w:val="008F43C3"/>
    <w:rsid w:val="008F46FC"/>
    <w:rsid w:val="008F4814"/>
    <w:rsid w:val="008F4B6B"/>
    <w:rsid w:val="008F4D21"/>
    <w:rsid w:val="008F5114"/>
    <w:rsid w:val="008F5900"/>
    <w:rsid w:val="008F612A"/>
    <w:rsid w:val="008F67BB"/>
    <w:rsid w:val="008F69C3"/>
    <w:rsid w:val="008F6A99"/>
    <w:rsid w:val="008F6AC1"/>
    <w:rsid w:val="008F6D54"/>
    <w:rsid w:val="008F6FAE"/>
    <w:rsid w:val="008F6FE7"/>
    <w:rsid w:val="008F740B"/>
    <w:rsid w:val="008F7807"/>
    <w:rsid w:val="008F7A1F"/>
    <w:rsid w:val="008F7B75"/>
    <w:rsid w:val="008F7C00"/>
    <w:rsid w:val="008F7D89"/>
    <w:rsid w:val="00900744"/>
    <w:rsid w:val="00900B2E"/>
    <w:rsid w:val="00901240"/>
    <w:rsid w:val="0090207E"/>
    <w:rsid w:val="0090211E"/>
    <w:rsid w:val="009021E7"/>
    <w:rsid w:val="0090232C"/>
    <w:rsid w:val="0090246C"/>
    <w:rsid w:val="009025B4"/>
    <w:rsid w:val="0090301E"/>
    <w:rsid w:val="00903594"/>
    <w:rsid w:val="00903A2C"/>
    <w:rsid w:val="00903B71"/>
    <w:rsid w:val="00903E88"/>
    <w:rsid w:val="00904B67"/>
    <w:rsid w:val="00904F7F"/>
    <w:rsid w:val="00905036"/>
    <w:rsid w:val="0090577B"/>
    <w:rsid w:val="00905A4B"/>
    <w:rsid w:val="00905B2B"/>
    <w:rsid w:val="00905CE4"/>
    <w:rsid w:val="00906159"/>
    <w:rsid w:val="00906472"/>
    <w:rsid w:val="009068B4"/>
    <w:rsid w:val="00906998"/>
    <w:rsid w:val="00906D22"/>
    <w:rsid w:val="009072BB"/>
    <w:rsid w:val="009079A0"/>
    <w:rsid w:val="00910044"/>
    <w:rsid w:val="00910184"/>
    <w:rsid w:val="009102E3"/>
    <w:rsid w:val="0091058F"/>
    <w:rsid w:val="0091059B"/>
    <w:rsid w:val="00910B40"/>
    <w:rsid w:val="009112B8"/>
    <w:rsid w:val="009122EC"/>
    <w:rsid w:val="00912421"/>
    <w:rsid w:val="00912593"/>
    <w:rsid w:val="009126B7"/>
    <w:rsid w:val="00912B94"/>
    <w:rsid w:val="00912BDB"/>
    <w:rsid w:val="009134F9"/>
    <w:rsid w:val="00913532"/>
    <w:rsid w:val="00913585"/>
    <w:rsid w:val="0091387C"/>
    <w:rsid w:val="00913DEB"/>
    <w:rsid w:val="009148F7"/>
    <w:rsid w:val="009149E4"/>
    <w:rsid w:val="00914FF7"/>
    <w:rsid w:val="009150FD"/>
    <w:rsid w:val="00915968"/>
    <w:rsid w:val="00915B8E"/>
    <w:rsid w:val="00916038"/>
    <w:rsid w:val="00916343"/>
    <w:rsid w:val="00916AF4"/>
    <w:rsid w:val="00916C6C"/>
    <w:rsid w:val="00917528"/>
    <w:rsid w:val="009177F4"/>
    <w:rsid w:val="00917D4C"/>
    <w:rsid w:val="009203C2"/>
    <w:rsid w:val="00920F94"/>
    <w:rsid w:val="009211FB"/>
    <w:rsid w:val="00921818"/>
    <w:rsid w:val="00921DAA"/>
    <w:rsid w:val="00921F31"/>
    <w:rsid w:val="0092254A"/>
    <w:rsid w:val="00922B44"/>
    <w:rsid w:val="00922DC8"/>
    <w:rsid w:val="00923174"/>
    <w:rsid w:val="00923232"/>
    <w:rsid w:val="0092366B"/>
    <w:rsid w:val="00923824"/>
    <w:rsid w:val="009243E6"/>
    <w:rsid w:val="009249D8"/>
    <w:rsid w:val="00924F00"/>
    <w:rsid w:val="00925211"/>
    <w:rsid w:val="0092524A"/>
    <w:rsid w:val="009254F7"/>
    <w:rsid w:val="00926521"/>
    <w:rsid w:val="00926A0D"/>
    <w:rsid w:val="00926B15"/>
    <w:rsid w:val="00926C85"/>
    <w:rsid w:val="00926E7C"/>
    <w:rsid w:val="00927175"/>
    <w:rsid w:val="00927429"/>
    <w:rsid w:val="0092762F"/>
    <w:rsid w:val="0092763C"/>
    <w:rsid w:val="00927ED3"/>
    <w:rsid w:val="0093023E"/>
    <w:rsid w:val="0093026F"/>
    <w:rsid w:val="0093027B"/>
    <w:rsid w:val="0093046B"/>
    <w:rsid w:val="00930BC1"/>
    <w:rsid w:val="00931126"/>
    <w:rsid w:val="009317A2"/>
    <w:rsid w:val="00931B33"/>
    <w:rsid w:val="00931C97"/>
    <w:rsid w:val="00931CFC"/>
    <w:rsid w:val="00931D5D"/>
    <w:rsid w:val="00931FA7"/>
    <w:rsid w:val="009324B4"/>
    <w:rsid w:val="00932A97"/>
    <w:rsid w:val="00932AA7"/>
    <w:rsid w:val="00933005"/>
    <w:rsid w:val="009331DF"/>
    <w:rsid w:val="009338E5"/>
    <w:rsid w:val="009339D1"/>
    <w:rsid w:val="009339FE"/>
    <w:rsid w:val="00933CBA"/>
    <w:rsid w:val="00933E15"/>
    <w:rsid w:val="0093414E"/>
    <w:rsid w:val="00934B1D"/>
    <w:rsid w:val="00934F3D"/>
    <w:rsid w:val="00935104"/>
    <w:rsid w:val="00935419"/>
    <w:rsid w:val="00935DBB"/>
    <w:rsid w:val="0093630C"/>
    <w:rsid w:val="009363AB"/>
    <w:rsid w:val="009367A5"/>
    <w:rsid w:val="0093719F"/>
    <w:rsid w:val="00937937"/>
    <w:rsid w:val="00937BE7"/>
    <w:rsid w:val="00937E8B"/>
    <w:rsid w:val="009400C7"/>
    <w:rsid w:val="009409F7"/>
    <w:rsid w:val="00940E3E"/>
    <w:rsid w:val="00940FFD"/>
    <w:rsid w:val="00941791"/>
    <w:rsid w:val="009417A8"/>
    <w:rsid w:val="00941A72"/>
    <w:rsid w:val="0094399E"/>
    <w:rsid w:val="00943A91"/>
    <w:rsid w:val="00943DE8"/>
    <w:rsid w:val="0094481F"/>
    <w:rsid w:val="00944B4F"/>
    <w:rsid w:val="00944B57"/>
    <w:rsid w:val="009450A9"/>
    <w:rsid w:val="00945138"/>
    <w:rsid w:val="00945844"/>
    <w:rsid w:val="00945ACF"/>
    <w:rsid w:val="00945E96"/>
    <w:rsid w:val="00946382"/>
    <w:rsid w:val="00946B1C"/>
    <w:rsid w:val="00947630"/>
    <w:rsid w:val="0094768B"/>
    <w:rsid w:val="009478FD"/>
    <w:rsid w:val="00950A09"/>
    <w:rsid w:val="00950C4E"/>
    <w:rsid w:val="00950C9F"/>
    <w:rsid w:val="0095153B"/>
    <w:rsid w:val="00951C62"/>
    <w:rsid w:val="0095204B"/>
    <w:rsid w:val="009522EE"/>
    <w:rsid w:val="00952799"/>
    <w:rsid w:val="00952E01"/>
    <w:rsid w:val="00952FF8"/>
    <w:rsid w:val="009531F3"/>
    <w:rsid w:val="00953434"/>
    <w:rsid w:val="00953BE7"/>
    <w:rsid w:val="00953DB4"/>
    <w:rsid w:val="00954293"/>
    <w:rsid w:val="00954708"/>
    <w:rsid w:val="00954A38"/>
    <w:rsid w:val="00955204"/>
    <w:rsid w:val="0095527C"/>
    <w:rsid w:val="00955806"/>
    <w:rsid w:val="00955975"/>
    <w:rsid w:val="00955BC2"/>
    <w:rsid w:val="009561B0"/>
    <w:rsid w:val="0095620F"/>
    <w:rsid w:val="00956540"/>
    <w:rsid w:val="00956687"/>
    <w:rsid w:val="0095685E"/>
    <w:rsid w:val="00956A6C"/>
    <w:rsid w:val="0095711B"/>
    <w:rsid w:val="009573C9"/>
    <w:rsid w:val="00957410"/>
    <w:rsid w:val="009575A1"/>
    <w:rsid w:val="00957876"/>
    <w:rsid w:val="00957AFE"/>
    <w:rsid w:val="00960090"/>
    <w:rsid w:val="00960472"/>
    <w:rsid w:val="0096067F"/>
    <w:rsid w:val="00960BE1"/>
    <w:rsid w:val="00960BED"/>
    <w:rsid w:val="00960C53"/>
    <w:rsid w:val="00961216"/>
    <w:rsid w:val="009613BD"/>
    <w:rsid w:val="00961698"/>
    <w:rsid w:val="00961BB0"/>
    <w:rsid w:val="0096234E"/>
    <w:rsid w:val="009623CD"/>
    <w:rsid w:val="009625B1"/>
    <w:rsid w:val="009625F6"/>
    <w:rsid w:val="00962ECD"/>
    <w:rsid w:val="00962F33"/>
    <w:rsid w:val="009630E3"/>
    <w:rsid w:val="00963CDD"/>
    <w:rsid w:val="009647AF"/>
    <w:rsid w:val="00964CAB"/>
    <w:rsid w:val="00965074"/>
    <w:rsid w:val="00965092"/>
    <w:rsid w:val="00965163"/>
    <w:rsid w:val="0096540B"/>
    <w:rsid w:val="009658FA"/>
    <w:rsid w:val="0096590C"/>
    <w:rsid w:val="00965931"/>
    <w:rsid w:val="00966695"/>
    <w:rsid w:val="00966846"/>
    <w:rsid w:val="00966D90"/>
    <w:rsid w:val="00966E3C"/>
    <w:rsid w:val="00967081"/>
    <w:rsid w:val="009670BB"/>
    <w:rsid w:val="009672CB"/>
    <w:rsid w:val="00967D5B"/>
    <w:rsid w:val="00967EC1"/>
    <w:rsid w:val="009700AD"/>
    <w:rsid w:val="00970294"/>
    <w:rsid w:val="00970303"/>
    <w:rsid w:val="00970396"/>
    <w:rsid w:val="00970460"/>
    <w:rsid w:val="009707FE"/>
    <w:rsid w:val="009715A4"/>
    <w:rsid w:val="00971EB3"/>
    <w:rsid w:val="00972361"/>
    <w:rsid w:val="0097238A"/>
    <w:rsid w:val="009724D2"/>
    <w:rsid w:val="0097276B"/>
    <w:rsid w:val="009727B9"/>
    <w:rsid w:val="00972845"/>
    <w:rsid w:val="00972E15"/>
    <w:rsid w:val="00972FFC"/>
    <w:rsid w:val="009731EC"/>
    <w:rsid w:val="009738E5"/>
    <w:rsid w:val="00973AF0"/>
    <w:rsid w:val="00973B5C"/>
    <w:rsid w:val="00974017"/>
    <w:rsid w:val="009741FD"/>
    <w:rsid w:val="009745A9"/>
    <w:rsid w:val="0097487B"/>
    <w:rsid w:val="00974B79"/>
    <w:rsid w:val="0097500A"/>
    <w:rsid w:val="009750B7"/>
    <w:rsid w:val="0097514D"/>
    <w:rsid w:val="00975569"/>
    <w:rsid w:val="0097593E"/>
    <w:rsid w:val="00976BC8"/>
    <w:rsid w:val="00976C10"/>
    <w:rsid w:val="00976CEE"/>
    <w:rsid w:val="00976E91"/>
    <w:rsid w:val="009774F2"/>
    <w:rsid w:val="009775C3"/>
    <w:rsid w:val="009775ED"/>
    <w:rsid w:val="0097770E"/>
    <w:rsid w:val="00977BAC"/>
    <w:rsid w:val="00977FEB"/>
    <w:rsid w:val="00980122"/>
    <w:rsid w:val="009801E4"/>
    <w:rsid w:val="009802FA"/>
    <w:rsid w:val="00980834"/>
    <w:rsid w:val="00980862"/>
    <w:rsid w:val="00980992"/>
    <w:rsid w:val="00980BBE"/>
    <w:rsid w:val="00981A52"/>
    <w:rsid w:val="00981DEF"/>
    <w:rsid w:val="0098217D"/>
    <w:rsid w:val="00982368"/>
    <w:rsid w:val="009825F8"/>
    <w:rsid w:val="00982B41"/>
    <w:rsid w:val="00982FE8"/>
    <w:rsid w:val="009837C7"/>
    <w:rsid w:val="00984042"/>
    <w:rsid w:val="00984091"/>
    <w:rsid w:val="00984371"/>
    <w:rsid w:val="0098446A"/>
    <w:rsid w:val="00984714"/>
    <w:rsid w:val="00984C53"/>
    <w:rsid w:val="009858DF"/>
    <w:rsid w:val="00986187"/>
    <w:rsid w:val="0098630C"/>
    <w:rsid w:val="009871A3"/>
    <w:rsid w:val="00987408"/>
    <w:rsid w:val="009875D9"/>
    <w:rsid w:val="00987F1D"/>
    <w:rsid w:val="009901D1"/>
    <w:rsid w:val="009901F8"/>
    <w:rsid w:val="0099021E"/>
    <w:rsid w:val="0099042F"/>
    <w:rsid w:val="009904CA"/>
    <w:rsid w:val="009909B7"/>
    <w:rsid w:val="00990C6F"/>
    <w:rsid w:val="0099141D"/>
    <w:rsid w:val="009914DB"/>
    <w:rsid w:val="00991769"/>
    <w:rsid w:val="009930E8"/>
    <w:rsid w:val="00993BDB"/>
    <w:rsid w:val="00994680"/>
    <w:rsid w:val="009949E2"/>
    <w:rsid w:val="00994A19"/>
    <w:rsid w:val="00994A59"/>
    <w:rsid w:val="00994E8D"/>
    <w:rsid w:val="0099517C"/>
    <w:rsid w:val="009953AB"/>
    <w:rsid w:val="009953B7"/>
    <w:rsid w:val="00995F17"/>
    <w:rsid w:val="0099605F"/>
    <w:rsid w:val="009965BD"/>
    <w:rsid w:val="00996AA9"/>
    <w:rsid w:val="00996F92"/>
    <w:rsid w:val="00996FF8"/>
    <w:rsid w:val="009970A9"/>
    <w:rsid w:val="00997349"/>
    <w:rsid w:val="009973FD"/>
    <w:rsid w:val="00997B3B"/>
    <w:rsid w:val="00997C60"/>
    <w:rsid w:val="00997C84"/>
    <w:rsid w:val="009A032A"/>
    <w:rsid w:val="009A0A22"/>
    <w:rsid w:val="009A0F1A"/>
    <w:rsid w:val="009A1887"/>
    <w:rsid w:val="009A205F"/>
    <w:rsid w:val="009A28DF"/>
    <w:rsid w:val="009A2F32"/>
    <w:rsid w:val="009A2F6C"/>
    <w:rsid w:val="009A374A"/>
    <w:rsid w:val="009A3A8A"/>
    <w:rsid w:val="009A3FD6"/>
    <w:rsid w:val="009A3FF2"/>
    <w:rsid w:val="009A4A80"/>
    <w:rsid w:val="009A505F"/>
    <w:rsid w:val="009A512F"/>
    <w:rsid w:val="009A5484"/>
    <w:rsid w:val="009A54CC"/>
    <w:rsid w:val="009A56B6"/>
    <w:rsid w:val="009A59AB"/>
    <w:rsid w:val="009A5A93"/>
    <w:rsid w:val="009A5DC0"/>
    <w:rsid w:val="009A680E"/>
    <w:rsid w:val="009A70D9"/>
    <w:rsid w:val="009A72D2"/>
    <w:rsid w:val="009A7647"/>
    <w:rsid w:val="009B0067"/>
    <w:rsid w:val="009B0212"/>
    <w:rsid w:val="009B0384"/>
    <w:rsid w:val="009B0FBF"/>
    <w:rsid w:val="009B1251"/>
    <w:rsid w:val="009B1263"/>
    <w:rsid w:val="009B1B97"/>
    <w:rsid w:val="009B1C97"/>
    <w:rsid w:val="009B1EBA"/>
    <w:rsid w:val="009B2108"/>
    <w:rsid w:val="009B2251"/>
    <w:rsid w:val="009B2288"/>
    <w:rsid w:val="009B24B8"/>
    <w:rsid w:val="009B2679"/>
    <w:rsid w:val="009B27D8"/>
    <w:rsid w:val="009B29DB"/>
    <w:rsid w:val="009B2B2B"/>
    <w:rsid w:val="009B2F6F"/>
    <w:rsid w:val="009B31DA"/>
    <w:rsid w:val="009B3A65"/>
    <w:rsid w:val="009B4A8E"/>
    <w:rsid w:val="009B4DB9"/>
    <w:rsid w:val="009B4E1C"/>
    <w:rsid w:val="009B4F85"/>
    <w:rsid w:val="009B5040"/>
    <w:rsid w:val="009B53FB"/>
    <w:rsid w:val="009B58D5"/>
    <w:rsid w:val="009B5A36"/>
    <w:rsid w:val="009B5D16"/>
    <w:rsid w:val="009B5E94"/>
    <w:rsid w:val="009B620E"/>
    <w:rsid w:val="009B73A5"/>
    <w:rsid w:val="009B7C96"/>
    <w:rsid w:val="009C0244"/>
    <w:rsid w:val="009C02E6"/>
    <w:rsid w:val="009C04D6"/>
    <w:rsid w:val="009C06B6"/>
    <w:rsid w:val="009C0882"/>
    <w:rsid w:val="009C08DA"/>
    <w:rsid w:val="009C0E61"/>
    <w:rsid w:val="009C33C1"/>
    <w:rsid w:val="009C440C"/>
    <w:rsid w:val="009C446B"/>
    <w:rsid w:val="009C5136"/>
    <w:rsid w:val="009C5E52"/>
    <w:rsid w:val="009C5E9E"/>
    <w:rsid w:val="009C605C"/>
    <w:rsid w:val="009C665E"/>
    <w:rsid w:val="009C6E90"/>
    <w:rsid w:val="009C7536"/>
    <w:rsid w:val="009C75DE"/>
    <w:rsid w:val="009C7A30"/>
    <w:rsid w:val="009C7B37"/>
    <w:rsid w:val="009D0198"/>
    <w:rsid w:val="009D0EEB"/>
    <w:rsid w:val="009D133A"/>
    <w:rsid w:val="009D1391"/>
    <w:rsid w:val="009D1867"/>
    <w:rsid w:val="009D18F9"/>
    <w:rsid w:val="009D1A88"/>
    <w:rsid w:val="009D1F23"/>
    <w:rsid w:val="009D20E0"/>
    <w:rsid w:val="009D2882"/>
    <w:rsid w:val="009D2DBE"/>
    <w:rsid w:val="009D2DDB"/>
    <w:rsid w:val="009D3286"/>
    <w:rsid w:val="009D32E4"/>
    <w:rsid w:val="009D3BE2"/>
    <w:rsid w:val="009D3D1E"/>
    <w:rsid w:val="009D3F74"/>
    <w:rsid w:val="009D4AEB"/>
    <w:rsid w:val="009D4C0D"/>
    <w:rsid w:val="009D4EF0"/>
    <w:rsid w:val="009D5103"/>
    <w:rsid w:val="009D5118"/>
    <w:rsid w:val="009D53B9"/>
    <w:rsid w:val="009D564B"/>
    <w:rsid w:val="009D5876"/>
    <w:rsid w:val="009D5B20"/>
    <w:rsid w:val="009D6397"/>
    <w:rsid w:val="009D63B8"/>
    <w:rsid w:val="009D65FB"/>
    <w:rsid w:val="009D65FE"/>
    <w:rsid w:val="009D664A"/>
    <w:rsid w:val="009D6B76"/>
    <w:rsid w:val="009D77BD"/>
    <w:rsid w:val="009D77FD"/>
    <w:rsid w:val="009D7818"/>
    <w:rsid w:val="009D7A01"/>
    <w:rsid w:val="009D7CF6"/>
    <w:rsid w:val="009D7DED"/>
    <w:rsid w:val="009D7E14"/>
    <w:rsid w:val="009E0E39"/>
    <w:rsid w:val="009E0F63"/>
    <w:rsid w:val="009E13B8"/>
    <w:rsid w:val="009E14D7"/>
    <w:rsid w:val="009E1925"/>
    <w:rsid w:val="009E19AC"/>
    <w:rsid w:val="009E2E74"/>
    <w:rsid w:val="009E30D8"/>
    <w:rsid w:val="009E3200"/>
    <w:rsid w:val="009E3665"/>
    <w:rsid w:val="009E3EA8"/>
    <w:rsid w:val="009E4032"/>
    <w:rsid w:val="009E459B"/>
    <w:rsid w:val="009E497A"/>
    <w:rsid w:val="009E4ACE"/>
    <w:rsid w:val="009E4BD5"/>
    <w:rsid w:val="009E4BF9"/>
    <w:rsid w:val="009E4D54"/>
    <w:rsid w:val="009E4F15"/>
    <w:rsid w:val="009E5221"/>
    <w:rsid w:val="009E5B6B"/>
    <w:rsid w:val="009E5FD1"/>
    <w:rsid w:val="009E6D3C"/>
    <w:rsid w:val="009E6F7A"/>
    <w:rsid w:val="009E76B8"/>
    <w:rsid w:val="009E7903"/>
    <w:rsid w:val="009E791E"/>
    <w:rsid w:val="009E7C7D"/>
    <w:rsid w:val="009F0008"/>
    <w:rsid w:val="009F071E"/>
    <w:rsid w:val="009F0B4F"/>
    <w:rsid w:val="009F11E9"/>
    <w:rsid w:val="009F1440"/>
    <w:rsid w:val="009F14D3"/>
    <w:rsid w:val="009F179F"/>
    <w:rsid w:val="009F2222"/>
    <w:rsid w:val="009F22CC"/>
    <w:rsid w:val="009F231A"/>
    <w:rsid w:val="009F2709"/>
    <w:rsid w:val="009F3157"/>
    <w:rsid w:val="009F4274"/>
    <w:rsid w:val="009F427D"/>
    <w:rsid w:val="009F462C"/>
    <w:rsid w:val="009F4A78"/>
    <w:rsid w:val="009F4E84"/>
    <w:rsid w:val="009F52BE"/>
    <w:rsid w:val="009F5840"/>
    <w:rsid w:val="009F5937"/>
    <w:rsid w:val="009F594B"/>
    <w:rsid w:val="009F6006"/>
    <w:rsid w:val="009F63E6"/>
    <w:rsid w:val="009F649D"/>
    <w:rsid w:val="009F6B6D"/>
    <w:rsid w:val="009F72A4"/>
    <w:rsid w:val="009F7731"/>
    <w:rsid w:val="009F7A3A"/>
    <w:rsid w:val="009F7A71"/>
    <w:rsid w:val="009F7CAA"/>
    <w:rsid w:val="009F7D31"/>
    <w:rsid w:val="00A000A1"/>
    <w:rsid w:val="00A001A3"/>
    <w:rsid w:val="00A003D5"/>
    <w:rsid w:val="00A005BD"/>
    <w:rsid w:val="00A009F9"/>
    <w:rsid w:val="00A00C10"/>
    <w:rsid w:val="00A00E5E"/>
    <w:rsid w:val="00A017A6"/>
    <w:rsid w:val="00A01C27"/>
    <w:rsid w:val="00A01F30"/>
    <w:rsid w:val="00A028B9"/>
    <w:rsid w:val="00A03537"/>
    <w:rsid w:val="00A0370E"/>
    <w:rsid w:val="00A037EB"/>
    <w:rsid w:val="00A03B6A"/>
    <w:rsid w:val="00A03BBB"/>
    <w:rsid w:val="00A043D2"/>
    <w:rsid w:val="00A050A2"/>
    <w:rsid w:val="00A0515E"/>
    <w:rsid w:val="00A05B34"/>
    <w:rsid w:val="00A064DA"/>
    <w:rsid w:val="00A06644"/>
    <w:rsid w:val="00A06820"/>
    <w:rsid w:val="00A06843"/>
    <w:rsid w:val="00A06A1B"/>
    <w:rsid w:val="00A06BCD"/>
    <w:rsid w:val="00A06F06"/>
    <w:rsid w:val="00A07365"/>
    <w:rsid w:val="00A07B72"/>
    <w:rsid w:val="00A07E32"/>
    <w:rsid w:val="00A07FCD"/>
    <w:rsid w:val="00A104DF"/>
    <w:rsid w:val="00A10E11"/>
    <w:rsid w:val="00A114CB"/>
    <w:rsid w:val="00A11972"/>
    <w:rsid w:val="00A11B47"/>
    <w:rsid w:val="00A11B59"/>
    <w:rsid w:val="00A124D3"/>
    <w:rsid w:val="00A1281B"/>
    <w:rsid w:val="00A12C08"/>
    <w:rsid w:val="00A12EF3"/>
    <w:rsid w:val="00A130C7"/>
    <w:rsid w:val="00A13CE9"/>
    <w:rsid w:val="00A140FA"/>
    <w:rsid w:val="00A141D0"/>
    <w:rsid w:val="00A1423C"/>
    <w:rsid w:val="00A14252"/>
    <w:rsid w:val="00A145C7"/>
    <w:rsid w:val="00A14604"/>
    <w:rsid w:val="00A1491A"/>
    <w:rsid w:val="00A14EC1"/>
    <w:rsid w:val="00A14F03"/>
    <w:rsid w:val="00A151C8"/>
    <w:rsid w:val="00A1525D"/>
    <w:rsid w:val="00A15A68"/>
    <w:rsid w:val="00A1619E"/>
    <w:rsid w:val="00A16299"/>
    <w:rsid w:val="00A165EA"/>
    <w:rsid w:val="00A1671D"/>
    <w:rsid w:val="00A16DEC"/>
    <w:rsid w:val="00A17294"/>
    <w:rsid w:val="00A172DC"/>
    <w:rsid w:val="00A17CEA"/>
    <w:rsid w:val="00A17DC7"/>
    <w:rsid w:val="00A2045C"/>
    <w:rsid w:val="00A20C9A"/>
    <w:rsid w:val="00A20F08"/>
    <w:rsid w:val="00A21895"/>
    <w:rsid w:val="00A21E16"/>
    <w:rsid w:val="00A22283"/>
    <w:rsid w:val="00A225E1"/>
    <w:rsid w:val="00A23386"/>
    <w:rsid w:val="00A24009"/>
    <w:rsid w:val="00A24F04"/>
    <w:rsid w:val="00A24F14"/>
    <w:rsid w:val="00A24F87"/>
    <w:rsid w:val="00A250DB"/>
    <w:rsid w:val="00A2526E"/>
    <w:rsid w:val="00A2546D"/>
    <w:rsid w:val="00A2550D"/>
    <w:rsid w:val="00A25FE3"/>
    <w:rsid w:val="00A2612A"/>
    <w:rsid w:val="00A2658E"/>
    <w:rsid w:val="00A26781"/>
    <w:rsid w:val="00A26C01"/>
    <w:rsid w:val="00A26D97"/>
    <w:rsid w:val="00A26F14"/>
    <w:rsid w:val="00A27103"/>
    <w:rsid w:val="00A273D8"/>
    <w:rsid w:val="00A27474"/>
    <w:rsid w:val="00A27F33"/>
    <w:rsid w:val="00A3037C"/>
    <w:rsid w:val="00A30514"/>
    <w:rsid w:val="00A31379"/>
    <w:rsid w:val="00A31479"/>
    <w:rsid w:val="00A31C18"/>
    <w:rsid w:val="00A3223F"/>
    <w:rsid w:val="00A322D1"/>
    <w:rsid w:val="00A322FF"/>
    <w:rsid w:val="00A323BB"/>
    <w:rsid w:val="00A32529"/>
    <w:rsid w:val="00A32949"/>
    <w:rsid w:val="00A3345D"/>
    <w:rsid w:val="00A33577"/>
    <w:rsid w:val="00A33AF2"/>
    <w:rsid w:val="00A340F3"/>
    <w:rsid w:val="00A3434A"/>
    <w:rsid w:val="00A34B80"/>
    <w:rsid w:val="00A35027"/>
    <w:rsid w:val="00A3515A"/>
    <w:rsid w:val="00A35182"/>
    <w:rsid w:val="00A35C04"/>
    <w:rsid w:val="00A36084"/>
    <w:rsid w:val="00A3612C"/>
    <w:rsid w:val="00A366E3"/>
    <w:rsid w:val="00A368EB"/>
    <w:rsid w:val="00A36E13"/>
    <w:rsid w:val="00A37327"/>
    <w:rsid w:val="00A37370"/>
    <w:rsid w:val="00A373FC"/>
    <w:rsid w:val="00A374D4"/>
    <w:rsid w:val="00A375D8"/>
    <w:rsid w:val="00A378D4"/>
    <w:rsid w:val="00A37E02"/>
    <w:rsid w:val="00A37E64"/>
    <w:rsid w:val="00A37F6C"/>
    <w:rsid w:val="00A37F6E"/>
    <w:rsid w:val="00A40612"/>
    <w:rsid w:val="00A40BD5"/>
    <w:rsid w:val="00A40F99"/>
    <w:rsid w:val="00A412CB"/>
    <w:rsid w:val="00A41B75"/>
    <w:rsid w:val="00A41F8A"/>
    <w:rsid w:val="00A41FD5"/>
    <w:rsid w:val="00A42948"/>
    <w:rsid w:val="00A429C4"/>
    <w:rsid w:val="00A430A1"/>
    <w:rsid w:val="00A430DE"/>
    <w:rsid w:val="00A4367A"/>
    <w:rsid w:val="00A43CFC"/>
    <w:rsid w:val="00A44098"/>
    <w:rsid w:val="00A443BB"/>
    <w:rsid w:val="00A44584"/>
    <w:rsid w:val="00A44D77"/>
    <w:rsid w:val="00A46788"/>
    <w:rsid w:val="00A4709A"/>
    <w:rsid w:val="00A504D3"/>
    <w:rsid w:val="00A505C4"/>
    <w:rsid w:val="00A51597"/>
    <w:rsid w:val="00A517F5"/>
    <w:rsid w:val="00A518BC"/>
    <w:rsid w:val="00A51D00"/>
    <w:rsid w:val="00A51E07"/>
    <w:rsid w:val="00A51EF8"/>
    <w:rsid w:val="00A5235C"/>
    <w:rsid w:val="00A52B6A"/>
    <w:rsid w:val="00A52FB0"/>
    <w:rsid w:val="00A530D9"/>
    <w:rsid w:val="00A54073"/>
    <w:rsid w:val="00A543FE"/>
    <w:rsid w:val="00A544E0"/>
    <w:rsid w:val="00A5496C"/>
    <w:rsid w:val="00A54B2F"/>
    <w:rsid w:val="00A5511E"/>
    <w:rsid w:val="00A55770"/>
    <w:rsid w:val="00A56246"/>
    <w:rsid w:val="00A57816"/>
    <w:rsid w:val="00A57A1D"/>
    <w:rsid w:val="00A57ADB"/>
    <w:rsid w:val="00A60023"/>
    <w:rsid w:val="00A608D2"/>
    <w:rsid w:val="00A60E89"/>
    <w:rsid w:val="00A60EAC"/>
    <w:rsid w:val="00A610E0"/>
    <w:rsid w:val="00A61440"/>
    <w:rsid w:val="00A614AC"/>
    <w:rsid w:val="00A6210F"/>
    <w:rsid w:val="00A62B89"/>
    <w:rsid w:val="00A62D59"/>
    <w:rsid w:val="00A62DD4"/>
    <w:rsid w:val="00A62EAF"/>
    <w:rsid w:val="00A62F6B"/>
    <w:rsid w:val="00A63F50"/>
    <w:rsid w:val="00A643DA"/>
    <w:rsid w:val="00A64C36"/>
    <w:rsid w:val="00A6522F"/>
    <w:rsid w:val="00A654F4"/>
    <w:rsid w:val="00A65A35"/>
    <w:rsid w:val="00A65A3C"/>
    <w:rsid w:val="00A65F6C"/>
    <w:rsid w:val="00A66217"/>
    <w:rsid w:val="00A66289"/>
    <w:rsid w:val="00A66350"/>
    <w:rsid w:val="00A6665F"/>
    <w:rsid w:val="00A66B5D"/>
    <w:rsid w:val="00A67356"/>
    <w:rsid w:val="00A67687"/>
    <w:rsid w:val="00A67771"/>
    <w:rsid w:val="00A67950"/>
    <w:rsid w:val="00A67AE3"/>
    <w:rsid w:val="00A67E7D"/>
    <w:rsid w:val="00A7059D"/>
    <w:rsid w:val="00A7067D"/>
    <w:rsid w:val="00A7087C"/>
    <w:rsid w:val="00A708F1"/>
    <w:rsid w:val="00A709D8"/>
    <w:rsid w:val="00A70FE9"/>
    <w:rsid w:val="00A70FEB"/>
    <w:rsid w:val="00A7186B"/>
    <w:rsid w:val="00A71F2D"/>
    <w:rsid w:val="00A71F75"/>
    <w:rsid w:val="00A72D03"/>
    <w:rsid w:val="00A73280"/>
    <w:rsid w:val="00A7332C"/>
    <w:rsid w:val="00A73847"/>
    <w:rsid w:val="00A74081"/>
    <w:rsid w:val="00A74210"/>
    <w:rsid w:val="00A7488D"/>
    <w:rsid w:val="00A74A2D"/>
    <w:rsid w:val="00A74BBA"/>
    <w:rsid w:val="00A74F2D"/>
    <w:rsid w:val="00A7526F"/>
    <w:rsid w:val="00A752DA"/>
    <w:rsid w:val="00A75CAA"/>
    <w:rsid w:val="00A75CC4"/>
    <w:rsid w:val="00A765B0"/>
    <w:rsid w:val="00A7666D"/>
    <w:rsid w:val="00A767EE"/>
    <w:rsid w:val="00A76AEE"/>
    <w:rsid w:val="00A76B9F"/>
    <w:rsid w:val="00A76E4B"/>
    <w:rsid w:val="00A76F8C"/>
    <w:rsid w:val="00A7758A"/>
    <w:rsid w:val="00A775B3"/>
    <w:rsid w:val="00A77A29"/>
    <w:rsid w:val="00A77DEF"/>
    <w:rsid w:val="00A80087"/>
    <w:rsid w:val="00A80486"/>
    <w:rsid w:val="00A80931"/>
    <w:rsid w:val="00A81438"/>
    <w:rsid w:val="00A8163B"/>
    <w:rsid w:val="00A8189B"/>
    <w:rsid w:val="00A8195B"/>
    <w:rsid w:val="00A81AAE"/>
    <w:rsid w:val="00A81CF7"/>
    <w:rsid w:val="00A821C4"/>
    <w:rsid w:val="00A825CA"/>
    <w:rsid w:val="00A82691"/>
    <w:rsid w:val="00A827F1"/>
    <w:rsid w:val="00A82A83"/>
    <w:rsid w:val="00A82AFC"/>
    <w:rsid w:val="00A82B64"/>
    <w:rsid w:val="00A82FE3"/>
    <w:rsid w:val="00A8308B"/>
    <w:rsid w:val="00A834E9"/>
    <w:rsid w:val="00A84AD5"/>
    <w:rsid w:val="00A84F26"/>
    <w:rsid w:val="00A8581E"/>
    <w:rsid w:val="00A85D7B"/>
    <w:rsid w:val="00A86236"/>
    <w:rsid w:val="00A862A3"/>
    <w:rsid w:val="00A8669F"/>
    <w:rsid w:val="00A86B53"/>
    <w:rsid w:val="00A86F50"/>
    <w:rsid w:val="00A872BB"/>
    <w:rsid w:val="00A8736B"/>
    <w:rsid w:val="00A8775D"/>
    <w:rsid w:val="00A87B84"/>
    <w:rsid w:val="00A90014"/>
    <w:rsid w:val="00A9058A"/>
    <w:rsid w:val="00A9075A"/>
    <w:rsid w:val="00A90B9B"/>
    <w:rsid w:val="00A90F07"/>
    <w:rsid w:val="00A90F91"/>
    <w:rsid w:val="00A9109C"/>
    <w:rsid w:val="00A9152E"/>
    <w:rsid w:val="00A918AD"/>
    <w:rsid w:val="00A92A92"/>
    <w:rsid w:val="00A932F3"/>
    <w:rsid w:val="00A9361E"/>
    <w:rsid w:val="00A93DFD"/>
    <w:rsid w:val="00A9400A"/>
    <w:rsid w:val="00A94262"/>
    <w:rsid w:val="00A9431F"/>
    <w:rsid w:val="00A949DC"/>
    <w:rsid w:val="00A94B9F"/>
    <w:rsid w:val="00A94F47"/>
    <w:rsid w:val="00A95198"/>
    <w:rsid w:val="00A9527A"/>
    <w:rsid w:val="00A955AB"/>
    <w:rsid w:val="00A95637"/>
    <w:rsid w:val="00A95917"/>
    <w:rsid w:val="00A95A05"/>
    <w:rsid w:val="00A96016"/>
    <w:rsid w:val="00A968E3"/>
    <w:rsid w:val="00A96922"/>
    <w:rsid w:val="00A97364"/>
    <w:rsid w:val="00A9751B"/>
    <w:rsid w:val="00A976EB"/>
    <w:rsid w:val="00A97774"/>
    <w:rsid w:val="00A97AC1"/>
    <w:rsid w:val="00A97CA9"/>
    <w:rsid w:val="00AA08D3"/>
    <w:rsid w:val="00AA0CA6"/>
    <w:rsid w:val="00AA152B"/>
    <w:rsid w:val="00AA186D"/>
    <w:rsid w:val="00AA3221"/>
    <w:rsid w:val="00AA355C"/>
    <w:rsid w:val="00AA3575"/>
    <w:rsid w:val="00AA39AB"/>
    <w:rsid w:val="00AA3E6A"/>
    <w:rsid w:val="00AA4652"/>
    <w:rsid w:val="00AA46C6"/>
    <w:rsid w:val="00AA47A8"/>
    <w:rsid w:val="00AA48F7"/>
    <w:rsid w:val="00AA4C64"/>
    <w:rsid w:val="00AA5B5F"/>
    <w:rsid w:val="00AA5E79"/>
    <w:rsid w:val="00AA64B6"/>
    <w:rsid w:val="00AA65C3"/>
    <w:rsid w:val="00AA68CB"/>
    <w:rsid w:val="00AA70C8"/>
    <w:rsid w:val="00AA71E0"/>
    <w:rsid w:val="00AA723E"/>
    <w:rsid w:val="00AA747F"/>
    <w:rsid w:val="00AB05FD"/>
    <w:rsid w:val="00AB0953"/>
    <w:rsid w:val="00AB12B8"/>
    <w:rsid w:val="00AB15CA"/>
    <w:rsid w:val="00AB16AA"/>
    <w:rsid w:val="00AB19DD"/>
    <w:rsid w:val="00AB1A2A"/>
    <w:rsid w:val="00AB1AB6"/>
    <w:rsid w:val="00AB1C13"/>
    <w:rsid w:val="00AB1F28"/>
    <w:rsid w:val="00AB1FCD"/>
    <w:rsid w:val="00AB2336"/>
    <w:rsid w:val="00AB2720"/>
    <w:rsid w:val="00AB2B91"/>
    <w:rsid w:val="00AB2C2B"/>
    <w:rsid w:val="00AB3043"/>
    <w:rsid w:val="00AB32C3"/>
    <w:rsid w:val="00AB33B9"/>
    <w:rsid w:val="00AB3660"/>
    <w:rsid w:val="00AB3C7E"/>
    <w:rsid w:val="00AB3EC2"/>
    <w:rsid w:val="00AB4110"/>
    <w:rsid w:val="00AB42B0"/>
    <w:rsid w:val="00AB4339"/>
    <w:rsid w:val="00AB4A34"/>
    <w:rsid w:val="00AB4E07"/>
    <w:rsid w:val="00AB4E19"/>
    <w:rsid w:val="00AB4E34"/>
    <w:rsid w:val="00AB4FC5"/>
    <w:rsid w:val="00AB4FCE"/>
    <w:rsid w:val="00AB5291"/>
    <w:rsid w:val="00AB582D"/>
    <w:rsid w:val="00AB620A"/>
    <w:rsid w:val="00AB6A95"/>
    <w:rsid w:val="00AB6D41"/>
    <w:rsid w:val="00AB72C2"/>
    <w:rsid w:val="00AB78D7"/>
    <w:rsid w:val="00AB7CFD"/>
    <w:rsid w:val="00AC000D"/>
    <w:rsid w:val="00AC0558"/>
    <w:rsid w:val="00AC09CB"/>
    <w:rsid w:val="00AC0EDC"/>
    <w:rsid w:val="00AC14A7"/>
    <w:rsid w:val="00AC1564"/>
    <w:rsid w:val="00AC1651"/>
    <w:rsid w:val="00AC1771"/>
    <w:rsid w:val="00AC198C"/>
    <w:rsid w:val="00AC1F37"/>
    <w:rsid w:val="00AC20AD"/>
    <w:rsid w:val="00AC30E4"/>
    <w:rsid w:val="00AC3133"/>
    <w:rsid w:val="00AC3408"/>
    <w:rsid w:val="00AC3B49"/>
    <w:rsid w:val="00AC3ED3"/>
    <w:rsid w:val="00AC3EF4"/>
    <w:rsid w:val="00AC44F5"/>
    <w:rsid w:val="00AC46EC"/>
    <w:rsid w:val="00AC4F4A"/>
    <w:rsid w:val="00AC4F83"/>
    <w:rsid w:val="00AC5717"/>
    <w:rsid w:val="00AC5A68"/>
    <w:rsid w:val="00AC5B5F"/>
    <w:rsid w:val="00AC5B9D"/>
    <w:rsid w:val="00AC7306"/>
    <w:rsid w:val="00AC7ADA"/>
    <w:rsid w:val="00AD02C5"/>
    <w:rsid w:val="00AD04A7"/>
    <w:rsid w:val="00AD1CDE"/>
    <w:rsid w:val="00AD1F86"/>
    <w:rsid w:val="00AD2369"/>
    <w:rsid w:val="00AD2652"/>
    <w:rsid w:val="00AD26B0"/>
    <w:rsid w:val="00AD2946"/>
    <w:rsid w:val="00AD2B11"/>
    <w:rsid w:val="00AD2CF0"/>
    <w:rsid w:val="00AD34B5"/>
    <w:rsid w:val="00AD3DF6"/>
    <w:rsid w:val="00AD3E33"/>
    <w:rsid w:val="00AD3FE4"/>
    <w:rsid w:val="00AD4646"/>
    <w:rsid w:val="00AD4BCD"/>
    <w:rsid w:val="00AD4D58"/>
    <w:rsid w:val="00AD52D9"/>
    <w:rsid w:val="00AD533D"/>
    <w:rsid w:val="00AD53C3"/>
    <w:rsid w:val="00AD5749"/>
    <w:rsid w:val="00AD5BE5"/>
    <w:rsid w:val="00AD656F"/>
    <w:rsid w:val="00AD67C0"/>
    <w:rsid w:val="00AD6A05"/>
    <w:rsid w:val="00AD6DC7"/>
    <w:rsid w:val="00AD730D"/>
    <w:rsid w:val="00AD767D"/>
    <w:rsid w:val="00AD78C6"/>
    <w:rsid w:val="00AD7B02"/>
    <w:rsid w:val="00AD7BD5"/>
    <w:rsid w:val="00AD7BD7"/>
    <w:rsid w:val="00AD7D28"/>
    <w:rsid w:val="00AD7DDC"/>
    <w:rsid w:val="00AE0197"/>
    <w:rsid w:val="00AE0310"/>
    <w:rsid w:val="00AE05A7"/>
    <w:rsid w:val="00AE111A"/>
    <w:rsid w:val="00AE138A"/>
    <w:rsid w:val="00AE2687"/>
    <w:rsid w:val="00AE28FF"/>
    <w:rsid w:val="00AE30BE"/>
    <w:rsid w:val="00AE31CF"/>
    <w:rsid w:val="00AE40F8"/>
    <w:rsid w:val="00AE4320"/>
    <w:rsid w:val="00AE44C7"/>
    <w:rsid w:val="00AE525F"/>
    <w:rsid w:val="00AE5C67"/>
    <w:rsid w:val="00AE5D87"/>
    <w:rsid w:val="00AE61E0"/>
    <w:rsid w:val="00AE6F67"/>
    <w:rsid w:val="00AE7BCA"/>
    <w:rsid w:val="00AE7DCF"/>
    <w:rsid w:val="00AF01A8"/>
    <w:rsid w:val="00AF04BB"/>
    <w:rsid w:val="00AF05F1"/>
    <w:rsid w:val="00AF088A"/>
    <w:rsid w:val="00AF0F47"/>
    <w:rsid w:val="00AF1935"/>
    <w:rsid w:val="00AF20E0"/>
    <w:rsid w:val="00AF20FC"/>
    <w:rsid w:val="00AF2A4E"/>
    <w:rsid w:val="00AF2C35"/>
    <w:rsid w:val="00AF2E10"/>
    <w:rsid w:val="00AF2E17"/>
    <w:rsid w:val="00AF3197"/>
    <w:rsid w:val="00AF32D1"/>
    <w:rsid w:val="00AF3ED6"/>
    <w:rsid w:val="00AF41C9"/>
    <w:rsid w:val="00AF442C"/>
    <w:rsid w:val="00AF46FA"/>
    <w:rsid w:val="00AF4C0F"/>
    <w:rsid w:val="00AF4C42"/>
    <w:rsid w:val="00AF4C74"/>
    <w:rsid w:val="00AF5415"/>
    <w:rsid w:val="00AF5A6F"/>
    <w:rsid w:val="00AF5C86"/>
    <w:rsid w:val="00AF5DB1"/>
    <w:rsid w:val="00AF6440"/>
    <w:rsid w:val="00AF6A18"/>
    <w:rsid w:val="00AF6CF5"/>
    <w:rsid w:val="00AF700E"/>
    <w:rsid w:val="00AF70D9"/>
    <w:rsid w:val="00AF74CA"/>
    <w:rsid w:val="00AF7CDB"/>
    <w:rsid w:val="00B006AE"/>
    <w:rsid w:val="00B006F4"/>
    <w:rsid w:val="00B00D56"/>
    <w:rsid w:val="00B01060"/>
    <w:rsid w:val="00B01981"/>
    <w:rsid w:val="00B01E39"/>
    <w:rsid w:val="00B01F0D"/>
    <w:rsid w:val="00B020BF"/>
    <w:rsid w:val="00B0274B"/>
    <w:rsid w:val="00B029CB"/>
    <w:rsid w:val="00B02D65"/>
    <w:rsid w:val="00B02D72"/>
    <w:rsid w:val="00B02E2D"/>
    <w:rsid w:val="00B02FA5"/>
    <w:rsid w:val="00B0328B"/>
    <w:rsid w:val="00B03735"/>
    <w:rsid w:val="00B0377B"/>
    <w:rsid w:val="00B03879"/>
    <w:rsid w:val="00B03CB8"/>
    <w:rsid w:val="00B03D75"/>
    <w:rsid w:val="00B04194"/>
    <w:rsid w:val="00B0421C"/>
    <w:rsid w:val="00B043FD"/>
    <w:rsid w:val="00B044ED"/>
    <w:rsid w:val="00B0486D"/>
    <w:rsid w:val="00B04AF8"/>
    <w:rsid w:val="00B0507E"/>
    <w:rsid w:val="00B0550E"/>
    <w:rsid w:val="00B058BC"/>
    <w:rsid w:val="00B05BFC"/>
    <w:rsid w:val="00B05DF5"/>
    <w:rsid w:val="00B05F63"/>
    <w:rsid w:val="00B06181"/>
    <w:rsid w:val="00B064FD"/>
    <w:rsid w:val="00B06578"/>
    <w:rsid w:val="00B065DA"/>
    <w:rsid w:val="00B066D4"/>
    <w:rsid w:val="00B0691A"/>
    <w:rsid w:val="00B0691D"/>
    <w:rsid w:val="00B06BAB"/>
    <w:rsid w:val="00B07046"/>
    <w:rsid w:val="00B07808"/>
    <w:rsid w:val="00B07ED4"/>
    <w:rsid w:val="00B101C1"/>
    <w:rsid w:val="00B10250"/>
    <w:rsid w:val="00B10E05"/>
    <w:rsid w:val="00B115F5"/>
    <w:rsid w:val="00B11DB3"/>
    <w:rsid w:val="00B11F8D"/>
    <w:rsid w:val="00B12082"/>
    <w:rsid w:val="00B12783"/>
    <w:rsid w:val="00B12E19"/>
    <w:rsid w:val="00B12FAC"/>
    <w:rsid w:val="00B1336C"/>
    <w:rsid w:val="00B13438"/>
    <w:rsid w:val="00B146DE"/>
    <w:rsid w:val="00B1470F"/>
    <w:rsid w:val="00B148CE"/>
    <w:rsid w:val="00B14A2B"/>
    <w:rsid w:val="00B14FFD"/>
    <w:rsid w:val="00B15566"/>
    <w:rsid w:val="00B15C35"/>
    <w:rsid w:val="00B15EC2"/>
    <w:rsid w:val="00B15FD7"/>
    <w:rsid w:val="00B16AFB"/>
    <w:rsid w:val="00B170F5"/>
    <w:rsid w:val="00B17256"/>
    <w:rsid w:val="00B177D7"/>
    <w:rsid w:val="00B17DF2"/>
    <w:rsid w:val="00B17E09"/>
    <w:rsid w:val="00B17E98"/>
    <w:rsid w:val="00B20A18"/>
    <w:rsid w:val="00B20BD1"/>
    <w:rsid w:val="00B20D93"/>
    <w:rsid w:val="00B21272"/>
    <w:rsid w:val="00B2137E"/>
    <w:rsid w:val="00B21F76"/>
    <w:rsid w:val="00B226CB"/>
    <w:rsid w:val="00B237C2"/>
    <w:rsid w:val="00B247B4"/>
    <w:rsid w:val="00B2495B"/>
    <w:rsid w:val="00B24A65"/>
    <w:rsid w:val="00B24FE8"/>
    <w:rsid w:val="00B25040"/>
    <w:rsid w:val="00B2538D"/>
    <w:rsid w:val="00B259E3"/>
    <w:rsid w:val="00B259E9"/>
    <w:rsid w:val="00B263CF"/>
    <w:rsid w:val="00B264A9"/>
    <w:rsid w:val="00B26676"/>
    <w:rsid w:val="00B26B96"/>
    <w:rsid w:val="00B26D6F"/>
    <w:rsid w:val="00B2723A"/>
    <w:rsid w:val="00B273B4"/>
    <w:rsid w:val="00B278DF"/>
    <w:rsid w:val="00B27A86"/>
    <w:rsid w:val="00B3027A"/>
    <w:rsid w:val="00B306B2"/>
    <w:rsid w:val="00B307C7"/>
    <w:rsid w:val="00B30962"/>
    <w:rsid w:val="00B30BD5"/>
    <w:rsid w:val="00B30DF6"/>
    <w:rsid w:val="00B30F7E"/>
    <w:rsid w:val="00B31022"/>
    <w:rsid w:val="00B316FF"/>
    <w:rsid w:val="00B317EB"/>
    <w:rsid w:val="00B31D24"/>
    <w:rsid w:val="00B31E9B"/>
    <w:rsid w:val="00B3215F"/>
    <w:rsid w:val="00B325AF"/>
    <w:rsid w:val="00B32835"/>
    <w:rsid w:val="00B329F5"/>
    <w:rsid w:val="00B32C33"/>
    <w:rsid w:val="00B32E6D"/>
    <w:rsid w:val="00B334E6"/>
    <w:rsid w:val="00B3366C"/>
    <w:rsid w:val="00B336D0"/>
    <w:rsid w:val="00B3382F"/>
    <w:rsid w:val="00B33C41"/>
    <w:rsid w:val="00B3418E"/>
    <w:rsid w:val="00B3432C"/>
    <w:rsid w:val="00B345B7"/>
    <w:rsid w:val="00B34BF5"/>
    <w:rsid w:val="00B34C56"/>
    <w:rsid w:val="00B34CF8"/>
    <w:rsid w:val="00B350D0"/>
    <w:rsid w:val="00B358FC"/>
    <w:rsid w:val="00B35983"/>
    <w:rsid w:val="00B35A48"/>
    <w:rsid w:val="00B35F68"/>
    <w:rsid w:val="00B363CD"/>
    <w:rsid w:val="00B36D7B"/>
    <w:rsid w:val="00B36DB6"/>
    <w:rsid w:val="00B36F81"/>
    <w:rsid w:val="00B372D0"/>
    <w:rsid w:val="00B37459"/>
    <w:rsid w:val="00B3766B"/>
    <w:rsid w:val="00B37707"/>
    <w:rsid w:val="00B377D6"/>
    <w:rsid w:val="00B3783F"/>
    <w:rsid w:val="00B4007A"/>
    <w:rsid w:val="00B4045A"/>
    <w:rsid w:val="00B408CC"/>
    <w:rsid w:val="00B4097A"/>
    <w:rsid w:val="00B40DEA"/>
    <w:rsid w:val="00B410F4"/>
    <w:rsid w:val="00B4148E"/>
    <w:rsid w:val="00B417BE"/>
    <w:rsid w:val="00B41948"/>
    <w:rsid w:val="00B41E3D"/>
    <w:rsid w:val="00B42152"/>
    <w:rsid w:val="00B4235F"/>
    <w:rsid w:val="00B42470"/>
    <w:rsid w:val="00B4254C"/>
    <w:rsid w:val="00B42EA6"/>
    <w:rsid w:val="00B42F0C"/>
    <w:rsid w:val="00B42FAE"/>
    <w:rsid w:val="00B43C5F"/>
    <w:rsid w:val="00B43FE2"/>
    <w:rsid w:val="00B44036"/>
    <w:rsid w:val="00B4407D"/>
    <w:rsid w:val="00B4429C"/>
    <w:rsid w:val="00B44501"/>
    <w:rsid w:val="00B4473D"/>
    <w:rsid w:val="00B448D0"/>
    <w:rsid w:val="00B453CF"/>
    <w:rsid w:val="00B4570C"/>
    <w:rsid w:val="00B4583D"/>
    <w:rsid w:val="00B46520"/>
    <w:rsid w:val="00B46C1A"/>
    <w:rsid w:val="00B46D00"/>
    <w:rsid w:val="00B473B8"/>
    <w:rsid w:val="00B476C7"/>
    <w:rsid w:val="00B47CD5"/>
    <w:rsid w:val="00B47E43"/>
    <w:rsid w:val="00B47EB5"/>
    <w:rsid w:val="00B47FC7"/>
    <w:rsid w:val="00B50773"/>
    <w:rsid w:val="00B50BDA"/>
    <w:rsid w:val="00B50D43"/>
    <w:rsid w:val="00B50E75"/>
    <w:rsid w:val="00B5167D"/>
    <w:rsid w:val="00B5173B"/>
    <w:rsid w:val="00B51919"/>
    <w:rsid w:val="00B52A61"/>
    <w:rsid w:val="00B52C89"/>
    <w:rsid w:val="00B531F3"/>
    <w:rsid w:val="00B5364E"/>
    <w:rsid w:val="00B537D4"/>
    <w:rsid w:val="00B53811"/>
    <w:rsid w:val="00B5395E"/>
    <w:rsid w:val="00B53C58"/>
    <w:rsid w:val="00B53E99"/>
    <w:rsid w:val="00B54229"/>
    <w:rsid w:val="00B5463D"/>
    <w:rsid w:val="00B55737"/>
    <w:rsid w:val="00B5589F"/>
    <w:rsid w:val="00B55FC1"/>
    <w:rsid w:val="00B56261"/>
    <w:rsid w:val="00B56F2F"/>
    <w:rsid w:val="00B57068"/>
    <w:rsid w:val="00B5750C"/>
    <w:rsid w:val="00B57644"/>
    <w:rsid w:val="00B601CE"/>
    <w:rsid w:val="00B6035E"/>
    <w:rsid w:val="00B604D6"/>
    <w:rsid w:val="00B607B2"/>
    <w:rsid w:val="00B60C29"/>
    <w:rsid w:val="00B60E17"/>
    <w:rsid w:val="00B610BA"/>
    <w:rsid w:val="00B612BB"/>
    <w:rsid w:val="00B61401"/>
    <w:rsid w:val="00B61910"/>
    <w:rsid w:val="00B61AF3"/>
    <w:rsid w:val="00B62EC5"/>
    <w:rsid w:val="00B62ED5"/>
    <w:rsid w:val="00B62F94"/>
    <w:rsid w:val="00B63C5A"/>
    <w:rsid w:val="00B63E6B"/>
    <w:rsid w:val="00B643DC"/>
    <w:rsid w:val="00B6441B"/>
    <w:rsid w:val="00B64732"/>
    <w:rsid w:val="00B6482C"/>
    <w:rsid w:val="00B64F93"/>
    <w:rsid w:val="00B6516A"/>
    <w:rsid w:val="00B6597F"/>
    <w:rsid w:val="00B65B14"/>
    <w:rsid w:val="00B65B60"/>
    <w:rsid w:val="00B663D0"/>
    <w:rsid w:val="00B663E3"/>
    <w:rsid w:val="00B66FB4"/>
    <w:rsid w:val="00B673C2"/>
    <w:rsid w:val="00B674E5"/>
    <w:rsid w:val="00B678FE"/>
    <w:rsid w:val="00B679AD"/>
    <w:rsid w:val="00B70238"/>
    <w:rsid w:val="00B7041C"/>
    <w:rsid w:val="00B705A0"/>
    <w:rsid w:val="00B70CE7"/>
    <w:rsid w:val="00B70EBB"/>
    <w:rsid w:val="00B7111B"/>
    <w:rsid w:val="00B7142B"/>
    <w:rsid w:val="00B71747"/>
    <w:rsid w:val="00B719F9"/>
    <w:rsid w:val="00B71DE4"/>
    <w:rsid w:val="00B7200D"/>
    <w:rsid w:val="00B727A0"/>
    <w:rsid w:val="00B730BF"/>
    <w:rsid w:val="00B7319F"/>
    <w:rsid w:val="00B73205"/>
    <w:rsid w:val="00B7326B"/>
    <w:rsid w:val="00B7387C"/>
    <w:rsid w:val="00B7393A"/>
    <w:rsid w:val="00B73C96"/>
    <w:rsid w:val="00B7412A"/>
    <w:rsid w:val="00B74A9F"/>
    <w:rsid w:val="00B7568C"/>
    <w:rsid w:val="00B75E08"/>
    <w:rsid w:val="00B7681C"/>
    <w:rsid w:val="00B7698B"/>
    <w:rsid w:val="00B769F0"/>
    <w:rsid w:val="00B76B20"/>
    <w:rsid w:val="00B76B3A"/>
    <w:rsid w:val="00B76BF4"/>
    <w:rsid w:val="00B76D6C"/>
    <w:rsid w:val="00B77BBD"/>
    <w:rsid w:val="00B77C1D"/>
    <w:rsid w:val="00B77FA2"/>
    <w:rsid w:val="00B800D1"/>
    <w:rsid w:val="00B8069D"/>
    <w:rsid w:val="00B807D2"/>
    <w:rsid w:val="00B80A5C"/>
    <w:rsid w:val="00B80BF3"/>
    <w:rsid w:val="00B80FCF"/>
    <w:rsid w:val="00B81379"/>
    <w:rsid w:val="00B81740"/>
    <w:rsid w:val="00B81D22"/>
    <w:rsid w:val="00B82378"/>
    <w:rsid w:val="00B825B1"/>
    <w:rsid w:val="00B82BC7"/>
    <w:rsid w:val="00B830C7"/>
    <w:rsid w:val="00B83D55"/>
    <w:rsid w:val="00B83D98"/>
    <w:rsid w:val="00B84099"/>
    <w:rsid w:val="00B8450C"/>
    <w:rsid w:val="00B84534"/>
    <w:rsid w:val="00B8462E"/>
    <w:rsid w:val="00B848BA"/>
    <w:rsid w:val="00B84D1B"/>
    <w:rsid w:val="00B85090"/>
    <w:rsid w:val="00B85356"/>
    <w:rsid w:val="00B855EA"/>
    <w:rsid w:val="00B8692F"/>
    <w:rsid w:val="00B86CF5"/>
    <w:rsid w:val="00B8754B"/>
    <w:rsid w:val="00B87D92"/>
    <w:rsid w:val="00B9087D"/>
    <w:rsid w:val="00B910C2"/>
    <w:rsid w:val="00B910FC"/>
    <w:rsid w:val="00B918FD"/>
    <w:rsid w:val="00B91CCA"/>
    <w:rsid w:val="00B92336"/>
    <w:rsid w:val="00B929FB"/>
    <w:rsid w:val="00B92AB1"/>
    <w:rsid w:val="00B92E43"/>
    <w:rsid w:val="00B92FF0"/>
    <w:rsid w:val="00B937A6"/>
    <w:rsid w:val="00B93A6C"/>
    <w:rsid w:val="00B93BB4"/>
    <w:rsid w:val="00B94055"/>
    <w:rsid w:val="00B9409D"/>
    <w:rsid w:val="00B94413"/>
    <w:rsid w:val="00B9479E"/>
    <w:rsid w:val="00B94AEE"/>
    <w:rsid w:val="00B94F06"/>
    <w:rsid w:val="00B94F2C"/>
    <w:rsid w:val="00B959A3"/>
    <w:rsid w:val="00B96A21"/>
    <w:rsid w:val="00B9775E"/>
    <w:rsid w:val="00B979B2"/>
    <w:rsid w:val="00BA0371"/>
    <w:rsid w:val="00BA06B8"/>
    <w:rsid w:val="00BA1726"/>
    <w:rsid w:val="00BA21CD"/>
    <w:rsid w:val="00BA2257"/>
    <w:rsid w:val="00BA225D"/>
    <w:rsid w:val="00BA2354"/>
    <w:rsid w:val="00BA28C6"/>
    <w:rsid w:val="00BA2C67"/>
    <w:rsid w:val="00BA3A12"/>
    <w:rsid w:val="00BA3A2F"/>
    <w:rsid w:val="00BA3B13"/>
    <w:rsid w:val="00BA415E"/>
    <w:rsid w:val="00BA4409"/>
    <w:rsid w:val="00BA45BE"/>
    <w:rsid w:val="00BA48D2"/>
    <w:rsid w:val="00BA48FE"/>
    <w:rsid w:val="00BA4B6F"/>
    <w:rsid w:val="00BA5318"/>
    <w:rsid w:val="00BA56A5"/>
    <w:rsid w:val="00BA56AF"/>
    <w:rsid w:val="00BA571C"/>
    <w:rsid w:val="00BA5D08"/>
    <w:rsid w:val="00BA5F9D"/>
    <w:rsid w:val="00BA7B91"/>
    <w:rsid w:val="00BA7C22"/>
    <w:rsid w:val="00BA7EE2"/>
    <w:rsid w:val="00BB054C"/>
    <w:rsid w:val="00BB0A9C"/>
    <w:rsid w:val="00BB0AFF"/>
    <w:rsid w:val="00BB0B61"/>
    <w:rsid w:val="00BB101C"/>
    <w:rsid w:val="00BB110B"/>
    <w:rsid w:val="00BB1783"/>
    <w:rsid w:val="00BB17F8"/>
    <w:rsid w:val="00BB20EE"/>
    <w:rsid w:val="00BB2551"/>
    <w:rsid w:val="00BB27CA"/>
    <w:rsid w:val="00BB2BCF"/>
    <w:rsid w:val="00BB3AB1"/>
    <w:rsid w:val="00BB3C89"/>
    <w:rsid w:val="00BB4602"/>
    <w:rsid w:val="00BB4980"/>
    <w:rsid w:val="00BB4AAB"/>
    <w:rsid w:val="00BB5B2B"/>
    <w:rsid w:val="00BB5E91"/>
    <w:rsid w:val="00BB5EB6"/>
    <w:rsid w:val="00BB682A"/>
    <w:rsid w:val="00BB6F89"/>
    <w:rsid w:val="00BB725A"/>
    <w:rsid w:val="00BB7832"/>
    <w:rsid w:val="00BC0350"/>
    <w:rsid w:val="00BC0430"/>
    <w:rsid w:val="00BC10C2"/>
    <w:rsid w:val="00BC1A3B"/>
    <w:rsid w:val="00BC2B0F"/>
    <w:rsid w:val="00BC2D38"/>
    <w:rsid w:val="00BC2E39"/>
    <w:rsid w:val="00BC2EE7"/>
    <w:rsid w:val="00BC30C1"/>
    <w:rsid w:val="00BC30ED"/>
    <w:rsid w:val="00BC32BD"/>
    <w:rsid w:val="00BC3304"/>
    <w:rsid w:val="00BC372D"/>
    <w:rsid w:val="00BC3BC9"/>
    <w:rsid w:val="00BC3CBE"/>
    <w:rsid w:val="00BC3E25"/>
    <w:rsid w:val="00BC3FCC"/>
    <w:rsid w:val="00BC42EB"/>
    <w:rsid w:val="00BC46BC"/>
    <w:rsid w:val="00BC481F"/>
    <w:rsid w:val="00BC49B4"/>
    <w:rsid w:val="00BC4DFD"/>
    <w:rsid w:val="00BC4F63"/>
    <w:rsid w:val="00BC5D66"/>
    <w:rsid w:val="00BC5DD5"/>
    <w:rsid w:val="00BC5E4C"/>
    <w:rsid w:val="00BC65C0"/>
    <w:rsid w:val="00BC69D1"/>
    <w:rsid w:val="00BC6BE9"/>
    <w:rsid w:val="00BC6E6E"/>
    <w:rsid w:val="00BC7094"/>
    <w:rsid w:val="00BC70AF"/>
    <w:rsid w:val="00BC712E"/>
    <w:rsid w:val="00BD0435"/>
    <w:rsid w:val="00BD05AA"/>
    <w:rsid w:val="00BD0640"/>
    <w:rsid w:val="00BD0CBE"/>
    <w:rsid w:val="00BD1588"/>
    <w:rsid w:val="00BD18CE"/>
    <w:rsid w:val="00BD1BDB"/>
    <w:rsid w:val="00BD2022"/>
    <w:rsid w:val="00BD25EA"/>
    <w:rsid w:val="00BD2D56"/>
    <w:rsid w:val="00BD2FA7"/>
    <w:rsid w:val="00BD2FE9"/>
    <w:rsid w:val="00BD3618"/>
    <w:rsid w:val="00BD3B07"/>
    <w:rsid w:val="00BD3DC9"/>
    <w:rsid w:val="00BD41A8"/>
    <w:rsid w:val="00BD4B5A"/>
    <w:rsid w:val="00BD4B68"/>
    <w:rsid w:val="00BD5233"/>
    <w:rsid w:val="00BD58F4"/>
    <w:rsid w:val="00BD6040"/>
    <w:rsid w:val="00BD611F"/>
    <w:rsid w:val="00BD6201"/>
    <w:rsid w:val="00BD6276"/>
    <w:rsid w:val="00BD6514"/>
    <w:rsid w:val="00BD658B"/>
    <w:rsid w:val="00BD677D"/>
    <w:rsid w:val="00BD68A9"/>
    <w:rsid w:val="00BD6A9B"/>
    <w:rsid w:val="00BD6F1B"/>
    <w:rsid w:val="00BD73D7"/>
    <w:rsid w:val="00BD7B29"/>
    <w:rsid w:val="00BE0534"/>
    <w:rsid w:val="00BE0DAA"/>
    <w:rsid w:val="00BE0E0B"/>
    <w:rsid w:val="00BE12C8"/>
    <w:rsid w:val="00BE1B2C"/>
    <w:rsid w:val="00BE1B5A"/>
    <w:rsid w:val="00BE1C12"/>
    <w:rsid w:val="00BE218B"/>
    <w:rsid w:val="00BE289F"/>
    <w:rsid w:val="00BE29E3"/>
    <w:rsid w:val="00BE379E"/>
    <w:rsid w:val="00BE4908"/>
    <w:rsid w:val="00BE4CB0"/>
    <w:rsid w:val="00BE4DAF"/>
    <w:rsid w:val="00BE5301"/>
    <w:rsid w:val="00BE53D6"/>
    <w:rsid w:val="00BE5591"/>
    <w:rsid w:val="00BE57E5"/>
    <w:rsid w:val="00BE5941"/>
    <w:rsid w:val="00BE5EF9"/>
    <w:rsid w:val="00BE62D5"/>
    <w:rsid w:val="00BE748F"/>
    <w:rsid w:val="00BE7A15"/>
    <w:rsid w:val="00BE7A8A"/>
    <w:rsid w:val="00BE7E58"/>
    <w:rsid w:val="00BF001F"/>
    <w:rsid w:val="00BF00D5"/>
    <w:rsid w:val="00BF0173"/>
    <w:rsid w:val="00BF0587"/>
    <w:rsid w:val="00BF05A2"/>
    <w:rsid w:val="00BF17BA"/>
    <w:rsid w:val="00BF183B"/>
    <w:rsid w:val="00BF20F8"/>
    <w:rsid w:val="00BF2AAD"/>
    <w:rsid w:val="00BF2EE4"/>
    <w:rsid w:val="00BF316B"/>
    <w:rsid w:val="00BF3218"/>
    <w:rsid w:val="00BF3E30"/>
    <w:rsid w:val="00BF426A"/>
    <w:rsid w:val="00BF4A8F"/>
    <w:rsid w:val="00BF52F0"/>
    <w:rsid w:val="00BF5337"/>
    <w:rsid w:val="00BF54E6"/>
    <w:rsid w:val="00BF58D8"/>
    <w:rsid w:val="00BF5DCF"/>
    <w:rsid w:val="00BF6468"/>
    <w:rsid w:val="00BF64BE"/>
    <w:rsid w:val="00BF6541"/>
    <w:rsid w:val="00BF6687"/>
    <w:rsid w:val="00BF6A3F"/>
    <w:rsid w:val="00BF758A"/>
    <w:rsid w:val="00BF7B43"/>
    <w:rsid w:val="00C005F2"/>
    <w:rsid w:val="00C008F0"/>
    <w:rsid w:val="00C00F89"/>
    <w:rsid w:val="00C013B5"/>
    <w:rsid w:val="00C02084"/>
    <w:rsid w:val="00C02288"/>
    <w:rsid w:val="00C026CC"/>
    <w:rsid w:val="00C02872"/>
    <w:rsid w:val="00C02B51"/>
    <w:rsid w:val="00C02BDF"/>
    <w:rsid w:val="00C035B6"/>
    <w:rsid w:val="00C037CF"/>
    <w:rsid w:val="00C03E14"/>
    <w:rsid w:val="00C03EC8"/>
    <w:rsid w:val="00C03ECD"/>
    <w:rsid w:val="00C0419C"/>
    <w:rsid w:val="00C0422A"/>
    <w:rsid w:val="00C04377"/>
    <w:rsid w:val="00C04857"/>
    <w:rsid w:val="00C04C8F"/>
    <w:rsid w:val="00C04E8F"/>
    <w:rsid w:val="00C051F2"/>
    <w:rsid w:val="00C05D52"/>
    <w:rsid w:val="00C06723"/>
    <w:rsid w:val="00C06BAF"/>
    <w:rsid w:val="00C06E56"/>
    <w:rsid w:val="00C072DA"/>
    <w:rsid w:val="00C07A9D"/>
    <w:rsid w:val="00C07B2B"/>
    <w:rsid w:val="00C07D12"/>
    <w:rsid w:val="00C10294"/>
    <w:rsid w:val="00C1070F"/>
    <w:rsid w:val="00C10731"/>
    <w:rsid w:val="00C10807"/>
    <w:rsid w:val="00C10B85"/>
    <w:rsid w:val="00C10BA1"/>
    <w:rsid w:val="00C112BC"/>
    <w:rsid w:val="00C115E7"/>
    <w:rsid w:val="00C1189E"/>
    <w:rsid w:val="00C11A16"/>
    <w:rsid w:val="00C11B3A"/>
    <w:rsid w:val="00C12433"/>
    <w:rsid w:val="00C1280E"/>
    <w:rsid w:val="00C13462"/>
    <w:rsid w:val="00C1350F"/>
    <w:rsid w:val="00C13951"/>
    <w:rsid w:val="00C13992"/>
    <w:rsid w:val="00C13BF6"/>
    <w:rsid w:val="00C13C1D"/>
    <w:rsid w:val="00C1406E"/>
    <w:rsid w:val="00C141A1"/>
    <w:rsid w:val="00C14226"/>
    <w:rsid w:val="00C147DD"/>
    <w:rsid w:val="00C14DCE"/>
    <w:rsid w:val="00C15017"/>
    <w:rsid w:val="00C15156"/>
    <w:rsid w:val="00C15313"/>
    <w:rsid w:val="00C154A2"/>
    <w:rsid w:val="00C16751"/>
    <w:rsid w:val="00C16D3B"/>
    <w:rsid w:val="00C170B9"/>
    <w:rsid w:val="00C17586"/>
    <w:rsid w:val="00C17DEC"/>
    <w:rsid w:val="00C2072D"/>
    <w:rsid w:val="00C2096F"/>
    <w:rsid w:val="00C21599"/>
    <w:rsid w:val="00C215E1"/>
    <w:rsid w:val="00C21BE5"/>
    <w:rsid w:val="00C21DC2"/>
    <w:rsid w:val="00C22F8C"/>
    <w:rsid w:val="00C23450"/>
    <w:rsid w:val="00C23900"/>
    <w:rsid w:val="00C24420"/>
    <w:rsid w:val="00C244E9"/>
    <w:rsid w:val="00C245BE"/>
    <w:rsid w:val="00C249C0"/>
    <w:rsid w:val="00C24B4F"/>
    <w:rsid w:val="00C25064"/>
    <w:rsid w:val="00C25240"/>
    <w:rsid w:val="00C25301"/>
    <w:rsid w:val="00C25A02"/>
    <w:rsid w:val="00C25D09"/>
    <w:rsid w:val="00C26145"/>
    <w:rsid w:val="00C269C3"/>
    <w:rsid w:val="00C26A70"/>
    <w:rsid w:val="00C26BF2"/>
    <w:rsid w:val="00C27362"/>
    <w:rsid w:val="00C30014"/>
    <w:rsid w:val="00C30900"/>
    <w:rsid w:val="00C30E11"/>
    <w:rsid w:val="00C31082"/>
    <w:rsid w:val="00C31290"/>
    <w:rsid w:val="00C316AE"/>
    <w:rsid w:val="00C31B7A"/>
    <w:rsid w:val="00C31EF5"/>
    <w:rsid w:val="00C321D3"/>
    <w:rsid w:val="00C3256B"/>
    <w:rsid w:val="00C325CB"/>
    <w:rsid w:val="00C3289B"/>
    <w:rsid w:val="00C337FB"/>
    <w:rsid w:val="00C33FAC"/>
    <w:rsid w:val="00C3457F"/>
    <w:rsid w:val="00C34B8C"/>
    <w:rsid w:val="00C34B9C"/>
    <w:rsid w:val="00C352A5"/>
    <w:rsid w:val="00C35696"/>
    <w:rsid w:val="00C35B4E"/>
    <w:rsid w:val="00C35CE9"/>
    <w:rsid w:val="00C35F2F"/>
    <w:rsid w:val="00C36299"/>
    <w:rsid w:val="00C36349"/>
    <w:rsid w:val="00C36569"/>
    <w:rsid w:val="00C36CAE"/>
    <w:rsid w:val="00C36D15"/>
    <w:rsid w:val="00C36DEE"/>
    <w:rsid w:val="00C37C81"/>
    <w:rsid w:val="00C37E49"/>
    <w:rsid w:val="00C37E53"/>
    <w:rsid w:val="00C40225"/>
    <w:rsid w:val="00C402EA"/>
    <w:rsid w:val="00C40466"/>
    <w:rsid w:val="00C4073D"/>
    <w:rsid w:val="00C40C69"/>
    <w:rsid w:val="00C40E2A"/>
    <w:rsid w:val="00C41584"/>
    <w:rsid w:val="00C41A54"/>
    <w:rsid w:val="00C423DD"/>
    <w:rsid w:val="00C424A4"/>
    <w:rsid w:val="00C42763"/>
    <w:rsid w:val="00C42837"/>
    <w:rsid w:val="00C42C27"/>
    <w:rsid w:val="00C42FF9"/>
    <w:rsid w:val="00C43AEC"/>
    <w:rsid w:val="00C43B56"/>
    <w:rsid w:val="00C44510"/>
    <w:rsid w:val="00C44661"/>
    <w:rsid w:val="00C455CF"/>
    <w:rsid w:val="00C45986"/>
    <w:rsid w:val="00C45E08"/>
    <w:rsid w:val="00C4608A"/>
    <w:rsid w:val="00C46873"/>
    <w:rsid w:val="00C469F3"/>
    <w:rsid w:val="00C4722C"/>
    <w:rsid w:val="00C47540"/>
    <w:rsid w:val="00C47A99"/>
    <w:rsid w:val="00C47C80"/>
    <w:rsid w:val="00C47E4A"/>
    <w:rsid w:val="00C500C2"/>
    <w:rsid w:val="00C503BE"/>
    <w:rsid w:val="00C50913"/>
    <w:rsid w:val="00C509B9"/>
    <w:rsid w:val="00C50F4C"/>
    <w:rsid w:val="00C50FFD"/>
    <w:rsid w:val="00C51000"/>
    <w:rsid w:val="00C510C4"/>
    <w:rsid w:val="00C51490"/>
    <w:rsid w:val="00C5163E"/>
    <w:rsid w:val="00C517C6"/>
    <w:rsid w:val="00C51A0B"/>
    <w:rsid w:val="00C52906"/>
    <w:rsid w:val="00C529F0"/>
    <w:rsid w:val="00C52C2C"/>
    <w:rsid w:val="00C53044"/>
    <w:rsid w:val="00C540AD"/>
    <w:rsid w:val="00C540CB"/>
    <w:rsid w:val="00C555C5"/>
    <w:rsid w:val="00C5584A"/>
    <w:rsid w:val="00C5592F"/>
    <w:rsid w:val="00C5604A"/>
    <w:rsid w:val="00C56391"/>
    <w:rsid w:val="00C564E7"/>
    <w:rsid w:val="00C569B9"/>
    <w:rsid w:val="00C571D6"/>
    <w:rsid w:val="00C57C29"/>
    <w:rsid w:val="00C57C5C"/>
    <w:rsid w:val="00C57DE2"/>
    <w:rsid w:val="00C605BF"/>
    <w:rsid w:val="00C60971"/>
    <w:rsid w:val="00C60DC5"/>
    <w:rsid w:val="00C611AF"/>
    <w:rsid w:val="00C6155E"/>
    <w:rsid w:val="00C616F5"/>
    <w:rsid w:val="00C61B88"/>
    <w:rsid w:val="00C61BBC"/>
    <w:rsid w:val="00C6219E"/>
    <w:rsid w:val="00C622E1"/>
    <w:rsid w:val="00C6241F"/>
    <w:rsid w:val="00C62563"/>
    <w:rsid w:val="00C628D3"/>
    <w:rsid w:val="00C6311F"/>
    <w:rsid w:val="00C6382C"/>
    <w:rsid w:val="00C63F03"/>
    <w:rsid w:val="00C64402"/>
    <w:rsid w:val="00C64429"/>
    <w:rsid w:val="00C64BA3"/>
    <w:rsid w:val="00C64E5C"/>
    <w:rsid w:val="00C652E6"/>
    <w:rsid w:val="00C654AB"/>
    <w:rsid w:val="00C65687"/>
    <w:rsid w:val="00C659E7"/>
    <w:rsid w:val="00C66752"/>
    <w:rsid w:val="00C66AA2"/>
    <w:rsid w:val="00C67460"/>
    <w:rsid w:val="00C67848"/>
    <w:rsid w:val="00C70697"/>
    <w:rsid w:val="00C708B6"/>
    <w:rsid w:val="00C70971"/>
    <w:rsid w:val="00C70995"/>
    <w:rsid w:val="00C70B2F"/>
    <w:rsid w:val="00C70E81"/>
    <w:rsid w:val="00C712F8"/>
    <w:rsid w:val="00C71389"/>
    <w:rsid w:val="00C714C1"/>
    <w:rsid w:val="00C7155F"/>
    <w:rsid w:val="00C71606"/>
    <w:rsid w:val="00C71609"/>
    <w:rsid w:val="00C7176D"/>
    <w:rsid w:val="00C71B88"/>
    <w:rsid w:val="00C71C3C"/>
    <w:rsid w:val="00C72386"/>
    <w:rsid w:val="00C7243D"/>
    <w:rsid w:val="00C72522"/>
    <w:rsid w:val="00C72D64"/>
    <w:rsid w:val="00C730B8"/>
    <w:rsid w:val="00C7313B"/>
    <w:rsid w:val="00C73B19"/>
    <w:rsid w:val="00C73D86"/>
    <w:rsid w:val="00C73EEC"/>
    <w:rsid w:val="00C73F39"/>
    <w:rsid w:val="00C73F5D"/>
    <w:rsid w:val="00C74170"/>
    <w:rsid w:val="00C746A8"/>
    <w:rsid w:val="00C74774"/>
    <w:rsid w:val="00C74868"/>
    <w:rsid w:val="00C74D58"/>
    <w:rsid w:val="00C75915"/>
    <w:rsid w:val="00C76837"/>
    <w:rsid w:val="00C77802"/>
    <w:rsid w:val="00C77AA4"/>
    <w:rsid w:val="00C77F2C"/>
    <w:rsid w:val="00C803B9"/>
    <w:rsid w:val="00C80765"/>
    <w:rsid w:val="00C818CA"/>
    <w:rsid w:val="00C81907"/>
    <w:rsid w:val="00C81B3D"/>
    <w:rsid w:val="00C81CF4"/>
    <w:rsid w:val="00C821AC"/>
    <w:rsid w:val="00C82AE6"/>
    <w:rsid w:val="00C82BC5"/>
    <w:rsid w:val="00C83D15"/>
    <w:rsid w:val="00C84161"/>
    <w:rsid w:val="00C84194"/>
    <w:rsid w:val="00C841BC"/>
    <w:rsid w:val="00C845C4"/>
    <w:rsid w:val="00C84CBE"/>
    <w:rsid w:val="00C85089"/>
    <w:rsid w:val="00C85156"/>
    <w:rsid w:val="00C8530E"/>
    <w:rsid w:val="00C86895"/>
    <w:rsid w:val="00C8692F"/>
    <w:rsid w:val="00C86C48"/>
    <w:rsid w:val="00C87129"/>
    <w:rsid w:val="00C87470"/>
    <w:rsid w:val="00C8753F"/>
    <w:rsid w:val="00C87D3C"/>
    <w:rsid w:val="00C87DC0"/>
    <w:rsid w:val="00C9002C"/>
    <w:rsid w:val="00C90294"/>
    <w:rsid w:val="00C90C69"/>
    <w:rsid w:val="00C91415"/>
    <w:rsid w:val="00C91657"/>
    <w:rsid w:val="00C9206A"/>
    <w:rsid w:val="00C9248C"/>
    <w:rsid w:val="00C92504"/>
    <w:rsid w:val="00C9298B"/>
    <w:rsid w:val="00C92B11"/>
    <w:rsid w:val="00C92E38"/>
    <w:rsid w:val="00C9303F"/>
    <w:rsid w:val="00C93A23"/>
    <w:rsid w:val="00C93C64"/>
    <w:rsid w:val="00C945E9"/>
    <w:rsid w:val="00C9464E"/>
    <w:rsid w:val="00C94AD2"/>
    <w:rsid w:val="00C94C1E"/>
    <w:rsid w:val="00C94D6B"/>
    <w:rsid w:val="00C95639"/>
    <w:rsid w:val="00C9586B"/>
    <w:rsid w:val="00C959CC"/>
    <w:rsid w:val="00C95F18"/>
    <w:rsid w:val="00C95F2B"/>
    <w:rsid w:val="00C97627"/>
    <w:rsid w:val="00C976BF"/>
    <w:rsid w:val="00C97A6C"/>
    <w:rsid w:val="00C97D03"/>
    <w:rsid w:val="00CA001B"/>
    <w:rsid w:val="00CA0CAB"/>
    <w:rsid w:val="00CA0D82"/>
    <w:rsid w:val="00CA0F96"/>
    <w:rsid w:val="00CA113C"/>
    <w:rsid w:val="00CA1188"/>
    <w:rsid w:val="00CA12BF"/>
    <w:rsid w:val="00CA1470"/>
    <w:rsid w:val="00CA1C56"/>
    <w:rsid w:val="00CA2232"/>
    <w:rsid w:val="00CA228A"/>
    <w:rsid w:val="00CA2CBA"/>
    <w:rsid w:val="00CA32AD"/>
    <w:rsid w:val="00CA344A"/>
    <w:rsid w:val="00CA3520"/>
    <w:rsid w:val="00CA377E"/>
    <w:rsid w:val="00CA3CC8"/>
    <w:rsid w:val="00CA46B4"/>
    <w:rsid w:val="00CA4DA3"/>
    <w:rsid w:val="00CA599D"/>
    <w:rsid w:val="00CA5AF0"/>
    <w:rsid w:val="00CA6475"/>
    <w:rsid w:val="00CA69EF"/>
    <w:rsid w:val="00CA6F30"/>
    <w:rsid w:val="00CA713B"/>
    <w:rsid w:val="00CA75F7"/>
    <w:rsid w:val="00CA77D5"/>
    <w:rsid w:val="00CA78E3"/>
    <w:rsid w:val="00CA7C3D"/>
    <w:rsid w:val="00CB050C"/>
    <w:rsid w:val="00CB05C0"/>
    <w:rsid w:val="00CB05C8"/>
    <w:rsid w:val="00CB073B"/>
    <w:rsid w:val="00CB1193"/>
    <w:rsid w:val="00CB1717"/>
    <w:rsid w:val="00CB1773"/>
    <w:rsid w:val="00CB2181"/>
    <w:rsid w:val="00CB2336"/>
    <w:rsid w:val="00CB2607"/>
    <w:rsid w:val="00CB2707"/>
    <w:rsid w:val="00CB2747"/>
    <w:rsid w:val="00CB2A56"/>
    <w:rsid w:val="00CB2BB1"/>
    <w:rsid w:val="00CB2FD4"/>
    <w:rsid w:val="00CB3675"/>
    <w:rsid w:val="00CB36CC"/>
    <w:rsid w:val="00CB3976"/>
    <w:rsid w:val="00CB3A44"/>
    <w:rsid w:val="00CB3CB7"/>
    <w:rsid w:val="00CB3F01"/>
    <w:rsid w:val="00CB4084"/>
    <w:rsid w:val="00CB41B9"/>
    <w:rsid w:val="00CB41C3"/>
    <w:rsid w:val="00CB44FD"/>
    <w:rsid w:val="00CB4578"/>
    <w:rsid w:val="00CB48DE"/>
    <w:rsid w:val="00CB4CE8"/>
    <w:rsid w:val="00CB4CF7"/>
    <w:rsid w:val="00CB59C0"/>
    <w:rsid w:val="00CB5BEB"/>
    <w:rsid w:val="00CB5CCE"/>
    <w:rsid w:val="00CB5CCF"/>
    <w:rsid w:val="00CB624B"/>
    <w:rsid w:val="00CB638E"/>
    <w:rsid w:val="00CB668C"/>
    <w:rsid w:val="00CB669D"/>
    <w:rsid w:val="00CB690D"/>
    <w:rsid w:val="00CB6998"/>
    <w:rsid w:val="00CB6CF6"/>
    <w:rsid w:val="00CB6F97"/>
    <w:rsid w:val="00CB71C9"/>
    <w:rsid w:val="00CB7685"/>
    <w:rsid w:val="00CB7714"/>
    <w:rsid w:val="00CB7A53"/>
    <w:rsid w:val="00CC063F"/>
    <w:rsid w:val="00CC08FC"/>
    <w:rsid w:val="00CC0AF7"/>
    <w:rsid w:val="00CC0D94"/>
    <w:rsid w:val="00CC0DED"/>
    <w:rsid w:val="00CC1232"/>
    <w:rsid w:val="00CC13E8"/>
    <w:rsid w:val="00CC154B"/>
    <w:rsid w:val="00CC15B8"/>
    <w:rsid w:val="00CC1AAF"/>
    <w:rsid w:val="00CC1BA2"/>
    <w:rsid w:val="00CC1CEA"/>
    <w:rsid w:val="00CC213B"/>
    <w:rsid w:val="00CC277A"/>
    <w:rsid w:val="00CC289A"/>
    <w:rsid w:val="00CC3271"/>
    <w:rsid w:val="00CC35BA"/>
    <w:rsid w:val="00CC39F7"/>
    <w:rsid w:val="00CC3AB5"/>
    <w:rsid w:val="00CC3CA2"/>
    <w:rsid w:val="00CC43D4"/>
    <w:rsid w:val="00CC4590"/>
    <w:rsid w:val="00CC4810"/>
    <w:rsid w:val="00CC49C2"/>
    <w:rsid w:val="00CC50F5"/>
    <w:rsid w:val="00CC5A17"/>
    <w:rsid w:val="00CC5D38"/>
    <w:rsid w:val="00CC5F3B"/>
    <w:rsid w:val="00CC616B"/>
    <w:rsid w:val="00CC63B7"/>
    <w:rsid w:val="00CC64AB"/>
    <w:rsid w:val="00CC65C4"/>
    <w:rsid w:val="00CC6C8A"/>
    <w:rsid w:val="00CC6D61"/>
    <w:rsid w:val="00CC6F2C"/>
    <w:rsid w:val="00CC6FCF"/>
    <w:rsid w:val="00CC75D6"/>
    <w:rsid w:val="00CC7ABE"/>
    <w:rsid w:val="00CC7BF4"/>
    <w:rsid w:val="00CD068D"/>
    <w:rsid w:val="00CD0C0D"/>
    <w:rsid w:val="00CD0F2B"/>
    <w:rsid w:val="00CD1135"/>
    <w:rsid w:val="00CD1230"/>
    <w:rsid w:val="00CD1FBB"/>
    <w:rsid w:val="00CD2608"/>
    <w:rsid w:val="00CD2ACB"/>
    <w:rsid w:val="00CD2CC7"/>
    <w:rsid w:val="00CD36F5"/>
    <w:rsid w:val="00CD3B88"/>
    <w:rsid w:val="00CD49F4"/>
    <w:rsid w:val="00CD5333"/>
    <w:rsid w:val="00CD5502"/>
    <w:rsid w:val="00CD5605"/>
    <w:rsid w:val="00CD563F"/>
    <w:rsid w:val="00CD578D"/>
    <w:rsid w:val="00CD5E65"/>
    <w:rsid w:val="00CD6E24"/>
    <w:rsid w:val="00CD6E99"/>
    <w:rsid w:val="00CD724B"/>
    <w:rsid w:val="00CD7813"/>
    <w:rsid w:val="00CD7C5C"/>
    <w:rsid w:val="00CE04F4"/>
    <w:rsid w:val="00CE08CE"/>
    <w:rsid w:val="00CE0AA9"/>
    <w:rsid w:val="00CE1532"/>
    <w:rsid w:val="00CE1B63"/>
    <w:rsid w:val="00CE1F3A"/>
    <w:rsid w:val="00CE2240"/>
    <w:rsid w:val="00CE22F2"/>
    <w:rsid w:val="00CE2334"/>
    <w:rsid w:val="00CE2F81"/>
    <w:rsid w:val="00CE2FED"/>
    <w:rsid w:val="00CE3014"/>
    <w:rsid w:val="00CE3AEA"/>
    <w:rsid w:val="00CE3C6F"/>
    <w:rsid w:val="00CE424E"/>
    <w:rsid w:val="00CE438D"/>
    <w:rsid w:val="00CE4A30"/>
    <w:rsid w:val="00CE5312"/>
    <w:rsid w:val="00CE54A6"/>
    <w:rsid w:val="00CE56F8"/>
    <w:rsid w:val="00CE662E"/>
    <w:rsid w:val="00CE666D"/>
    <w:rsid w:val="00CE6CDF"/>
    <w:rsid w:val="00CE6F64"/>
    <w:rsid w:val="00CE7027"/>
    <w:rsid w:val="00CE718A"/>
    <w:rsid w:val="00CE7195"/>
    <w:rsid w:val="00CE7294"/>
    <w:rsid w:val="00CE7367"/>
    <w:rsid w:val="00CE757C"/>
    <w:rsid w:val="00CE7BB5"/>
    <w:rsid w:val="00CF05A5"/>
    <w:rsid w:val="00CF101D"/>
    <w:rsid w:val="00CF1184"/>
    <w:rsid w:val="00CF11AC"/>
    <w:rsid w:val="00CF2243"/>
    <w:rsid w:val="00CF2541"/>
    <w:rsid w:val="00CF2CFD"/>
    <w:rsid w:val="00CF2D97"/>
    <w:rsid w:val="00CF2E27"/>
    <w:rsid w:val="00CF3217"/>
    <w:rsid w:val="00CF35FF"/>
    <w:rsid w:val="00CF3669"/>
    <w:rsid w:val="00CF38F0"/>
    <w:rsid w:val="00CF4FE4"/>
    <w:rsid w:val="00CF522D"/>
    <w:rsid w:val="00CF5941"/>
    <w:rsid w:val="00CF5996"/>
    <w:rsid w:val="00CF5B84"/>
    <w:rsid w:val="00CF65C3"/>
    <w:rsid w:val="00CF68CE"/>
    <w:rsid w:val="00CF71D8"/>
    <w:rsid w:val="00CF731D"/>
    <w:rsid w:val="00CF77D7"/>
    <w:rsid w:val="00CF77E6"/>
    <w:rsid w:val="00D00690"/>
    <w:rsid w:val="00D00728"/>
    <w:rsid w:val="00D00B10"/>
    <w:rsid w:val="00D00CC5"/>
    <w:rsid w:val="00D00CC8"/>
    <w:rsid w:val="00D01031"/>
    <w:rsid w:val="00D011FD"/>
    <w:rsid w:val="00D01362"/>
    <w:rsid w:val="00D0141D"/>
    <w:rsid w:val="00D01D1A"/>
    <w:rsid w:val="00D026DC"/>
    <w:rsid w:val="00D02EC1"/>
    <w:rsid w:val="00D02FCA"/>
    <w:rsid w:val="00D0351E"/>
    <w:rsid w:val="00D03D68"/>
    <w:rsid w:val="00D03F38"/>
    <w:rsid w:val="00D0402F"/>
    <w:rsid w:val="00D05825"/>
    <w:rsid w:val="00D06185"/>
    <w:rsid w:val="00D06667"/>
    <w:rsid w:val="00D072F4"/>
    <w:rsid w:val="00D0781D"/>
    <w:rsid w:val="00D07982"/>
    <w:rsid w:val="00D07E75"/>
    <w:rsid w:val="00D07E79"/>
    <w:rsid w:val="00D07F90"/>
    <w:rsid w:val="00D10887"/>
    <w:rsid w:val="00D10F09"/>
    <w:rsid w:val="00D1125C"/>
    <w:rsid w:val="00D12200"/>
    <w:rsid w:val="00D12D13"/>
    <w:rsid w:val="00D12DEF"/>
    <w:rsid w:val="00D12FA1"/>
    <w:rsid w:val="00D13358"/>
    <w:rsid w:val="00D133DF"/>
    <w:rsid w:val="00D14278"/>
    <w:rsid w:val="00D1491A"/>
    <w:rsid w:val="00D14C61"/>
    <w:rsid w:val="00D14D07"/>
    <w:rsid w:val="00D14F86"/>
    <w:rsid w:val="00D14FCF"/>
    <w:rsid w:val="00D14FF9"/>
    <w:rsid w:val="00D152C8"/>
    <w:rsid w:val="00D155D2"/>
    <w:rsid w:val="00D158E0"/>
    <w:rsid w:val="00D15A6A"/>
    <w:rsid w:val="00D15E0E"/>
    <w:rsid w:val="00D15EC7"/>
    <w:rsid w:val="00D16350"/>
    <w:rsid w:val="00D1646C"/>
    <w:rsid w:val="00D16B2C"/>
    <w:rsid w:val="00D16D78"/>
    <w:rsid w:val="00D16DE1"/>
    <w:rsid w:val="00D16E0C"/>
    <w:rsid w:val="00D179D3"/>
    <w:rsid w:val="00D17BB8"/>
    <w:rsid w:val="00D200DC"/>
    <w:rsid w:val="00D200F3"/>
    <w:rsid w:val="00D20588"/>
    <w:rsid w:val="00D208E7"/>
    <w:rsid w:val="00D20D3B"/>
    <w:rsid w:val="00D20F77"/>
    <w:rsid w:val="00D2111D"/>
    <w:rsid w:val="00D21C3F"/>
    <w:rsid w:val="00D21DEE"/>
    <w:rsid w:val="00D22184"/>
    <w:rsid w:val="00D224CC"/>
    <w:rsid w:val="00D22999"/>
    <w:rsid w:val="00D22A9F"/>
    <w:rsid w:val="00D22DE7"/>
    <w:rsid w:val="00D231E1"/>
    <w:rsid w:val="00D23770"/>
    <w:rsid w:val="00D23C65"/>
    <w:rsid w:val="00D23C7F"/>
    <w:rsid w:val="00D24829"/>
    <w:rsid w:val="00D24D4A"/>
    <w:rsid w:val="00D24DA1"/>
    <w:rsid w:val="00D257E2"/>
    <w:rsid w:val="00D25D86"/>
    <w:rsid w:val="00D267B7"/>
    <w:rsid w:val="00D26EC1"/>
    <w:rsid w:val="00D271AE"/>
    <w:rsid w:val="00D2774B"/>
    <w:rsid w:val="00D27BF1"/>
    <w:rsid w:val="00D27C4A"/>
    <w:rsid w:val="00D27D79"/>
    <w:rsid w:val="00D3050E"/>
    <w:rsid w:val="00D30672"/>
    <w:rsid w:val="00D30B74"/>
    <w:rsid w:val="00D311E7"/>
    <w:rsid w:val="00D3131F"/>
    <w:rsid w:val="00D31350"/>
    <w:rsid w:val="00D319BF"/>
    <w:rsid w:val="00D31A68"/>
    <w:rsid w:val="00D32C97"/>
    <w:rsid w:val="00D330C0"/>
    <w:rsid w:val="00D33A2F"/>
    <w:rsid w:val="00D33E43"/>
    <w:rsid w:val="00D3405A"/>
    <w:rsid w:val="00D34F9F"/>
    <w:rsid w:val="00D35398"/>
    <w:rsid w:val="00D35F7F"/>
    <w:rsid w:val="00D361D5"/>
    <w:rsid w:val="00D36292"/>
    <w:rsid w:val="00D363F0"/>
    <w:rsid w:val="00D36CDE"/>
    <w:rsid w:val="00D36D13"/>
    <w:rsid w:val="00D36EE5"/>
    <w:rsid w:val="00D37179"/>
    <w:rsid w:val="00D37430"/>
    <w:rsid w:val="00D37890"/>
    <w:rsid w:val="00D40102"/>
    <w:rsid w:val="00D40608"/>
    <w:rsid w:val="00D40AE4"/>
    <w:rsid w:val="00D40E48"/>
    <w:rsid w:val="00D40F8F"/>
    <w:rsid w:val="00D4167F"/>
    <w:rsid w:val="00D41839"/>
    <w:rsid w:val="00D41993"/>
    <w:rsid w:val="00D41B19"/>
    <w:rsid w:val="00D41D23"/>
    <w:rsid w:val="00D41E9B"/>
    <w:rsid w:val="00D42142"/>
    <w:rsid w:val="00D42503"/>
    <w:rsid w:val="00D4250B"/>
    <w:rsid w:val="00D42840"/>
    <w:rsid w:val="00D428F0"/>
    <w:rsid w:val="00D429F5"/>
    <w:rsid w:val="00D4349E"/>
    <w:rsid w:val="00D43788"/>
    <w:rsid w:val="00D4417F"/>
    <w:rsid w:val="00D44396"/>
    <w:rsid w:val="00D44585"/>
    <w:rsid w:val="00D446B6"/>
    <w:rsid w:val="00D44852"/>
    <w:rsid w:val="00D44987"/>
    <w:rsid w:val="00D44B7A"/>
    <w:rsid w:val="00D450FB"/>
    <w:rsid w:val="00D45FF8"/>
    <w:rsid w:val="00D46E38"/>
    <w:rsid w:val="00D472BF"/>
    <w:rsid w:val="00D4763E"/>
    <w:rsid w:val="00D50F05"/>
    <w:rsid w:val="00D52072"/>
    <w:rsid w:val="00D52347"/>
    <w:rsid w:val="00D52A14"/>
    <w:rsid w:val="00D52E93"/>
    <w:rsid w:val="00D53167"/>
    <w:rsid w:val="00D53521"/>
    <w:rsid w:val="00D539BE"/>
    <w:rsid w:val="00D53B2A"/>
    <w:rsid w:val="00D53BD6"/>
    <w:rsid w:val="00D53FD1"/>
    <w:rsid w:val="00D543F6"/>
    <w:rsid w:val="00D548B2"/>
    <w:rsid w:val="00D54A8A"/>
    <w:rsid w:val="00D54CA5"/>
    <w:rsid w:val="00D55152"/>
    <w:rsid w:val="00D554AA"/>
    <w:rsid w:val="00D55605"/>
    <w:rsid w:val="00D55973"/>
    <w:rsid w:val="00D56BF6"/>
    <w:rsid w:val="00D574F1"/>
    <w:rsid w:val="00D57770"/>
    <w:rsid w:val="00D57959"/>
    <w:rsid w:val="00D57B4B"/>
    <w:rsid w:val="00D60382"/>
    <w:rsid w:val="00D6042E"/>
    <w:rsid w:val="00D6059C"/>
    <w:rsid w:val="00D608FE"/>
    <w:rsid w:val="00D60AA7"/>
    <w:rsid w:val="00D60DE3"/>
    <w:rsid w:val="00D60E63"/>
    <w:rsid w:val="00D61448"/>
    <w:rsid w:val="00D6155A"/>
    <w:rsid w:val="00D6162F"/>
    <w:rsid w:val="00D6187F"/>
    <w:rsid w:val="00D619C3"/>
    <w:rsid w:val="00D621DA"/>
    <w:rsid w:val="00D62B98"/>
    <w:rsid w:val="00D62DBB"/>
    <w:rsid w:val="00D631A8"/>
    <w:rsid w:val="00D63541"/>
    <w:rsid w:val="00D6396B"/>
    <w:rsid w:val="00D63D71"/>
    <w:rsid w:val="00D643F8"/>
    <w:rsid w:val="00D650CC"/>
    <w:rsid w:val="00D66840"/>
    <w:rsid w:val="00D668FD"/>
    <w:rsid w:val="00D66ACA"/>
    <w:rsid w:val="00D66B66"/>
    <w:rsid w:val="00D66E4D"/>
    <w:rsid w:val="00D6751F"/>
    <w:rsid w:val="00D67B90"/>
    <w:rsid w:val="00D67EA0"/>
    <w:rsid w:val="00D67EA6"/>
    <w:rsid w:val="00D70697"/>
    <w:rsid w:val="00D706CB"/>
    <w:rsid w:val="00D70E59"/>
    <w:rsid w:val="00D70E80"/>
    <w:rsid w:val="00D71288"/>
    <w:rsid w:val="00D712A2"/>
    <w:rsid w:val="00D71FF6"/>
    <w:rsid w:val="00D72040"/>
    <w:rsid w:val="00D72B41"/>
    <w:rsid w:val="00D72BA3"/>
    <w:rsid w:val="00D72CBA"/>
    <w:rsid w:val="00D72D7E"/>
    <w:rsid w:val="00D7367E"/>
    <w:rsid w:val="00D73E40"/>
    <w:rsid w:val="00D73F3A"/>
    <w:rsid w:val="00D73F3E"/>
    <w:rsid w:val="00D73F68"/>
    <w:rsid w:val="00D742ED"/>
    <w:rsid w:val="00D7430B"/>
    <w:rsid w:val="00D7458F"/>
    <w:rsid w:val="00D74F64"/>
    <w:rsid w:val="00D755C5"/>
    <w:rsid w:val="00D756E3"/>
    <w:rsid w:val="00D75918"/>
    <w:rsid w:val="00D763D0"/>
    <w:rsid w:val="00D764F6"/>
    <w:rsid w:val="00D76908"/>
    <w:rsid w:val="00D76E1F"/>
    <w:rsid w:val="00D77240"/>
    <w:rsid w:val="00D77544"/>
    <w:rsid w:val="00D77B9E"/>
    <w:rsid w:val="00D80438"/>
    <w:rsid w:val="00D8061F"/>
    <w:rsid w:val="00D80889"/>
    <w:rsid w:val="00D80D05"/>
    <w:rsid w:val="00D80E1F"/>
    <w:rsid w:val="00D80E37"/>
    <w:rsid w:val="00D80F6F"/>
    <w:rsid w:val="00D81354"/>
    <w:rsid w:val="00D81490"/>
    <w:rsid w:val="00D815B0"/>
    <w:rsid w:val="00D818D5"/>
    <w:rsid w:val="00D820EB"/>
    <w:rsid w:val="00D82174"/>
    <w:rsid w:val="00D826C8"/>
    <w:rsid w:val="00D82990"/>
    <w:rsid w:val="00D8303A"/>
    <w:rsid w:val="00D8391E"/>
    <w:rsid w:val="00D8394C"/>
    <w:rsid w:val="00D83C6D"/>
    <w:rsid w:val="00D8417D"/>
    <w:rsid w:val="00D845B9"/>
    <w:rsid w:val="00D8465F"/>
    <w:rsid w:val="00D84838"/>
    <w:rsid w:val="00D8484A"/>
    <w:rsid w:val="00D852CF"/>
    <w:rsid w:val="00D8542E"/>
    <w:rsid w:val="00D85606"/>
    <w:rsid w:val="00D85FAA"/>
    <w:rsid w:val="00D8636F"/>
    <w:rsid w:val="00D86806"/>
    <w:rsid w:val="00D86979"/>
    <w:rsid w:val="00D869D2"/>
    <w:rsid w:val="00D86BC9"/>
    <w:rsid w:val="00D86DB1"/>
    <w:rsid w:val="00D87421"/>
    <w:rsid w:val="00D87989"/>
    <w:rsid w:val="00D87AB3"/>
    <w:rsid w:val="00D90093"/>
    <w:rsid w:val="00D9025B"/>
    <w:rsid w:val="00D905C5"/>
    <w:rsid w:val="00D90683"/>
    <w:rsid w:val="00D9080C"/>
    <w:rsid w:val="00D9093D"/>
    <w:rsid w:val="00D90A30"/>
    <w:rsid w:val="00D91539"/>
    <w:rsid w:val="00D9159F"/>
    <w:rsid w:val="00D915EB"/>
    <w:rsid w:val="00D91A9E"/>
    <w:rsid w:val="00D91BF1"/>
    <w:rsid w:val="00D91ED1"/>
    <w:rsid w:val="00D92905"/>
    <w:rsid w:val="00D92CD8"/>
    <w:rsid w:val="00D931F2"/>
    <w:rsid w:val="00D940AF"/>
    <w:rsid w:val="00D94459"/>
    <w:rsid w:val="00D94FCF"/>
    <w:rsid w:val="00D95505"/>
    <w:rsid w:val="00D95558"/>
    <w:rsid w:val="00D955B9"/>
    <w:rsid w:val="00D96070"/>
    <w:rsid w:val="00D966C1"/>
    <w:rsid w:val="00D967B7"/>
    <w:rsid w:val="00D96B6F"/>
    <w:rsid w:val="00D972C7"/>
    <w:rsid w:val="00D9742F"/>
    <w:rsid w:val="00D97533"/>
    <w:rsid w:val="00D97859"/>
    <w:rsid w:val="00DA0034"/>
    <w:rsid w:val="00DA0FA4"/>
    <w:rsid w:val="00DA10DF"/>
    <w:rsid w:val="00DA163F"/>
    <w:rsid w:val="00DA1BA9"/>
    <w:rsid w:val="00DA20B7"/>
    <w:rsid w:val="00DA2776"/>
    <w:rsid w:val="00DA288D"/>
    <w:rsid w:val="00DA2D08"/>
    <w:rsid w:val="00DA2DBF"/>
    <w:rsid w:val="00DA3421"/>
    <w:rsid w:val="00DA38EF"/>
    <w:rsid w:val="00DA49D4"/>
    <w:rsid w:val="00DA5047"/>
    <w:rsid w:val="00DA5503"/>
    <w:rsid w:val="00DA5B25"/>
    <w:rsid w:val="00DA5F97"/>
    <w:rsid w:val="00DA610C"/>
    <w:rsid w:val="00DA636F"/>
    <w:rsid w:val="00DA63E7"/>
    <w:rsid w:val="00DA6948"/>
    <w:rsid w:val="00DA6EE1"/>
    <w:rsid w:val="00DA7ECB"/>
    <w:rsid w:val="00DB0147"/>
    <w:rsid w:val="00DB0241"/>
    <w:rsid w:val="00DB05B9"/>
    <w:rsid w:val="00DB0633"/>
    <w:rsid w:val="00DB119E"/>
    <w:rsid w:val="00DB1284"/>
    <w:rsid w:val="00DB1439"/>
    <w:rsid w:val="00DB1B18"/>
    <w:rsid w:val="00DB1BE0"/>
    <w:rsid w:val="00DB1F6E"/>
    <w:rsid w:val="00DB25EB"/>
    <w:rsid w:val="00DB26B0"/>
    <w:rsid w:val="00DB27A9"/>
    <w:rsid w:val="00DB293A"/>
    <w:rsid w:val="00DB29B1"/>
    <w:rsid w:val="00DB2F51"/>
    <w:rsid w:val="00DB36F6"/>
    <w:rsid w:val="00DB3D03"/>
    <w:rsid w:val="00DB41D2"/>
    <w:rsid w:val="00DB434E"/>
    <w:rsid w:val="00DB448E"/>
    <w:rsid w:val="00DB511F"/>
    <w:rsid w:val="00DB54A7"/>
    <w:rsid w:val="00DB5DD0"/>
    <w:rsid w:val="00DB623B"/>
    <w:rsid w:val="00DB6AB4"/>
    <w:rsid w:val="00DB6BA9"/>
    <w:rsid w:val="00DB7C3F"/>
    <w:rsid w:val="00DC0C38"/>
    <w:rsid w:val="00DC0E7F"/>
    <w:rsid w:val="00DC140E"/>
    <w:rsid w:val="00DC1879"/>
    <w:rsid w:val="00DC2772"/>
    <w:rsid w:val="00DC2AAB"/>
    <w:rsid w:val="00DC3AD1"/>
    <w:rsid w:val="00DC3B45"/>
    <w:rsid w:val="00DC3C51"/>
    <w:rsid w:val="00DC3EFD"/>
    <w:rsid w:val="00DC42DF"/>
    <w:rsid w:val="00DC454E"/>
    <w:rsid w:val="00DC509A"/>
    <w:rsid w:val="00DC5330"/>
    <w:rsid w:val="00DC540D"/>
    <w:rsid w:val="00DC5C93"/>
    <w:rsid w:val="00DC63C6"/>
    <w:rsid w:val="00DC687D"/>
    <w:rsid w:val="00DC6A96"/>
    <w:rsid w:val="00DC6CCC"/>
    <w:rsid w:val="00DC71AF"/>
    <w:rsid w:val="00DC75E2"/>
    <w:rsid w:val="00DC7DB3"/>
    <w:rsid w:val="00DC7DE8"/>
    <w:rsid w:val="00DD044E"/>
    <w:rsid w:val="00DD0C04"/>
    <w:rsid w:val="00DD0D9C"/>
    <w:rsid w:val="00DD0E8A"/>
    <w:rsid w:val="00DD1685"/>
    <w:rsid w:val="00DD324B"/>
    <w:rsid w:val="00DD3360"/>
    <w:rsid w:val="00DD340D"/>
    <w:rsid w:val="00DD3967"/>
    <w:rsid w:val="00DD3D8E"/>
    <w:rsid w:val="00DD3F39"/>
    <w:rsid w:val="00DD4048"/>
    <w:rsid w:val="00DD4344"/>
    <w:rsid w:val="00DD4371"/>
    <w:rsid w:val="00DD4484"/>
    <w:rsid w:val="00DD4C30"/>
    <w:rsid w:val="00DD4C78"/>
    <w:rsid w:val="00DD5082"/>
    <w:rsid w:val="00DD57ED"/>
    <w:rsid w:val="00DD57FF"/>
    <w:rsid w:val="00DD584A"/>
    <w:rsid w:val="00DD5A2F"/>
    <w:rsid w:val="00DD5D24"/>
    <w:rsid w:val="00DD5EBE"/>
    <w:rsid w:val="00DD79B6"/>
    <w:rsid w:val="00DD7B66"/>
    <w:rsid w:val="00DD7C43"/>
    <w:rsid w:val="00DE07AC"/>
    <w:rsid w:val="00DE0E1E"/>
    <w:rsid w:val="00DE11BF"/>
    <w:rsid w:val="00DE12A1"/>
    <w:rsid w:val="00DE17E4"/>
    <w:rsid w:val="00DE1986"/>
    <w:rsid w:val="00DE1ED9"/>
    <w:rsid w:val="00DE1EE4"/>
    <w:rsid w:val="00DE2490"/>
    <w:rsid w:val="00DE26BD"/>
    <w:rsid w:val="00DE2796"/>
    <w:rsid w:val="00DE2F5C"/>
    <w:rsid w:val="00DE3261"/>
    <w:rsid w:val="00DE334C"/>
    <w:rsid w:val="00DE3423"/>
    <w:rsid w:val="00DE3DAE"/>
    <w:rsid w:val="00DE3E2E"/>
    <w:rsid w:val="00DE4071"/>
    <w:rsid w:val="00DE4393"/>
    <w:rsid w:val="00DE4783"/>
    <w:rsid w:val="00DE4C01"/>
    <w:rsid w:val="00DE55E7"/>
    <w:rsid w:val="00DE61C3"/>
    <w:rsid w:val="00DE635A"/>
    <w:rsid w:val="00DE657E"/>
    <w:rsid w:val="00DE7286"/>
    <w:rsid w:val="00DE7437"/>
    <w:rsid w:val="00DE76B0"/>
    <w:rsid w:val="00DE7A69"/>
    <w:rsid w:val="00DE7B93"/>
    <w:rsid w:val="00DF06EF"/>
    <w:rsid w:val="00DF08B0"/>
    <w:rsid w:val="00DF0ABB"/>
    <w:rsid w:val="00DF1311"/>
    <w:rsid w:val="00DF1AC4"/>
    <w:rsid w:val="00DF1C1D"/>
    <w:rsid w:val="00DF1C9C"/>
    <w:rsid w:val="00DF1E3C"/>
    <w:rsid w:val="00DF1E98"/>
    <w:rsid w:val="00DF218B"/>
    <w:rsid w:val="00DF29B4"/>
    <w:rsid w:val="00DF2A12"/>
    <w:rsid w:val="00DF2AC5"/>
    <w:rsid w:val="00DF3784"/>
    <w:rsid w:val="00DF38C9"/>
    <w:rsid w:val="00DF3B5E"/>
    <w:rsid w:val="00DF3ED8"/>
    <w:rsid w:val="00DF44EC"/>
    <w:rsid w:val="00DF4653"/>
    <w:rsid w:val="00DF4F4E"/>
    <w:rsid w:val="00DF5061"/>
    <w:rsid w:val="00DF58EB"/>
    <w:rsid w:val="00DF5B9B"/>
    <w:rsid w:val="00DF64CF"/>
    <w:rsid w:val="00DF6BD0"/>
    <w:rsid w:val="00DF7473"/>
    <w:rsid w:val="00DF780D"/>
    <w:rsid w:val="00DF7A21"/>
    <w:rsid w:val="00DF7A73"/>
    <w:rsid w:val="00DF7D17"/>
    <w:rsid w:val="00DF7F9A"/>
    <w:rsid w:val="00E00084"/>
    <w:rsid w:val="00E00113"/>
    <w:rsid w:val="00E00210"/>
    <w:rsid w:val="00E005BE"/>
    <w:rsid w:val="00E005FF"/>
    <w:rsid w:val="00E006DF"/>
    <w:rsid w:val="00E00DDC"/>
    <w:rsid w:val="00E0129D"/>
    <w:rsid w:val="00E0153B"/>
    <w:rsid w:val="00E02240"/>
    <w:rsid w:val="00E022E3"/>
    <w:rsid w:val="00E023BD"/>
    <w:rsid w:val="00E02417"/>
    <w:rsid w:val="00E027F4"/>
    <w:rsid w:val="00E0283C"/>
    <w:rsid w:val="00E02A81"/>
    <w:rsid w:val="00E02F29"/>
    <w:rsid w:val="00E03590"/>
    <w:rsid w:val="00E03842"/>
    <w:rsid w:val="00E03AAB"/>
    <w:rsid w:val="00E03B7C"/>
    <w:rsid w:val="00E03C06"/>
    <w:rsid w:val="00E03C08"/>
    <w:rsid w:val="00E044C7"/>
    <w:rsid w:val="00E052C6"/>
    <w:rsid w:val="00E0535D"/>
    <w:rsid w:val="00E05A54"/>
    <w:rsid w:val="00E05BF4"/>
    <w:rsid w:val="00E06256"/>
    <w:rsid w:val="00E0656D"/>
    <w:rsid w:val="00E06B73"/>
    <w:rsid w:val="00E07497"/>
    <w:rsid w:val="00E076B8"/>
    <w:rsid w:val="00E1014B"/>
    <w:rsid w:val="00E101DB"/>
    <w:rsid w:val="00E10663"/>
    <w:rsid w:val="00E10773"/>
    <w:rsid w:val="00E1164B"/>
    <w:rsid w:val="00E118A6"/>
    <w:rsid w:val="00E1280C"/>
    <w:rsid w:val="00E136EC"/>
    <w:rsid w:val="00E139AF"/>
    <w:rsid w:val="00E13FA3"/>
    <w:rsid w:val="00E142B5"/>
    <w:rsid w:val="00E1478F"/>
    <w:rsid w:val="00E1582D"/>
    <w:rsid w:val="00E158CF"/>
    <w:rsid w:val="00E15CE1"/>
    <w:rsid w:val="00E1692E"/>
    <w:rsid w:val="00E1711E"/>
    <w:rsid w:val="00E17499"/>
    <w:rsid w:val="00E204CC"/>
    <w:rsid w:val="00E21660"/>
    <w:rsid w:val="00E21AFF"/>
    <w:rsid w:val="00E21F3B"/>
    <w:rsid w:val="00E22397"/>
    <w:rsid w:val="00E22463"/>
    <w:rsid w:val="00E2252B"/>
    <w:rsid w:val="00E225AC"/>
    <w:rsid w:val="00E228B1"/>
    <w:rsid w:val="00E22ED4"/>
    <w:rsid w:val="00E23021"/>
    <w:rsid w:val="00E23194"/>
    <w:rsid w:val="00E240A1"/>
    <w:rsid w:val="00E2452C"/>
    <w:rsid w:val="00E2472D"/>
    <w:rsid w:val="00E24BC6"/>
    <w:rsid w:val="00E24DC2"/>
    <w:rsid w:val="00E25858"/>
    <w:rsid w:val="00E25D2A"/>
    <w:rsid w:val="00E25D38"/>
    <w:rsid w:val="00E25DDB"/>
    <w:rsid w:val="00E25F71"/>
    <w:rsid w:val="00E26006"/>
    <w:rsid w:val="00E2612E"/>
    <w:rsid w:val="00E2668F"/>
    <w:rsid w:val="00E26722"/>
    <w:rsid w:val="00E26FB1"/>
    <w:rsid w:val="00E2726B"/>
    <w:rsid w:val="00E27304"/>
    <w:rsid w:val="00E273CC"/>
    <w:rsid w:val="00E27587"/>
    <w:rsid w:val="00E27A75"/>
    <w:rsid w:val="00E27F4D"/>
    <w:rsid w:val="00E302DF"/>
    <w:rsid w:val="00E30663"/>
    <w:rsid w:val="00E30992"/>
    <w:rsid w:val="00E30FA5"/>
    <w:rsid w:val="00E3267E"/>
    <w:rsid w:val="00E32B34"/>
    <w:rsid w:val="00E32D1F"/>
    <w:rsid w:val="00E32F6A"/>
    <w:rsid w:val="00E33393"/>
    <w:rsid w:val="00E33477"/>
    <w:rsid w:val="00E3371A"/>
    <w:rsid w:val="00E339EB"/>
    <w:rsid w:val="00E33D5D"/>
    <w:rsid w:val="00E33E12"/>
    <w:rsid w:val="00E34243"/>
    <w:rsid w:val="00E343C3"/>
    <w:rsid w:val="00E344F1"/>
    <w:rsid w:val="00E348F5"/>
    <w:rsid w:val="00E34C4D"/>
    <w:rsid w:val="00E34F79"/>
    <w:rsid w:val="00E35681"/>
    <w:rsid w:val="00E35E6F"/>
    <w:rsid w:val="00E36374"/>
    <w:rsid w:val="00E364C6"/>
    <w:rsid w:val="00E365BC"/>
    <w:rsid w:val="00E36A8F"/>
    <w:rsid w:val="00E36EF4"/>
    <w:rsid w:val="00E37047"/>
    <w:rsid w:val="00E375CD"/>
    <w:rsid w:val="00E3765F"/>
    <w:rsid w:val="00E40104"/>
    <w:rsid w:val="00E403B6"/>
    <w:rsid w:val="00E40883"/>
    <w:rsid w:val="00E40EFF"/>
    <w:rsid w:val="00E4118F"/>
    <w:rsid w:val="00E41A5C"/>
    <w:rsid w:val="00E41A7B"/>
    <w:rsid w:val="00E41D4C"/>
    <w:rsid w:val="00E42427"/>
    <w:rsid w:val="00E424BD"/>
    <w:rsid w:val="00E426D0"/>
    <w:rsid w:val="00E42C26"/>
    <w:rsid w:val="00E42F58"/>
    <w:rsid w:val="00E4370A"/>
    <w:rsid w:val="00E43723"/>
    <w:rsid w:val="00E4374C"/>
    <w:rsid w:val="00E43973"/>
    <w:rsid w:val="00E43EE2"/>
    <w:rsid w:val="00E44122"/>
    <w:rsid w:val="00E443E4"/>
    <w:rsid w:val="00E457E3"/>
    <w:rsid w:val="00E45D31"/>
    <w:rsid w:val="00E462C3"/>
    <w:rsid w:val="00E4691D"/>
    <w:rsid w:val="00E46DA5"/>
    <w:rsid w:val="00E478B1"/>
    <w:rsid w:val="00E506A1"/>
    <w:rsid w:val="00E507C3"/>
    <w:rsid w:val="00E50A0F"/>
    <w:rsid w:val="00E50C58"/>
    <w:rsid w:val="00E511CD"/>
    <w:rsid w:val="00E51374"/>
    <w:rsid w:val="00E517C4"/>
    <w:rsid w:val="00E51EA9"/>
    <w:rsid w:val="00E51FDF"/>
    <w:rsid w:val="00E52033"/>
    <w:rsid w:val="00E52038"/>
    <w:rsid w:val="00E526B1"/>
    <w:rsid w:val="00E526E9"/>
    <w:rsid w:val="00E52A17"/>
    <w:rsid w:val="00E52D67"/>
    <w:rsid w:val="00E53D99"/>
    <w:rsid w:val="00E543EB"/>
    <w:rsid w:val="00E54BF6"/>
    <w:rsid w:val="00E54E88"/>
    <w:rsid w:val="00E5515A"/>
    <w:rsid w:val="00E55889"/>
    <w:rsid w:val="00E558E1"/>
    <w:rsid w:val="00E55994"/>
    <w:rsid w:val="00E56361"/>
    <w:rsid w:val="00E56954"/>
    <w:rsid w:val="00E57308"/>
    <w:rsid w:val="00E5737F"/>
    <w:rsid w:val="00E57545"/>
    <w:rsid w:val="00E576A7"/>
    <w:rsid w:val="00E57B7D"/>
    <w:rsid w:val="00E6029E"/>
    <w:rsid w:val="00E609FC"/>
    <w:rsid w:val="00E612DB"/>
    <w:rsid w:val="00E61F5C"/>
    <w:rsid w:val="00E622A2"/>
    <w:rsid w:val="00E62E93"/>
    <w:rsid w:val="00E62EFA"/>
    <w:rsid w:val="00E63126"/>
    <w:rsid w:val="00E63165"/>
    <w:rsid w:val="00E63AD0"/>
    <w:rsid w:val="00E63CDA"/>
    <w:rsid w:val="00E64291"/>
    <w:rsid w:val="00E6440E"/>
    <w:rsid w:val="00E64816"/>
    <w:rsid w:val="00E648EC"/>
    <w:rsid w:val="00E64BBB"/>
    <w:rsid w:val="00E64D5C"/>
    <w:rsid w:val="00E6507D"/>
    <w:rsid w:val="00E65523"/>
    <w:rsid w:val="00E6596F"/>
    <w:rsid w:val="00E65BB8"/>
    <w:rsid w:val="00E65D35"/>
    <w:rsid w:val="00E65E35"/>
    <w:rsid w:val="00E66D2C"/>
    <w:rsid w:val="00E66DD0"/>
    <w:rsid w:val="00E6711D"/>
    <w:rsid w:val="00E67561"/>
    <w:rsid w:val="00E67721"/>
    <w:rsid w:val="00E703B9"/>
    <w:rsid w:val="00E7049B"/>
    <w:rsid w:val="00E716FD"/>
    <w:rsid w:val="00E7176B"/>
    <w:rsid w:val="00E719D0"/>
    <w:rsid w:val="00E71B76"/>
    <w:rsid w:val="00E71F1C"/>
    <w:rsid w:val="00E7217C"/>
    <w:rsid w:val="00E723B3"/>
    <w:rsid w:val="00E72B74"/>
    <w:rsid w:val="00E736DD"/>
    <w:rsid w:val="00E73B61"/>
    <w:rsid w:val="00E73C2D"/>
    <w:rsid w:val="00E73CCF"/>
    <w:rsid w:val="00E7408E"/>
    <w:rsid w:val="00E74131"/>
    <w:rsid w:val="00E7464E"/>
    <w:rsid w:val="00E74CC3"/>
    <w:rsid w:val="00E74EBC"/>
    <w:rsid w:val="00E74F22"/>
    <w:rsid w:val="00E7501A"/>
    <w:rsid w:val="00E75F4A"/>
    <w:rsid w:val="00E7691D"/>
    <w:rsid w:val="00E76C3A"/>
    <w:rsid w:val="00E771B1"/>
    <w:rsid w:val="00E773FF"/>
    <w:rsid w:val="00E774F8"/>
    <w:rsid w:val="00E776E9"/>
    <w:rsid w:val="00E77915"/>
    <w:rsid w:val="00E77F40"/>
    <w:rsid w:val="00E80201"/>
    <w:rsid w:val="00E808D5"/>
    <w:rsid w:val="00E80F18"/>
    <w:rsid w:val="00E80FC9"/>
    <w:rsid w:val="00E81203"/>
    <w:rsid w:val="00E812A7"/>
    <w:rsid w:val="00E81529"/>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693"/>
    <w:rsid w:val="00E84927"/>
    <w:rsid w:val="00E84D02"/>
    <w:rsid w:val="00E85B18"/>
    <w:rsid w:val="00E85B28"/>
    <w:rsid w:val="00E86900"/>
    <w:rsid w:val="00E8691F"/>
    <w:rsid w:val="00E86B1E"/>
    <w:rsid w:val="00E86FBE"/>
    <w:rsid w:val="00E87454"/>
    <w:rsid w:val="00E87F96"/>
    <w:rsid w:val="00E90450"/>
    <w:rsid w:val="00E907F0"/>
    <w:rsid w:val="00E9099F"/>
    <w:rsid w:val="00E90C05"/>
    <w:rsid w:val="00E91572"/>
    <w:rsid w:val="00E91931"/>
    <w:rsid w:val="00E91A7E"/>
    <w:rsid w:val="00E91B22"/>
    <w:rsid w:val="00E91C33"/>
    <w:rsid w:val="00E923EE"/>
    <w:rsid w:val="00E928AF"/>
    <w:rsid w:val="00E92948"/>
    <w:rsid w:val="00E92E2C"/>
    <w:rsid w:val="00E932D0"/>
    <w:rsid w:val="00E9347C"/>
    <w:rsid w:val="00E934FB"/>
    <w:rsid w:val="00E93F69"/>
    <w:rsid w:val="00E947A6"/>
    <w:rsid w:val="00E95296"/>
    <w:rsid w:val="00E95480"/>
    <w:rsid w:val="00E959AA"/>
    <w:rsid w:val="00E96243"/>
    <w:rsid w:val="00E9733C"/>
    <w:rsid w:val="00E97B24"/>
    <w:rsid w:val="00E97FDD"/>
    <w:rsid w:val="00EA0499"/>
    <w:rsid w:val="00EA0C50"/>
    <w:rsid w:val="00EA171D"/>
    <w:rsid w:val="00EA1762"/>
    <w:rsid w:val="00EA1AE0"/>
    <w:rsid w:val="00EA2086"/>
    <w:rsid w:val="00EA2265"/>
    <w:rsid w:val="00EA2D3A"/>
    <w:rsid w:val="00EA2EB4"/>
    <w:rsid w:val="00EA3085"/>
    <w:rsid w:val="00EA3182"/>
    <w:rsid w:val="00EA42D4"/>
    <w:rsid w:val="00EA45C1"/>
    <w:rsid w:val="00EA472D"/>
    <w:rsid w:val="00EA4998"/>
    <w:rsid w:val="00EA49B7"/>
    <w:rsid w:val="00EA5644"/>
    <w:rsid w:val="00EA5715"/>
    <w:rsid w:val="00EA5AF2"/>
    <w:rsid w:val="00EA5C5D"/>
    <w:rsid w:val="00EA5F34"/>
    <w:rsid w:val="00EA6559"/>
    <w:rsid w:val="00EA65D6"/>
    <w:rsid w:val="00EA67EA"/>
    <w:rsid w:val="00EA6F94"/>
    <w:rsid w:val="00EA7231"/>
    <w:rsid w:val="00EA7690"/>
    <w:rsid w:val="00EB04E7"/>
    <w:rsid w:val="00EB10D5"/>
    <w:rsid w:val="00EB2151"/>
    <w:rsid w:val="00EB25C9"/>
    <w:rsid w:val="00EB29CF"/>
    <w:rsid w:val="00EB2CC8"/>
    <w:rsid w:val="00EB3A34"/>
    <w:rsid w:val="00EB3ADA"/>
    <w:rsid w:val="00EB48DF"/>
    <w:rsid w:val="00EB497B"/>
    <w:rsid w:val="00EB4C21"/>
    <w:rsid w:val="00EB537F"/>
    <w:rsid w:val="00EB58BF"/>
    <w:rsid w:val="00EB5A8A"/>
    <w:rsid w:val="00EB5AC5"/>
    <w:rsid w:val="00EB61FD"/>
    <w:rsid w:val="00EB6201"/>
    <w:rsid w:val="00EB6365"/>
    <w:rsid w:val="00EB68C5"/>
    <w:rsid w:val="00EB6F83"/>
    <w:rsid w:val="00EB7741"/>
    <w:rsid w:val="00EB7C3D"/>
    <w:rsid w:val="00EB7E3B"/>
    <w:rsid w:val="00EC033C"/>
    <w:rsid w:val="00EC0842"/>
    <w:rsid w:val="00EC0B62"/>
    <w:rsid w:val="00EC0E04"/>
    <w:rsid w:val="00EC0F46"/>
    <w:rsid w:val="00EC1453"/>
    <w:rsid w:val="00EC16B9"/>
    <w:rsid w:val="00EC17CD"/>
    <w:rsid w:val="00EC18B3"/>
    <w:rsid w:val="00EC1913"/>
    <w:rsid w:val="00EC1EA3"/>
    <w:rsid w:val="00EC2481"/>
    <w:rsid w:val="00EC2792"/>
    <w:rsid w:val="00EC2A2E"/>
    <w:rsid w:val="00EC2B44"/>
    <w:rsid w:val="00EC3068"/>
    <w:rsid w:val="00EC30DE"/>
    <w:rsid w:val="00EC3324"/>
    <w:rsid w:val="00EC3344"/>
    <w:rsid w:val="00EC3571"/>
    <w:rsid w:val="00EC35D1"/>
    <w:rsid w:val="00EC3814"/>
    <w:rsid w:val="00EC3EFB"/>
    <w:rsid w:val="00EC404D"/>
    <w:rsid w:val="00EC41AE"/>
    <w:rsid w:val="00EC4246"/>
    <w:rsid w:val="00EC4351"/>
    <w:rsid w:val="00EC4B41"/>
    <w:rsid w:val="00EC5185"/>
    <w:rsid w:val="00EC52BC"/>
    <w:rsid w:val="00EC5DC5"/>
    <w:rsid w:val="00EC5F6C"/>
    <w:rsid w:val="00EC602E"/>
    <w:rsid w:val="00EC6472"/>
    <w:rsid w:val="00EC650B"/>
    <w:rsid w:val="00EC6712"/>
    <w:rsid w:val="00EC67AD"/>
    <w:rsid w:val="00EC6871"/>
    <w:rsid w:val="00EC73F7"/>
    <w:rsid w:val="00EC751C"/>
    <w:rsid w:val="00EC7F52"/>
    <w:rsid w:val="00ED0C1F"/>
    <w:rsid w:val="00ED112B"/>
    <w:rsid w:val="00ED133A"/>
    <w:rsid w:val="00ED19F6"/>
    <w:rsid w:val="00ED1E3B"/>
    <w:rsid w:val="00ED2166"/>
    <w:rsid w:val="00ED25DD"/>
    <w:rsid w:val="00ED2639"/>
    <w:rsid w:val="00ED2899"/>
    <w:rsid w:val="00ED2A65"/>
    <w:rsid w:val="00ED3546"/>
    <w:rsid w:val="00ED35AA"/>
    <w:rsid w:val="00ED36BC"/>
    <w:rsid w:val="00ED38FF"/>
    <w:rsid w:val="00ED3F28"/>
    <w:rsid w:val="00ED3F56"/>
    <w:rsid w:val="00ED4848"/>
    <w:rsid w:val="00ED6611"/>
    <w:rsid w:val="00ED67C4"/>
    <w:rsid w:val="00ED6E73"/>
    <w:rsid w:val="00ED772D"/>
    <w:rsid w:val="00ED78A2"/>
    <w:rsid w:val="00EE0006"/>
    <w:rsid w:val="00EE0046"/>
    <w:rsid w:val="00EE04B3"/>
    <w:rsid w:val="00EE09E6"/>
    <w:rsid w:val="00EE0AA4"/>
    <w:rsid w:val="00EE0E2F"/>
    <w:rsid w:val="00EE170D"/>
    <w:rsid w:val="00EE1AAE"/>
    <w:rsid w:val="00EE21B7"/>
    <w:rsid w:val="00EE227C"/>
    <w:rsid w:val="00EE3065"/>
    <w:rsid w:val="00EE3148"/>
    <w:rsid w:val="00EE31EE"/>
    <w:rsid w:val="00EE349A"/>
    <w:rsid w:val="00EE3761"/>
    <w:rsid w:val="00EE46E7"/>
    <w:rsid w:val="00EE4A2A"/>
    <w:rsid w:val="00EE4B8F"/>
    <w:rsid w:val="00EE4DC2"/>
    <w:rsid w:val="00EE549F"/>
    <w:rsid w:val="00EE566E"/>
    <w:rsid w:val="00EE5D39"/>
    <w:rsid w:val="00EE5F84"/>
    <w:rsid w:val="00EE5F8A"/>
    <w:rsid w:val="00EE5FEC"/>
    <w:rsid w:val="00EE6605"/>
    <w:rsid w:val="00EE6806"/>
    <w:rsid w:val="00EE6FC4"/>
    <w:rsid w:val="00EE7269"/>
    <w:rsid w:val="00EE72DE"/>
    <w:rsid w:val="00EE75E6"/>
    <w:rsid w:val="00EE76DE"/>
    <w:rsid w:val="00EE7718"/>
    <w:rsid w:val="00EE7A36"/>
    <w:rsid w:val="00EF04A7"/>
    <w:rsid w:val="00EF0C12"/>
    <w:rsid w:val="00EF0E63"/>
    <w:rsid w:val="00EF110D"/>
    <w:rsid w:val="00EF13CA"/>
    <w:rsid w:val="00EF1589"/>
    <w:rsid w:val="00EF1728"/>
    <w:rsid w:val="00EF25F1"/>
    <w:rsid w:val="00EF2623"/>
    <w:rsid w:val="00EF2C08"/>
    <w:rsid w:val="00EF2E98"/>
    <w:rsid w:val="00EF3165"/>
    <w:rsid w:val="00EF31AE"/>
    <w:rsid w:val="00EF36A3"/>
    <w:rsid w:val="00EF39A2"/>
    <w:rsid w:val="00EF3C5D"/>
    <w:rsid w:val="00EF43F9"/>
    <w:rsid w:val="00EF4526"/>
    <w:rsid w:val="00EF4B9F"/>
    <w:rsid w:val="00EF4D7F"/>
    <w:rsid w:val="00EF4DD6"/>
    <w:rsid w:val="00EF5CE5"/>
    <w:rsid w:val="00EF6244"/>
    <w:rsid w:val="00EF6498"/>
    <w:rsid w:val="00EF64C7"/>
    <w:rsid w:val="00EF6EAC"/>
    <w:rsid w:val="00EF6F59"/>
    <w:rsid w:val="00EF79AB"/>
    <w:rsid w:val="00F00777"/>
    <w:rsid w:val="00F0090D"/>
    <w:rsid w:val="00F00CF6"/>
    <w:rsid w:val="00F01418"/>
    <w:rsid w:val="00F016E3"/>
    <w:rsid w:val="00F018A9"/>
    <w:rsid w:val="00F01A2E"/>
    <w:rsid w:val="00F01C04"/>
    <w:rsid w:val="00F01C5F"/>
    <w:rsid w:val="00F023EF"/>
    <w:rsid w:val="00F0272D"/>
    <w:rsid w:val="00F02732"/>
    <w:rsid w:val="00F02823"/>
    <w:rsid w:val="00F02AE6"/>
    <w:rsid w:val="00F02DF3"/>
    <w:rsid w:val="00F030A1"/>
    <w:rsid w:val="00F0345D"/>
    <w:rsid w:val="00F034D5"/>
    <w:rsid w:val="00F0364A"/>
    <w:rsid w:val="00F03AD9"/>
    <w:rsid w:val="00F040CE"/>
    <w:rsid w:val="00F04275"/>
    <w:rsid w:val="00F058A4"/>
    <w:rsid w:val="00F05F8F"/>
    <w:rsid w:val="00F0655A"/>
    <w:rsid w:val="00F0657A"/>
    <w:rsid w:val="00F0673B"/>
    <w:rsid w:val="00F06A09"/>
    <w:rsid w:val="00F06AAF"/>
    <w:rsid w:val="00F06F50"/>
    <w:rsid w:val="00F0707A"/>
    <w:rsid w:val="00F077D1"/>
    <w:rsid w:val="00F07A77"/>
    <w:rsid w:val="00F1016F"/>
    <w:rsid w:val="00F10263"/>
    <w:rsid w:val="00F10579"/>
    <w:rsid w:val="00F10D19"/>
    <w:rsid w:val="00F11331"/>
    <w:rsid w:val="00F11837"/>
    <w:rsid w:val="00F11855"/>
    <w:rsid w:val="00F11D7C"/>
    <w:rsid w:val="00F11F19"/>
    <w:rsid w:val="00F11FB7"/>
    <w:rsid w:val="00F123E6"/>
    <w:rsid w:val="00F127BD"/>
    <w:rsid w:val="00F12D97"/>
    <w:rsid w:val="00F13493"/>
    <w:rsid w:val="00F146C7"/>
    <w:rsid w:val="00F14C82"/>
    <w:rsid w:val="00F14CCE"/>
    <w:rsid w:val="00F14DD0"/>
    <w:rsid w:val="00F14E37"/>
    <w:rsid w:val="00F15042"/>
    <w:rsid w:val="00F1508D"/>
    <w:rsid w:val="00F15329"/>
    <w:rsid w:val="00F15464"/>
    <w:rsid w:val="00F154BD"/>
    <w:rsid w:val="00F15891"/>
    <w:rsid w:val="00F15E3F"/>
    <w:rsid w:val="00F16832"/>
    <w:rsid w:val="00F178F3"/>
    <w:rsid w:val="00F20117"/>
    <w:rsid w:val="00F20653"/>
    <w:rsid w:val="00F209A5"/>
    <w:rsid w:val="00F21106"/>
    <w:rsid w:val="00F21326"/>
    <w:rsid w:val="00F2162D"/>
    <w:rsid w:val="00F21678"/>
    <w:rsid w:val="00F216DB"/>
    <w:rsid w:val="00F217C5"/>
    <w:rsid w:val="00F21AF2"/>
    <w:rsid w:val="00F21BE3"/>
    <w:rsid w:val="00F22FED"/>
    <w:rsid w:val="00F23657"/>
    <w:rsid w:val="00F23D0E"/>
    <w:rsid w:val="00F23D50"/>
    <w:rsid w:val="00F243A6"/>
    <w:rsid w:val="00F24784"/>
    <w:rsid w:val="00F24C8F"/>
    <w:rsid w:val="00F24D48"/>
    <w:rsid w:val="00F24D7A"/>
    <w:rsid w:val="00F24E5E"/>
    <w:rsid w:val="00F24F77"/>
    <w:rsid w:val="00F2501E"/>
    <w:rsid w:val="00F25094"/>
    <w:rsid w:val="00F25239"/>
    <w:rsid w:val="00F25346"/>
    <w:rsid w:val="00F25412"/>
    <w:rsid w:val="00F2569D"/>
    <w:rsid w:val="00F262EE"/>
    <w:rsid w:val="00F26495"/>
    <w:rsid w:val="00F2650F"/>
    <w:rsid w:val="00F2651A"/>
    <w:rsid w:val="00F2657B"/>
    <w:rsid w:val="00F2662E"/>
    <w:rsid w:val="00F26CBB"/>
    <w:rsid w:val="00F27878"/>
    <w:rsid w:val="00F27AD3"/>
    <w:rsid w:val="00F27C47"/>
    <w:rsid w:val="00F27E70"/>
    <w:rsid w:val="00F30054"/>
    <w:rsid w:val="00F30486"/>
    <w:rsid w:val="00F30658"/>
    <w:rsid w:val="00F30675"/>
    <w:rsid w:val="00F309E7"/>
    <w:rsid w:val="00F3102B"/>
    <w:rsid w:val="00F3108D"/>
    <w:rsid w:val="00F314A9"/>
    <w:rsid w:val="00F31832"/>
    <w:rsid w:val="00F31974"/>
    <w:rsid w:val="00F31C2A"/>
    <w:rsid w:val="00F31E41"/>
    <w:rsid w:val="00F31E86"/>
    <w:rsid w:val="00F32423"/>
    <w:rsid w:val="00F337D7"/>
    <w:rsid w:val="00F34214"/>
    <w:rsid w:val="00F344DB"/>
    <w:rsid w:val="00F344E5"/>
    <w:rsid w:val="00F34B2A"/>
    <w:rsid w:val="00F34BBC"/>
    <w:rsid w:val="00F34E2E"/>
    <w:rsid w:val="00F3509B"/>
    <w:rsid w:val="00F355A0"/>
    <w:rsid w:val="00F356D9"/>
    <w:rsid w:val="00F359A8"/>
    <w:rsid w:val="00F35B0B"/>
    <w:rsid w:val="00F35C32"/>
    <w:rsid w:val="00F35F40"/>
    <w:rsid w:val="00F36004"/>
    <w:rsid w:val="00F3606C"/>
    <w:rsid w:val="00F36AAE"/>
    <w:rsid w:val="00F36D09"/>
    <w:rsid w:val="00F3763A"/>
    <w:rsid w:val="00F37DA7"/>
    <w:rsid w:val="00F37FBF"/>
    <w:rsid w:val="00F40690"/>
    <w:rsid w:val="00F40F4B"/>
    <w:rsid w:val="00F4158C"/>
    <w:rsid w:val="00F41846"/>
    <w:rsid w:val="00F418B8"/>
    <w:rsid w:val="00F41AB2"/>
    <w:rsid w:val="00F42617"/>
    <w:rsid w:val="00F428CD"/>
    <w:rsid w:val="00F4349A"/>
    <w:rsid w:val="00F437A3"/>
    <w:rsid w:val="00F43966"/>
    <w:rsid w:val="00F43DED"/>
    <w:rsid w:val="00F44095"/>
    <w:rsid w:val="00F4496D"/>
    <w:rsid w:val="00F44CBA"/>
    <w:rsid w:val="00F44E13"/>
    <w:rsid w:val="00F452D4"/>
    <w:rsid w:val="00F45627"/>
    <w:rsid w:val="00F45B88"/>
    <w:rsid w:val="00F468FD"/>
    <w:rsid w:val="00F46D78"/>
    <w:rsid w:val="00F4704E"/>
    <w:rsid w:val="00F4730F"/>
    <w:rsid w:val="00F47658"/>
    <w:rsid w:val="00F47A55"/>
    <w:rsid w:val="00F47A71"/>
    <w:rsid w:val="00F47EC6"/>
    <w:rsid w:val="00F50142"/>
    <w:rsid w:val="00F50473"/>
    <w:rsid w:val="00F508F9"/>
    <w:rsid w:val="00F50AA4"/>
    <w:rsid w:val="00F50F10"/>
    <w:rsid w:val="00F51740"/>
    <w:rsid w:val="00F52760"/>
    <w:rsid w:val="00F52F2E"/>
    <w:rsid w:val="00F53009"/>
    <w:rsid w:val="00F5304E"/>
    <w:rsid w:val="00F53071"/>
    <w:rsid w:val="00F534A6"/>
    <w:rsid w:val="00F53A63"/>
    <w:rsid w:val="00F53D6B"/>
    <w:rsid w:val="00F549CF"/>
    <w:rsid w:val="00F550D7"/>
    <w:rsid w:val="00F553B8"/>
    <w:rsid w:val="00F55D13"/>
    <w:rsid w:val="00F55DA1"/>
    <w:rsid w:val="00F5610D"/>
    <w:rsid w:val="00F5622F"/>
    <w:rsid w:val="00F563FD"/>
    <w:rsid w:val="00F566E9"/>
    <w:rsid w:val="00F57091"/>
    <w:rsid w:val="00F57CD9"/>
    <w:rsid w:val="00F60622"/>
    <w:rsid w:val="00F60656"/>
    <w:rsid w:val="00F6077D"/>
    <w:rsid w:val="00F60794"/>
    <w:rsid w:val="00F612F7"/>
    <w:rsid w:val="00F616F4"/>
    <w:rsid w:val="00F61829"/>
    <w:rsid w:val="00F61A63"/>
    <w:rsid w:val="00F61F18"/>
    <w:rsid w:val="00F61F8F"/>
    <w:rsid w:val="00F62135"/>
    <w:rsid w:val="00F62338"/>
    <w:rsid w:val="00F6292D"/>
    <w:rsid w:val="00F62B30"/>
    <w:rsid w:val="00F63188"/>
    <w:rsid w:val="00F6366D"/>
    <w:rsid w:val="00F6398F"/>
    <w:rsid w:val="00F63B2E"/>
    <w:rsid w:val="00F64416"/>
    <w:rsid w:val="00F64509"/>
    <w:rsid w:val="00F64592"/>
    <w:rsid w:val="00F648C5"/>
    <w:rsid w:val="00F64AC1"/>
    <w:rsid w:val="00F64B79"/>
    <w:rsid w:val="00F6505A"/>
    <w:rsid w:val="00F650C9"/>
    <w:rsid w:val="00F66232"/>
    <w:rsid w:val="00F665CF"/>
    <w:rsid w:val="00F6714E"/>
    <w:rsid w:val="00F67445"/>
    <w:rsid w:val="00F6767E"/>
    <w:rsid w:val="00F701E5"/>
    <w:rsid w:val="00F7058C"/>
    <w:rsid w:val="00F71379"/>
    <w:rsid w:val="00F71486"/>
    <w:rsid w:val="00F71795"/>
    <w:rsid w:val="00F72024"/>
    <w:rsid w:val="00F72425"/>
    <w:rsid w:val="00F72E9D"/>
    <w:rsid w:val="00F72EC6"/>
    <w:rsid w:val="00F72ED7"/>
    <w:rsid w:val="00F72FBD"/>
    <w:rsid w:val="00F7355C"/>
    <w:rsid w:val="00F73ABB"/>
    <w:rsid w:val="00F7413D"/>
    <w:rsid w:val="00F749C2"/>
    <w:rsid w:val="00F74D56"/>
    <w:rsid w:val="00F74F1F"/>
    <w:rsid w:val="00F74FFB"/>
    <w:rsid w:val="00F750F4"/>
    <w:rsid w:val="00F75190"/>
    <w:rsid w:val="00F7533D"/>
    <w:rsid w:val="00F753E2"/>
    <w:rsid w:val="00F75409"/>
    <w:rsid w:val="00F75425"/>
    <w:rsid w:val="00F756DB"/>
    <w:rsid w:val="00F757A0"/>
    <w:rsid w:val="00F7593D"/>
    <w:rsid w:val="00F759E5"/>
    <w:rsid w:val="00F76269"/>
    <w:rsid w:val="00F76735"/>
    <w:rsid w:val="00F76E10"/>
    <w:rsid w:val="00F76F39"/>
    <w:rsid w:val="00F771FC"/>
    <w:rsid w:val="00F7736C"/>
    <w:rsid w:val="00F7755C"/>
    <w:rsid w:val="00F778DA"/>
    <w:rsid w:val="00F77AD4"/>
    <w:rsid w:val="00F80027"/>
    <w:rsid w:val="00F80069"/>
    <w:rsid w:val="00F80963"/>
    <w:rsid w:val="00F80B83"/>
    <w:rsid w:val="00F80F5E"/>
    <w:rsid w:val="00F81A28"/>
    <w:rsid w:val="00F81CC1"/>
    <w:rsid w:val="00F826BC"/>
    <w:rsid w:val="00F8273B"/>
    <w:rsid w:val="00F82D37"/>
    <w:rsid w:val="00F82F26"/>
    <w:rsid w:val="00F83A4A"/>
    <w:rsid w:val="00F841D2"/>
    <w:rsid w:val="00F84648"/>
    <w:rsid w:val="00F846BA"/>
    <w:rsid w:val="00F8487D"/>
    <w:rsid w:val="00F848AF"/>
    <w:rsid w:val="00F8513B"/>
    <w:rsid w:val="00F853F7"/>
    <w:rsid w:val="00F855DA"/>
    <w:rsid w:val="00F85BCC"/>
    <w:rsid w:val="00F86045"/>
    <w:rsid w:val="00F86149"/>
    <w:rsid w:val="00F86277"/>
    <w:rsid w:val="00F86382"/>
    <w:rsid w:val="00F864B2"/>
    <w:rsid w:val="00F8683B"/>
    <w:rsid w:val="00F86E17"/>
    <w:rsid w:val="00F87624"/>
    <w:rsid w:val="00F878EA"/>
    <w:rsid w:val="00F87F23"/>
    <w:rsid w:val="00F900AF"/>
    <w:rsid w:val="00F900B7"/>
    <w:rsid w:val="00F909B1"/>
    <w:rsid w:val="00F90C11"/>
    <w:rsid w:val="00F90EB4"/>
    <w:rsid w:val="00F925BA"/>
    <w:rsid w:val="00F92725"/>
    <w:rsid w:val="00F9292E"/>
    <w:rsid w:val="00F92A08"/>
    <w:rsid w:val="00F92F4A"/>
    <w:rsid w:val="00F937F9"/>
    <w:rsid w:val="00F9384B"/>
    <w:rsid w:val="00F93D40"/>
    <w:rsid w:val="00F94487"/>
    <w:rsid w:val="00F9461E"/>
    <w:rsid w:val="00F94B38"/>
    <w:rsid w:val="00F94BFA"/>
    <w:rsid w:val="00F94D21"/>
    <w:rsid w:val="00F94D48"/>
    <w:rsid w:val="00F9536D"/>
    <w:rsid w:val="00F9570A"/>
    <w:rsid w:val="00F95A8B"/>
    <w:rsid w:val="00F95D57"/>
    <w:rsid w:val="00F95EE7"/>
    <w:rsid w:val="00F96746"/>
    <w:rsid w:val="00F96A77"/>
    <w:rsid w:val="00F96E43"/>
    <w:rsid w:val="00F9737A"/>
    <w:rsid w:val="00F9760B"/>
    <w:rsid w:val="00F9774B"/>
    <w:rsid w:val="00F97EEE"/>
    <w:rsid w:val="00FA05F0"/>
    <w:rsid w:val="00FA07E5"/>
    <w:rsid w:val="00FA0B7D"/>
    <w:rsid w:val="00FA1111"/>
    <w:rsid w:val="00FA1545"/>
    <w:rsid w:val="00FA1FD9"/>
    <w:rsid w:val="00FA2717"/>
    <w:rsid w:val="00FA2B84"/>
    <w:rsid w:val="00FA2CFC"/>
    <w:rsid w:val="00FA3312"/>
    <w:rsid w:val="00FA35ED"/>
    <w:rsid w:val="00FA3E52"/>
    <w:rsid w:val="00FA416F"/>
    <w:rsid w:val="00FA4606"/>
    <w:rsid w:val="00FA4B25"/>
    <w:rsid w:val="00FA4D14"/>
    <w:rsid w:val="00FA4F73"/>
    <w:rsid w:val="00FA57D0"/>
    <w:rsid w:val="00FA5E02"/>
    <w:rsid w:val="00FA5E4D"/>
    <w:rsid w:val="00FA6473"/>
    <w:rsid w:val="00FA6A37"/>
    <w:rsid w:val="00FA6AFC"/>
    <w:rsid w:val="00FA7019"/>
    <w:rsid w:val="00FA71D6"/>
    <w:rsid w:val="00FA7BC3"/>
    <w:rsid w:val="00FB00B3"/>
    <w:rsid w:val="00FB15D1"/>
    <w:rsid w:val="00FB18F5"/>
    <w:rsid w:val="00FB217F"/>
    <w:rsid w:val="00FB243B"/>
    <w:rsid w:val="00FB2470"/>
    <w:rsid w:val="00FB270C"/>
    <w:rsid w:val="00FB274F"/>
    <w:rsid w:val="00FB2840"/>
    <w:rsid w:val="00FB28B1"/>
    <w:rsid w:val="00FB29C2"/>
    <w:rsid w:val="00FB2C55"/>
    <w:rsid w:val="00FB3235"/>
    <w:rsid w:val="00FB3ABE"/>
    <w:rsid w:val="00FB3BD3"/>
    <w:rsid w:val="00FB3F56"/>
    <w:rsid w:val="00FB3FEA"/>
    <w:rsid w:val="00FB4586"/>
    <w:rsid w:val="00FB4688"/>
    <w:rsid w:val="00FB4A99"/>
    <w:rsid w:val="00FB4D99"/>
    <w:rsid w:val="00FB5979"/>
    <w:rsid w:val="00FB5AE9"/>
    <w:rsid w:val="00FB5FD8"/>
    <w:rsid w:val="00FB647D"/>
    <w:rsid w:val="00FB69A5"/>
    <w:rsid w:val="00FB6C63"/>
    <w:rsid w:val="00FB7120"/>
    <w:rsid w:val="00FB7393"/>
    <w:rsid w:val="00FC1261"/>
    <w:rsid w:val="00FC134D"/>
    <w:rsid w:val="00FC1377"/>
    <w:rsid w:val="00FC13F0"/>
    <w:rsid w:val="00FC1620"/>
    <w:rsid w:val="00FC18C8"/>
    <w:rsid w:val="00FC1BEE"/>
    <w:rsid w:val="00FC1D54"/>
    <w:rsid w:val="00FC20C3"/>
    <w:rsid w:val="00FC252B"/>
    <w:rsid w:val="00FC26BA"/>
    <w:rsid w:val="00FC2AB7"/>
    <w:rsid w:val="00FC2CD7"/>
    <w:rsid w:val="00FC2CE1"/>
    <w:rsid w:val="00FC2D32"/>
    <w:rsid w:val="00FC320F"/>
    <w:rsid w:val="00FC38F3"/>
    <w:rsid w:val="00FC44F8"/>
    <w:rsid w:val="00FC4779"/>
    <w:rsid w:val="00FC48C2"/>
    <w:rsid w:val="00FC4A26"/>
    <w:rsid w:val="00FC5115"/>
    <w:rsid w:val="00FC585F"/>
    <w:rsid w:val="00FC59E5"/>
    <w:rsid w:val="00FC5CB0"/>
    <w:rsid w:val="00FC5E2E"/>
    <w:rsid w:val="00FC601C"/>
    <w:rsid w:val="00FC6365"/>
    <w:rsid w:val="00FC63E6"/>
    <w:rsid w:val="00FC6760"/>
    <w:rsid w:val="00FC6C56"/>
    <w:rsid w:val="00FC779A"/>
    <w:rsid w:val="00FC7859"/>
    <w:rsid w:val="00FD0230"/>
    <w:rsid w:val="00FD03EC"/>
    <w:rsid w:val="00FD0507"/>
    <w:rsid w:val="00FD06B2"/>
    <w:rsid w:val="00FD07E0"/>
    <w:rsid w:val="00FD0925"/>
    <w:rsid w:val="00FD0A5A"/>
    <w:rsid w:val="00FD0B98"/>
    <w:rsid w:val="00FD0D76"/>
    <w:rsid w:val="00FD0E71"/>
    <w:rsid w:val="00FD0EDB"/>
    <w:rsid w:val="00FD0F47"/>
    <w:rsid w:val="00FD1760"/>
    <w:rsid w:val="00FD1B57"/>
    <w:rsid w:val="00FD1C20"/>
    <w:rsid w:val="00FD2B5E"/>
    <w:rsid w:val="00FD307D"/>
    <w:rsid w:val="00FD3095"/>
    <w:rsid w:val="00FD3E9B"/>
    <w:rsid w:val="00FD458C"/>
    <w:rsid w:val="00FD46D2"/>
    <w:rsid w:val="00FD4C31"/>
    <w:rsid w:val="00FD4E57"/>
    <w:rsid w:val="00FD5A9A"/>
    <w:rsid w:val="00FD6009"/>
    <w:rsid w:val="00FD6256"/>
    <w:rsid w:val="00FD66AE"/>
    <w:rsid w:val="00FD6DF1"/>
    <w:rsid w:val="00FD6F01"/>
    <w:rsid w:val="00FD7373"/>
    <w:rsid w:val="00FD76E2"/>
    <w:rsid w:val="00FD7FA6"/>
    <w:rsid w:val="00FE027C"/>
    <w:rsid w:val="00FE0957"/>
    <w:rsid w:val="00FE1069"/>
    <w:rsid w:val="00FE16CD"/>
    <w:rsid w:val="00FE17A5"/>
    <w:rsid w:val="00FE18C9"/>
    <w:rsid w:val="00FE1FC9"/>
    <w:rsid w:val="00FE278C"/>
    <w:rsid w:val="00FE35CB"/>
    <w:rsid w:val="00FE36DE"/>
    <w:rsid w:val="00FE4AC9"/>
    <w:rsid w:val="00FE5033"/>
    <w:rsid w:val="00FE5044"/>
    <w:rsid w:val="00FE51EC"/>
    <w:rsid w:val="00FE5374"/>
    <w:rsid w:val="00FE58A0"/>
    <w:rsid w:val="00FE5DD9"/>
    <w:rsid w:val="00FE5EAB"/>
    <w:rsid w:val="00FE619F"/>
    <w:rsid w:val="00FE6238"/>
    <w:rsid w:val="00FE6A9F"/>
    <w:rsid w:val="00FE6E69"/>
    <w:rsid w:val="00FE7314"/>
    <w:rsid w:val="00FE751C"/>
    <w:rsid w:val="00FE77CA"/>
    <w:rsid w:val="00FE7A83"/>
    <w:rsid w:val="00FF070B"/>
    <w:rsid w:val="00FF0B11"/>
    <w:rsid w:val="00FF0DB8"/>
    <w:rsid w:val="00FF109E"/>
    <w:rsid w:val="00FF1CA9"/>
    <w:rsid w:val="00FF1CEC"/>
    <w:rsid w:val="00FF1E45"/>
    <w:rsid w:val="00FF29C4"/>
    <w:rsid w:val="00FF29FF"/>
    <w:rsid w:val="00FF2AB0"/>
    <w:rsid w:val="00FF2CA2"/>
    <w:rsid w:val="00FF2EE6"/>
    <w:rsid w:val="00FF380B"/>
    <w:rsid w:val="00FF3C7F"/>
    <w:rsid w:val="00FF454F"/>
    <w:rsid w:val="00FF461C"/>
    <w:rsid w:val="00FF4679"/>
    <w:rsid w:val="00FF4681"/>
    <w:rsid w:val="00FF5386"/>
    <w:rsid w:val="00FF5AA9"/>
    <w:rsid w:val="00FF5C48"/>
    <w:rsid w:val="00FF5D46"/>
    <w:rsid w:val="00FF5E9E"/>
    <w:rsid w:val="00FF6708"/>
    <w:rsid w:val="00FF67B8"/>
    <w:rsid w:val="00FF6F4D"/>
    <w:rsid w:val="00FF71D3"/>
    <w:rsid w:val="00FF76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35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0862E0"/>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0862E0"/>
    <w:rPr>
      <w:rFonts w:ascii="Cambria" w:hAnsi="Cambria" w:cs="Times New Roman"/>
      <w:b/>
      <w:bCs/>
      <w:sz w:val="26"/>
      <w:szCs w:val="26"/>
    </w:rPr>
  </w:style>
  <w:style w:type="character" w:styleId="Accentuation">
    <w:name w:val="Emphasis"/>
    <w:basedOn w:val="Policepardfaut"/>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locked/>
    <w:rsid w:val="000862E0"/>
    <w:rPr>
      <w:rFonts w:cs="Times New Roman"/>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locked/>
    <w:rsid w:val="000862E0"/>
    <w:rPr>
      <w:rFonts w:cs="Times New Roman"/>
      <w:sz w:val="24"/>
      <w:szCs w:val="24"/>
    </w:rPr>
  </w:style>
  <w:style w:type="paragraph" w:styleId="Titre">
    <w:name w:val="Title"/>
    <w:basedOn w:val="Normal"/>
    <w:link w:val="TitreCar"/>
    <w:uiPriority w:val="99"/>
    <w:qFormat/>
    <w:rsid w:val="00AC3133"/>
    <w:pPr>
      <w:jc w:val="center"/>
    </w:pPr>
    <w:rPr>
      <w:b/>
      <w:bCs/>
      <w:szCs w:val="28"/>
    </w:rPr>
  </w:style>
  <w:style w:type="character" w:customStyle="1" w:styleId="TitreCar">
    <w:name w:val="Titre Car"/>
    <w:basedOn w:val="Policepardfaut"/>
    <w:link w:val="Titre"/>
    <w:uiPriority w:val="99"/>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862E0"/>
    <w:rPr>
      <w:rFonts w:cs="Times New Roman"/>
      <w:sz w:val="2"/>
    </w:rPr>
  </w:style>
  <w:style w:type="character" w:customStyle="1" w:styleId="hps">
    <w:name w:val="hps"/>
    <w:basedOn w:val="Policepardfaut"/>
    <w:uiPriority w:val="99"/>
    <w:rsid w:val="001E2E19"/>
    <w:rPr>
      <w:rFonts w:cs="Times New Roman"/>
    </w:rPr>
  </w:style>
  <w:style w:type="character" w:customStyle="1" w:styleId="hpsatn">
    <w:name w:val="hps atn"/>
    <w:basedOn w:val="Policepardfaut"/>
    <w:uiPriority w:val="99"/>
    <w:rsid w:val="0080084F"/>
    <w:rPr>
      <w:rFonts w:cs="Times New Roman"/>
    </w:rPr>
  </w:style>
  <w:style w:type="character" w:styleId="lev">
    <w:name w:val="Strong"/>
    <w:basedOn w:val="Policepardfaut"/>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basedOn w:val="Policepardfaut"/>
    <w:link w:val="Notedebasdepage"/>
    <w:uiPriority w:val="99"/>
    <w:semiHidden/>
    <w:locked/>
    <w:rsid w:val="00AA46C6"/>
    <w:rPr>
      <w:rFonts w:ascii="Calibri" w:hAnsi="Calibri" w:cs="Arial"/>
      <w:lang w:val="fr-FR" w:eastAsia="en-US" w:bidi="ar-SA"/>
    </w:rPr>
  </w:style>
  <w:style w:type="character" w:styleId="Appelnotedebasdep">
    <w:name w:val="footnote reference"/>
    <w:basedOn w:val="Policepardfaut"/>
    <w:uiPriority w:val="99"/>
    <w:semiHidden/>
    <w:rsid w:val="00AA46C6"/>
    <w:rPr>
      <w:rFonts w:cs="Times New Roman"/>
      <w:vertAlign w:val="superscript"/>
    </w:rPr>
  </w:style>
  <w:style w:type="character" w:customStyle="1" w:styleId="ebo1e">
    <w:name w:val="ebo1e"/>
    <w:basedOn w:val="Policepardfaut"/>
    <w:uiPriority w:val="99"/>
    <w:rsid w:val="001712FF"/>
    <w:rPr>
      <w:rFonts w:cs="Times New Roman"/>
    </w:rPr>
  </w:style>
  <w:style w:type="character" w:customStyle="1" w:styleId="fc0t1x20a">
    <w:name w:val="fc0t1x20a"/>
    <w:basedOn w:val="Policepardfaut"/>
    <w:uiPriority w:val="99"/>
    <w:rsid w:val="00FB217F"/>
    <w:rPr>
      <w:rFonts w:cs="Times New Roman"/>
    </w:rPr>
  </w:style>
  <w:style w:type="paragraph" w:styleId="Paragraphedeliste">
    <w:name w:val="List Paragraph"/>
    <w:basedOn w:val="Normal"/>
    <w:uiPriority w:val="34"/>
    <w:qFormat/>
    <w:rsid w:val="00166E77"/>
    <w:pPr>
      <w:ind w:left="720"/>
      <w:contextualSpacing/>
    </w:pPr>
  </w:style>
  <w:style w:type="paragraph" w:styleId="PrformatHTML">
    <w:name w:val="HTML Preformatted"/>
    <w:basedOn w:val="Normal"/>
    <w:link w:val="PrformatHTMLCar"/>
    <w:uiPriority w:val="99"/>
    <w:semiHidden/>
    <w:unhideWhenUsed/>
    <w:rsid w:val="000C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0C109A"/>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 w:id="266929816">
      <w:bodyDiv w:val="1"/>
      <w:marLeft w:val="0"/>
      <w:marRight w:val="0"/>
      <w:marTop w:val="0"/>
      <w:marBottom w:val="0"/>
      <w:divBdr>
        <w:top w:val="none" w:sz="0" w:space="0" w:color="auto"/>
        <w:left w:val="none" w:sz="0" w:space="0" w:color="auto"/>
        <w:bottom w:val="none" w:sz="0" w:space="0" w:color="auto"/>
        <w:right w:val="none" w:sz="0" w:space="0" w:color="auto"/>
      </w:divBdr>
    </w:div>
    <w:div w:id="462815678">
      <w:bodyDiv w:val="1"/>
      <w:marLeft w:val="0"/>
      <w:marRight w:val="0"/>
      <w:marTop w:val="0"/>
      <w:marBottom w:val="0"/>
      <w:divBdr>
        <w:top w:val="none" w:sz="0" w:space="0" w:color="auto"/>
        <w:left w:val="none" w:sz="0" w:space="0" w:color="auto"/>
        <w:bottom w:val="none" w:sz="0" w:space="0" w:color="auto"/>
        <w:right w:val="none" w:sz="0" w:space="0" w:color="auto"/>
      </w:divBdr>
    </w:div>
    <w:div w:id="563640628">
      <w:bodyDiv w:val="1"/>
      <w:marLeft w:val="0"/>
      <w:marRight w:val="0"/>
      <w:marTop w:val="0"/>
      <w:marBottom w:val="0"/>
      <w:divBdr>
        <w:top w:val="none" w:sz="0" w:space="0" w:color="auto"/>
        <w:left w:val="none" w:sz="0" w:space="0" w:color="auto"/>
        <w:bottom w:val="none" w:sz="0" w:space="0" w:color="auto"/>
        <w:right w:val="none" w:sz="0" w:space="0" w:color="auto"/>
      </w:divBdr>
    </w:div>
    <w:div w:id="756244336">
      <w:bodyDiv w:val="1"/>
      <w:marLeft w:val="0"/>
      <w:marRight w:val="0"/>
      <w:marTop w:val="0"/>
      <w:marBottom w:val="0"/>
      <w:divBdr>
        <w:top w:val="none" w:sz="0" w:space="0" w:color="auto"/>
        <w:left w:val="none" w:sz="0" w:space="0" w:color="auto"/>
        <w:bottom w:val="none" w:sz="0" w:space="0" w:color="auto"/>
        <w:right w:val="none" w:sz="0" w:space="0" w:color="auto"/>
      </w:divBdr>
    </w:div>
    <w:div w:id="838739817">
      <w:bodyDiv w:val="1"/>
      <w:marLeft w:val="0"/>
      <w:marRight w:val="0"/>
      <w:marTop w:val="0"/>
      <w:marBottom w:val="0"/>
      <w:divBdr>
        <w:top w:val="none" w:sz="0" w:space="0" w:color="auto"/>
        <w:left w:val="none" w:sz="0" w:space="0" w:color="auto"/>
        <w:bottom w:val="none" w:sz="0" w:space="0" w:color="auto"/>
        <w:right w:val="none" w:sz="0" w:space="0" w:color="auto"/>
      </w:divBdr>
    </w:div>
    <w:div w:id="1031372253">
      <w:bodyDiv w:val="1"/>
      <w:marLeft w:val="0"/>
      <w:marRight w:val="0"/>
      <w:marTop w:val="0"/>
      <w:marBottom w:val="0"/>
      <w:divBdr>
        <w:top w:val="none" w:sz="0" w:space="0" w:color="auto"/>
        <w:left w:val="none" w:sz="0" w:space="0" w:color="auto"/>
        <w:bottom w:val="none" w:sz="0" w:space="0" w:color="auto"/>
        <w:right w:val="none" w:sz="0" w:space="0" w:color="auto"/>
      </w:divBdr>
    </w:div>
    <w:div w:id="1038432154">
      <w:bodyDiv w:val="1"/>
      <w:marLeft w:val="0"/>
      <w:marRight w:val="0"/>
      <w:marTop w:val="0"/>
      <w:marBottom w:val="0"/>
      <w:divBdr>
        <w:top w:val="none" w:sz="0" w:space="0" w:color="auto"/>
        <w:left w:val="none" w:sz="0" w:space="0" w:color="auto"/>
        <w:bottom w:val="none" w:sz="0" w:space="0" w:color="auto"/>
        <w:right w:val="none" w:sz="0" w:space="0" w:color="auto"/>
      </w:divBdr>
    </w:div>
    <w:div w:id="1090929093">
      <w:bodyDiv w:val="1"/>
      <w:marLeft w:val="0"/>
      <w:marRight w:val="0"/>
      <w:marTop w:val="0"/>
      <w:marBottom w:val="0"/>
      <w:divBdr>
        <w:top w:val="none" w:sz="0" w:space="0" w:color="auto"/>
        <w:left w:val="none" w:sz="0" w:space="0" w:color="auto"/>
        <w:bottom w:val="none" w:sz="0" w:space="0" w:color="auto"/>
        <w:right w:val="none" w:sz="0" w:space="0" w:color="auto"/>
      </w:divBdr>
    </w:div>
    <w:div w:id="1371876522">
      <w:bodyDiv w:val="1"/>
      <w:marLeft w:val="0"/>
      <w:marRight w:val="0"/>
      <w:marTop w:val="0"/>
      <w:marBottom w:val="0"/>
      <w:divBdr>
        <w:top w:val="none" w:sz="0" w:space="0" w:color="auto"/>
        <w:left w:val="none" w:sz="0" w:space="0" w:color="auto"/>
        <w:bottom w:val="none" w:sz="0" w:space="0" w:color="auto"/>
        <w:right w:val="none" w:sz="0" w:space="0" w:color="auto"/>
      </w:divBdr>
    </w:div>
    <w:div w:id="1551726788">
      <w:bodyDiv w:val="1"/>
      <w:marLeft w:val="0"/>
      <w:marRight w:val="0"/>
      <w:marTop w:val="0"/>
      <w:marBottom w:val="0"/>
      <w:divBdr>
        <w:top w:val="none" w:sz="0" w:space="0" w:color="auto"/>
        <w:left w:val="none" w:sz="0" w:space="0" w:color="auto"/>
        <w:bottom w:val="none" w:sz="0" w:space="0" w:color="auto"/>
        <w:right w:val="none" w:sz="0" w:space="0" w:color="auto"/>
      </w:divBdr>
    </w:div>
    <w:div w:id="1596209802">
      <w:bodyDiv w:val="1"/>
      <w:marLeft w:val="0"/>
      <w:marRight w:val="0"/>
      <w:marTop w:val="0"/>
      <w:marBottom w:val="0"/>
      <w:divBdr>
        <w:top w:val="none" w:sz="0" w:space="0" w:color="auto"/>
        <w:left w:val="none" w:sz="0" w:space="0" w:color="auto"/>
        <w:bottom w:val="none" w:sz="0" w:space="0" w:color="auto"/>
        <w:right w:val="none" w:sz="0" w:space="0" w:color="auto"/>
      </w:divBdr>
    </w:div>
    <w:div w:id="1693611415">
      <w:bodyDiv w:val="1"/>
      <w:marLeft w:val="0"/>
      <w:marRight w:val="0"/>
      <w:marTop w:val="0"/>
      <w:marBottom w:val="0"/>
      <w:divBdr>
        <w:top w:val="none" w:sz="0" w:space="0" w:color="auto"/>
        <w:left w:val="none" w:sz="0" w:space="0" w:color="auto"/>
        <w:bottom w:val="none" w:sz="0" w:space="0" w:color="auto"/>
        <w:right w:val="none" w:sz="0" w:space="0" w:color="auto"/>
      </w:divBdr>
    </w:div>
    <w:div w:id="20284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oleObject" Target="Classeur3"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y%20lap\Downloads\graph%20en%20arab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y%20lap\Downloads\graph%20en%20arab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y%20lap\Downloads\graph%20en%20arab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y%20lap\Downloads\graph%20en%20arab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y%20lap\Downloads\graph%20en%20arab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y%20lap\Downloads\graph%20en%20arab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y%20lap\Downloads\graph%20en%20arab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MA" sz="1400" b="0" i="0" u="none" strike="noStrike" baseline="0">
                <a:effectLst/>
              </a:rPr>
              <a:t>نسبة المأجورين حسب حجم المقاولات</a:t>
            </a:r>
            <a:r>
              <a:rPr lang="ar-MA" sz="1400" b="0" i="0" u="none" strike="noStrike" baseline="0"/>
              <a:t> </a:t>
            </a:r>
            <a:endParaRPr lang="fr-FR"/>
          </a:p>
        </c:rich>
      </c:tx>
      <c:spPr>
        <a:noFill/>
        <a:ln>
          <a:noFill/>
        </a:ln>
        <a:effectLst/>
      </c:spPr>
    </c:title>
    <c:plotArea>
      <c:layout/>
      <c:barChart>
        <c:barDir val="col"/>
        <c:grouping val="clustered"/>
        <c:ser>
          <c:idx val="0"/>
          <c:order val="0"/>
          <c:tx>
            <c:strRef>
              <c:f>'g1'!$I$14</c:f>
              <c:strCache>
                <c:ptCount val="1"/>
                <c:pt idx="0">
                  <c:v>نسبة العاملين المأجورين
</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'g1'!$K$15:$K$17</c:f>
              <c:strCache>
                <c:ptCount val="3"/>
                <c:pt idx="0">
                  <c:v>المقاولات الصغيرة جداَ</c:v>
                </c:pt>
                <c:pt idx="1">
                  <c:v>المقاولات الصغرى والمتوسطة</c:v>
                </c:pt>
                <c:pt idx="2">
                  <c:v>القاولات الكبيرة</c:v>
                </c:pt>
              </c:strCache>
            </c:strRef>
          </c:cat>
          <c:val>
            <c:numRef>
              <c:f>'g1'!$I$15:$I$17</c:f>
              <c:numCache>
                <c:formatCode>0%</c:formatCode>
                <c:ptCount val="3"/>
                <c:pt idx="0">
                  <c:v>3.0000000000000016E-2</c:v>
                </c:pt>
                <c:pt idx="1">
                  <c:v>0.30645135784817651</c:v>
                </c:pt>
                <c:pt idx="2">
                  <c:v>0.66000000000000214</c:v>
                </c:pt>
              </c:numCache>
            </c:numRef>
          </c:val>
        </c:ser>
        <c:ser>
          <c:idx val="1"/>
          <c:order val="1"/>
          <c:tx>
            <c:strRef>
              <c:f>'g1'!$J$14</c:f>
              <c:strCache>
                <c:ptCount val="1"/>
                <c:pt idx="0">
                  <c:v>عدد المقاولات ب %</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'g1'!$K$15:$K$17</c:f>
              <c:strCache>
                <c:ptCount val="3"/>
                <c:pt idx="0">
                  <c:v>المقاولات الصغيرة جداَ</c:v>
                </c:pt>
                <c:pt idx="1">
                  <c:v>المقاولات الصغرى والمتوسطة</c:v>
                </c:pt>
                <c:pt idx="2">
                  <c:v>القاولات الكبيرة</c:v>
                </c:pt>
              </c:strCache>
            </c:strRef>
          </c:cat>
          <c:val>
            <c:numRef>
              <c:f>'g1'!$J$15:$J$17</c:f>
              <c:numCache>
                <c:formatCode>0%</c:formatCode>
                <c:ptCount val="3"/>
                <c:pt idx="0">
                  <c:v>0.35157650825008285</c:v>
                </c:pt>
                <c:pt idx="1">
                  <c:v>0.53676143392262476</c:v>
                </c:pt>
                <c:pt idx="2">
                  <c:v>0.11166205782729002</c:v>
                </c:pt>
              </c:numCache>
            </c:numRef>
          </c:val>
        </c:ser>
        <c:ser>
          <c:idx val="2"/>
          <c:order val="2"/>
          <c:tx>
            <c:strRef>
              <c:f>'g1'!$K$14</c:f>
              <c:strCache>
                <c:ptCount val="1"/>
              </c:strCache>
            </c:strRef>
          </c:tx>
          <c:spPr>
            <a:solidFill>
              <a:schemeClr val="accent3"/>
            </a:solidFill>
            <a:ln>
              <a:noFill/>
            </a:ln>
            <a:effectLst/>
          </c:spPr>
          <c:cat>
            <c:strRef>
              <c:f>'g1'!$K$15:$K$17</c:f>
              <c:strCache>
                <c:ptCount val="3"/>
                <c:pt idx="0">
                  <c:v>المقاولات الصغيرة جداَ</c:v>
                </c:pt>
                <c:pt idx="1">
                  <c:v>المقاولات الصغرى والمتوسطة</c:v>
                </c:pt>
                <c:pt idx="2">
                  <c:v>القاولات الكبيرة</c:v>
                </c:pt>
              </c:strCache>
            </c:strRef>
          </c:cat>
          <c:val>
            <c:numRef>
              <c:f>'g1'!$K$15:$K$17</c:f>
              <c:numCache>
                <c:formatCode>General</c:formatCode>
                <c:ptCount val="3"/>
                <c:pt idx="0">
                  <c:v>0</c:v>
                </c:pt>
                <c:pt idx="1">
                  <c:v>0</c:v>
                </c:pt>
                <c:pt idx="2">
                  <c:v>0</c:v>
                </c:pt>
              </c:numCache>
            </c:numRef>
          </c:val>
        </c:ser>
        <c:gapWidth val="219"/>
        <c:overlap val="-27"/>
        <c:axId val="125146240"/>
        <c:axId val="125147776"/>
      </c:barChart>
      <c:catAx>
        <c:axId val="1251462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5147776"/>
        <c:crosses val="autoZero"/>
        <c:auto val="1"/>
        <c:lblAlgn val="ctr"/>
        <c:lblOffset val="100"/>
      </c:catAx>
      <c:valAx>
        <c:axId val="125147776"/>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51462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15875"/>
    <a:effectLst/>
  </c:spPr>
  <c:txPr>
    <a:bodyPr/>
    <a:lstStyle/>
    <a:p>
      <a:pPr>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MA"/>
              <a:t>المؤشرات الرئيسية للمقاولات ذات المساهمة الأجنبية</a:t>
            </a:r>
            <a:endParaRPr lang="fr-FR"/>
          </a:p>
        </c:rich>
      </c:tx>
      <c:spPr>
        <a:noFill/>
        <a:ln>
          <a:noFill/>
        </a:ln>
        <a:effectLst/>
      </c:spPr>
    </c:title>
    <c:plotArea>
      <c:layout/>
      <c:barChart>
        <c:barDir val="bar"/>
        <c:grouping val="percentStacked"/>
        <c:ser>
          <c:idx val="0"/>
          <c:order val="0"/>
          <c:tx>
            <c:strRef>
              <c:f>'g2'!$H$4</c:f>
              <c:strCache>
                <c:ptCount val="1"/>
                <c:pt idx="0">
                  <c:v>المقاولات المغربية</c:v>
                </c:pt>
              </c:strCache>
            </c:strRef>
          </c:tx>
          <c:spPr>
            <a:solidFill>
              <a:schemeClr val="accent1"/>
            </a:solidFill>
            <a:ln>
              <a:noFill/>
            </a:ln>
            <a:effectLst/>
          </c:spPr>
          <c:cat>
            <c:strRef>
              <c:f>'g2'!$J$5:$J$10</c:f>
              <c:strCache>
                <c:ptCount val="6"/>
                <c:pt idx="0">
                  <c:v>عدد الوحدات</c:v>
                </c:pt>
                <c:pt idx="1">
                  <c:v>رقم المعاملات</c:v>
                </c:pt>
                <c:pt idx="2">
                  <c:v>رقم المعاملات  للتصدير</c:v>
                </c:pt>
                <c:pt idx="3">
                  <c:v>القيمة المضاقة</c:v>
                </c:pt>
                <c:pt idx="4">
                  <c:v>الاستثمار</c:v>
                </c:pt>
                <c:pt idx="5">
                  <c:v>إجمالي التشغيل</c:v>
                </c:pt>
              </c:strCache>
            </c:strRef>
          </c:cat>
          <c:val>
            <c:numRef>
              <c:f>'g2'!$H$5:$H$10</c:f>
              <c:numCache>
                <c:formatCode>###0</c:formatCode>
                <c:ptCount val="6"/>
                <c:pt idx="0">
                  <c:v>8427.7202901000564</c:v>
                </c:pt>
                <c:pt idx="1">
                  <c:v>272148.52397309005</c:v>
                </c:pt>
                <c:pt idx="2">
                  <c:v>60665.645387074037</c:v>
                </c:pt>
                <c:pt idx="3">
                  <c:v>67456.235400141421</c:v>
                </c:pt>
                <c:pt idx="4">
                  <c:v>28078.576809464961</c:v>
                </c:pt>
                <c:pt idx="5">
                  <c:v>434576.679613802</c:v>
                </c:pt>
              </c:numCache>
            </c:numRef>
          </c:val>
        </c:ser>
        <c:ser>
          <c:idx val="1"/>
          <c:order val="1"/>
          <c:tx>
            <c:strRef>
              <c:f>'g2'!$I$4</c:f>
              <c:strCache>
                <c:ptCount val="1"/>
                <c:pt idx="0">
                  <c:v>المقاولات ذات المساهمة الأجنبية</c:v>
                </c:pt>
              </c:strCache>
            </c:strRef>
          </c:tx>
          <c:spPr>
            <a:solidFill>
              <a:schemeClr val="accent2"/>
            </a:solidFill>
            <a:ln>
              <a:noFill/>
            </a:ln>
            <a:effectLst/>
          </c:spPr>
          <c:cat>
            <c:strRef>
              <c:f>'g2'!$J$5:$J$10</c:f>
              <c:strCache>
                <c:ptCount val="6"/>
                <c:pt idx="0">
                  <c:v>عدد الوحدات</c:v>
                </c:pt>
                <c:pt idx="1">
                  <c:v>رقم المعاملات</c:v>
                </c:pt>
                <c:pt idx="2">
                  <c:v>رقم المعاملات  للتصدير</c:v>
                </c:pt>
                <c:pt idx="3">
                  <c:v>القيمة المضاقة</c:v>
                </c:pt>
                <c:pt idx="4">
                  <c:v>الاستثمار</c:v>
                </c:pt>
                <c:pt idx="5">
                  <c:v>إجمالي التشغيل</c:v>
                </c:pt>
              </c:strCache>
            </c:strRef>
          </c:cat>
          <c:val>
            <c:numRef>
              <c:f>'g2'!$I$5:$I$10</c:f>
              <c:numCache>
                <c:formatCode>###0</c:formatCode>
                <c:ptCount val="6"/>
                <c:pt idx="0">
                  <c:v>820.49822650000272</c:v>
                </c:pt>
                <c:pt idx="1">
                  <c:v>161859.03704951258</c:v>
                </c:pt>
                <c:pt idx="2">
                  <c:v>51137.867154753971</c:v>
                </c:pt>
                <c:pt idx="3">
                  <c:v>26435.950201031297</c:v>
                </c:pt>
                <c:pt idx="4">
                  <c:v>10432.19262914249</c:v>
                </c:pt>
                <c:pt idx="5">
                  <c:v>190523.00535223819</c:v>
                </c:pt>
              </c:numCache>
            </c:numRef>
          </c:val>
        </c:ser>
        <c:overlap val="100"/>
        <c:axId val="137231360"/>
        <c:axId val="138371840"/>
        <c:extLst>
          <c:ext xmlns:c15="http://schemas.microsoft.com/office/drawing/2012/chart" uri="{02D57815-91ED-43cb-92C2-25804820EDAC}">
            <c15:filteredBarSeries>
              <c15:ser>
                <c:idx val="2"/>
                <c:order val="2"/>
                <c:tx>
                  <c:strRef>
                    <c:extLst>
                      <c:ext uri="{02D57815-91ED-43cb-92C2-25804820EDAC}">
                        <c15:formulaRef>
                          <c15:sqref>'g2'!$J$4</c15:sqref>
                        </c15:formulaRef>
                      </c:ext>
                    </c:extLst>
                    <c:strCache>
                      <c:ptCount val="1"/>
                    </c:strCache>
                  </c:strRef>
                </c:tx>
                <c:spPr>
                  <a:solidFill>
                    <a:schemeClr val="accent3"/>
                  </a:solidFill>
                  <a:ln>
                    <a:noFill/>
                  </a:ln>
                  <a:effectLst/>
                </c:spPr>
                <c:invertIfNegative val="0"/>
                <c:cat>
                  <c:strRef>
                    <c:extLst>
                      <c:ext uri="{02D57815-91ED-43cb-92C2-25804820EDAC}">
                        <c15:formulaRef>
                          <c15:sqref>'g2'!$J$5:$J$10</c15:sqref>
                        </c15:formulaRef>
                      </c:ext>
                    </c:extLst>
                    <c:strCache>
                      <c:ptCount val="6"/>
                      <c:pt idx="0">
                        <c:v>عدد الوحدات</c:v>
                      </c:pt>
                      <c:pt idx="1">
                        <c:v>رقم المعاملات</c:v>
                      </c:pt>
                      <c:pt idx="2">
                        <c:v>رقم المعاملات  للتصدير</c:v>
                      </c:pt>
                      <c:pt idx="3">
                        <c:v>القيمة المضاقة</c:v>
                      </c:pt>
                      <c:pt idx="4">
                        <c:v>الاستثمار</c:v>
                      </c:pt>
                      <c:pt idx="5">
                        <c:v>إجمالي التشغيل</c:v>
                      </c:pt>
                    </c:strCache>
                  </c:strRef>
                </c:cat>
                <c:val>
                  <c:numRef>
                    <c:extLst>
                      <c:ext uri="{02D57815-91ED-43cb-92C2-25804820EDAC}">
                        <c15:formulaRef>
                          <c15:sqref>'g2'!$J$5:$J$10</c15:sqref>
                        </c15:formulaRef>
                      </c:ext>
                    </c:extLst>
                    <c:numCache>
                      <c:formatCode>General</c:formatCode>
                      <c:ptCount val="6"/>
                      <c:pt idx="0">
                        <c:v>0</c:v>
                      </c:pt>
                      <c:pt idx="1">
                        <c:v>0</c:v>
                      </c:pt>
                      <c:pt idx="2">
                        <c:v>0</c:v>
                      </c:pt>
                      <c:pt idx="3">
                        <c:v>0</c:v>
                      </c:pt>
                      <c:pt idx="4">
                        <c:v>0</c:v>
                      </c:pt>
                      <c:pt idx="5">
                        <c:v>0</c:v>
                      </c:pt>
                    </c:numCache>
                  </c:numRef>
                </c:val>
              </c15:ser>
            </c15:filteredBarSeries>
          </c:ext>
        </c:extLst>
      </c:barChart>
      <c:catAx>
        <c:axId val="13723136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8371840"/>
        <c:crosses val="autoZero"/>
        <c:auto val="1"/>
        <c:lblAlgn val="ctr"/>
        <c:lblOffset val="100"/>
      </c:catAx>
      <c:valAx>
        <c:axId val="138371840"/>
        <c:scaling>
          <c:orientation val="minMax"/>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723136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15875"/>
    <a:effectLst/>
  </c:spPr>
  <c:txPr>
    <a:bodyPr/>
    <a:lstStyle/>
    <a:p>
      <a:pPr>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stacked"/>
        <c:ser>
          <c:idx val="0"/>
          <c:order val="0"/>
          <c:tx>
            <c:strRef>
              <c:f>'g3'!$H$8</c:f>
              <c:strCache>
                <c:ptCount val="1"/>
                <c:pt idx="0">
                  <c:v>مقاولات  لم تقم بالتصدير</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'g3'!$J$9:$J$11</c:f>
              <c:strCache>
                <c:ptCount val="3"/>
                <c:pt idx="0">
                  <c:v>مقاولات  لم تنجز استثمارات</c:v>
                </c:pt>
                <c:pt idx="1">
                  <c:v>مقاولات أنجزت استثمارات</c:v>
                </c:pt>
                <c:pt idx="2">
                  <c:v>المجموع</c:v>
                </c:pt>
              </c:strCache>
            </c:strRef>
          </c:cat>
          <c:val>
            <c:numRef>
              <c:f>'g3'!$H$9:$H$11</c:f>
              <c:numCache>
                <c:formatCode>0%</c:formatCode>
                <c:ptCount val="3"/>
                <c:pt idx="0">
                  <c:v>0.90652070502638737</c:v>
                </c:pt>
                <c:pt idx="1">
                  <c:v>0.66747029766661936</c:v>
                </c:pt>
                <c:pt idx="2">
                  <c:v>0.7883163370884817</c:v>
                </c:pt>
              </c:numCache>
            </c:numRef>
          </c:val>
        </c:ser>
        <c:ser>
          <c:idx val="1"/>
          <c:order val="1"/>
          <c:tx>
            <c:strRef>
              <c:f>'g3'!$I$8</c:f>
              <c:strCache>
                <c:ptCount val="1"/>
                <c:pt idx="0">
                  <c:v>مقاولات قامت بالتصدير</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'g3'!$J$9:$J$11</c:f>
              <c:strCache>
                <c:ptCount val="3"/>
                <c:pt idx="0">
                  <c:v>مقاولات  لم تنجز استثمارات</c:v>
                </c:pt>
                <c:pt idx="1">
                  <c:v>مقاولات أنجزت استثمارات</c:v>
                </c:pt>
                <c:pt idx="2">
                  <c:v>المجموع</c:v>
                </c:pt>
              </c:strCache>
            </c:strRef>
          </c:cat>
          <c:val>
            <c:numRef>
              <c:f>'g3'!$I$9:$I$11</c:f>
              <c:numCache>
                <c:formatCode>0%</c:formatCode>
                <c:ptCount val="3"/>
                <c:pt idx="0">
                  <c:v>9.3479294973612501E-2</c:v>
                </c:pt>
                <c:pt idx="1">
                  <c:v>0.33252970233338075</c:v>
                </c:pt>
                <c:pt idx="2">
                  <c:v>0.21168366291151583</c:v>
                </c:pt>
              </c:numCache>
            </c:numRef>
          </c:val>
        </c:ser>
        <c:overlap val="100"/>
        <c:axId val="138397568"/>
        <c:axId val="138399104"/>
        <c:extLst>
          <c:ext xmlns:c15="http://schemas.microsoft.com/office/drawing/2012/chart" uri="{02D57815-91ED-43cb-92C2-25804820EDAC}">
            <c15:filteredBarSeries>
              <c15:ser>
                <c:idx val="2"/>
                <c:order val="2"/>
                <c:tx>
                  <c:strRef>
                    <c:extLst>
                      <c:ext uri="{02D57815-91ED-43cb-92C2-25804820EDAC}">
                        <c15:formulaRef>
                          <c15:sqref>'g3'!$J$8</c15:sqref>
                        </c15:formulaRef>
                      </c:ext>
                    </c:extLst>
                    <c:strCache>
                      <c:ptCount val="1"/>
                    </c:strCache>
                  </c:strRef>
                </c:tx>
                <c:spPr>
                  <a:solidFill>
                    <a:schemeClr val="accent3"/>
                  </a:solidFill>
                  <a:ln>
                    <a:noFill/>
                  </a:ln>
                  <a:effectLst/>
                </c:spPr>
                <c:invertIfNegative val="0"/>
                <c:cat>
                  <c:strRef>
                    <c:extLst>
                      <c:ext uri="{02D57815-91ED-43cb-92C2-25804820EDAC}">
                        <c15:formulaRef>
                          <c15:sqref>'g3'!$J$9:$J$11</c15:sqref>
                        </c15:formulaRef>
                      </c:ext>
                    </c:extLst>
                    <c:strCache>
                      <c:ptCount val="3"/>
                      <c:pt idx="0">
                        <c:v>مقاولات  لم تنجز استثمارات</c:v>
                      </c:pt>
                      <c:pt idx="1">
                        <c:v>مقاولات أنجزت استثمارات</c:v>
                      </c:pt>
                      <c:pt idx="2">
                        <c:v>المجموع</c:v>
                      </c:pt>
                    </c:strCache>
                  </c:strRef>
                </c:cat>
                <c:val>
                  <c:numRef>
                    <c:extLst>
                      <c:ext uri="{02D57815-91ED-43cb-92C2-25804820EDAC}">
                        <c15:formulaRef>
                          <c15:sqref>'g3'!$J$9:$J$11</c15:sqref>
                        </c15:formulaRef>
                      </c:ext>
                    </c:extLst>
                    <c:numCache>
                      <c:formatCode>General</c:formatCode>
                      <c:ptCount val="3"/>
                      <c:pt idx="0">
                        <c:v>0</c:v>
                      </c:pt>
                      <c:pt idx="1">
                        <c:v>0</c:v>
                      </c:pt>
                      <c:pt idx="2">
                        <c:v>0</c:v>
                      </c:pt>
                    </c:numCache>
                  </c:numRef>
                </c:val>
              </c15:ser>
            </c15:filteredBarSeries>
          </c:ext>
        </c:extLst>
      </c:barChart>
      <c:catAx>
        <c:axId val="13839756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8399104"/>
        <c:crosses val="autoZero"/>
        <c:auto val="1"/>
        <c:lblAlgn val="ctr"/>
        <c:lblOffset val="100"/>
      </c:catAx>
      <c:valAx>
        <c:axId val="138399104"/>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8397568"/>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15875"/>
    <a:effectLst/>
  </c:spPr>
  <c:txPr>
    <a:bodyPr/>
    <a:lstStyle/>
    <a:p>
      <a:pPr>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ar-MA" sz="1100"/>
              <a:t>توزيع المقاولات حسب حجمها واستثماراتها في</a:t>
            </a:r>
            <a:r>
              <a:rPr lang="fr-FR" sz="1100"/>
              <a:t> </a:t>
            </a:r>
            <a:r>
              <a:rPr lang="ar-MA" sz="1100" baseline="0"/>
              <a:t> سنة</a:t>
            </a:r>
            <a:r>
              <a:rPr lang="ar-MA" sz="1100"/>
              <a:t> 2014</a:t>
            </a:r>
            <a:endParaRPr lang="fr-FR" sz="1100"/>
          </a:p>
        </c:rich>
      </c:tx>
      <c:spPr>
        <a:noFill/>
        <a:ln>
          <a:noFill/>
        </a:ln>
        <a:effectLst/>
      </c:spPr>
    </c:title>
    <c:plotArea>
      <c:layout/>
      <c:barChart>
        <c:barDir val="col"/>
        <c:grouping val="percentStacked"/>
        <c:ser>
          <c:idx val="0"/>
          <c:order val="0"/>
          <c:tx>
            <c:strRef>
              <c:f>'g4'!$K$4</c:f>
              <c:strCache>
                <c:ptCount val="1"/>
                <c:pt idx="0">
                  <c:v>مقاولات أنجزت استثمارات</c:v>
                </c:pt>
              </c:strCache>
            </c:strRef>
          </c:tx>
          <c:spPr>
            <a:solidFill>
              <a:schemeClr val="accent1"/>
            </a:solidFill>
            <a:ln>
              <a:noFill/>
            </a:ln>
            <a:effectLst/>
          </c:spPr>
          <c:cat>
            <c:strRef>
              <c:f>'g4'!$M$5:$M$9</c:f>
              <c:strCache>
                <c:ptCount val="5"/>
                <c:pt idx="0">
                  <c:v>المقاولات الصغيرة جداَ</c:v>
                </c:pt>
                <c:pt idx="1">
                  <c:v>المقاولات الصغرى</c:v>
                </c:pt>
                <c:pt idx="2">
                  <c:v>المقاولات المتوسطة</c:v>
                </c:pt>
                <c:pt idx="3">
                  <c:v>القاولات الكبيرة</c:v>
                </c:pt>
                <c:pt idx="4">
                  <c:v>المجموع</c:v>
                </c:pt>
              </c:strCache>
            </c:strRef>
          </c:cat>
          <c:val>
            <c:numRef>
              <c:f>'g4'!$K$5:$K$9</c:f>
              <c:numCache>
                <c:formatCode>###0</c:formatCode>
                <c:ptCount val="5"/>
                <c:pt idx="0">
                  <c:v>565.45923479999806</c:v>
                </c:pt>
                <c:pt idx="1">
                  <c:v>1512.3853945000028</c:v>
                </c:pt>
                <c:pt idx="2">
                  <c:v>1562.1339032000099</c:v>
                </c:pt>
                <c:pt idx="3">
                  <c:v>933.03113680000649</c:v>
                </c:pt>
                <c:pt idx="4">
                  <c:v>4573.0096693000414</c:v>
                </c:pt>
              </c:numCache>
            </c:numRef>
          </c:val>
        </c:ser>
        <c:ser>
          <c:idx val="1"/>
          <c:order val="1"/>
          <c:tx>
            <c:strRef>
              <c:f>'g4'!$L$4</c:f>
              <c:strCache>
                <c:ptCount val="1"/>
                <c:pt idx="0">
                  <c:v>مقاولات  لم تنجز استثمارات</c:v>
                </c:pt>
              </c:strCache>
            </c:strRef>
          </c:tx>
          <c:spPr>
            <a:solidFill>
              <a:schemeClr val="accent2"/>
            </a:solidFill>
            <a:ln>
              <a:noFill/>
            </a:ln>
            <a:effectLst/>
          </c:spPr>
          <c:cat>
            <c:strRef>
              <c:f>'g4'!$M$5:$M$9</c:f>
              <c:strCache>
                <c:ptCount val="5"/>
                <c:pt idx="0">
                  <c:v>المقاولات الصغيرة جداَ</c:v>
                </c:pt>
                <c:pt idx="1">
                  <c:v>المقاولات الصغرى</c:v>
                </c:pt>
                <c:pt idx="2">
                  <c:v>المقاولات المتوسطة</c:v>
                </c:pt>
                <c:pt idx="3">
                  <c:v>القاولات الكبيرة</c:v>
                </c:pt>
                <c:pt idx="4">
                  <c:v>المجموع</c:v>
                </c:pt>
              </c:strCache>
            </c:strRef>
          </c:cat>
          <c:val>
            <c:numRef>
              <c:f>'g4'!$L$5:$L$9</c:f>
              <c:numCache>
                <c:formatCode>###0</c:formatCode>
                <c:ptCount val="5"/>
                <c:pt idx="0">
                  <c:v>2685.9971388000117</c:v>
                </c:pt>
                <c:pt idx="1">
                  <c:v>1498.5332137000023</c:v>
                </c:pt>
                <c:pt idx="2">
                  <c:v>391.03452080000005</c:v>
                </c:pt>
                <c:pt idx="3">
                  <c:v>99.643974000000014</c:v>
                </c:pt>
                <c:pt idx="4">
                  <c:v>4675.2088472999985</c:v>
                </c:pt>
              </c:numCache>
            </c:numRef>
          </c:val>
        </c:ser>
        <c:overlap val="100"/>
        <c:axId val="151788928"/>
        <c:axId val="151803008"/>
        <c:extLst>
          <c:ext xmlns:c15="http://schemas.microsoft.com/office/drawing/2012/chart" uri="{02D57815-91ED-43cb-92C2-25804820EDAC}">
            <c15:filteredBarSeries>
              <c15:ser>
                <c:idx val="2"/>
                <c:order val="2"/>
                <c:tx>
                  <c:strRef>
                    <c:extLst>
                      <c:ext uri="{02D57815-91ED-43cb-92C2-25804820EDAC}">
                        <c15:formulaRef>
                          <c15:sqref>'g4'!$M$4</c15:sqref>
                        </c15:formulaRef>
                      </c:ext>
                    </c:extLst>
                    <c:strCache>
                      <c:ptCount val="1"/>
                    </c:strCache>
                  </c:strRef>
                </c:tx>
                <c:spPr>
                  <a:solidFill>
                    <a:schemeClr val="accent3"/>
                  </a:solidFill>
                  <a:ln>
                    <a:noFill/>
                  </a:ln>
                  <a:effectLst/>
                </c:spPr>
                <c:invertIfNegative val="0"/>
                <c:cat>
                  <c:strRef>
                    <c:extLst>
                      <c:ext uri="{02D57815-91ED-43cb-92C2-25804820EDAC}">
                        <c15:formulaRef>
                          <c15:sqref>'g4'!$M$5:$M$9</c15:sqref>
                        </c15:formulaRef>
                      </c:ext>
                    </c:extLst>
                    <c:strCache>
                      <c:ptCount val="5"/>
                      <c:pt idx="0">
                        <c:v>المقاولات الصغيرة جداَ</c:v>
                      </c:pt>
                      <c:pt idx="1">
                        <c:v>المقاولات الصغرى</c:v>
                      </c:pt>
                      <c:pt idx="2">
                        <c:v>المقاولات المتوسطة</c:v>
                      </c:pt>
                      <c:pt idx="3">
                        <c:v>القاولات الكبيرة</c:v>
                      </c:pt>
                      <c:pt idx="4">
                        <c:v>المجموع</c:v>
                      </c:pt>
                    </c:strCache>
                  </c:strRef>
                </c:cat>
                <c:val>
                  <c:numRef>
                    <c:extLst>
                      <c:ext uri="{02D57815-91ED-43cb-92C2-25804820EDAC}">
                        <c15:formulaRef>
                          <c15:sqref>'g4'!$M$5:$M$9</c15:sqref>
                        </c15:formulaRef>
                      </c:ext>
                    </c:extLst>
                    <c:numCache>
                      <c:formatCode>General</c:formatCode>
                      <c:ptCount val="5"/>
                      <c:pt idx="0">
                        <c:v>0</c:v>
                      </c:pt>
                      <c:pt idx="1">
                        <c:v>0</c:v>
                      </c:pt>
                      <c:pt idx="2">
                        <c:v>0</c:v>
                      </c:pt>
                      <c:pt idx="3">
                        <c:v>0</c:v>
                      </c:pt>
                      <c:pt idx="4">
                        <c:v>0</c:v>
                      </c:pt>
                    </c:numCache>
                  </c:numRef>
                </c:val>
              </c15:ser>
            </c15:filteredBarSeries>
          </c:ext>
        </c:extLst>
      </c:barChart>
      <c:catAx>
        <c:axId val="15178892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51803008"/>
        <c:crosses val="autoZero"/>
        <c:auto val="1"/>
        <c:lblAlgn val="ctr"/>
        <c:lblOffset val="100"/>
      </c:catAx>
      <c:valAx>
        <c:axId val="151803008"/>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5178892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15875"/>
    <a:effectLst/>
  </c:spPr>
  <c:txPr>
    <a:bodyPr/>
    <a:lstStyle/>
    <a:p>
      <a:pPr>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ar-MA" sz="1100"/>
              <a:t>الاستثمار المادي حسب أصناف المقاولات</a:t>
            </a:r>
            <a:endParaRPr lang="fr-FR" sz="1100"/>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Lbls>
            <c:dLbl>
              <c:idx val="0"/>
              <c:layout>
                <c:manualLayout>
                  <c:x val="-0.11261526684164476"/>
                  <c:y val="-7.5269757946923544E-3"/>
                </c:manualLayout>
              </c:layout>
              <c:showVal val="1"/>
              <c:extLst>
                <c:ext xmlns:c15="http://schemas.microsoft.com/office/drawing/2012/chart" uri="{CE6537A1-D6FC-4f65-9D91-7224C49458BB}">
                  <c15:layout/>
                </c:ext>
              </c:extLst>
            </c:dLbl>
            <c:dLbl>
              <c:idx val="1"/>
              <c:layout>
                <c:manualLayout>
                  <c:x val="5.1664041994750672E-2"/>
                  <c:y val="-2.1415864683581219E-2"/>
                </c:manualLayout>
              </c:layout>
              <c:showVal val="1"/>
              <c:extLst>
                <c:ext xmlns:c15="http://schemas.microsoft.com/office/drawing/2012/chart" uri="{CE6537A1-D6FC-4f65-9D91-7224C49458BB}">
                  <c15:layout/>
                </c:ext>
              </c:extLst>
            </c:dLbl>
            <c:dLbl>
              <c:idx val="2"/>
              <c:layout>
                <c:manualLayout>
                  <c:x val="6.5380686789151404E-2"/>
                  <c:y val="-3.7762467191601048E-3"/>
                </c:manualLayout>
              </c:layout>
              <c:showVal val="1"/>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g4_1!$H$2:$H$5</c:f>
              <c:strCache>
                <c:ptCount val="4"/>
                <c:pt idx="0">
                  <c:v>المقاولات الصغيرة جداَ</c:v>
                </c:pt>
                <c:pt idx="1">
                  <c:v>المقاولات الصغرى</c:v>
                </c:pt>
                <c:pt idx="2">
                  <c:v>المقاولات المتوسطة</c:v>
                </c:pt>
                <c:pt idx="3">
                  <c:v>القاولات الكبيرة</c:v>
                </c:pt>
              </c:strCache>
            </c:strRef>
          </c:cat>
          <c:val>
            <c:numRef>
              <c:f>g4_1!$G$2:$G$5</c:f>
              <c:numCache>
                <c:formatCode>0.0%</c:formatCode>
                <c:ptCount val="4"/>
                <c:pt idx="0">
                  <c:v>4.3486916207253964E-3</c:v>
                </c:pt>
                <c:pt idx="1">
                  <c:v>1.0012007614559375E-2</c:v>
                </c:pt>
                <c:pt idx="2">
                  <c:v>4.6507025255276502E-2</c:v>
                </c:pt>
                <c:pt idx="3">
                  <c:v>0.93913227550943734</c:v>
                </c:pt>
              </c:numCache>
            </c:numRef>
          </c:val>
        </c:ser>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zero"/>
  </c:chart>
  <c:spPr>
    <a:solidFill>
      <a:schemeClr val="bg1"/>
    </a:solidFill>
    <a:ln w="15875"/>
    <a:effectLst/>
  </c:spPr>
  <c:txPr>
    <a:bodyPr/>
    <a:lstStyle/>
    <a:p>
      <a:pPr>
        <a:defRPr/>
      </a:pPr>
      <a:endParaRPr lang="fr-F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ar-MA" sz="1100" b="1" i="0" u="none" strike="noStrike" baseline="0">
                <a:effectLst/>
              </a:rPr>
              <a:t>تمويل استثمارات المقاولات في سنة 2014</a:t>
            </a:r>
            <a:r>
              <a:rPr lang="ar-MA" sz="1100" b="1" i="0" u="none" strike="noStrike" baseline="0"/>
              <a:t> </a:t>
            </a:r>
            <a:endParaRPr lang="fr-FR" sz="1100" b="1"/>
          </a:p>
        </c:rich>
      </c:tx>
      <c:spPr>
        <a:noFill/>
        <a:ln>
          <a:noFill/>
        </a:ln>
        <a:effectLst/>
      </c:spPr>
    </c:title>
    <c:plotArea>
      <c:layout/>
      <c:barChart>
        <c:barDir val="bar"/>
        <c:grouping val="percentStacked"/>
        <c:ser>
          <c:idx val="0"/>
          <c:order val="0"/>
          <c:tx>
            <c:strRef>
              <c:f>'g5'!$F$2</c:f>
              <c:strCache>
                <c:ptCount val="1"/>
                <c:pt idx="0">
                  <c:v>التمويل الذاتي</c:v>
                </c:pt>
              </c:strCache>
            </c:strRef>
          </c:tx>
          <c:spPr>
            <a:solidFill>
              <a:schemeClr val="accent1"/>
            </a:solidFill>
            <a:ln>
              <a:noFill/>
            </a:ln>
            <a:effectLst/>
          </c:spPr>
          <c:cat>
            <c:strRef>
              <c:f>'g5'!$J$3:$J$7</c:f>
              <c:strCache>
                <c:ptCount val="5"/>
                <c:pt idx="0">
                  <c:v>المقاولات الصغيرة جداَ</c:v>
                </c:pt>
                <c:pt idx="1">
                  <c:v>المقاولات الصغرى</c:v>
                </c:pt>
                <c:pt idx="2">
                  <c:v>المقاولات المتوسطة</c:v>
                </c:pt>
                <c:pt idx="3">
                  <c:v>القاولات الكبيرة</c:v>
                </c:pt>
                <c:pt idx="4">
                  <c:v>المجموع</c:v>
                </c:pt>
              </c:strCache>
            </c:strRef>
          </c:cat>
          <c:val>
            <c:numRef>
              <c:f>'g5'!$F$3:$F$7</c:f>
              <c:numCache>
                <c:formatCode>###0</c:formatCode>
                <c:ptCount val="5"/>
                <c:pt idx="0">
                  <c:v>163.11454009868757</c:v>
                </c:pt>
                <c:pt idx="1">
                  <c:v>343.77206351828193</c:v>
                </c:pt>
                <c:pt idx="2">
                  <c:v>1511.4695200018284</c:v>
                </c:pt>
                <c:pt idx="3">
                  <c:v>17832.310916092611</c:v>
                </c:pt>
                <c:pt idx="4">
                  <c:v>19850.667039711479</c:v>
                </c:pt>
              </c:numCache>
            </c:numRef>
          </c:val>
        </c:ser>
        <c:ser>
          <c:idx val="1"/>
          <c:order val="1"/>
          <c:tx>
            <c:strRef>
              <c:f>'g5'!$G$2</c:f>
              <c:strCache>
                <c:ptCount val="1"/>
                <c:pt idx="0">
                  <c:v>زيادة الرساميل</c:v>
                </c:pt>
              </c:strCache>
            </c:strRef>
          </c:tx>
          <c:spPr>
            <a:solidFill>
              <a:schemeClr val="accent2"/>
            </a:solidFill>
            <a:ln>
              <a:noFill/>
            </a:ln>
            <a:effectLst/>
          </c:spPr>
          <c:cat>
            <c:strRef>
              <c:f>'g5'!$J$3:$J$7</c:f>
              <c:strCache>
                <c:ptCount val="5"/>
                <c:pt idx="0">
                  <c:v>المقاولات الصغيرة جداَ</c:v>
                </c:pt>
                <c:pt idx="1">
                  <c:v>المقاولات الصغرى</c:v>
                </c:pt>
                <c:pt idx="2">
                  <c:v>المقاولات المتوسطة</c:v>
                </c:pt>
                <c:pt idx="3">
                  <c:v>القاولات الكبيرة</c:v>
                </c:pt>
                <c:pt idx="4">
                  <c:v>المجموع</c:v>
                </c:pt>
              </c:strCache>
            </c:strRef>
          </c:cat>
          <c:val>
            <c:numRef>
              <c:f>'g5'!$G$3:$G$7</c:f>
              <c:numCache>
                <c:formatCode>###0</c:formatCode>
                <c:ptCount val="5"/>
                <c:pt idx="0" formatCode="####">
                  <c:v>0.72729289480460069</c:v>
                </c:pt>
                <c:pt idx="1">
                  <c:v>37.108849753559852</c:v>
                </c:pt>
                <c:pt idx="2">
                  <c:v>92.388054077297511</c:v>
                </c:pt>
                <c:pt idx="3">
                  <c:v>553.54755057887803</c:v>
                </c:pt>
                <c:pt idx="4">
                  <c:v>683.77174730453805</c:v>
                </c:pt>
              </c:numCache>
            </c:numRef>
          </c:val>
        </c:ser>
        <c:ser>
          <c:idx val="2"/>
          <c:order val="2"/>
          <c:tx>
            <c:strRef>
              <c:f>'g5'!$H$2</c:f>
              <c:strCache>
                <c:ptCount val="1"/>
                <c:pt idx="0">
                  <c:v>تفويت و تخفيض الأصول الثابتة</c:v>
                </c:pt>
              </c:strCache>
            </c:strRef>
          </c:tx>
          <c:spPr>
            <a:solidFill>
              <a:schemeClr val="accent3"/>
            </a:solidFill>
            <a:ln>
              <a:noFill/>
            </a:ln>
            <a:effectLst/>
          </c:spPr>
          <c:cat>
            <c:strRef>
              <c:f>'g5'!$J$3:$J$7</c:f>
              <c:strCache>
                <c:ptCount val="5"/>
                <c:pt idx="0">
                  <c:v>المقاولات الصغيرة جداَ</c:v>
                </c:pt>
                <c:pt idx="1">
                  <c:v>المقاولات الصغرى</c:v>
                </c:pt>
                <c:pt idx="2">
                  <c:v>المقاولات المتوسطة</c:v>
                </c:pt>
                <c:pt idx="3">
                  <c:v>القاولات الكبيرة</c:v>
                </c:pt>
                <c:pt idx="4">
                  <c:v>المجموع</c:v>
                </c:pt>
              </c:strCache>
            </c:strRef>
          </c:cat>
          <c:val>
            <c:numRef>
              <c:f>'g5'!$H$3:$H$7</c:f>
              <c:numCache>
                <c:formatCode>####</c:formatCode>
                <c:ptCount val="5"/>
                <c:pt idx="0" formatCode="###0">
                  <c:v>0</c:v>
                </c:pt>
                <c:pt idx="1">
                  <c:v>0.22831517091360037</c:v>
                </c:pt>
                <c:pt idx="2" formatCode="###0">
                  <c:v>37.183100236268189</c:v>
                </c:pt>
                <c:pt idx="3" formatCode="###0">
                  <c:v>799.81702560621829</c:v>
                </c:pt>
                <c:pt idx="4" formatCode="###0">
                  <c:v>837.22844101340172</c:v>
                </c:pt>
              </c:numCache>
            </c:numRef>
          </c:val>
        </c:ser>
        <c:ser>
          <c:idx val="3"/>
          <c:order val="3"/>
          <c:tx>
            <c:strRef>
              <c:f>'g5'!$I$2</c:f>
              <c:strCache>
                <c:ptCount val="1"/>
                <c:pt idx="0">
                  <c:v>ديون التمويل</c:v>
                </c:pt>
              </c:strCache>
            </c:strRef>
          </c:tx>
          <c:spPr>
            <a:solidFill>
              <a:schemeClr val="accent4"/>
            </a:solidFill>
            <a:ln>
              <a:noFill/>
            </a:ln>
            <a:effectLst/>
          </c:spPr>
          <c:cat>
            <c:strRef>
              <c:f>'g5'!$J$3:$J$7</c:f>
              <c:strCache>
                <c:ptCount val="5"/>
                <c:pt idx="0">
                  <c:v>المقاولات الصغيرة جداَ</c:v>
                </c:pt>
                <c:pt idx="1">
                  <c:v>المقاولات الصغرى</c:v>
                </c:pt>
                <c:pt idx="2">
                  <c:v>المقاولات المتوسطة</c:v>
                </c:pt>
                <c:pt idx="3">
                  <c:v>القاولات الكبيرة</c:v>
                </c:pt>
                <c:pt idx="4">
                  <c:v>المجموع</c:v>
                </c:pt>
              </c:strCache>
            </c:strRef>
          </c:cat>
          <c:val>
            <c:numRef>
              <c:f>'g5'!$I$3:$I$7</c:f>
              <c:numCache>
                <c:formatCode>###0</c:formatCode>
                <c:ptCount val="5"/>
                <c:pt idx="0">
                  <c:v>4.0650580042975015</c:v>
                </c:pt>
                <c:pt idx="1">
                  <c:v>64.810949009762396</c:v>
                </c:pt>
                <c:pt idx="2">
                  <c:v>272.60691629967954</c:v>
                </c:pt>
                <c:pt idx="3">
                  <c:v>21127.48299410029</c:v>
                </c:pt>
                <c:pt idx="4">
                  <c:v>21468.965917413967</c:v>
                </c:pt>
              </c:numCache>
            </c:numRef>
          </c:val>
        </c:ser>
        <c:overlap val="100"/>
        <c:axId val="164793344"/>
        <c:axId val="164803328"/>
      </c:barChart>
      <c:catAx>
        <c:axId val="16479334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64803328"/>
        <c:crosses val="autoZero"/>
        <c:auto val="1"/>
        <c:lblAlgn val="ctr"/>
        <c:lblOffset val="100"/>
      </c:catAx>
      <c:valAx>
        <c:axId val="164803328"/>
        <c:scaling>
          <c:orientation val="minMax"/>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6479334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15875"/>
    <a:effectLst/>
  </c:spPr>
  <c:txPr>
    <a:bodyPr/>
    <a:lstStyle/>
    <a:p>
      <a:pPr>
        <a:defRPr/>
      </a:pPr>
      <a:endParaRPr lang="fr-F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ar-MA" sz="1100" b="1"/>
              <a:t>تمويل استثمارات المقاولات الصغرى و المتوسطة في سنة 2014</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'g6'!$E$3</c:f>
              <c:strCache>
                <c:ptCount val="1"/>
                <c:pt idx="0">
                  <c:v>تمويل استثمارات المقاولات الصغرى و المتوسطة في 2014</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'g6'!$F$2:$I$2</c:f>
              <c:strCache>
                <c:ptCount val="4"/>
                <c:pt idx="0">
                  <c:v>التمويل الذاتي</c:v>
                </c:pt>
                <c:pt idx="1">
                  <c:v>زيادة الرساميل</c:v>
                </c:pt>
                <c:pt idx="2">
                  <c:v>تفويت و تخفيض الأصول الثابتة</c:v>
                </c:pt>
                <c:pt idx="3">
                  <c:v>ديون التمويل</c:v>
                </c:pt>
              </c:strCache>
            </c:strRef>
          </c:cat>
          <c:val>
            <c:numRef>
              <c:f>'g6'!$F$3:$I$3</c:f>
              <c:numCache>
                <c:formatCode>0%</c:formatCode>
                <c:ptCount val="4"/>
                <c:pt idx="0">
                  <c:v>0.79856631455413041</c:v>
                </c:pt>
                <c:pt idx="1">
                  <c:v>5.1523443077295457E-2</c:v>
                </c:pt>
                <c:pt idx="2">
                  <c:v>1.4801895351550624E-2</c:v>
                </c:pt>
                <c:pt idx="3">
                  <c:v>0.13510834701702457</c:v>
                </c:pt>
              </c:numCache>
            </c:numRef>
          </c:val>
        </c:ser>
      </c:pie3DChart>
      <c:spPr>
        <a:noFill/>
        <a:ln>
          <a:noFill/>
        </a:ln>
        <a:effectLst/>
      </c:spPr>
    </c:plotArea>
    <c:legend>
      <c:legendPos val="b"/>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zero"/>
  </c:chart>
  <c:spPr>
    <a:solidFill>
      <a:schemeClr val="bg1"/>
    </a:solidFill>
    <a:ln w="15875"/>
    <a:effectLst/>
  </c:spPr>
  <c:txPr>
    <a:bodyPr/>
    <a:lstStyle/>
    <a:p>
      <a:pPr>
        <a:defRPr/>
      </a:pPr>
      <a:endParaRPr lang="fr-FR"/>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ar-MA" sz="1400" b="1" i="0" u="none" strike="noStrike" baseline="0">
                <a:effectLst/>
              </a:rPr>
              <a:t>تمويل الاستثمارحسب القطاعات الصناعية</a:t>
            </a:r>
            <a:r>
              <a:rPr lang="fr-FR" sz="1400" b="1" i="0" u="none" strike="noStrike" baseline="0">
                <a:effectLst/>
              </a:rPr>
              <a:t> </a:t>
            </a:r>
            <a:r>
              <a:rPr lang="ar-MA" sz="1400" b="1" i="0" u="none" strike="noStrike" baseline="0">
                <a:effectLst/>
              </a:rPr>
              <a:t>  </a:t>
            </a:r>
            <a:endParaRPr lang="fr-FR" b="1"/>
          </a:p>
        </c:rich>
      </c:tx>
      <c:spPr>
        <a:noFill/>
        <a:ln>
          <a:noFill/>
        </a:ln>
        <a:effectLst/>
      </c:spPr>
    </c:title>
    <c:plotArea>
      <c:layout/>
      <c:barChart>
        <c:barDir val="bar"/>
        <c:grouping val="percentStacked"/>
        <c:ser>
          <c:idx val="0"/>
          <c:order val="0"/>
          <c:tx>
            <c:strRef>
              <c:f>'g7'!$H$2</c:f>
              <c:strCache>
                <c:ptCount val="1"/>
                <c:pt idx="0">
                  <c:v>التمويل الذاتي</c:v>
                </c:pt>
              </c:strCache>
            </c:strRef>
          </c:tx>
          <c:spPr>
            <a:solidFill>
              <a:schemeClr val="accent1"/>
            </a:solidFill>
            <a:ln>
              <a:noFill/>
            </a:ln>
            <a:effectLst/>
          </c:spPr>
          <c:cat>
            <c:strRef>
              <c:f>'g7'!$L$3:$L$8</c:f>
              <c:strCache>
                <c:ptCount val="6"/>
                <c:pt idx="0">
                  <c:v>الصناعات الغذائية</c:v>
                </c:pt>
                <c:pt idx="1">
                  <c:v>صناعات الجلد و النسيج</c:v>
                </c:pt>
                <c:pt idx="2">
                  <c:v>الصناعات الكميائية و الشبه كميائية</c:v>
                </c:pt>
                <c:pt idx="3">
                  <c:v>الصناعات الكهربائية و الالكترونية</c:v>
                </c:pt>
                <c:pt idx="4">
                  <c:v>الصناعات المعدنية و الميكانيكية</c:v>
                </c:pt>
                <c:pt idx="5">
                  <c:v>المجموع</c:v>
                </c:pt>
              </c:strCache>
            </c:strRef>
          </c:cat>
          <c:val>
            <c:numRef>
              <c:f>'g7'!$H$3:$H$8</c:f>
              <c:numCache>
                <c:formatCode>0%</c:formatCode>
                <c:ptCount val="6"/>
                <c:pt idx="0">
                  <c:v>0.85188730421676406</c:v>
                </c:pt>
                <c:pt idx="1">
                  <c:v>0.85773854538487915</c:v>
                </c:pt>
                <c:pt idx="2">
                  <c:v>0.30893065611713705</c:v>
                </c:pt>
                <c:pt idx="3">
                  <c:v>0.65925311516047891</c:v>
                </c:pt>
                <c:pt idx="4">
                  <c:v>0.78749349617665299</c:v>
                </c:pt>
                <c:pt idx="5">
                  <c:v>0.46336072980804877</c:v>
                </c:pt>
              </c:numCache>
            </c:numRef>
          </c:val>
        </c:ser>
        <c:ser>
          <c:idx val="1"/>
          <c:order val="1"/>
          <c:tx>
            <c:strRef>
              <c:f>'g7'!$I$2</c:f>
              <c:strCache>
                <c:ptCount val="1"/>
                <c:pt idx="0">
                  <c:v>زيادة الرساميل</c:v>
                </c:pt>
              </c:strCache>
            </c:strRef>
          </c:tx>
          <c:spPr>
            <a:solidFill>
              <a:schemeClr val="accent2"/>
            </a:solidFill>
            <a:ln>
              <a:noFill/>
            </a:ln>
            <a:effectLst/>
          </c:spPr>
          <c:cat>
            <c:strRef>
              <c:f>'g7'!$L$3:$L$8</c:f>
              <c:strCache>
                <c:ptCount val="6"/>
                <c:pt idx="0">
                  <c:v>الصناعات الغذائية</c:v>
                </c:pt>
                <c:pt idx="1">
                  <c:v>صناعات الجلد و النسيج</c:v>
                </c:pt>
                <c:pt idx="2">
                  <c:v>الصناعات الكميائية و الشبه كميائية</c:v>
                </c:pt>
                <c:pt idx="3">
                  <c:v>الصناعات الكهربائية و الالكترونية</c:v>
                </c:pt>
                <c:pt idx="4">
                  <c:v>الصناعات المعدنية و الميكانيكية</c:v>
                </c:pt>
                <c:pt idx="5">
                  <c:v>المجموع</c:v>
                </c:pt>
              </c:strCache>
            </c:strRef>
          </c:cat>
          <c:val>
            <c:numRef>
              <c:f>'g7'!$I$3:$I$8</c:f>
              <c:numCache>
                <c:formatCode>0%</c:formatCode>
                <c:ptCount val="6"/>
                <c:pt idx="0">
                  <c:v>3.6760547760718396E-2</c:v>
                </c:pt>
                <c:pt idx="1">
                  <c:v>3.5044306165851496E-2</c:v>
                </c:pt>
                <c:pt idx="2">
                  <c:v>2.3443811482559739E-3</c:v>
                </c:pt>
                <c:pt idx="3">
                  <c:v>0.25001642210885838</c:v>
                </c:pt>
                <c:pt idx="4">
                  <c:v>5.8536654511773922E-2</c:v>
                </c:pt>
                <c:pt idx="5">
                  <c:v>1.5960822637311283E-2</c:v>
                </c:pt>
              </c:numCache>
            </c:numRef>
          </c:val>
        </c:ser>
        <c:ser>
          <c:idx val="2"/>
          <c:order val="2"/>
          <c:tx>
            <c:strRef>
              <c:f>'g7'!$J$2</c:f>
              <c:strCache>
                <c:ptCount val="1"/>
                <c:pt idx="0">
                  <c:v>تفويت و تخفيض الأصول الثابتة</c:v>
                </c:pt>
              </c:strCache>
            </c:strRef>
          </c:tx>
          <c:spPr>
            <a:solidFill>
              <a:schemeClr val="accent3"/>
            </a:solidFill>
            <a:ln>
              <a:noFill/>
            </a:ln>
            <a:effectLst/>
          </c:spPr>
          <c:cat>
            <c:strRef>
              <c:f>'g7'!$L$3:$L$8</c:f>
              <c:strCache>
                <c:ptCount val="6"/>
                <c:pt idx="0">
                  <c:v>الصناعات الغذائية</c:v>
                </c:pt>
                <c:pt idx="1">
                  <c:v>صناعات الجلد و النسيج</c:v>
                </c:pt>
                <c:pt idx="2">
                  <c:v>الصناعات الكميائية و الشبه كميائية</c:v>
                </c:pt>
                <c:pt idx="3">
                  <c:v>الصناعات الكهربائية و الالكترونية</c:v>
                </c:pt>
                <c:pt idx="4">
                  <c:v>الصناعات المعدنية و الميكانيكية</c:v>
                </c:pt>
                <c:pt idx="5">
                  <c:v>المجموع</c:v>
                </c:pt>
              </c:strCache>
            </c:strRef>
          </c:cat>
          <c:val>
            <c:numRef>
              <c:f>'g7'!$J$3:$J$8</c:f>
              <c:numCache>
                <c:formatCode>0%</c:formatCode>
                <c:ptCount val="6"/>
                <c:pt idx="0">
                  <c:v>2.5130640928444012E-2</c:v>
                </c:pt>
                <c:pt idx="1">
                  <c:v>3.0314001244317587E-2</c:v>
                </c:pt>
                <c:pt idx="2">
                  <c:v>1.7983649258480963E-2</c:v>
                </c:pt>
                <c:pt idx="3">
                  <c:v>1.3856350422703993E-2</c:v>
                </c:pt>
                <c:pt idx="4">
                  <c:v>1.5083297424378658E-2</c:v>
                </c:pt>
                <c:pt idx="5">
                  <c:v>1.954285871945512E-2</c:v>
                </c:pt>
              </c:numCache>
            </c:numRef>
          </c:val>
        </c:ser>
        <c:ser>
          <c:idx val="3"/>
          <c:order val="3"/>
          <c:tx>
            <c:strRef>
              <c:f>'g7'!$K$2</c:f>
              <c:strCache>
                <c:ptCount val="1"/>
                <c:pt idx="0">
                  <c:v>ديون التمويل</c:v>
                </c:pt>
              </c:strCache>
            </c:strRef>
          </c:tx>
          <c:spPr>
            <a:solidFill>
              <a:schemeClr val="accent4"/>
            </a:solidFill>
            <a:ln>
              <a:noFill/>
            </a:ln>
            <a:effectLst/>
          </c:spPr>
          <c:cat>
            <c:strRef>
              <c:f>'g7'!$L$3:$L$8</c:f>
              <c:strCache>
                <c:ptCount val="6"/>
                <c:pt idx="0">
                  <c:v>الصناعات الغذائية</c:v>
                </c:pt>
                <c:pt idx="1">
                  <c:v>صناعات الجلد و النسيج</c:v>
                </c:pt>
                <c:pt idx="2">
                  <c:v>الصناعات الكميائية و الشبه كميائية</c:v>
                </c:pt>
                <c:pt idx="3">
                  <c:v>الصناعات الكهربائية و الالكترونية</c:v>
                </c:pt>
                <c:pt idx="4">
                  <c:v>الصناعات المعدنية و الميكانيكية</c:v>
                </c:pt>
                <c:pt idx="5">
                  <c:v>المجموع</c:v>
                </c:pt>
              </c:strCache>
            </c:strRef>
          </c:cat>
          <c:val>
            <c:numRef>
              <c:f>'g7'!$K$3:$K$8</c:f>
              <c:numCache>
                <c:formatCode>0%</c:formatCode>
                <c:ptCount val="6"/>
                <c:pt idx="0">
                  <c:v>8.6221507094073668E-2</c:v>
                </c:pt>
                <c:pt idx="1">
                  <c:v>7.6903147204953837E-2</c:v>
                </c:pt>
                <c:pt idx="2">
                  <c:v>0.6707413134761302</c:v>
                </c:pt>
                <c:pt idx="3">
                  <c:v>7.6874112307960776E-2</c:v>
                </c:pt>
                <c:pt idx="4">
                  <c:v>0.13888655188719504</c:v>
                </c:pt>
                <c:pt idx="5">
                  <c:v>0.50113558883518627</c:v>
                </c:pt>
              </c:numCache>
            </c:numRef>
          </c:val>
        </c:ser>
        <c:overlap val="100"/>
        <c:axId val="152107648"/>
        <c:axId val="151724416"/>
      </c:barChart>
      <c:catAx>
        <c:axId val="15210764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51724416"/>
        <c:crosses val="autoZero"/>
        <c:auto val="1"/>
        <c:lblAlgn val="ctr"/>
        <c:lblOffset val="100"/>
      </c:catAx>
      <c:valAx>
        <c:axId val="151724416"/>
        <c:scaling>
          <c:orientation val="minMax"/>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5210764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15875"/>
    <a:effectLst/>
  </c:spPr>
  <c:txPr>
    <a:bodyPr/>
    <a:lstStyle/>
    <a:p>
      <a:pPr>
        <a:defRPr/>
      </a:pPr>
      <a:endParaRPr lang="fr-FR"/>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MA" sz="1400" b="1" i="0" u="none" strike="noStrike" baseline="0">
                <a:effectLst/>
              </a:rPr>
              <a:t>معدل الاندماج حسب الفروع</a:t>
            </a:r>
            <a:r>
              <a:rPr lang="ar-MA" sz="1400" b="1" i="0" u="none" strike="noStrike" baseline="0"/>
              <a:t> </a:t>
            </a:r>
            <a:endParaRPr lang="fr-FR" b="1"/>
          </a:p>
        </c:rich>
      </c:tx>
      <c:spPr>
        <a:noFill/>
        <a:ln>
          <a:noFill/>
        </a:ln>
        <a:effectLst/>
      </c:spPr>
    </c:title>
    <c:plotArea>
      <c:layout/>
      <c:barChart>
        <c:barDir val="bar"/>
        <c:grouping val="stacked"/>
        <c:ser>
          <c:idx val="0"/>
          <c:order val="0"/>
          <c:spPr>
            <a:solidFill>
              <a:schemeClr val="accent1"/>
            </a:solidFill>
            <a:ln>
              <a:noFill/>
            </a:ln>
            <a:effectLst/>
          </c:spPr>
          <c:dPt>
            <c:idx val="5"/>
            <c:spPr>
              <a:solidFill>
                <a:schemeClr val="accent2"/>
              </a:solidFill>
              <a:ln>
                <a:noFill/>
              </a:ln>
              <a:effectLst/>
            </c:spPr>
          </c:dPt>
          <c:cat>
            <c:strRef>
              <c:f>'g8'!$I$3:$I$8</c:f>
              <c:strCache>
                <c:ptCount val="6"/>
                <c:pt idx="0">
                  <c:v>الصناعات الغذائية</c:v>
                </c:pt>
                <c:pt idx="1">
                  <c:v>صناعات الجلد و النسيج</c:v>
                </c:pt>
                <c:pt idx="2">
                  <c:v>الصناعات الكميائية و الشبه كميائية</c:v>
                </c:pt>
                <c:pt idx="3">
                  <c:v>الصناعات الكهربائية و الالكترونية</c:v>
                </c:pt>
                <c:pt idx="4">
                  <c:v>الصناعات المعدنية و الميكانيكية</c:v>
                </c:pt>
                <c:pt idx="5">
                  <c:v>المجموع</c:v>
                </c:pt>
              </c:strCache>
            </c:strRef>
          </c:cat>
          <c:val>
            <c:numRef>
              <c:f>'g8'!$H$3:$H$8</c:f>
              <c:numCache>
                <c:formatCode>0%</c:formatCode>
                <c:ptCount val="6"/>
                <c:pt idx="0">
                  <c:v>0.86082838911592552</c:v>
                </c:pt>
                <c:pt idx="1">
                  <c:v>0.69162491456287711</c:v>
                </c:pt>
                <c:pt idx="2">
                  <c:v>0.52522925218846683</c:v>
                </c:pt>
                <c:pt idx="3">
                  <c:v>0.41620983086216867</c:v>
                </c:pt>
                <c:pt idx="4">
                  <c:v>0.61520959016398991</c:v>
                </c:pt>
                <c:pt idx="5">
                  <c:v>0.65268844160169937</c:v>
                </c:pt>
              </c:numCache>
            </c:numRef>
          </c:val>
        </c:ser>
        <c:overlap val="100"/>
        <c:axId val="151753088"/>
        <c:axId val="151754624"/>
      </c:barChart>
      <c:catAx>
        <c:axId val="15175308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fr-FR"/>
          </a:p>
        </c:txPr>
        <c:crossAx val="151754624"/>
        <c:crosses val="autoZero"/>
        <c:auto val="1"/>
        <c:lblAlgn val="ctr"/>
        <c:lblOffset val="100"/>
      </c:catAx>
      <c:valAx>
        <c:axId val="151754624"/>
        <c:scaling>
          <c:orientation val="minMax"/>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51753088"/>
        <c:crosses val="autoZero"/>
        <c:crossBetween val="between"/>
      </c:valAx>
      <c:spPr>
        <a:noFill/>
        <a:ln>
          <a:noFill/>
        </a:ln>
        <a:effectLst/>
      </c:spPr>
    </c:plotArea>
    <c:plotVisOnly val="1"/>
    <c:dispBlanksAs val="gap"/>
  </c:chart>
  <c:spPr>
    <a:solidFill>
      <a:schemeClr val="bg1"/>
    </a:solidFill>
    <a:ln w="15875" cap="flat" cmpd="sng" algn="ctr">
      <a:solidFill>
        <a:schemeClr val="tx1"/>
      </a:solidFill>
      <a:round/>
    </a:ln>
    <a:effectLst/>
  </c:spPr>
  <c:txPr>
    <a:bodyPr/>
    <a:lstStyle/>
    <a:p>
      <a:pPr>
        <a:defRPr/>
      </a:pPr>
      <a:endParaRPr lang="fr-FR"/>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F98D5-80F4-4BE3-ADCC-B4BA51E4B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2634</Words>
  <Characters>14489</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Sweet</Company>
  <LinksUpToDate>false</LinksUpToDate>
  <CharactersWithSpaces>17089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2017-10-09T08:29:00Z</cp:lastPrinted>
  <dcterms:created xsi:type="dcterms:W3CDTF">2017-10-11T09:56:00Z</dcterms:created>
  <dcterms:modified xsi:type="dcterms:W3CDTF">2017-10-11T09:56:00Z</dcterms:modified>
</cp:coreProperties>
</file>