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92008F" w:rsidRDefault="00894E55" w:rsidP="0092008F">
      <w:pPr>
        <w:autoSpaceDE w:val="0"/>
        <w:autoSpaceDN w:val="0"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72855766" r:id="rId8"/>
        </w:pict>
      </w:r>
    </w:p>
    <w:p w:rsidR="00AB0915" w:rsidRPr="0092008F" w:rsidRDefault="00AB0915" w:rsidP="0092008F">
      <w:pPr>
        <w:autoSpaceDE w:val="0"/>
        <w:autoSpaceDN w:val="0"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92008F" w:rsidRDefault="00AB0915" w:rsidP="0092008F">
      <w:pPr>
        <w:autoSpaceDE w:val="0"/>
        <w:autoSpaceDN w:val="0"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92008F" w:rsidRDefault="00AB0915" w:rsidP="0092008F">
      <w:pPr>
        <w:autoSpaceDE w:val="0"/>
        <w:autoSpaceDN w:val="0"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92008F" w:rsidRDefault="00AB0915" w:rsidP="0092008F">
      <w:pPr>
        <w:autoSpaceDE w:val="0"/>
        <w:autoSpaceDN w:val="0"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6257E3" w:rsidRPr="0092008F" w:rsidRDefault="00702842" w:rsidP="0092008F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bookmarkStart w:id="0" w:name="_GoBack"/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 اخبارية للمندوبية السامية للتخطيط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br/>
        <w:t>بمناسبة اليوم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العالمي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للطفولة </w:t>
      </w:r>
      <w:r w:rsidR="0007372A"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br/>
        <w:t>20 نونبر 2017</w:t>
      </w:r>
    </w:p>
    <w:p w:rsidR="006257E3" w:rsidRPr="0092008F" w:rsidRDefault="00702842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بغية تعزيز احترام 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الأطفال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حقوق</w:t>
      </w:r>
      <w:r w:rsidR="0007372A" w:rsidRPr="0092008F">
        <w:rPr>
          <w:rFonts w:ascii="Simplified Arabic" w:hAnsi="Simplified Arabic" w:cs="Simplified Arabic"/>
          <w:sz w:val="24"/>
          <w:szCs w:val="24"/>
          <w:rtl/>
          <w:lang w:bidi="ar-MA"/>
        </w:rPr>
        <w:t>هم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، يحتفل المجتمع الدولي في 20 نوفمبر من كل سنة باليوم العالمي للطف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ل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وخلال هذه المناسبة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تدعو منظمة الأمم المتحدة للطفولة 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هذه ال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مناسبة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الأطفال في جميع أنحاء العالم إلى "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الأخذ 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زمام المبادرة" في مجالات السياسة والإعلام والرياضة والترفيه وغيرها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 للتعبير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عن دعمه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م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لملايين الأطفال 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غير الممدرسين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أو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04FD3" w:rsidRPr="0092008F">
        <w:rPr>
          <w:rFonts w:ascii="Simplified Arabic" w:hAnsi="Simplified Arabic" w:cs="Simplified Arabic"/>
          <w:sz w:val="24"/>
          <w:szCs w:val="24"/>
          <w:rtl/>
        </w:rPr>
        <w:t>الذين لا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ي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توفرون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على الحماية الاجتماعية.</w:t>
      </w:r>
    </w:p>
    <w:p w:rsidR="00EB5E03" w:rsidRPr="0092008F" w:rsidRDefault="00EB5E03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وفي هذا السياق، تقدم المندوبية السامية للتخطيط بعض الجوانب المتعلقة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بالديمغرافيا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والتعليم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والنشاط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والصحة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الإعاقة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للأطفال دون 18 سنة وفقا لنتائج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الإحصاء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العام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للسكان</w:t>
      </w:r>
      <w:r w:rsidR="00EF3A7D" w:rsidRPr="0092008F">
        <w:rPr>
          <w:rFonts w:ascii="Simplified Arabic" w:hAnsi="Simplified Arabic" w:cs="Simplified Arabic"/>
          <w:sz w:val="24"/>
          <w:szCs w:val="24"/>
          <w:rtl/>
        </w:rPr>
        <w:t xml:space="preserve"> والسكنى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2014.</w:t>
      </w:r>
    </w:p>
    <w:p w:rsidR="00EF3A7D" w:rsidRPr="00457780" w:rsidRDefault="00EF3A7D" w:rsidP="0092008F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انخفاض عدد الأطفال دون 18 سنة في أفق 2030</w:t>
      </w:r>
    </w:p>
    <w:p w:rsidR="006257E3" w:rsidRPr="0092008F" w:rsidRDefault="006257E3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خلال سنة 2014، شكل الأطفال دون 18 سنة حوالي ثلث السكان المغاربة (33.6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). على مستوى العدد، سجل عدد الأطفال ارتفاعا طفيفا منتقلا من 11.08 مليون طفل سنة 2004 إلى 11.33مليون طفل سنة 2014، أي بزيادة قدرها 0.2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="0063143F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ووفقا للإسقاطات السكانية، سيمثلون 26.7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="00E8283B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أي 10.5 مليون نسمة في أفق سنة 2030. وحسب الجنس، فإن 51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من هذه الساكنة من الذكور و49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من الإناث. أما توزيعهم حسب وسط الإقامة، ف 55.9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من الأطفال يعيشون في الوسط الحضري مقابل 44.1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في الوسط القروي.</w:t>
      </w:r>
    </w:p>
    <w:p w:rsidR="00146EE1" w:rsidRPr="00457780" w:rsidRDefault="00146EE1" w:rsidP="00457780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حوالي 5000 طفل سبق لهم الزواج قبل</w:t>
      </w:r>
      <w:r w:rsidR="00235AB5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بلوغ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سن 18</w:t>
      </w:r>
      <w:r w:rsidR="00235AB5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سنة</w:t>
      </w:r>
    </w:p>
    <w:p w:rsidR="007B72D9" w:rsidRPr="0092008F" w:rsidRDefault="00146EE1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غالبية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الأطفال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دون سن 18 سنة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عزاب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ومع ذلك فإن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نسبة 0.8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من الأطفال، أي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48291 من القاصرين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،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تزوجوا قبل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بلوغهم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18 سنة، حسب إحصاء سنة 2014.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تهم هذه ال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ظاهرة أساس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ا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الإناث 94.8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،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(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45786 فتاة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)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مقابل 5.2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C3580" w:rsidRPr="0092008F">
        <w:rPr>
          <w:rFonts w:ascii="Simplified Arabic" w:hAnsi="Simplified Arabic" w:cs="Simplified Arabic"/>
          <w:sz w:val="24"/>
          <w:szCs w:val="24"/>
        </w:rPr>
        <w:t>%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 من الذكور</w:t>
      </w:r>
      <w:r w:rsidR="00BC3580" w:rsidRPr="0092008F">
        <w:rPr>
          <w:rFonts w:ascii="Simplified Arabic" w:hAnsi="Simplified Arabic" w:cs="Simplified Arabic"/>
          <w:sz w:val="24"/>
          <w:szCs w:val="24"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(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2505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 فتى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)، وأكثر انتشار في القرى (55.9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، 27017 شخصا مقابل 44.1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، 21274 في الوسط الحضري)</w:t>
      </w:r>
      <w:r w:rsidR="00F9666F" w:rsidRPr="0092008F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bookmarkEnd w:id="0"/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من بين مجموع الفتيات القاصرات اللاتي تزوجن قبل سن 18 سنة،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97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1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(44469 فتاة) منهن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 xml:space="preserve">لازلن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متزوجات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>تاريخ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الإحصاء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2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3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(1044 فتاة) مطلقات و0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6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(273 فتاة) أرامل، مقابل94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1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(2356)،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3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4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(85) و2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6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(64) على التوالي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>لدى الفتيان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F9666F" w:rsidRPr="0092008F" w:rsidRDefault="00F9666F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وعلى الرغم من صغر سنهم، فإن ما لا يقل عن 4369 طفل هم أرباب أسر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>،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غالبيتهم ذكور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>(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81.5%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Pr="0092008F">
        <w:rPr>
          <w:rFonts w:ascii="Simplified Arabic" w:hAnsi="Simplified Arabic" w:cs="Simplified Arabic"/>
          <w:sz w:val="24"/>
          <w:szCs w:val="24"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يعيش أقل من ثلثي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 xml:space="preserve">هم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في المدن (61.6%).</w:t>
      </w:r>
    </w:p>
    <w:p w:rsidR="00F9666F" w:rsidRPr="00457780" w:rsidRDefault="00F9666F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أكثر من ثلث الأطفال</w:t>
      </w:r>
      <w:r w:rsidR="00774366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لا يتوفرون على 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أي مستوى دراسي</w:t>
      </w:r>
    </w:p>
    <w:p w:rsidR="0022061C" w:rsidRPr="0092008F" w:rsidRDefault="006257E3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في سنة 2014، بلغ معدل الأمية لدى الأطفال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الذين تتراوح أعمارهم بين 10 و18 سنة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8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على الصعيد الوطني، مقابل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32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2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بالنسبة لمجموع سكان المغرب.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تبقى الفتيات أكثر عرض</w:t>
      </w:r>
      <w:r w:rsidR="00ED27D2" w:rsidRPr="0092008F">
        <w:rPr>
          <w:rFonts w:ascii="Simplified Arabic" w:hAnsi="Simplified Arabic" w:cs="Simplified Arabic"/>
          <w:sz w:val="24"/>
          <w:szCs w:val="24"/>
          <w:rtl/>
        </w:rPr>
        <w:t>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لظاهرة الأمية من ال</w:t>
      </w:r>
      <w:r w:rsidR="00ED27D2" w:rsidRPr="0092008F">
        <w:rPr>
          <w:rFonts w:ascii="Simplified Arabic" w:hAnsi="Simplified Arabic" w:cs="Simplified Arabic"/>
          <w:sz w:val="24"/>
          <w:szCs w:val="24"/>
          <w:rtl/>
        </w:rPr>
        <w:t xml:space="preserve">فتيان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(5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9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مقابل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lastRenderedPageBreak/>
        <w:t>3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8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). 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و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بلغ هذا المعدل 1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9% بالوسط الحضري مقابل 8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5% بالوسط القروي.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D27D2"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يصل </w:t>
      </w:r>
      <w:r w:rsidR="00B8446F" w:rsidRPr="0092008F">
        <w:rPr>
          <w:rFonts w:ascii="Simplified Arabic" w:hAnsi="Simplified Arabic" w:cs="Simplified Arabic"/>
          <w:sz w:val="24"/>
          <w:szCs w:val="24"/>
          <w:rtl/>
        </w:rPr>
        <w:t>ال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فارق بين الذكور والإناث 0.1 نقطة </w:t>
      </w:r>
      <w:r w:rsidR="00B8446F" w:rsidRPr="0092008F">
        <w:rPr>
          <w:rFonts w:ascii="Simplified Arabic" w:hAnsi="Simplified Arabic" w:cs="Simplified Arabic"/>
          <w:sz w:val="24"/>
          <w:szCs w:val="24"/>
          <w:rtl/>
        </w:rPr>
        <w:t xml:space="preserve">بالمدن 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مقابل 4.7 نقطة </w:t>
      </w:r>
      <w:r w:rsidR="00327808" w:rsidRPr="0092008F">
        <w:rPr>
          <w:rFonts w:ascii="Simplified Arabic" w:hAnsi="Simplified Arabic" w:cs="Simplified Arabic"/>
          <w:sz w:val="24"/>
          <w:szCs w:val="24"/>
          <w:rtl/>
          <w:lang w:bidi="ar-MA"/>
        </w:rPr>
        <w:t>بالقرى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2061C" w:rsidRPr="0092008F" w:rsidRDefault="0022061C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بلغ معدل تمدرس الأطفال الذين تتراوح أعمارهم بين 7 و 12 سنة 95.1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على الصعيد الوطني،</w:t>
      </w:r>
      <w:r w:rsidR="00E64C95" w:rsidRPr="0092008F">
        <w:rPr>
          <w:rFonts w:ascii="Simplified Arabic" w:hAnsi="Simplified Arabic" w:cs="Simplified Arabic"/>
          <w:sz w:val="24"/>
          <w:szCs w:val="24"/>
          <w:rtl/>
        </w:rPr>
        <w:t xml:space="preserve"> و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97.8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64C95" w:rsidRPr="0092008F">
        <w:rPr>
          <w:rFonts w:ascii="Simplified Arabic" w:hAnsi="Simplified Arabic" w:cs="Simplified Arabic"/>
          <w:sz w:val="24"/>
          <w:szCs w:val="24"/>
          <w:rtl/>
        </w:rPr>
        <w:t>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الوسط الحضري و 91.6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64C95" w:rsidRPr="0092008F">
        <w:rPr>
          <w:rFonts w:ascii="Simplified Arabic" w:hAnsi="Simplified Arabic" w:cs="Simplified Arabic"/>
          <w:sz w:val="24"/>
          <w:szCs w:val="24"/>
          <w:rtl/>
        </w:rPr>
        <w:t>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الوسط القروي. ويبلغ هذا المعدل 95.7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لدى </w:t>
      </w:r>
      <w:r w:rsidR="00E64C95" w:rsidRPr="0092008F">
        <w:rPr>
          <w:rFonts w:ascii="Simplified Arabic" w:hAnsi="Simplified Arabic" w:cs="Simplified Arabic"/>
          <w:sz w:val="24"/>
          <w:szCs w:val="24"/>
          <w:rtl/>
        </w:rPr>
        <w:t>الفتيان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(97.8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بالوسط الحضري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و 93.0 </w:t>
      </w:r>
      <w:r w:rsidR="00C10AED" w:rsidRPr="0092008F">
        <w:rPr>
          <w:rFonts w:ascii="Simplified Arabic" w:hAnsi="Simplified Arabic" w:cs="Simplified Arabic"/>
          <w:sz w:val="24"/>
          <w:szCs w:val="24"/>
        </w:rPr>
        <w:t>%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بالوسط القروي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) و 94.4</w:t>
      </w:r>
      <w:r w:rsidR="00C10AED" w:rsidRPr="0092008F">
        <w:rPr>
          <w:rFonts w:ascii="Simplified Arabic" w:hAnsi="Simplified Arabic" w:cs="Simplified Arabic"/>
          <w:sz w:val="24"/>
          <w:szCs w:val="24"/>
        </w:rPr>
        <w:t>%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ل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>دى ا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لفتيات (97.9</w:t>
      </w:r>
      <w:r w:rsidR="00C10AED"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بالوسط الحضري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90.1</w:t>
      </w:r>
      <w:r w:rsidR="00C10AED" w:rsidRPr="0092008F">
        <w:rPr>
          <w:rFonts w:ascii="Simplified Arabic" w:hAnsi="Simplified Arabic" w:cs="Simplified Arabic"/>
          <w:sz w:val="24"/>
          <w:szCs w:val="24"/>
        </w:rPr>
        <w:t>%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بالوسط القروي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). </w:t>
      </w:r>
    </w:p>
    <w:p w:rsidR="007B72D9" w:rsidRPr="0092008F" w:rsidRDefault="007B72D9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خلال سنة 2014</w:t>
      </w:r>
      <w:r w:rsidR="00ED010C" w:rsidRPr="0092008F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38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8%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من الأطفال دون سن 18 سنة يتوفرون على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مستوى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التعليم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الابتدائي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14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8%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مستوى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التعليم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الثانوي الإعدادي و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4</w:t>
      </w:r>
      <w:r w:rsidR="00394575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ED010C" w:rsidRPr="0092008F">
        <w:rPr>
          <w:rFonts w:ascii="Simplified Arabic" w:hAnsi="Simplified Arabic" w:cs="Simplified Arabic"/>
          <w:sz w:val="24"/>
          <w:szCs w:val="24"/>
          <w:rtl/>
        </w:rPr>
        <w:t xml:space="preserve">5%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 w:rsidR="00ED010C" w:rsidRPr="0092008F">
        <w:rPr>
          <w:rFonts w:ascii="Simplified Arabic" w:hAnsi="Simplified Arabic" w:cs="Simplified Arabic"/>
          <w:sz w:val="24"/>
          <w:szCs w:val="24"/>
          <w:rtl/>
        </w:rPr>
        <w:t xml:space="preserve">مستوى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التعليم </w:t>
      </w:r>
      <w:r w:rsidR="00ED010C" w:rsidRPr="0092008F">
        <w:rPr>
          <w:rFonts w:ascii="Simplified Arabic" w:hAnsi="Simplified Arabic" w:cs="Simplified Arabic"/>
          <w:sz w:val="24"/>
          <w:szCs w:val="24"/>
          <w:rtl/>
        </w:rPr>
        <w:t>الثانوي التأهيلي. حسب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الجنس، </w:t>
      </w:r>
      <w:r w:rsidR="00793EC0" w:rsidRPr="0092008F">
        <w:rPr>
          <w:rFonts w:ascii="Simplified Arabic" w:hAnsi="Simplified Arabic" w:cs="Simplified Arabic"/>
          <w:sz w:val="24"/>
          <w:szCs w:val="24"/>
          <w:rtl/>
        </w:rPr>
        <w:t>فإن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19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8% من الفتيان حصلوا على تكوين ثانوي </w:t>
      </w:r>
      <w:r w:rsidR="00793EC0" w:rsidRPr="0092008F">
        <w:rPr>
          <w:rFonts w:ascii="Simplified Arabic" w:hAnsi="Simplified Arabic" w:cs="Simplified Arabic"/>
          <w:sz w:val="24"/>
          <w:szCs w:val="24"/>
          <w:rtl/>
        </w:rPr>
        <w:t>أ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وعالي ، مقابل 19% </w:t>
      </w:r>
      <w:r w:rsidR="00793EC0" w:rsidRPr="0092008F">
        <w:rPr>
          <w:rFonts w:ascii="Simplified Arabic" w:hAnsi="Simplified Arabic" w:cs="Simplified Arabic"/>
          <w:sz w:val="24"/>
          <w:szCs w:val="24"/>
          <w:rtl/>
        </w:rPr>
        <w:t>من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93EC0" w:rsidRPr="0092008F">
        <w:rPr>
          <w:rFonts w:ascii="Simplified Arabic" w:hAnsi="Simplified Arabic" w:cs="Simplified Arabic"/>
          <w:sz w:val="24"/>
          <w:szCs w:val="24"/>
          <w:rtl/>
        </w:rPr>
        <w:t>ا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لفتيات</w:t>
      </w:r>
      <w:r w:rsidRPr="0092008F">
        <w:rPr>
          <w:rFonts w:ascii="Simplified Arabic" w:hAnsi="Simplified Arabic" w:cs="Simplified Arabic"/>
          <w:sz w:val="24"/>
          <w:szCs w:val="24"/>
        </w:rPr>
        <w:t>.</w:t>
      </w:r>
    </w:p>
    <w:p w:rsidR="007B72D9" w:rsidRPr="0092008F" w:rsidRDefault="006961D5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حسب وسط الإقامة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فإ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ن حوالي ربع الأطفال الذين يعيشون بالمدن </w:t>
      </w:r>
      <w:r w:rsidR="00C301C7" w:rsidRPr="0092008F">
        <w:rPr>
          <w:rFonts w:ascii="Simplified Arabic" w:hAnsi="Simplified Arabic" w:cs="Simplified Arabic"/>
          <w:sz w:val="24"/>
          <w:szCs w:val="24"/>
          <w:rtl/>
        </w:rPr>
        <w:t>يتوفرون على الأقل على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 مستوى التعليم الثانوي (24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3%) غير أن هاته النسبة تقدر فقط ب 13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1% بالقرى</w:t>
      </w:r>
      <w:r w:rsidR="007B72D9" w:rsidRPr="0092008F">
        <w:rPr>
          <w:rFonts w:ascii="Simplified Arabic" w:hAnsi="Simplified Arabic" w:cs="Simplified Arabic"/>
          <w:sz w:val="24"/>
          <w:szCs w:val="24"/>
        </w:rPr>
        <w:t>.</w:t>
      </w:r>
    </w:p>
    <w:p w:rsidR="00854F33" w:rsidRPr="00457780" w:rsidRDefault="00854F33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أكثر من ربع الأطفال الذين تتراوح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أعمارهم بين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15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و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18 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سنة يمارسون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نشاط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ا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اقتصادي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ا</w:t>
      </w:r>
    </w:p>
    <w:p w:rsidR="007B72D9" w:rsidRPr="0092008F" w:rsidRDefault="00C1660D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بلغ</w:t>
      </w:r>
      <w:r w:rsidR="006E2CCD" w:rsidRPr="0092008F">
        <w:rPr>
          <w:rFonts w:ascii="Simplified Arabic" w:hAnsi="Simplified Arabic" w:cs="Simplified Arabic"/>
          <w:sz w:val="24"/>
          <w:szCs w:val="24"/>
          <w:rtl/>
        </w:rPr>
        <w:t xml:space="preserve"> معدل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 نشاط الأطفال البالغين ما بين 15-18 سنة 26% سنة 2014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،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 وتقدر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هذه النسبة ب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 36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9% بالقرى مقابل 14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9% بالمدن. وتصل إلى 36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9% عند الفتيان مقابل 14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9% عند الفتيات</w:t>
      </w:r>
      <w:r w:rsidR="007B72D9" w:rsidRPr="0092008F">
        <w:rPr>
          <w:rFonts w:ascii="Simplified Arabic" w:hAnsi="Simplified Arabic" w:cs="Simplified Arabic"/>
          <w:sz w:val="24"/>
          <w:szCs w:val="24"/>
        </w:rPr>
        <w:t>.</w:t>
      </w:r>
    </w:p>
    <w:p w:rsidR="00D64230" w:rsidRPr="0092008F" w:rsidRDefault="00D64230" w:rsidP="00EA2721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في سنة 2014، حوالي 69 ألف طفل تتراوح أعمارهم ما بين 7 و15 سنة يمارسون نشاطا اقتصاديا</w:t>
      </w:r>
      <w:r w:rsidR="001B2B1A" w:rsidRPr="0092008F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erence w:id="2"/>
      </w:r>
      <w:r w:rsidR="001B2B1A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، وهو ما يمثل حوالي 1.5 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من مجموع الأطفال الذين ينتمون إلى هذه الفئة العمرية. 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 xml:space="preserve">وتعتبر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القطاعات الأكثر 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 xml:space="preserve">استقطابا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للأطفال 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>ف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هي قطاع الفلاحة بالوسط القروي، وقطاع الخدمات والصناعة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بما فيها ال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 xml:space="preserve">صناعة التقليدية،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بالوسط الحضري.</w:t>
      </w:r>
    </w:p>
    <w:p w:rsidR="00D24C9D" w:rsidRPr="00457780" w:rsidRDefault="009D639A" w:rsidP="0092008F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1.5% </w:t>
      </w:r>
      <w:r w:rsidR="00B62786" w:rsidRPr="00457780">
        <w:rPr>
          <w:rFonts w:ascii="Simplified Arabic" w:hAnsi="Simplified Arabic" w:cs="Simplified Arabic" w:hint="cs"/>
          <w:b/>
          <w:bCs/>
          <w:color w:val="0000FF"/>
          <w:sz w:val="26"/>
          <w:szCs w:val="26"/>
          <w:rtl/>
        </w:rPr>
        <w:t>من الأ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طف</w:t>
      </w:r>
      <w:r w:rsidR="00B62786" w:rsidRPr="00457780">
        <w:rPr>
          <w:rFonts w:ascii="Simplified Arabic" w:hAnsi="Simplified Arabic" w:cs="Simplified Arabic" w:hint="cs"/>
          <w:b/>
          <w:bCs/>
          <w:color w:val="0000FF"/>
          <w:sz w:val="26"/>
          <w:szCs w:val="26"/>
          <w:rtl/>
        </w:rPr>
        <w:t>ا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ل يعيشون في وضعية إعاقة و</w:t>
      </w:r>
      <w:r w:rsidRPr="0045778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تقريبا 3 أطفال حديثي الولادة من بين 1</w:t>
      </w:r>
      <w:r w:rsidR="00B62786" w:rsidRPr="00457780">
        <w:rPr>
          <w:rFonts w:ascii="Simplified Arabic" w:hAnsi="Simplified Arabic" w:cs="Simplified Arabic" w:hint="cs"/>
          <w:b/>
          <w:bCs/>
          <w:color w:val="0000FF"/>
          <w:sz w:val="26"/>
          <w:szCs w:val="26"/>
          <w:rtl/>
        </w:rPr>
        <w:t>0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0 يتوفون قبل بلوغهم عامهم الأول</w:t>
      </w:r>
    </w:p>
    <w:p w:rsidR="00D64230" w:rsidRPr="0092008F" w:rsidRDefault="00C95494" w:rsidP="00C95494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95494">
        <w:rPr>
          <w:rFonts w:ascii="Simplified Arabic" w:hAnsi="Simplified Arabic" w:cs="Simplified Arabic" w:hint="cs"/>
          <w:sz w:val="24"/>
          <w:szCs w:val="24"/>
          <w:rtl/>
        </w:rPr>
        <w:t>خلال سنة 2011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C9549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64230" w:rsidRPr="0092008F">
        <w:rPr>
          <w:rFonts w:ascii="Simplified Arabic" w:hAnsi="Simplified Arabic" w:cs="Simplified Arabic"/>
          <w:sz w:val="24"/>
          <w:szCs w:val="24"/>
          <w:rtl/>
        </w:rPr>
        <w:t>28.8</w:t>
      </w:r>
      <w:r w:rsidR="00C17932" w:rsidRPr="0092008F">
        <w:rPr>
          <w:rFonts w:ascii="Simplified Arabic" w:hAnsi="Simplified Arabic" w:cs="Simplified Arabic"/>
          <w:sz w:val="24"/>
          <w:szCs w:val="24"/>
        </w:rPr>
        <w:t> ‰</w:t>
      </w:r>
      <w:r w:rsidR="00D64230" w:rsidRPr="0092008F">
        <w:rPr>
          <w:rFonts w:ascii="Simplified Arabic" w:hAnsi="Simplified Arabic" w:cs="Simplified Arabic"/>
          <w:sz w:val="24"/>
          <w:szCs w:val="24"/>
          <w:rtl/>
        </w:rPr>
        <w:t>من الأطفال حديثي الولادة توفو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 </w:t>
      </w:r>
      <w:r w:rsidR="00D64230" w:rsidRPr="0092008F">
        <w:rPr>
          <w:rFonts w:ascii="Simplified Arabic" w:hAnsi="Simplified Arabic" w:cs="Simplified Arabic"/>
          <w:sz w:val="24"/>
          <w:szCs w:val="24"/>
          <w:rtl/>
        </w:rPr>
        <w:t xml:space="preserve">قبل بلوغهم عامهم الأول، </w:t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>في حين أن 30.5</w:t>
      </w:r>
      <w:r w:rsidR="00080405" w:rsidRPr="0092008F">
        <w:rPr>
          <w:rFonts w:ascii="Simplified Arabic" w:hAnsi="Simplified Arabic" w:cs="Simplified Arabic"/>
          <w:sz w:val="24"/>
          <w:szCs w:val="24"/>
        </w:rPr>
        <w:t xml:space="preserve">  ‰</w:t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>من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الذين بلغوا السنة </w:t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>توفو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 xml:space="preserve"> قبل بلوغهم سن الخامسة</w:t>
      </w:r>
      <w:r w:rsidR="00080405" w:rsidRPr="0092008F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erence w:id="3"/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B8222A" w:rsidRPr="0092008F" w:rsidRDefault="00B8222A" w:rsidP="00587BDA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بلغ عدد الأطفال</w:t>
      </w:r>
      <w:r w:rsidRPr="0092008F">
        <w:rPr>
          <w:rFonts w:ascii="Simplified Arabic" w:hAnsi="Simplified Arabic" w:cs="Simplified Arabic"/>
          <w:sz w:val="24"/>
          <w:szCs w:val="24"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المعاقين في </w:t>
      </w:r>
      <w:r w:rsidR="007B21AE" w:rsidRPr="0092008F">
        <w:rPr>
          <w:rFonts w:ascii="Simplified Arabic" w:hAnsi="Simplified Arabic" w:cs="Simplified Arabic"/>
          <w:sz w:val="24"/>
          <w:szCs w:val="24"/>
          <w:rtl/>
        </w:rPr>
        <w:t>سنة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2014 ما يقرب من 169 ألف شخص (1.5% من مجموع الأطفال)، 55.2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منهم ذكور و 54.6% يعيشون في المناطق الحضرية.</w:t>
      </w:r>
    </w:p>
    <w:p w:rsidR="008E2BA6" w:rsidRPr="00457780" w:rsidRDefault="008E2BA6" w:rsidP="00587BDA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3 أطفال </w:t>
      </w:r>
      <w:r w:rsidR="00587BDA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من بين 10 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بدون مأوى</w:t>
      </w:r>
      <w:r w:rsidR="00587BDA" w:rsidRPr="00457780">
        <w:rPr>
          <w:rFonts w:ascii="Simplified Arabic" w:hAnsi="Simplified Arabic" w:cs="Simplified Arabic" w:hint="cs"/>
          <w:b/>
          <w:bCs/>
          <w:color w:val="0000FF"/>
          <w:sz w:val="26"/>
          <w:szCs w:val="26"/>
          <w:rtl/>
        </w:rPr>
        <w:t xml:space="preserve"> هن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فتيات</w:t>
      </w:r>
    </w:p>
    <w:p w:rsidR="00B8222A" w:rsidRDefault="00587BDA" w:rsidP="00F207A4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حسب نتائج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 xml:space="preserve"> إحصاء</w:t>
      </w:r>
      <w:r w:rsidR="008E2BA6" w:rsidRPr="0092008F">
        <w:rPr>
          <w:rFonts w:ascii="Simplified Arabic" w:hAnsi="Simplified Arabic" w:cs="Simplified Arabic"/>
          <w:sz w:val="24"/>
          <w:szCs w:val="24"/>
          <w:rtl/>
        </w:rPr>
        <w:t xml:space="preserve"> 2014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بلغ عدد الأطفال بدون مأوى 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>660 طفلا  30.2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>منهم</w:t>
      </w:r>
      <w:r w:rsidR="00B8222A" w:rsidRPr="0092008F">
        <w:rPr>
          <w:rFonts w:ascii="Simplified Arabic" w:hAnsi="Simplified Arabic" w:cs="Simplified Arabic"/>
          <w:sz w:val="24"/>
          <w:szCs w:val="24"/>
        </w:rPr>
        <w:t xml:space="preserve"> 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 xml:space="preserve">إناث، وثلثاهم </w:t>
      </w:r>
      <w:r w:rsidR="0007741C">
        <w:rPr>
          <w:rFonts w:ascii="Simplified Arabic" w:hAnsi="Simplified Arabic" w:cs="Simplified Arabic" w:hint="cs"/>
          <w:sz w:val="24"/>
          <w:szCs w:val="24"/>
          <w:rtl/>
        </w:rPr>
        <w:t>يقطنون ب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>المدن (73.6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%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 xml:space="preserve">). </w:t>
      </w:r>
    </w:p>
    <w:p w:rsidR="00F207A4" w:rsidRPr="0092008F" w:rsidRDefault="00F207A4" w:rsidP="00F207A4">
      <w:pPr>
        <w:bidi/>
        <w:spacing w:line="360" w:lineRule="exact"/>
        <w:jc w:val="center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</w:rPr>
        <w:t xml:space="preserve">        </w:t>
      </w:r>
    </w:p>
    <w:sectPr w:rsidR="00F207A4" w:rsidRPr="0092008F" w:rsidSect="001162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0DD" w:rsidRDefault="005120DD" w:rsidP="004F2007">
      <w:pPr>
        <w:spacing w:after="0" w:line="240" w:lineRule="auto"/>
      </w:pPr>
      <w:r>
        <w:separator/>
      </w:r>
    </w:p>
  </w:endnote>
  <w:endnote w:type="continuationSeparator" w:id="1">
    <w:p w:rsidR="005120DD" w:rsidRDefault="005120DD" w:rsidP="004F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7672"/>
      <w:docPartObj>
        <w:docPartGallery w:val="Page Numbers (Bottom of Page)"/>
        <w:docPartUnique/>
      </w:docPartObj>
    </w:sdtPr>
    <w:sdtContent>
      <w:p w:rsidR="004F2007" w:rsidRDefault="00894E55">
        <w:pPr>
          <w:pStyle w:val="Pieddepage"/>
          <w:jc w:val="center"/>
        </w:pPr>
        <w:fldSimple w:instr=" PAGE   \* MERGEFORMAT ">
          <w:r w:rsidR="00D16874">
            <w:rPr>
              <w:noProof/>
            </w:rPr>
            <w:t>2</w:t>
          </w:r>
        </w:fldSimple>
      </w:p>
    </w:sdtContent>
  </w:sdt>
  <w:p w:rsidR="004F2007" w:rsidRDefault="004F20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0DD" w:rsidRDefault="005120DD" w:rsidP="004F2007">
      <w:pPr>
        <w:spacing w:after="0" w:line="240" w:lineRule="auto"/>
      </w:pPr>
      <w:r>
        <w:separator/>
      </w:r>
    </w:p>
  </w:footnote>
  <w:footnote w:type="continuationSeparator" w:id="1">
    <w:p w:rsidR="005120DD" w:rsidRDefault="005120DD" w:rsidP="004F2007">
      <w:pPr>
        <w:spacing w:after="0" w:line="240" w:lineRule="auto"/>
      </w:pPr>
      <w:r>
        <w:continuationSeparator/>
      </w:r>
    </w:p>
  </w:footnote>
  <w:footnote w:id="2">
    <w:p w:rsidR="001B2B1A" w:rsidRDefault="001B2B1A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1B2B1A">
        <w:rPr>
          <w:rFonts w:asciiTheme="majorBidi" w:hAnsiTheme="majorBidi" w:cstheme="majorBidi" w:hint="cs"/>
          <w:sz w:val="16"/>
          <w:szCs w:val="16"/>
          <w:rtl/>
        </w:rPr>
        <w:t>حسب معطيات البحث الوطني حول الشغل</w:t>
      </w:r>
    </w:p>
  </w:footnote>
  <w:footnote w:id="3">
    <w:p w:rsidR="00080405" w:rsidRDefault="00080405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="00711F80" w:rsidRPr="00711F80">
        <w:rPr>
          <w:rFonts w:asciiTheme="majorBidi" w:hAnsiTheme="majorBidi" w:cstheme="majorBidi" w:hint="cs"/>
          <w:sz w:val="16"/>
          <w:szCs w:val="16"/>
          <w:rtl/>
        </w:rPr>
        <w:t xml:space="preserve">حسب البحث الوطني حول السكان والأسرة لسنة 2011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3814"/>
    <w:rsid w:val="00004598"/>
    <w:rsid w:val="00013FE7"/>
    <w:rsid w:val="00014500"/>
    <w:rsid w:val="00025D6D"/>
    <w:rsid w:val="00030909"/>
    <w:rsid w:val="00040FEC"/>
    <w:rsid w:val="00042862"/>
    <w:rsid w:val="00070E45"/>
    <w:rsid w:val="0007230F"/>
    <w:rsid w:val="0007372A"/>
    <w:rsid w:val="00074386"/>
    <w:rsid w:val="0007741C"/>
    <w:rsid w:val="00080405"/>
    <w:rsid w:val="00090AAD"/>
    <w:rsid w:val="000927B4"/>
    <w:rsid w:val="00092CA9"/>
    <w:rsid w:val="0009413B"/>
    <w:rsid w:val="0009683A"/>
    <w:rsid w:val="000A2187"/>
    <w:rsid w:val="000C5DAA"/>
    <w:rsid w:val="000D0D67"/>
    <w:rsid w:val="000F098A"/>
    <w:rsid w:val="000F14DF"/>
    <w:rsid w:val="00106D9C"/>
    <w:rsid w:val="00113802"/>
    <w:rsid w:val="001162EA"/>
    <w:rsid w:val="00135620"/>
    <w:rsid w:val="00146EE1"/>
    <w:rsid w:val="00150DA9"/>
    <w:rsid w:val="00151336"/>
    <w:rsid w:val="0016455A"/>
    <w:rsid w:val="00173D24"/>
    <w:rsid w:val="00175A9A"/>
    <w:rsid w:val="00191CB3"/>
    <w:rsid w:val="001959DB"/>
    <w:rsid w:val="001960C1"/>
    <w:rsid w:val="001A33F6"/>
    <w:rsid w:val="001A62A3"/>
    <w:rsid w:val="001B2B1A"/>
    <w:rsid w:val="001D4630"/>
    <w:rsid w:val="0021015C"/>
    <w:rsid w:val="00213853"/>
    <w:rsid w:val="00216973"/>
    <w:rsid w:val="0022061C"/>
    <w:rsid w:val="00232A70"/>
    <w:rsid w:val="00235AB5"/>
    <w:rsid w:val="0024342F"/>
    <w:rsid w:val="00252E6B"/>
    <w:rsid w:val="002615D5"/>
    <w:rsid w:val="00275981"/>
    <w:rsid w:val="00280DCB"/>
    <w:rsid w:val="00291EDE"/>
    <w:rsid w:val="00297119"/>
    <w:rsid w:val="002A336A"/>
    <w:rsid w:val="002A585B"/>
    <w:rsid w:val="002A6BDF"/>
    <w:rsid w:val="002B42AF"/>
    <w:rsid w:val="002B7FD0"/>
    <w:rsid w:val="002C4D64"/>
    <w:rsid w:val="002D08EC"/>
    <w:rsid w:val="002F4A4C"/>
    <w:rsid w:val="002F6063"/>
    <w:rsid w:val="003018EE"/>
    <w:rsid w:val="00311577"/>
    <w:rsid w:val="00315318"/>
    <w:rsid w:val="003240AA"/>
    <w:rsid w:val="00324420"/>
    <w:rsid w:val="00327808"/>
    <w:rsid w:val="0035307C"/>
    <w:rsid w:val="00362D3F"/>
    <w:rsid w:val="00382C1D"/>
    <w:rsid w:val="00387365"/>
    <w:rsid w:val="00394575"/>
    <w:rsid w:val="003A182B"/>
    <w:rsid w:val="003A1A32"/>
    <w:rsid w:val="003A53FD"/>
    <w:rsid w:val="003C063A"/>
    <w:rsid w:val="003C257E"/>
    <w:rsid w:val="003C460C"/>
    <w:rsid w:val="003D1BF4"/>
    <w:rsid w:val="003D3CE2"/>
    <w:rsid w:val="003F4EBD"/>
    <w:rsid w:val="00404143"/>
    <w:rsid w:val="00413150"/>
    <w:rsid w:val="00415EFB"/>
    <w:rsid w:val="00437232"/>
    <w:rsid w:val="00440F54"/>
    <w:rsid w:val="00443016"/>
    <w:rsid w:val="004573B7"/>
    <w:rsid w:val="00457780"/>
    <w:rsid w:val="004649EA"/>
    <w:rsid w:val="00466F58"/>
    <w:rsid w:val="00477D6A"/>
    <w:rsid w:val="004B4AE0"/>
    <w:rsid w:val="004E467D"/>
    <w:rsid w:val="004F2007"/>
    <w:rsid w:val="00503447"/>
    <w:rsid w:val="005120DD"/>
    <w:rsid w:val="00521FCF"/>
    <w:rsid w:val="005332A9"/>
    <w:rsid w:val="00541C23"/>
    <w:rsid w:val="0054642F"/>
    <w:rsid w:val="0055727A"/>
    <w:rsid w:val="0056391D"/>
    <w:rsid w:val="00563964"/>
    <w:rsid w:val="0057121A"/>
    <w:rsid w:val="00585FB5"/>
    <w:rsid w:val="00587BDA"/>
    <w:rsid w:val="00592E36"/>
    <w:rsid w:val="00596B2A"/>
    <w:rsid w:val="005A6BB8"/>
    <w:rsid w:val="005A7990"/>
    <w:rsid w:val="005B1FE7"/>
    <w:rsid w:val="005B3EA1"/>
    <w:rsid w:val="005F569B"/>
    <w:rsid w:val="006038FA"/>
    <w:rsid w:val="00624623"/>
    <w:rsid w:val="006257E3"/>
    <w:rsid w:val="0062790A"/>
    <w:rsid w:val="0063143F"/>
    <w:rsid w:val="0067354F"/>
    <w:rsid w:val="00692936"/>
    <w:rsid w:val="006961D5"/>
    <w:rsid w:val="0069645D"/>
    <w:rsid w:val="006A23DF"/>
    <w:rsid w:val="006B7A1B"/>
    <w:rsid w:val="006C197F"/>
    <w:rsid w:val="006C23D6"/>
    <w:rsid w:val="006E2CCD"/>
    <w:rsid w:val="006F473D"/>
    <w:rsid w:val="006F4D57"/>
    <w:rsid w:val="00702842"/>
    <w:rsid w:val="00705633"/>
    <w:rsid w:val="007110AB"/>
    <w:rsid w:val="00711F80"/>
    <w:rsid w:val="0072482F"/>
    <w:rsid w:val="0074664F"/>
    <w:rsid w:val="007503CE"/>
    <w:rsid w:val="00753F0C"/>
    <w:rsid w:val="00755401"/>
    <w:rsid w:val="00760357"/>
    <w:rsid w:val="0076117E"/>
    <w:rsid w:val="00770B8F"/>
    <w:rsid w:val="00774366"/>
    <w:rsid w:val="00793EC0"/>
    <w:rsid w:val="007A3F98"/>
    <w:rsid w:val="007B21AE"/>
    <w:rsid w:val="007B43F6"/>
    <w:rsid w:val="007B72D9"/>
    <w:rsid w:val="007C235F"/>
    <w:rsid w:val="007D06BF"/>
    <w:rsid w:val="007D253D"/>
    <w:rsid w:val="007F2BFC"/>
    <w:rsid w:val="00804678"/>
    <w:rsid w:val="0080497C"/>
    <w:rsid w:val="00831B1C"/>
    <w:rsid w:val="00837546"/>
    <w:rsid w:val="008447E1"/>
    <w:rsid w:val="00852A8F"/>
    <w:rsid w:val="00854F33"/>
    <w:rsid w:val="00875C57"/>
    <w:rsid w:val="00882762"/>
    <w:rsid w:val="00885819"/>
    <w:rsid w:val="00894E55"/>
    <w:rsid w:val="008A408B"/>
    <w:rsid w:val="008C08E3"/>
    <w:rsid w:val="008C47BD"/>
    <w:rsid w:val="008D0AF4"/>
    <w:rsid w:val="008E2BA6"/>
    <w:rsid w:val="008F71F2"/>
    <w:rsid w:val="008F7C24"/>
    <w:rsid w:val="00902596"/>
    <w:rsid w:val="0090286A"/>
    <w:rsid w:val="00904FD3"/>
    <w:rsid w:val="00905CBC"/>
    <w:rsid w:val="0092008F"/>
    <w:rsid w:val="00936F45"/>
    <w:rsid w:val="00956893"/>
    <w:rsid w:val="00963AFB"/>
    <w:rsid w:val="00973FC9"/>
    <w:rsid w:val="009926B2"/>
    <w:rsid w:val="00992A37"/>
    <w:rsid w:val="009A3E2F"/>
    <w:rsid w:val="009A4200"/>
    <w:rsid w:val="009A6400"/>
    <w:rsid w:val="009B2285"/>
    <w:rsid w:val="009C0E7A"/>
    <w:rsid w:val="009C2B55"/>
    <w:rsid w:val="009D639A"/>
    <w:rsid w:val="009D7E44"/>
    <w:rsid w:val="009E2C00"/>
    <w:rsid w:val="009E7E44"/>
    <w:rsid w:val="00A0336A"/>
    <w:rsid w:val="00A04E3A"/>
    <w:rsid w:val="00A054C1"/>
    <w:rsid w:val="00A057A4"/>
    <w:rsid w:val="00A46D58"/>
    <w:rsid w:val="00A54BA6"/>
    <w:rsid w:val="00A55857"/>
    <w:rsid w:val="00A6764E"/>
    <w:rsid w:val="00A77DF7"/>
    <w:rsid w:val="00A872BC"/>
    <w:rsid w:val="00A91DF4"/>
    <w:rsid w:val="00A9459B"/>
    <w:rsid w:val="00AA5850"/>
    <w:rsid w:val="00AB0915"/>
    <w:rsid w:val="00AB16D6"/>
    <w:rsid w:val="00AB352B"/>
    <w:rsid w:val="00AB440C"/>
    <w:rsid w:val="00AB60F6"/>
    <w:rsid w:val="00AC1D16"/>
    <w:rsid w:val="00AD439E"/>
    <w:rsid w:val="00AD5DF9"/>
    <w:rsid w:val="00AD7375"/>
    <w:rsid w:val="00AE1BB5"/>
    <w:rsid w:val="00AE2C94"/>
    <w:rsid w:val="00B305E4"/>
    <w:rsid w:val="00B31FD9"/>
    <w:rsid w:val="00B36ACD"/>
    <w:rsid w:val="00B4347F"/>
    <w:rsid w:val="00B43DCD"/>
    <w:rsid w:val="00B528DF"/>
    <w:rsid w:val="00B536A3"/>
    <w:rsid w:val="00B62786"/>
    <w:rsid w:val="00B7546D"/>
    <w:rsid w:val="00B8222A"/>
    <w:rsid w:val="00B83675"/>
    <w:rsid w:val="00B8446F"/>
    <w:rsid w:val="00B9361C"/>
    <w:rsid w:val="00B96098"/>
    <w:rsid w:val="00BB6732"/>
    <w:rsid w:val="00BC3580"/>
    <w:rsid w:val="00BD1431"/>
    <w:rsid w:val="00BE0765"/>
    <w:rsid w:val="00BE46A1"/>
    <w:rsid w:val="00BE70D5"/>
    <w:rsid w:val="00C01B60"/>
    <w:rsid w:val="00C04776"/>
    <w:rsid w:val="00C06390"/>
    <w:rsid w:val="00C10AED"/>
    <w:rsid w:val="00C1660D"/>
    <w:rsid w:val="00C17932"/>
    <w:rsid w:val="00C275E7"/>
    <w:rsid w:val="00C301C7"/>
    <w:rsid w:val="00C307C6"/>
    <w:rsid w:val="00C35E6A"/>
    <w:rsid w:val="00C36018"/>
    <w:rsid w:val="00C57C62"/>
    <w:rsid w:val="00C81A04"/>
    <w:rsid w:val="00C95494"/>
    <w:rsid w:val="00CA295B"/>
    <w:rsid w:val="00CA5B12"/>
    <w:rsid w:val="00CA7299"/>
    <w:rsid w:val="00CC4936"/>
    <w:rsid w:val="00CE192D"/>
    <w:rsid w:val="00D114E4"/>
    <w:rsid w:val="00D16385"/>
    <w:rsid w:val="00D16874"/>
    <w:rsid w:val="00D23D36"/>
    <w:rsid w:val="00D24C9D"/>
    <w:rsid w:val="00D313EB"/>
    <w:rsid w:val="00D324B3"/>
    <w:rsid w:val="00D35CD7"/>
    <w:rsid w:val="00D42ADA"/>
    <w:rsid w:val="00D470C2"/>
    <w:rsid w:val="00D64230"/>
    <w:rsid w:val="00D80E9E"/>
    <w:rsid w:val="00DB6FFD"/>
    <w:rsid w:val="00DC1379"/>
    <w:rsid w:val="00DC5CDE"/>
    <w:rsid w:val="00DC606D"/>
    <w:rsid w:val="00DE78BF"/>
    <w:rsid w:val="00DF100A"/>
    <w:rsid w:val="00E16E32"/>
    <w:rsid w:val="00E36018"/>
    <w:rsid w:val="00E367BB"/>
    <w:rsid w:val="00E54870"/>
    <w:rsid w:val="00E64C95"/>
    <w:rsid w:val="00E8283B"/>
    <w:rsid w:val="00E843B9"/>
    <w:rsid w:val="00E924C0"/>
    <w:rsid w:val="00EA2721"/>
    <w:rsid w:val="00EB5E03"/>
    <w:rsid w:val="00EC0B52"/>
    <w:rsid w:val="00ED010C"/>
    <w:rsid w:val="00ED27D2"/>
    <w:rsid w:val="00EE216E"/>
    <w:rsid w:val="00EF3A7D"/>
    <w:rsid w:val="00EF3C1E"/>
    <w:rsid w:val="00EF72D3"/>
    <w:rsid w:val="00F0248B"/>
    <w:rsid w:val="00F024F8"/>
    <w:rsid w:val="00F20079"/>
    <w:rsid w:val="00F207A4"/>
    <w:rsid w:val="00F255C8"/>
    <w:rsid w:val="00F30DC1"/>
    <w:rsid w:val="00F4192C"/>
    <w:rsid w:val="00F43302"/>
    <w:rsid w:val="00F4379C"/>
    <w:rsid w:val="00F45048"/>
    <w:rsid w:val="00F5113C"/>
    <w:rsid w:val="00F52F12"/>
    <w:rsid w:val="00F60ED9"/>
    <w:rsid w:val="00F76860"/>
    <w:rsid w:val="00F94018"/>
    <w:rsid w:val="00F9666F"/>
    <w:rsid w:val="00FC50CE"/>
    <w:rsid w:val="00FC6E24"/>
    <w:rsid w:val="00FD63E2"/>
    <w:rsid w:val="00FE1E52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D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rsid w:val="003D3C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4F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2007"/>
  </w:style>
  <w:style w:type="paragraph" w:styleId="Pieddepage">
    <w:name w:val="footer"/>
    <w:basedOn w:val="Normal"/>
    <w:link w:val="PieddepageCar"/>
    <w:uiPriority w:val="99"/>
    <w:unhideWhenUsed/>
    <w:rsid w:val="004F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00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2B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B2B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B2B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302EE-92BD-45AC-89A2-28E5FF4C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2017-11-20T09:05:00Z</cp:lastPrinted>
  <dcterms:created xsi:type="dcterms:W3CDTF">2017-11-22T11:36:00Z</dcterms:created>
  <dcterms:modified xsi:type="dcterms:W3CDTF">2017-11-22T11:36:00Z</dcterms:modified>
</cp:coreProperties>
</file>