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F7" w:rsidRPr="00EE645C" w:rsidRDefault="008005F7" w:rsidP="00BC6D26"/>
    <w:p w:rsidR="008005F7" w:rsidRPr="00EE645C" w:rsidRDefault="008005F7" w:rsidP="00BC6D26"/>
    <w:p w:rsidR="008005F7" w:rsidRPr="00EE645C" w:rsidRDefault="008005F7" w:rsidP="00BC6D26"/>
    <w:p w:rsidR="008005F7" w:rsidRPr="00EE645C" w:rsidRDefault="008005F7" w:rsidP="00BC6D26"/>
    <w:p w:rsidR="00E12D14" w:rsidRPr="00EE645C" w:rsidRDefault="00E12D14" w:rsidP="00BC6D26"/>
    <w:p w:rsidR="00E12D14" w:rsidRPr="00EE645C" w:rsidRDefault="00E12D14" w:rsidP="00BC6D26"/>
    <w:p w:rsidR="00597992" w:rsidRPr="00EE645C" w:rsidRDefault="00597992" w:rsidP="00BC6D26"/>
    <w:p w:rsidR="00597992" w:rsidRPr="00EE645C" w:rsidRDefault="00597992" w:rsidP="00BC6D26"/>
    <w:p w:rsidR="006263AF" w:rsidRPr="00EE645C" w:rsidRDefault="006263AF" w:rsidP="00BC6D26"/>
    <w:p w:rsidR="006263AF" w:rsidRPr="00EE645C" w:rsidRDefault="006263AF" w:rsidP="00BC6D26"/>
    <w:p w:rsidR="00E12D14" w:rsidRPr="00EE645C" w:rsidRDefault="00E12D14" w:rsidP="00BC6D26"/>
    <w:p w:rsidR="00E12D14" w:rsidRPr="00EE645C" w:rsidRDefault="00BF28B4" w:rsidP="00BC6D26">
      <w:r>
        <w:t xml:space="preserve">          </w:t>
      </w:r>
    </w:p>
    <w:p w:rsidR="00F44994" w:rsidRPr="00EE645C" w:rsidRDefault="00F44994" w:rsidP="00BC6D26"/>
    <w:p w:rsidR="00F44994" w:rsidRPr="00BC6D26" w:rsidRDefault="00F44994" w:rsidP="00BC6D26">
      <w:pPr>
        <w:rPr>
          <w:sz w:val="36"/>
          <w:szCs w:val="36"/>
        </w:rPr>
      </w:pPr>
    </w:p>
    <w:p w:rsidR="00CB13AA" w:rsidRPr="00BC6D26" w:rsidRDefault="00E12D14" w:rsidP="00BC6D26">
      <w:pPr>
        <w:spacing w:line="360" w:lineRule="auto"/>
        <w:ind w:left="360" w:firstLine="0"/>
        <w:jc w:val="center"/>
        <w:rPr>
          <w:rFonts w:asciiTheme="majorHAnsi" w:hAnsiTheme="majorHAnsi"/>
          <w:b/>
          <w:bCs/>
          <w:color w:val="548DD4" w:themeColor="text2" w:themeTint="99"/>
          <w:sz w:val="40"/>
          <w:szCs w:val="40"/>
        </w:rPr>
      </w:pPr>
      <w:r w:rsidRPr="00BC6D26">
        <w:rPr>
          <w:rFonts w:asciiTheme="majorHAnsi" w:hAnsiTheme="majorHAnsi"/>
          <w:b/>
          <w:bCs/>
          <w:color w:val="548DD4" w:themeColor="text2" w:themeTint="99"/>
          <w:sz w:val="40"/>
          <w:szCs w:val="40"/>
        </w:rPr>
        <w:t>Conférence de presse</w:t>
      </w:r>
      <w:r w:rsidR="00C76F37" w:rsidRPr="00BC6D26">
        <w:rPr>
          <w:rFonts w:asciiTheme="majorHAnsi" w:hAnsiTheme="majorHAnsi"/>
          <w:b/>
          <w:bCs/>
          <w:color w:val="548DD4" w:themeColor="text2" w:themeTint="99"/>
          <w:sz w:val="40"/>
          <w:szCs w:val="40"/>
        </w:rPr>
        <w:t xml:space="preserve"> sur</w:t>
      </w:r>
      <w:r w:rsidR="00CB13AA" w:rsidRPr="00BC6D26">
        <w:rPr>
          <w:rFonts w:asciiTheme="majorHAnsi" w:hAnsiTheme="majorHAnsi"/>
          <w:b/>
          <w:bCs/>
          <w:color w:val="548DD4" w:themeColor="text2" w:themeTint="99"/>
          <w:sz w:val="40"/>
          <w:szCs w:val="40"/>
        </w:rPr>
        <w:t> :</w:t>
      </w:r>
    </w:p>
    <w:p w:rsidR="00F44994" w:rsidRPr="00BC6D26" w:rsidRDefault="00C76F37" w:rsidP="00BC6D26">
      <w:pPr>
        <w:spacing w:line="360" w:lineRule="auto"/>
        <w:ind w:left="360" w:firstLine="0"/>
        <w:jc w:val="center"/>
        <w:rPr>
          <w:rFonts w:asciiTheme="majorHAnsi" w:hAnsiTheme="majorHAnsi"/>
          <w:b/>
          <w:bCs/>
          <w:color w:val="548DD4" w:themeColor="text2" w:themeTint="99"/>
          <w:sz w:val="40"/>
          <w:szCs w:val="40"/>
        </w:rPr>
      </w:pPr>
      <w:r w:rsidRPr="00BC6D26">
        <w:rPr>
          <w:rFonts w:asciiTheme="majorHAnsi" w:hAnsiTheme="majorHAnsi"/>
          <w:b/>
          <w:bCs/>
          <w:color w:val="548DD4" w:themeColor="text2" w:themeTint="99"/>
          <w:sz w:val="40"/>
          <w:szCs w:val="40"/>
        </w:rPr>
        <w:t>L</w:t>
      </w:r>
      <w:r w:rsidR="00CB13AA" w:rsidRPr="00BC6D26">
        <w:rPr>
          <w:rFonts w:asciiTheme="majorHAnsi" w:hAnsiTheme="majorHAnsi"/>
          <w:b/>
          <w:bCs/>
          <w:color w:val="548DD4" w:themeColor="text2" w:themeTint="99"/>
          <w:sz w:val="40"/>
          <w:szCs w:val="40"/>
        </w:rPr>
        <w:t xml:space="preserve">a situation de </w:t>
      </w:r>
      <w:r w:rsidR="00F44994" w:rsidRPr="00BC6D26">
        <w:rPr>
          <w:rFonts w:asciiTheme="majorHAnsi" w:hAnsiTheme="majorHAnsi"/>
          <w:b/>
          <w:bCs/>
          <w:color w:val="548DD4" w:themeColor="text2" w:themeTint="99"/>
          <w:sz w:val="40"/>
          <w:szCs w:val="40"/>
        </w:rPr>
        <w:t xml:space="preserve">l’économie nationale </w:t>
      </w:r>
      <w:r w:rsidR="00CB13AA" w:rsidRPr="00BC6D26">
        <w:rPr>
          <w:rFonts w:asciiTheme="majorHAnsi" w:hAnsiTheme="majorHAnsi"/>
          <w:b/>
          <w:bCs/>
          <w:color w:val="548DD4" w:themeColor="text2" w:themeTint="99"/>
          <w:sz w:val="40"/>
          <w:szCs w:val="40"/>
        </w:rPr>
        <w:t>en 2017 et ses perspectives en 2018</w:t>
      </w:r>
    </w:p>
    <w:p w:rsidR="00F44994" w:rsidRPr="00EE645C" w:rsidRDefault="00F44994" w:rsidP="00BC6D26">
      <w:pPr>
        <w:spacing w:line="360" w:lineRule="auto"/>
        <w:rPr>
          <w:color w:val="0070C0"/>
          <w:sz w:val="32"/>
          <w:szCs w:val="32"/>
        </w:rPr>
      </w:pPr>
    </w:p>
    <w:p w:rsidR="00F44994" w:rsidRDefault="00F44994" w:rsidP="00BC6D26">
      <w:pPr>
        <w:rPr>
          <w:color w:val="0070C0"/>
          <w:sz w:val="32"/>
          <w:szCs w:val="32"/>
        </w:rPr>
      </w:pPr>
    </w:p>
    <w:p w:rsidR="00BC6D26" w:rsidRDefault="00BC6D26" w:rsidP="00BC6D26">
      <w:pPr>
        <w:rPr>
          <w:color w:val="0070C0"/>
          <w:sz w:val="32"/>
          <w:szCs w:val="32"/>
        </w:rPr>
      </w:pPr>
    </w:p>
    <w:p w:rsidR="00BC6D26" w:rsidRPr="00EE645C" w:rsidRDefault="00BC6D26" w:rsidP="00BC6D26">
      <w:pPr>
        <w:rPr>
          <w:color w:val="0070C0"/>
          <w:sz w:val="32"/>
          <w:szCs w:val="32"/>
        </w:rPr>
      </w:pPr>
    </w:p>
    <w:p w:rsidR="00F44994" w:rsidRPr="00EE645C" w:rsidRDefault="00F44994" w:rsidP="00BC6D26">
      <w:pPr>
        <w:rPr>
          <w:color w:val="0070C0"/>
          <w:sz w:val="32"/>
          <w:szCs w:val="32"/>
        </w:rPr>
      </w:pPr>
    </w:p>
    <w:p w:rsidR="00F44994" w:rsidRPr="00EE645C" w:rsidRDefault="00F44994" w:rsidP="00BC6D26">
      <w:pPr>
        <w:rPr>
          <w:color w:val="0070C0"/>
          <w:sz w:val="32"/>
          <w:szCs w:val="32"/>
        </w:rPr>
      </w:pPr>
    </w:p>
    <w:p w:rsidR="00F44994" w:rsidRPr="00EE645C" w:rsidRDefault="00F44994" w:rsidP="00BC6D26">
      <w:pPr>
        <w:rPr>
          <w:color w:val="0070C0"/>
          <w:sz w:val="32"/>
          <w:szCs w:val="32"/>
        </w:rPr>
      </w:pPr>
    </w:p>
    <w:p w:rsidR="00F44994" w:rsidRPr="00930F83" w:rsidRDefault="00F44994" w:rsidP="00BC6D26">
      <w:pPr>
        <w:rPr>
          <w:color w:val="17365D" w:themeColor="text2" w:themeShade="BF"/>
        </w:rPr>
      </w:pPr>
    </w:p>
    <w:p w:rsidR="00E12D14" w:rsidRPr="00930F83" w:rsidRDefault="00E12D14" w:rsidP="00BC6D26">
      <w:pPr>
        <w:jc w:val="center"/>
        <w:rPr>
          <w:b/>
          <w:color w:val="17365D" w:themeColor="text2" w:themeShade="BF"/>
          <w:sz w:val="32"/>
          <w:szCs w:val="32"/>
        </w:rPr>
      </w:pPr>
      <w:r w:rsidRPr="00930F83">
        <w:rPr>
          <w:b/>
          <w:color w:val="17365D" w:themeColor="text2" w:themeShade="BF"/>
          <w:sz w:val="32"/>
          <w:szCs w:val="32"/>
        </w:rPr>
        <w:t>Introduction de Monsieur Ahmed Lahlimi Alami,</w:t>
      </w:r>
    </w:p>
    <w:p w:rsidR="00E12D14" w:rsidRPr="00930F83" w:rsidRDefault="00E12D14" w:rsidP="00BC6D26">
      <w:pPr>
        <w:jc w:val="center"/>
        <w:rPr>
          <w:b/>
          <w:color w:val="17365D" w:themeColor="text2" w:themeShade="BF"/>
          <w:sz w:val="32"/>
          <w:szCs w:val="32"/>
        </w:rPr>
      </w:pPr>
      <w:r w:rsidRPr="00930F83">
        <w:rPr>
          <w:b/>
          <w:color w:val="17365D" w:themeColor="text2" w:themeShade="BF"/>
          <w:sz w:val="32"/>
          <w:szCs w:val="32"/>
        </w:rPr>
        <w:t>Haut-Commissaire au Plan</w:t>
      </w:r>
    </w:p>
    <w:p w:rsidR="00E12D14" w:rsidRPr="00930F83" w:rsidRDefault="00BC6D26" w:rsidP="00BC6D26">
      <w:pPr>
        <w:jc w:val="center"/>
        <w:rPr>
          <w:b/>
          <w:color w:val="17365D" w:themeColor="text2" w:themeShade="BF"/>
          <w:sz w:val="32"/>
          <w:szCs w:val="32"/>
        </w:rPr>
      </w:pPr>
      <w:r w:rsidRPr="00930F83">
        <w:rPr>
          <w:b/>
          <w:color w:val="17365D" w:themeColor="text2" w:themeShade="BF"/>
          <w:sz w:val="32"/>
          <w:szCs w:val="32"/>
        </w:rPr>
        <w:t>À</w:t>
      </w:r>
      <w:r w:rsidR="00E12D14" w:rsidRPr="00930F83">
        <w:rPr>
          <w:b/>
          <w:color w:val="17365D" w:themeColor="text2" w:themeShade="BF"/>
          <w:sz w:val="32"/>
          <w:szCs w:val="32"/>
        </w:rPr>
        <w:t xml:space="preserve"> la présentation du Budget Economique Prévisionnel 2018</w:t>
      </w:r>
    </w:p>
    <w:p w:rsidR="007F7800" w:rsidRPr="00BC6D26" w:rsidRDefault="007F7800" w:rsidP="00BC6D26">
      <w:pPr>
        <w:rPr>
          <w:rFonts w:eastAsiaTheme="majorEastAsia"/>
          <w:b/>
          <w:sz w:val="28"/>
          <w:szCs w:val="28"/>
          <w:u w:val="single"/>
        </w:rPr>
      </w:pPr>
    </w:p>
    <w:p w:rsidR="00E12D14" w:rsidRDefault="00E12D14" w:rsidP="00BC6D26">
      <w:pPr>
        <w:rPr>
          <w:b/>
          <w:color w:val="0070C0"/>
          <w:sz w:val="32"/>
          <w:szCs w:val="32"/>
        </w:rPr>
      </w:pPr>
    </w:p>
    <w:p w:rsidR="00BC6D26" w:rsidRDefault="00BC6D26" w:rsidP="00BC6D26">
      <w:pPr>
        <w:rPr>
          <w:b/>
          <w:color w:val="0070C0"/>
          <w:sz w:val="32"/>
          <w:szCs w:val="32"/>
        </w:rPr>
      </w:pPr>
    </w:p>
    <w:p w:rsidR="00BC6D26" w:rsidRDefault="00BC6D26" w:rsidP="00BC6D26">
      <w:pPr>
        <w:rPr>
          <w:b/>
          <w:color w:val="0070C0"/>
          <w:sz w:val="32"/>
          <w:szCs w:val="32"/>
        </w:rPr>
      </w:pPr>
    </w:p>
    <w:p w:rsidR="00BC6D26" w:rsidRDefault="00BC6D26" w:rsidP="00BC6D26">
      <w:pPr>
        <w:rPr>
          <w:b/>
          <w:color w:val="0070C0"/>
          <w:sz w:val="32"/>
          <w:szCs w:val="32"/>
        </w:rPr>
      </w:pPr>
    </w:p>
    <w:p w:rsidR="00BC6D26" w:rsidRDefault="00BC6D26" w:rsidP="00BC6D26">
      <w:pPr>
        <w:rPr>
          <w:b/>
          <w:color w:val="0070C0"/>
          <w:sz w:val="32"/>
          <w:szCs w:val="32"/>
        </w:rPr>
      </w:pPr>
    </w:p>
    <w:p w:rsidR="00BC6D26" w:rsidRDefault="00BC6D26" w:rsidP="00BC6D26">
      <w:pPr>
        <w:rPr>
          <w:b/>
          <w:color w:val="0070C0"/>
          <w:sz w:val="32"/>
          <w:szCs w:val="32"/>
        </w:rPr>
      </w:pPr>
    </w:p>
    <w:p w:rsidR="00BC6D26" w:rsidRPr="00EE645C" w:rsidRDefault="00BC6D26" w:rsidP="00BC6D26">
      <w:pPr>
        <w:rPr>
          <w:b/>
          <w:color w:val="0070C0"/>
          <w:sz w:val="32"/>
          <w:szCs w:val="32"/>
        </w:rPr>
      </w:pPr>
    </w:p>
    <w:p w:rsidR="00C6081F" w:rsidRPr="00EE645C" w:rsidRDefault="00C6081F" w:rsidP="00BC6D26">
      <w:pPr>
        <w:ind w:firstLine="0"/>
        <w:rPr>
          <w:rFonts w:eastAsiaTheme="majorEastAsia"/>
          <w:b/>
          <w:color w:val="0070C0"/>
          <w:sz w:val="32"/>
          <w:szCs w:val="32"/>
          <w:u w:val="single"/>
        </w:rPr>
      </w:pPr>
    </w:p>
    <w:p w:rsidR="00C6081F" w:rsidRPr="00EE645C" w:rsidRDefault="00C6081F" w:rsidP="00BC6D26">
      <w:pPr>
        <w:rPr>
          <w:rFonts w:eastAsiaTheme="majorEastAsia"/>
        </w:rPr>
      </w:pPr>
    </w:p>
    <w:p w:rsidR="00BC6D26" w:rsidRPr="00BC6D26" w:rsidRDefault="00E12D14" w:rsidP="00BC6D26">
      <w:pPr>
        <w:jc w:val="right"/>
        <w:rPr>
          <w:rFonts w:eastAsiaTheme="majorEastAsia"/>
        </w:rPr>
      </w:pPr>
      <w:r w:rsidRPr="00976799">
        <w:rPr>
          <w:rFonts w:eastAsiaTheme="majorEastAsia"/>
        </w:rPr>
        <w:t xml:space="preserve">Casablanca, le </w:t>
      </w:r>
      <w:r w:rsidR="0077252E">
        <w:rPr>
          <w:rFonts w:eastAsiaTheme="majorEastAsia"/>
        </w:rPr>
        <w:t>10</w:t>
      </w:r>
      <w:r w:rsidRPr="00976799">
        <w:rPr>
          <w:rFonts w:eastAsiaTheme="majorEastAsia"/>
        </w:rPr>
        <w:t xml:space="preserve"> Janvier 2018 </w:t>
      </w:r>
    </w:p>
    <w:p w:rsidR="00191140" w:rsidRPr="00EE645C" w:rsidRDefault="00191140" w:rsidP="00BC6D26">
      <w:pPr>
        <w:rPr>
          <w:caps/>
          <w:shadow/>
          <w:color w:val="FF0000"/>
          <w:kern w:val="16"/>
          <w:u w:val="single"/>
        </w:rPr>
      </w:pPr>
    </w:p>
    <w:p w:rsidR="002018ED" w:rsidRDefault="002018ED" w:rsidP="001F7406">
      <w:pPr>
        <w:jc w:val="center"/>
        <w:rPr>
          <w:caps/>
          <w:shadow/>
          <w:kern w:val="16"/>
          <w:sz w:val="36"/>
          <w:szCs w:val="36"/>
          <w:u w:val="single"/>
        </w:rPr>
      </w:pPr>
    </w:p>
    <w:p w:rsidR="00191140" w:rsidRPr="002018ED" w:rsidRDefault="00B560FE" w:rsidP="001F7406">
      <w:pPr>
        <w:jc w:val="center"/>
        <w:rPr>
          <w:caps/>
          <w:shadow/>
          <w:color w:val="548DD4" w:themeColor="text2" w:themeTint="99"/>
          <w:kern w:val="16"/>
          <w:sz w:val="36"/>
          <w:szCs w:val="36"/>
          <w:u w:val="single"/>
        </w:rPr>
      </w:pPr>
      <w:r w:rsidRPr="002018ED">
        <w:rPr>
          <w:caps/>
          <w:shadow/>
          <w:color w:val="548DD4" w:themeColor="text2" w:themeTint="99"/>
          <w:kern w:val="16"/>
          <w:sz w:val="36"/>
          <w:szCs w:val="36"/>
          <w:u w:val="single"/>
        </w:rPr>
        <w:t>PREAMBULE</w:t>
      </w: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2018ED">
      <w:pPr>
        <w:ind w:firstLine="0"/>
        <w:rPr>
          <w:caps/>
          <w:shadow/>
          <w:kern w:val="16"/>
          <w:sz w:val="24"/>
          <w:szCs w:val="24"/>
          <w:u w:val="single"/>
        </w:rPr>
      </w:pPr>
    </w:p>
    <w:p w:rsidR="001F7406" w:rsidRDefault="001F7406" w:rsidP="00BC6D26">
      <w:pPr>
        <w:rPr>
          <w:caps/>
          <w:shadow/>
          <w:kern w:val="16"/>
          <w:sz w:val="24"/>
          <w:szCs w:val="24"/>
          <w:u w:val="single"/>
        </w:rPr>
      </w:pPr>
    </w:p>
    <w:p w:rsidR="001F7406" w:rsidRDefault="00AD098F" w:rsidP="00BC6D26">
      <w:pPr>
        <w:rPr>
          <w:caps/>
          <w:shadow/>
          <w:kern w:val="16"/>
          <w:sz w:val="24"/>
          <w:szCs w:val="24"/>
          <w:u w:val="single"/>
        </w:rPr>
      </w:pPr>
      <w:r>
        <w:rPr>
          <w:caps/>
          <w:shadow/>
          <w:noProof/>
          <w:kern w:val="16"/>
          <w:sz w:val="24"/>
          <w:szCs w:val="24"/>
          <w:u w:val="single"/>
        </w:rPr>
        <w:pict>
          <v:shapetype id="_x0000_t202" coordsize="21600,21600" o:spt="202" path="m,l,21600r21600,l21600,xe">
            <v:stroke joinstyle="miter"/>
            <v:path gradientshapeok="t" o:connecttype="rect"/>
          </v:shapetype>
          <v:shape id="_x0000_s1028" type="#_x0000_t202" style="position:absolute;left:0;text-align:left;margin-left:12.5pt;margin-top:2.25pt;width:476.6pt;height:535.35pt;z-index:251660288;mso-width-relative:margin;mso-height-relative:margin" fillcolor="white [3201]" strokecolor="#4f81bd [3204]" strokeweight="5pt">
            <v:stroke linestyle="thickThin"/>
            <v:shadow color="#868686"/>
            <v:textbox>
              <w:txbxContent>
                <w:p w:rsidR="001E5FB8" w:rsidRPr="002018ED" w:rsidRDefault="001E5FB8" w:rsidP="001F7406">
                  <w:pPr>
                    <w:spacing w:line="360" w:lineRule="auto"/>
                    <w:jc w:val="both"/>
                    <w:rPr>
                      <w:rFonts w:cstheme="majorBidi"/>
                      <w:bCs/>
                      <w:sz w:val="26"/>
                      <w:szCs w:val="26"/>
                    </w:rPr>
                  </w:pPr>
                </w:p>
                <w:p w:rsidR="001E5FB8" w:rsidRPr="002018ED" w:rsidRDefault="001E5FB8" w:rsidP="001F7406">
                  <w:pPr>
                    <w:spacing w:line="360" w:lineRule="auto"/>
                    <w:jc w:val="both"/>
                    <w:rPr>
                      <w:rFonts w:cs="Calibri"/>
                      <w:bCs/>
                      <w:sz w:val="26"/>
                      <w:szCs w:val="26"/>
                    </w:rPr>
                  </w:pPr>
                  <w:r w:rsidRPr="002018ED">
                    <w:rPr>
                      <w:rFonts w:cstheme="majorBidi"/>
                      <w:bCs/>
                      <w:sz w:val="26"/>
                      <w:szCs w:val="26"/>
                    </w:rPr>
                    <w:t xml:space="preserve">Le Budget Economique Prévisionnel 2018 présente </w:t>
                  </w:r>
                  <w:r w:rsidRPr="002018ED">
                    <w:rPr>
                      <w:rFonts w:cs="Calibri"/>
                      <w:bCs/>
                      <w:sz w:val="26"/>
                      <w:szCs w:val="26"/>
                    </w:rPr>
                    <w:t>une révision du budget économique exploratoire publié au mois de juillet 2017. Il s’agit d’une nouvelle estimation de la croissance de l’économie nationale en 2017 et d’une révision de ses perspectives en 2018 et leurs effets sur les équilibres macroéconomiques interne et externe.</w:t>
                  </w:r>
                </w:p>
                <w:p w:rsidR="001E5FB8" w:rsidRPr="002018ED" w:rsidRDefault="001E5FB8" w:rsidP="001F7406">
                  <w:pPr>
                    <w:spacing w:line="360" w:lineRule="auto"/>
                    <w:jc w:val="both"/>
                    <w:rPr>
                      <w:rFonts w:cs="Calibri"/>
                      <w:bCs/>
                      <w:sz w:val="18"/>
                      <w:szCs w:val="18"/>
                    </w:rPr>
                  </w:pPr>
                </w:p>
                <w:p w:rsidR="001E5FB8" w:rsidRPr="002018ED" w:rsidRDefault="001E5FB8" w:rsidP="001F7406">
                  <w:pPr>
                    <w:spacing w:line="360" w:lineRule="auto"/>
                    <w:jc w:val="both"/>
                    <w:rPr>
                      <w:rFonts w:cstheme="majorBidi"/>
                      <w:bCs/>
                      <w:sz w:val="26"/>
                      <w:szCs w:val="26"/>
                    </w:rPr>
                  </w:pPr>
                  <w:r w:rsidRPr="002018ED">
                    <w:rPr>
                      <w:rFonts w:cs="Calibri"/>
                      <w:bCs/>
                      <w:sz w:val="26"/>
                      <w:szCs w:val="26"/>
                    </w:rPr>
                    <w:t>L’élaboration du présent budget tient compte des perspectives économiques mondiales, élaborées par les différents organismes internationaux, notamment le FMI, l’OCDE, la Commission Européenne et la Banque mondiale. Ce budget tient compte également des données de la comptabilité nationale, des résultats des enquêtes trimestrielles et des travaux de suivi et d’analyse de conjoncture menés par le Haut-commissariat au Plan. Il se base aussi sur les</w:t>
                  </w:r>
                  <w:r w:rsidRPr="002018ED">
                    <w:rPr>
                      <w:rFonts w:cstheme="majorBidi"/>
                      <w:bCs/>
                      <w:sz w:val="26"/>
                      <w:szCs w:val="26"/>
                    </w:rPr>
                    <w:t xml:space="preserve"> données monétaires issues de Bank Al Maghrib, des données sur les finances publiques fournies par la direction du budget et la direction du Trésor et des finances extérieures relevant du Ministère de l’économie et des finances et des statistiques des échanges extérieurs fournies par l’office des changes.</w:t>
                  </w:r>
                </w:p>
                <w:p w:rsidR="001E5FB8" w:rsidRPr="002018ED" w:rsidRDefault="001E5FB8" w:rsidP="001F7406">
                  <w:pPr>
                    <w:spacing w:line="360" w:lineRule="auto"/>
                    <w:jc w:val="both"/>
                    <w:rPr>
                      <w:rFonts w:cs="Calibri"/>
                      <w:bCs/>
                      <w:sz w:val="18"/>
                      <w:szCs w:val="18"/>
                    </w:rPr>
                  </w:pPr>
                </w:p>
                <w:p w:rsidR="001E5FB8" w:rsidRPr="002018ED" w:rsidRDefault="001E5FB8" w:rsidP="001F7406">
                  <w:pPr>
                    <w:spacing w:line="360" w:lineRule="auto"/>
                    <w:jc w:val="both"/>
                    <w:rPr>
                      <w:rFonts w:cstheme="majorBidi"/>
                      <w:bCs/>
                      <w:sz w:val="26"/>
                      <w:szCs w:val="26"/>
                    </w:rPr>
                  </w:pPr>
                  <w:r w:rsidRPr="002018ED">
                    <w:rPr>
                      <w:rFonts w:cs="Calibri"/>
                      <w:bCs/>
                      <w:sz w:val="26"/>
                      <w:szCs w:val="26"/>
                    </w:rPr>
                    <w:t>Les perspectives économiques nationales en 2018 sont de nature à tenir compte, en plus de l’évolution économique nationale et internationale, des  hypothèses portant sur l’évolution de la campagne agricole 2017-2018 et sur les nouvelles mesures et dispositions annoncées dans la Loi des Finances 2018.</w:t>
                  </w:r>
                </w:p>
                <w:p w:rsidR="001E5FB8" w:rsidRPr="001F7406" w:rsidRDefault="001E5FB8" w:rsidP="001F7406">
                  <w:pPr>
                    <w:rPr>
                      <w:bCs/>
                    </w:rPr>
                  </w:pPr>
                </w:p>
              </w:txbxContent>
            </v:textbox>
          </v:shape>
        </w:pict>
      </w: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1F7406" w:rsidRDefault="001F7406" w:rsidP="00BC6D26">
      <w:pPr>
        <w:rPr>
          <w:caps/>
          <w:shadow/>
          <w:kern w:val="16"/>
          <w:sz w:val="24"/>
          <w:szCs w:val="24"/>
          <w:u w:val="single"/>
        </w:rPr>
      </w:pPr>
    </w:p>
    <w:p w:rsidR="00EA15D0" w:rsidRDefault="00EA15D0" w:rsidP="00BC6D26">
      <w:pPr>
        <w:rPr>
          <w:caps/>
          <w:shadow/>
          <w:kern w:val="16"/>
          <w:sz w:val="24"/>
          <w:szCs w:val="24"/>
          <w:u w:val="single"/>
        </w:rPr>
      </w:pPr>
    </w:p>
    <w:p w:rsidR="00EA15D0" w:rsidRDefault="00EA15D0" w:rsidP="00BC6D26">
      <w:pPr>
        <w:rPr>
          <w:caps/>
          <w:shadow/>
          <w:kern w:val="16"/>
          <w:sz w:val="24"/>
          <w:szCs w:val="24"/>
          <w:u w:val="single"/>
        </w:rPr>
      </w:pPr>
    </w:p>
    <w:p w:rsidR="001F7406" w:rsidRDefault="001F7406" w:rsidP="001F7406">
      <w:pPr>
        <w:ind w:firstLine="0"/>
        <w:rPr>
          <w:caps/>
          <w:shadow/>
          <w:kern w:val="16"/>
          <w:sz w:val="24"/>
          <w:szCs w:val="24"/>
          <w:u w:val="single"/>
        </w:rPr>
      </w:pPr>
    </w:p>
    <w:p w:rsidR="00EA15D0" w:rsidRDefault="00EA15D0" w:rsidP="00EA15D0">
      <w:pPr>
        <w:pStyle w:val="Paragraphedeliste"/>
        <w:ind w:firstLine="0"/>
        <w:rPr>
          <w:b/>
          <w:caps/>
          <w:shadow/>
          <w:color w:val="0070C0"/>
          <w:kern w:val="16"/>
          <w:sz w:val="28"/>
          <w:szCs w:val="28"/>
          <w:u w:val="single"/>
        </w:rPr>
      </w:pPr>
    </w:p>
    <w:p w:rsidR="00AE77D3" w:rsidRDefault="00AE77D3" w:rsidP="00AE77D3">
      <w:pPr>
        <w:pStyle w:val="Paragraphedeliste"/>
        <w:ind w:firstLine="0"/>
        <w:rPr>
          <w:b/>
          <w:caps/>
          <w:shadow/>
          <w:color w:val="0070C0"/>
          <w:kern w:val="16"/>
          <w:sz w:val="28"/>
          <w:szCs w:val="28"/>
          <w:u w:val="single"/>
        </w:rPr>
      </w:pPr>
    </w:p>
    <w:p w:rsidR="00EA15D0" w:rsidRPr="00EA15D0" w:rsidRDefault="00191140" w:rsidP="00EA15D0">
      <w:pPr>
        <w:pStyle w:val="Paragraphedeliste"/>
        <w:numPr>
          <w:ilvl w:val="0"/>
          <w:numId w:val="14"/>
        </w:numPr>
        <w:rPr>
          <w:b/>
          <w:caps/>
          <w:shadow/>
          <w:color w:val="0070C0"/>
          <w:kern w:val="16"/>
          <w:sz w:val="28"/>
          <w:szCs w:val="28"/>
          <w:u w:val="single"/>
        </w:rPr>
      </w:pPr>
      <w:r w:rsidRPr="00EA15D0">
        <w:rPr>
          <w:b/>
          <w:caps/>
          <w:shadow/>
          <w:color w:val="0070C0"/>
          <w:kern w:val="16"/>
          <w:sz w:val="28"/>
          <w:szCs w:val="28"/>
          <w:u w:val="single"/>
        </w:rPr>
        <w:t>Principaux indicateurs macroéconomiques en 2017 et en 2018</w:t>
      </w: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AE77D3">
      <w:pPr>
        <w:ind w:firstLine="0"/>
        <w:rPr>
          <w:b/>
          <w:caps/>
          <w:shadow/>
          <w:color w:val="0070C0"/>
          <w:kern w:val="16"/>
          <w:sz w:val="24"/>
          <w:szCs w:val="24"/>
          <w:u w:val="single"/>
        </w:rPr>
      </w:pPr>
    </w:p>
    <w:p w:rsidR="00EA15D0" w:rsidRDefault="00AD098F" w:rsidP="00EA15D0">
      <w:pPr>
        <w:rPr>
          <w:b/>
          <w:caps/>
          <w:shadow/>
          <w:color w:val="0070C0"/>
          <w:kern w:val="16"/>
          <w:sz w:val="24"/>
          <w:szCs w:val="24"/>
          <w:u w:val="single"/>
        </w:rPr>
      </w:pPr>
      <w:r w:rsidRPr="00AD098F">
        <w:rPr>
          <w:noProof/>
          <w:kern w:val="16"/>
          <w:sz w:val="24"/>
          <w:szCs w:val="24"/>
          <w:lang w:eastAsia="fr-FR" w:bidi="ar-SA"/>
        </w:rPr>
        <w:pict>
          <v:shape id="_x0000_s1030" type="#_x0000_t202" style="position:absolute;left:0;text-align:left;margin-left:24.5pt;margin-top:9.15pt;width:476.6pt;height:533.65pt;z-index:251661312;mso-width-relative:margin;mso-height-relative:margin" fillcolor="white [3201]" strokecolor="#4f81bd [3204]" strokeweight="5pt">
            <v:stroke linestyle="thickThin"/>
            <v:shadow color="#868686"/>
            <v:textbox>
              <w:txbxContent>
                <w:p w:rsidR="001E5FB8" w:rsidRPr="002018ED" w:rsidRDefault="001E5FB8" w:rsidP="00EA15D0">
                  <w:pPr>
                    <w:spacing w:line="360" w:lineRule="auto"/>
                    <w:ind w:firstLine="0"/>
                    <w:jc w:val="both"/>
                    <w:rPr>
                      <w:rFonts w:cstheme="majorBidi"/>
                      <w:bCs/>
                      <w:sz w:val="26"/>
                      <w:szCs w:val="26"/>
                    </w:rPr>
                  </w:pPr>
                </w:p>
                <w:p w:rsidR="001E5FB8" w:rsidRPr="00AE77D3" w:rsidRDefault="001E5FB8" w:rsidP="00EA15D0">
                  <w:pPr>
                    <w:pStyle w:val="Paragraphedeliste"/>
                    <w:numPr>
                      <w:ilvl w:val="0"/>
                      <w:numId w:val="15"/>
                    </w:numPr>
                    <w:jc w:val="both"/>
                    <w:rPr>
                      <w:rFonts w:cs="Calibri"/>
                      <w:sz w:val="26"/>
                      <w:szCs w:val="26"/>
                    </w:rPr>
                  </w:pPr>
                  <w:r w:rsidRPr="00AE77D3">
                    <w:rPr>
                      <w:rFonts w:cs="Calibri"/>
                      <w:sz w:val="26"/>
                      <w:szCs w:val="26"/>
                    </w:rPr>
                    <w:t xml:space="preserve">Décélération de </w:t>
                  </w:r>
                  <w:r w:rsidRPr="00AE77D3">
                    <w:rPr>
                      <w:rFonts w:cs="Calibri"/>
                      <w:b/>
                      <w:sz w:val="26"/>
                      <w:szCs w:val="26"/>
                    </w:rPr>
                    <w:t>la croissance économique</w:t>
                  </w:r>
                  <w:r w:rsidRPr="00AE77D3">
                    <w:rPr>
                      <w:rFonts w:cs="Calibri"/>
                      <w:sz w:val="26"/>
                      <w:szCs w:val="26"/>
                    </w:rPr>
                    <w:t>, passant de 4% en 2017 à 2,8% en 2018;</w:t>
                  </w:r>
                </w:p>
                <w:p w:rsidR="001E5FB8" w:rsidRPr="00AE77D3" w:rsidRDefault="001E5FB8" w:rsidP="00EA15D0">
                  <w:pPr>
                    <w:jc w:val="both"/>
                    <w:rPr>
                      <w:rFonts w:cs="Calibri"/>
                      <w:sz w:val="26"/>
                      <w:szCs w:val="26"/>
                    </w:rPr>
                  </w:pPr>
                </w:p>
                <w:p w:rsidR="001E5FB8" w:rsidRPr="00AE77D3" w:rsidRDefault="001E5FB8" w:rsidP="00EA15D0">
                  <w:pPr>
                    <w:pStyle w:val="Paragraphedeliste"/>
                    <w:numPr>
                      <w:ilvl w:val="0"/>
                      <w:numId w:val="15"/>
                    </w:numPr>
                    <w:jc w:val="both"/>
                    <w:rPr>
                      <w:rFonts w:cs="Calibri"/>
                      <w:sz w:val="26"/>
                      <w:szCs w:val="26"/>
                    </w:rPr>
                  </w:pPr>
                  <w:r w:rsidRPr="00AE77D3">
                    <w:rPr>
                      <w:rFonts w:cs="Calibri"/>
                      <w:sz w:val="26"/>
                      <w:szCs w:val="26"/>
                    </w:rPr>
                    <w:t xml:space="preserve">Repli de la valeur ajoutée du </w:t>
                  </w:r>
                  <w:r w:rsidRPr="00AE77D3">
                    <w:rPr>
                      <w:rFonts w:cs="Calibri"/>
                      <w:b/>
                      <w:sz w:val="26"/>
                      <w:szCs w:val="26"/>
                    </w:rPr>
                    <w:t>secteur primaire</w:t>
                  </w:r>
                  <w:r w:rsidRPr="00AE77D3">
                    <w:rPr>
                      <w:rFonts w:cs="Calibri"/>
                      <w:sz w:val="26"/>
                      <w:szCs w:val="26"/>
                    </w:rPr>
                    <w:t xml:space="preserve"> de 1,3% en 2018 au lieu d’une hausse de 13,6% en 2017; </w:t>
                  </w:r>
                </w:p>
                <w:p w:rsidR="001E5FB8" w:rsidRPr="00AE77D3" w:rsidRDefault="001E5FB8" w:rsidP="00EA15D0">
                  <w:pPr>
                    <w:ind w:firstLine="0"/>
                    <w:jc w:val="both"/>
                    <w:rPr>
                      <w:rFonts w:cs="Calibri"/>
                      <w:sz w:val="26"/>
                      <w:szCs w:val="26"/>
                    </w:rPr>
                  </w:pPr>
                </w:p>
                <w:p w:rsidR="001E5FB8" w:rsidRPr="00AE77D3" w:rsidRDefault="001E5FB8" w:rsidP="00BE6417">
                  <w:pPr>
                    <w:pStyle w:val="Paragraphedeliste"/>
                    <w:numPr>
                      <w:ilvl w:val="0"/>
                      <w:numId w:val="15"/>
                    </w:numPr>
                    <w:jc w:val="both"/>
                    <w:rPr>
                      <w:rFonts w:cs="Calibri"/>
                      <w:sz w:val="26"/>
                      <w:szCs w:val="26"/>
                    </w:rPr>
                  </w:pPr>
                  <w:r w:rsidRPr="00AE77D3">
                    <w:rPr>
                      <w:rFonts w:cs="Calibri"/>
                      <w:sz w:val="26"/>
                      <w:szCs w:val="26"/>
                    </w:rPr>
                    <w:t xml:space="preserve">Légère reprise du rythme de croissance des </w:t>
                  </w:r>
                  <w:r w:rsidRPr="00AE77D3">
                    <w:rPr>
                      <w:rFonts w:cs="Calibri"/>
                      <w:b/>
                      <w:sz w:val="26"/>
                      <w:szCs w:val="26"/>
                    </w:rPr>
                    <w:t>activités non agricoles</w:t>
                  </w:r>
                  <w:r w:rsidRPr="00AE77D3">
                    <w:rPr>
                      <w:rFonts w:cs="Calibri"/>
                      <w:sz w:val="26"/>
                      <w:szCs w:val="26"/>
                    </w:rPr>
                    <w:t xml:space="preserve">, passant de 2,8% en 2017 à </w:t>
                  </w:r>
                  <w:r>
                    <w:rPr>
                      <w:rFonts w:cs="Calibri"/>
                      <w:sz w:val="26"/>
                      <w:szCs w:val="26"/>
                    </w:rPr>
                    <w:t>2,9</w:t>
                  </w:r>
                  <w:r w:rsidRPr="00AE77D3">
                    <w:rPr>
                      <w:rFonts w:cs="Calibri"/>
                      <w:sz w:val="26"/>
                      <w:szCs w:val="26"/>
                    </w:rPr>
                    <w:t xml:space="preserve">% en 2018; </w:t>
                  </w:r>
                </w:p>
                <w:p w:rsidR="001E5FB8" w:rsidRPr="00AE77D3" w:rsidRDefault="001E5FB8" w:rsidP="00EA15D0">
                  <w:pPr>
                    <w:jc w:val="both"/>
                    <w:rPr>
                      <w:rFonts w:cs="Calibri"/>
                      <w:sz w:val="26"/>
                      <w:szCs w:val="26"/>
                    </w:rPr>
                  </w:pPr>
                </w:p>
                <w:p w:rsidR="001E5FB8" w:rsidRPr="00AE77D3" w:rsidRDefault="001E5FB8" w:rsidP="00EA15D0">
                  <w:pPr>
                    <w:pStyle w:val="Paragraphedeliste"/>
                    <w:numPr>
                      <w:ilvl w:val="0"/>
                      <w:numId w:val="15"/>
                    </w:numPr>
                    <w:jc w:val="both"/>
                    <w:rPr>
                      <w:rFonts w:cs="Calibri"/>
                      <w:sz w:val="26"/>
                      <w:szCs w:val="26"/>
                    </w:rPr>
                  </w:pPr>
                  <w:r w:rsidRPr="00AE77D3">
                    <w:rPr>
                      <w:rFonts w:cs="Calibri"/>
                      <w:sz w:val="26"/>
                      <w:szCs w:val="26"/>
                    </w:rPr>
                    <w:t xml:space="preserve">Hausse de </w:t>
                  </w:r>
                  <w:r w:rsidRPr="00AE77D3">
                    <w:rPr>
                      <w:rFonts w:cs="Calibri"/>
                      <w:b/>
                      <w:sz w:val="26"/>
                      <w:szCs w:val="26"/>
                    </w:rPr>
                    <w:t>l’inflation</w:t>
                  </w:r>
                  <w:r w:rsidRPr="00AE77D3">
                    <w:rPr>
                      <w:rFonts w:cs="Calibri"/>
                      <w:sz w:val="26"/>
                      <w:szCs w:val="26"/>
                    </w:rPr>
                    <w:t>, exprimée par le niveau général des prix, passant de 0,2% en 2017 à 1,5% en 2018;</w:t>
                  </w:r>
                </w:p>
                <w:p w:rsidR="001E5FB8" w:rsidRPr="00AE77D3" w:rsidRDefault="001E5FB8" w:rsidP="00EA15D0">
                  <w:pPr>
                    <w:jc w:val="both"/>
                    <w:rPr>
                      <w:rFonts w:cs="Calibri"/>
                      <w:sz w:val="26"/>
                      <w:szCs w:val="26"/>
                    </w:rPr>
                  </w:pPr>
                </w:p>
                <w:p w:rsidR="001E5FB8" w:rsidRPr="00AE77D3" w:rsidRDefault="00A176C1" w:rsidP="00A176C1">
                  <w:pPr>
                    <w:pStyle w:val="Paragraphedeliste"/>
                    <w:numPr>
                      <w:ilvl w:val="0"/>
                      <w:numId w:val="15"/>
                    </w:numPr>
                    <w:jc w:val="both"/>
                    <w:rPr>
                      <w:rFonts w:cs="Calibri"/>
                      <w:sz w:val="26"/>
                      <w:szCs w:val="26"/>
                    </w:rPr>
                  </w:pPr>
                  <w:r>
                    <w:rPr>
                      <w:rFonts w:cs="Calibri"/>
                      <w:sz w:val="26"/>
                      <w:szCs w:val="26"/>
                    </w:rPr>
                    <w:t xml:space="preserve">Maintien </w:t>
                  </w:r>
                  <w:r w:rsidR="001E5FB8" w:rsidRPr="00AE77D3">
                    <w:rPr>
                      <w:rFonts w:cs="Calibri"/>
                      <w:sz w:val="26"/>
                      <w:szCs w:val="26"/>
                    </w:rPr>
                    <w:t xml:space="preserve">du </w:t>
                  </w:r>
                  <w:r w:rsidR="001E5FB8" w:rsidRPr="00AE77D3">
                    <w:rPr>
                      <w:rFonts w:cs="Calibri"/>
                      <w:b/>
                      <w:sz w:val="26"/>
                      <w:szCs w:val="26"/>
                    </w:rPr>
                    <w:t>déficit commercial</w:t>
                  </w:r>
                  <w:r>
                    <w:rPr>
                      <w:rFonts w:cs="Calibri"/>
                      <w:b/>
                      <w:sz w:val="26"/>
                      <w:szCs w:val="26"/>
                    </w:rPr>
                    <w:t xml:space="preserve"> </w:t>
                  </w:r>
                  <w:r w:rsidRPr="00A176C1">
                    <w:rPr>
                      <w:rFonts w:cs="Calibri"/>
                      <w:bCs/>
                      <w:sz w:val="26"/>
                      <w:szCs w:val="26"/>
                    </w:rPr>
                    <w:t>à un niveau élevé</w:t>
                  </w:r>
                  <w:r w:rsidR="001E5FB8" w:rsidRPr="00AE77D3">
                    <w:rPr>
                      <w:rFonts w:cs="Calibri"/>
                      <w:sz w:val="26"/>
                      <w:szCs w:val="26"/>
                    </w:rPr>
                    <w:t xml:space="preserve">, </w:t>
                  </w:r>
                  <w:r>
                    <w:rPr>
                      <w:rFonts w:cs="Calibri"/>
                      <w:sz w:val="26"/>
                      <w:szCs w:val="26"/>
                    </w:rPr>
                    <w:t>passant de</w:t>
                  </w:r>
                  <w:r w:rsidR="001E5FB8" w:rsidRPr="00AE77D3">
                    <w:rPr>
                      <w:rFonts w:cs="Calibri"/>
                      <w:sz w:val="26"/>
                      <w:szCs w:val="26"/>
                    </w:rPr>
                    <w:t xml:space="preserve"> 17,8% du PIB en 2017 et 18,2% en 2018;</w:t>
                  </w:r>
                </w:p>
                <w:p w:rsidR="001E5FB8" w:rsidRPr="00AE77D3" w:rsidRDefault="001E5FB8" w:rsidP="00EA15D0">
                  <w:pPr>
                    <w:jc w:val="both"/>
                    <w:rPr>
                      <w:rFonts w:cs="Calibri"/>
                      <w:sz w:val="26"/>
                      <w:szCs w:val="26"/>
                    </w:rPr>
                  </w:pPr>
                </w:p>
                <w:p w:rsidR="001E5FB8" w:rsidRPr="00AE77D3" w:rsidRDefault="001E5FB8" w:rsidP="00AD74BE">
                  <w:pPr>
                    <w:pStyle w:val="Paragraphedeliste"/>
                    <w:numPr>
                      <w:ilvl w:val="0"/>
                      <w:numId w:val="15"/>
                    </w:numPr>
                    <w:jc w:val="both"/>
                    <w:rPr>
                      <w:rFonts w:cs="Calibri"/>
                      <w:sz w:val="26"/>
                      <w:szCs w:val="26"/>
                    </w:rPr>
                  </w:pPr>
                  <w:r w:rsidRPr="00AE77D3">
                    <w:rPr>
                      <w:rFonts w:cs="Calibri"/>
                      <w:sz w:val="26"/>
                      <w:szCs w:val="26"/>
                    </w:rPr>
                    <w:t xml:space="preserve">Repli du </w:t>
                  </w:r>
                  <w:r w:rsidRPr="00AE77D3">
                    <w:rPr>
                      <w:rFonts w:cs="Calibri"/>
                      <w:b/>
                      <w:sz w:val="26"/>
                      <w:szCs w:val="26"/>
                    </w:rPr>
                    <w:t>taux d’épargne nationale</w:t>
                  </w:r>
                  <w:r w:rsidRPr="00AE77D3">
                    <w:rPr>
                      <w:rFonts w:cs="Calibri"/>
                      <w:sz w:val="26"/>
                      <w:szCs w:val="26"/>
                    </w:rPr>
                    <w:t>, passant de 28,9% du PIB en 2017 à 28,</w:t>
                  </w:r>
                  <w:r>
                    <w:rPr>
                      <w:rFonts w:cs="Calibri"/>
                      <w:sz w:val="26"/>
                      <w:szCs w:val="26"/>
                    </w:rPr>
                    <w:t>4</w:t>
                  </w:r>
                  <w:r w:rsidRPr="00AE77D3">
                    <w:rPr>
                      <w:rFonts w:cs="Calibri"/>
                      <w:sz w:val="26"/>
                      <w:szCs w:val="26"/>
                    </w:rPr>
                    <w:t>% en 2018 ;</w:t>
                  </w:r>
                </w:p>
                <w:p w:rsidR="001E5FB8" w:rsidRPr="00AE77D3" w:rsidRDefault="001E5FB8" w:rsidP="00EA15D0">
                  <w:pPr>
                    <w:jc w:val="both"/>
                    <w:rPr>
                      <w:rFonts w:cs="Calibri"/>
                      <w:sz w:val="26"/>
                      <w:szCs w:val="26"/>
                    </w:rPr>
                  </w:pPr>
                </w:p>
                <w:p w:rsidR="001E5FB8" w:rsidRPr="00AE77D3" w:rsidRDefault="005B5324" w:rsidP="00D75A46">
                  <w:pPr>
                    <w:pStyle w:val="Paragraphedeliste"/>
                    <w:numPr>
                      <w:ilvl w:val="0"/>
                      <w:numId w:val="15"/>
                    </w:numPr>
                    <w:jc w:val="both"/>
                    <w:rPr>
                      <w:rFonts w:cs="Calibri"/>
                      <w:sz w:val="26"/>
                      <w:szCs w:val="26"/>
                    </w:rPr>
                  </w:pPr>
                  <w:r>
                    <w:rPr>
                      <w:rFonts w:cs="Calibri"/>
                      <w:sz w:val="26"/>
                      <w:szCs w:val="26"/>
                    </w:rPr>
                    <w:t xml:space="preserve">Maintien </w:t>
                  </w:r>
                  <w:r w:rsidR="001E5FB8" w:rsidRPr="00AE77D3">
                    <w:rPr>
                      <w:rFonts w:cs="Calibri"/>
                      <w:sz w:val="26"/>
                      <w:szCs w:val="26"/>
                    </w:rPr>
                    <w:t xml:space="preserve">du </w:t>
                  </w:r>
                  <w:r w:rsidR="001E5FB8" w:rsidRPr="00AE77D3">
                    <w:rPr>
                      <w:rFonts w:cs="Calibri"/>
                      <w:b/>
                      <w:sz w:val="26"/>
                      <w:szCs w:val="26"/>
                    </w:rPr>
                    <w:t>taux d’investissement</w:t>
                  </w:r>
                  <w:r w:rsidR="001611BD">
                    <w:rPr>
                      <w:rFonts w:cs="Calibri"/>
                      <w:sz w:val="26"/>
                      <w:szCs w:val="26"/>
                    </w:rPr>
                    <w:t xml:space="preserve"> </w:t>
                  </w:r>
                  <w:r>
                    <w:rPr>
                      <w:rFonts w:cs="Calibri"/>
                      <w:sz w:val="26"/>
                      <w:szCs w:val="26"/>
                    </w:rPr>
                    <w:t xml:space="preserve">à </w:t>
                  </w:r>
                  <w:r w:rsidR="001E5FB8" w:rsidRPr="00AE77D3">
                    <w:rPr>
                      <w:rFonts w:cs="Calibri"/>
                      <w:sz w:val="26"/>
                      <w:szCs w:val="26"/>
                    </w:rPr>
                    <w:t>33,</w:t>
                  </w:r>
                  <w:r w:rsidR="001611BD">
                    <w:rPr>
                      <w:rFonts w:cs="Calibri"/>
                      <w:sz w:val="26"/>
                      <w:szCs w:val="26"/>
                    </w:rPr>
                    <w:t>3</w:t>
                  </w:r>
                  <w:r w:rsidR="001E5FB8" w:rsidRPr="00AE77D3">
                    <w:rPr>
                      <w:rFonts w:cs="Calibri"/>
                      <w:sz w:val="26"/>
                      <w:szCs w:val="26"/>
                    </w:rPr>
                    <w:t xml:space="preserve">% du PIB </w:t>
                  </w:r>
                  <w:r w:rsidR="001611BD" w:rsidRPr="00AE77D3">
                    <w:rPr>
                      <w:rFonts w:cs="Calibri"/>
                      <w:sz w:val="26"/>
                      <w:szCs w:val="26"/>
                    </w:rPr>
                    <w:t xml:space="preserve">en 2017 </w:t>
                  </w:r>
                  <w:r>
                    <w:rPr>
                      <w:rFonts w:cs="Calibri"/>
                      <w:sz w:val="26"/>
                      <w:szCs w:val="26"/>
                    </w:rPr>
                    <w:t xml:space="preserve">et </w:t>
                  </w:r>
                  <w:r w:rsidR="001611BD">
                    <w:rPr>
                      <w:rFonts w:cs="Calibri"/>
                      <w:sz w:val="26"/>
                      <w:szCs w:val="26"/>
                    </w:rPr>
                    <w:t xml:space="preserve">33,2% </w:t>
                  </w:r>
                  <w:r w:rsidR="001E5FB8" w:rsidRPr="00AE77D3">
                    <w:rPr>
                      <w:rFonts w:cs="Calibri"/>
                      <w:sz w:val="26"/>
                      <w:szCs w:val="26"/>
                    </w:rPr>
                    <w:t>en 2018;</w:t>
                  </w:r>
                </w:p>
                <w:p w:rsidR="001E5FB8" w:rsidRPr="00AE77D3" w:rsidRDefault="001E5FB8" w:rsidP="00EA15D0">
                  <w:pPr>
                    <w:jc w:val="both"/>
                    <w:rPr>
                      <w:rFonts w:cs="Calibri"/>
                      <w:sz w:val="26"/>
                      <w:szCs w:val="26"/>
                    </w:rPr>
                  </w:pPr>
                </w:p>
                <w:p w:rsidR="001E5FB8" w:rsidRPr="00AE77D3" w:rsidRDefault="001E5FB8" w:rsidP="00EA15D0">
                  <w:pPr>
                    <w:pStyle w:val="Paragraphedeliste"/>
                    <w:numPr>
                      <w:ilvl w:val="0"/>
                      <w:numId w:val="15"/>
                    </w:numPr>
                    <w:jc w:val="both"/>
                    <w:rPr>
                      <w:rFonts w:cs="Calibri"/>
                      <w:sz w:val="26"/>
                      <w:szCs w:val="26"/>
                    </w:rPr>
                  </w:pPr>
                  <w:r w:rsidRPr="00AE77D3">
                    <w:rPr>
                      <w:rFonts w:cs="Calibri"/>
                      <w:sz w:val="26"/>
                      <w:szCs w:val="26"/>
                    </w:rPr>
                    <w:t xml:space="preserve">Aggravation du </w:t>
                  </w:r>
                  <w:r w:rsidRPr="00AE77D3">
                    <w:rPr>
                      <w:rFonts w:cs="Calibri"/>
                      <w:b/>
                      <w:sz w:val="26"/>
                      <w:szCs w:val="26"/>
                    </w:rPr>
                    <w:t>besoin de financement</w:t>
                  </w:r>
                  <w:r w:rsidRPr="00AE77D3">
                    <w:rPr>
                      <w:rFonts w:cs="Calibri"/>
                      <w:sz w:val="26"/>
                      <w:szCs w:val="26"/>
                    </w:rPr>
                    <w:t xml:space="preserve"> de l’économie, passant de 4,4% du PIB en 2017 à 4,8% en 2018;</w:t>
                  </w:r>
                </w:p>
                <w:p w:rsidR="001E5FB8" w:rsidRPr="00AE77D3" w:rsidRDefault="001E5FB8" w:rsidP="00EA15D0">
                  <w:pPr>
                    <w:jc w:val="both"/>
                    <w:rPr>
                      <w:rFonts w:cs="Calibri"/>
                      <w:sz w:val="26"/>
                      <w:szCs w:val="26"/>
                    </w:rPr>
                  </w:pPr>
                </w:p>
                <w:p w:rsidR="001E5FB8" w:rsidRPr="00AE77D3" w:rsidRDefault="001E5FB8" w:rsidP="00EA15D0">
                  <w:pPr>
                    <w:pStyle w:val="Paragraphedeliste"/>
                    <w:numPr>
                      <w:ilvl w:val="0"/>
                      <w:numId w:val="15"/>
                    </w:numPr>
                    <w:jc w:val="both"/>
                    <w:rPr>
                      <w:rFonts w:cs="Calibri"/>
                      <w:sz w:val="26"/>
                      <w:szCs w:val="26"/>
                    </w:rPr>
                  </w:pPr>
                  <w:r w:rsidRPr="00AE77D3">
                    <w:rPr>
                      <w:rFonts w:cs="Calibri"/>
                      <w:sz w:val="26"/>
                      <w:szCs w:val="26"/>
                    </w:rPr>
                    <w:t xml:space="preserve">Allégement du </w:t>
                  </w:r>
                  <w:r w:rsidRPr="00AE77D3">
                    <w:rPr>
                      <w:rFonts w:cs="Calibri"/>
                      <w:b/>
                      <w:sz w:val="26"/>
                      <w:szCs w:val="26"/>
                    </w:rPr>
                    <w:t>déficit budgétaire</w:t>
                  </w:r>
                  <w:r w:rsidRPr="00AE77D3">
                    <w:rPr>
                      <w:rFonts w:cs="Calibri"/>
                      <w:sz w:val="26"/>
                      <w:szCs w:val="26"/>
                    </w:rPr>
                    <w:t>, passant de 4% du PIB en 2016 à 3,5% en 2017 et 2018;</w:t>
                  </w:r>
                </w:p>
                <w:p w:rsidR="001E5FB8" w:rsidRPr="00AE77D3" w:rsidRDefault="001E5FB8" w:rsidP="00EA15D0">
                  <w:pPr>
                    <w:jc w:val="both"/>
                    <w:rPr>
                      <w:rFonts w:cs="Calibri"/>
                      <w:sz w:val="26"/>
                      <w:szCs w:val="26"/>
                    </w:rPr>
                  </w:pPr>
                </w:p>
                <w:p w:rsidR="001E5FB8" w:rsidRPr="00AE77D3" w:rsidRDefault="001E5FB8" w:rsidP="00BA2566">
                  <w:pPr>
                    <w:pStyle w:val="Paragraphedeliste"/>
                    <w:numPr>
                      <w:ilvl w:val="0"/>
                      <w:numId w:val="15"/>
                    </w:numPr>
                    <w:jc w:val="both"/>
                    <w:rPr>
                      <w:rFonts w:cs="Calibri"/>
                      <w:sz w:val="26"/>
                      <w:szCs w:val="26"/>
                    </w:rPr>
                  </w:pPr>
                  <w:r w:rsidRPr="00AE77D3">
                    <w:rPr>
                      <w:rFonts w:cs="Calibri"/>
                      <w:sz w:val="26"/>
                      <w:szCs w:val="26"/>
                    </w:rPr>
                    <w:t xml:space="preserve">Légère accentuation du </w:t>
                  </w:r>
                  <w:r w:rsidRPr="00AE77D3">
                    <w:rPr>
                      <w:rFonts w:cs="Calibri"/>
                      <w:b/>
                      <w:sz w:val="26"/>
                      <w:szCs w:val="26"/>
                    </w:rPr>
                    <w:t>taux d’endettement global</w:t>
                  </w:r>
                  <w:r w:rsidRPr="00AE77D3">
                    <w:rPr>
                      <w:rFonts w:cs="Calibri"/>
                      <w:sz w:val="26"/>
                      <w:szCs w:val="26"/>
                    </w:rPr>
                    <w:t>, passant de 81,6% du PIB en 2017 à 82,</w:t>
                  </w:r>
                  <w:r>
                    <w:rPr>
                      <w:rFonts w:cs="Calibri"/>
                      <w:sz w:val="26"/>
                      <w:szCs w:val="26"/>
                    </w:rPr>
                    <w:t>3</w:t>
                  </w:r>
                  <w:r w:rsidRPr="00AE77D3">
                    <w:rPr>
                      <w:rFonts w:cs="Calibri"/>
                      <w:sz w:val="26"/>
                      <w:szCs w:val="26"/>
                    </w:rPr>
                    <w:t>% en 2018. Celui du Trésor serait d’environ 65,1% du PIB en 2017 et</w:t>
                  </w:r>
                  <w:r>
                    <w:rPr>
                      <w:rFonts w:cs="Calibri"/>
                      <w:sz w:val="26"/>
                      <w:szCs w:val="26"/>
                    </w:rPr>
                    <w:t xml:space="preserve"> 65%</w:t>
                  </w:r>
                  <w:r w:rsidRPr="00AE77D3">
                    <w:rPr>
                      <w:rFonts w:cs="Calibri"/>
                      <w:sz w:val="26"/>
                      <w:szCs w:val="26"/>
                    </w:rPr>
                    <w:t xml:space="preserve"> en 2018.</w:t>
                  </w:r>
                </w:p>
              </w:txbxContent>
            </v:textbox>
          </v:shape>
        </w:pict>
      </w: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Default="00EA15D0" w:rsidP="00EA15D0">
      <w:pPr>
        <w:rPr>
          <w:b/>
          <w:caps/>
          <w:shadow/>
          <w:color w:val="0070C0"/>
          <w:kern w:val="16"/>
          <w:sz w:val="24"/>
          <w:szCs w:val="24"/>
          <w:u w:val="single"/>
        </w:rPr>
      </w:pPr>
    </w:p>
    <w:p w:rsidR="00EA15D0" w:rsidRPr="00EA15D0" w:rsidRDefault="00EA15D0" w:rsidP="00EA15D0">
      <w:pPr>
        <w:rPr>
          <w:b/>
          <w:caps/>
          <w:shadow/>
          <w:color w:val="0070C0"/>
          <w:kern w:val="16"/>
          <w:sz w:val="24"/>
          <w:szCs w:val="24"/>
          <w:u w:val="single"/>
        </w:rPr>
      </w:pPr>
    </w:p>
    <w:p w:rsidR="00F02D0B" w:rsidRPr="00BC6D26" w:rsidRDefault="00F02D0B" w:rsidP="00BC6D26">
      <w:pPr>
        <w:rPr>
          <w:sz w:val="24"/>
          <w:szCs w:val="24"/>
        </w:rPr>
      </w:pPr>
    </w:p>
    <w:p w:rsidR="00191140" w:rsidRPr="00BC6D26" w:rsidRDefault="00191140" w:rsidP="00BC6D26">
      <w:pPr>
        <w:rPr>
          <w:rFonts w:eastAsiaTheme="majorEastAsia"/>
          <w:b/>
          <w:color w:val="243F60" w:themeColor="accent1" w:themeShade="7F"/>
          <w:sz w:val="24"/>
          <w:szCs w:val="24"/>
          <w:u w:val="single"/>
        </w:rPr>
      </w:pPr>
    </w:p>
    <w:p w:rsidR="00191140" w:rsidRPr="00BC6D26" w:rsidRDefault="00191140" w:rsidP="00BC6D26">
      <w:pPr>
        <w:rPr>
          <w:rFonts w:eastAsiaTheme="majorEastAsia"/>
          <w:b/>
          <w:color w:val="243F60" w:themeColor="accent1" w:themeShade="7F"/>
          <w:sz w:val="24"/>
          <w:szCs w:val="24"/>
          <w:u w:val="single"/>
        </w:rPr>
      </w:pPr>
    </w:p>
    <w:p w:rsidR="00191140" w:rsidRPr="00BC6D26" w:rsidRDefault="00191140" w:rsidP="00BC6D26">
      <w:pPr>
        <w:rPr>
          <w:rFonts w:eastAsiaTheme="majorEastAsia"/>
          <w:b/>
          <w:color w:val="243F60" w:themeColor="accent1" w:themeShade="7F"/>
          <w:sz w:val="24"/>
          <w:szCs w:val="24"/>
          <w:u w:val="single"/>
        </w:rPr>
      </w:pPr>
    </w:p>
    <w:p w:rsidR="00EE645C" w:rsidRPr="00BC6D26" w:rsidRDefault="00EE645C" w:rsidP="00BC6D26">
      <w:pPr>
        <w:rPr>
          <w:rFonts w:eastAsiaTheme="majorEastAsia"/>
          <w:b/>
          <w:color w:val="243F60" w:themeColor="accent1" w:themeShade="7F"/>
          <w:sz w:val="24"/>
          <w:szCs w:val="24"/>
          <w:u w:val="single"/>
        </w:rPr>
      </w:pPr>
    </w:p>
    <w:p w:rsidR="00EE645C" w:rsidRPr="00BC6D26" w:rsidRDefault="00EE645C" w:rsidP="00BC6D26">
      <w:pPr>
        <w:rPr>
          <w:rFonts w:eastAsiaTheme="majorEastAsia"/>
          <w:b/>
          <w:color w:val="243F60" w:themeColor="accent1" w:themeShade="7F"/>
          <w:sz w:val="24"/>
          <w:szCs w:val="24"/>
          <w:u w:val="single"/>
        </w:rPr>
      </w:pPr>
    </w:p>
    <w:p w:rsidR="00EE645C" w:rsidRPr="00BC6D26" w:rsidRDefault="00EE645C" w:rsidP="00BC6D26">
      <w:pPr>
        <w:rPr>
          <w:rFonts w:eastAsiaTheme="majorEastAsia"/>
          <w:b/>
          <w:color w:val="243F60" w:themeColor="accent1" w:themeShade="7F"/>
          <w:sz w:val="24"/>
          <w:szCs w:val="24"/>
          <w:u w:val="single"/>
        </w:rPr>
      </w:pPr>
    </w:p>
    <w:p w:rsidR="00191140" w:rsidRPr="00BC6D26" w:rsidRDefault="00191140" w:rsidP="00BC6D26">
      <w:pPr>
        <w:rPr>
          <w:rFonts w:eastAsiaTheme="majorEastAsia"/>
          <w:b/>
          <w:color w:val="243F60" w:themeColor="accent1" w:themeShade="7F"/>
          <w:sz w:val="24"/>
          <w:szCs w:val="24"/>
          <w:u w:val="single"/>
        </w:rPr>
      </w:pPr>
    </w:p>
    <w:p w:rsidR="00191140" w:rsidRPr="00BC6D26" w:rsidRDefault="00191140" w:rsidP="00BC6D26">
      <w:pPr>
        <w:rPr>
          <w:rFonts w:eastAsiaTheme="majorEastAsia"/>
          <w:b/>
          <w:color w:val="243F60" w:themeColor="accent1" w:themeShade="7F"/>
          <w:sz w:val="24"/>
          <w:szCs w:val="24"/>
          <w:u w:val="single"/>
        </w:rPr>
      </w:pPr>
    </w:p>
    <w:p w:rsidR="00E477B9" w:rsidRDefault="00E477B9" w:rsidP="00BC6D26">
      <w:pPr>
        <w:rPr>
          <w:rFonts w:eastAsiaTheme="majorEastAsia"/>
          <w:b/>
          <w:color w:val="243F60" w:themeColor="accent1" w:themeShade="7F"/>
          <w:sz w:val="24"/>
          <w:szCs w:val="24"/>
          <w:u w:val="single"/>
        </w:rPr>
      </w:pPr>
    </w:p>
    <w:p w:rsidR="00EA15D0" w:rsidRPr="00BC6D26" w:rsidRDefault="00EA15D0" w:rsidP="00AE77D3">
      <w:pPr>
        <w:ind w:firstLine="0"/>
        <w:rPr>
          <w:rFonts w:eastAsiaTheme="majorEastAsia"/>
          <w:b/>
          <w:color w:val="243F60" w:themeColor="accent1" w:themeShade="7F"/>
          <w:sz w:val="24"/>
          <w:szCs w:val="24"/>
          <w:u w:val="single"/>
        </w:rPr>
      </w:pPr>
    </w:p>
    <w:p w:rsidR="00215EAE" w:rsidRPr="00584D7B" w:rsidRDefault="00E12D14" w:rsidP="00584D7B">
      <w:pPr>
        <w:pStyle w:val="Paragraphedeliste"/>
        <w:numPr>
          <w:ilvl w:val="0"/>
          <w:numId w:val="14"/>
        </w:numPr>
        <w:rPr>
          <w:b/>
          <w:caps/>
          <w:shadow/>
          <w:color w:val="0070C0"/>
          <w:kern w:val="16"/>
          <w:sz w:val="28"/>
          <w:szCs w:val="28"/>
          <w:u w:val="single"/>
        </w:rPr>
      </w:pPr>
      <w:r w:rsidRPr="00584D7B">
        <w:rPr>
          <w:b/>
          <w:caps/>
          <w:shadow/>
          <w:color w:val="0070C0"/>
          <w:kern w:val="16"/>
          <w:sz w:val="28"/>
          <w:szCs w:val="28"/>
          <w:u w:val="single"/>
        </w:rPr>
        <w:lastRenderedPageBreak/>
        <w:t>Le context</w:t>
      </w:r>
      <w:r w:rsidR="008E4E2C" w:rsidRPr="00584D7B">
        <w:rPr>
          <w:b/>
          <w:caps/>
          <w:shadow/>
          <w:color w:val="0070C0"/>
          <w:kern w:val="16"/>
          <w:sz w:val="28"/>
          <w:szCs w:val="28"/>
          <w:u w:val="single"/>
        </w:rPr>
        <w:t>e</w:t>
      </w:r>
      <w:r w:rsidRPr="00584D7B">
        <w:rPr>
          <w:b/>
          <w:caps/>
          <w:shadow/>
          <w:color w:val="0070C0"/>
          <w:kern w:val="16"/>
          <w:sz w:val="28"/>
          <w:szCs w:val="28"/>
          <w:u w:val="single"/>
        </w:rPr>
        <w:t xml:space="preserve"> international: R</w:t>
      </w:r>
      <w:r w:rsidR="002F4C6B" w:rsidRPr="00584D7B">
        <w:rPr>
          <w:b/>
          <w:caps/>
          <w:shadow/>
          <w:color w:val="0070C0"/>
          <w:kern w:val="16"/>
          <w:sz w:val="28"/>
          <w:szCs w:val="28"/>
          <w:u w:val="single"/>
        </w:rPr>
        <w:t xml:space="preserve">eprise </w:t>
      </w:r>
      <w:r w:rsidR="00215EAE" w:rsidRPr="00584D7B">
        <w:rPr>
          <w:b/>
          <w:caps/>
          <w:shadow/>
          <w:color w:val="0070C0"/>
          <w:kern w:val="16"/>
          <w:sz w:val="28"/>
          <w:szCs w:val="28"/>
          <w:u w:val="single"/>
        </w:rPr>
        <w:t>de la croissance mondiale en 2017 et 2018</w:t>
      </w:r>
    </w:p>
    <w:p w:rsidR="00AF5BEE" w:rsidRPr="00BC6D26" w:rsidRDefault="00AF5BEE" w:rsidP="00BC6D26">
      <w:pPr>
        <w:rPr>
          <w:b/>
          <w:caps/>
          <w:shadow/>
          <w:color w:val="0070C0"/>
          <w:kern w:val="16"/>
          <w:sz w:val="24"/>
          <w:szCs w:val="24"/>
          <w:u w:val="single"/>
        </w:rPr>
      </w:pPr>
    </w:p>
    <w:p w:rsidR="007D6BE2" w:rsidRPr="00AF5BEE" w:rsidRDefault="0080528F" w:rsidP="00AF5BEE">
      <w:pPr>
        <w:spacing w:line="276" w:lineRule="auto"/>
        <w:jc w:val="both"/>
        <w:rPr>
          <w:sz w:val="26"/>
          <w:szCs w:val="26"/>
        </w:rPr>
      </w:pPr>
      <w:r w:rsidRPr="00AF5BEE">
        <w:rPr>
          <w:sz w:val="26"/>
          <w:szCs w:val="26"/>
        </w:rPr>
        <w:t xml:space="preserve">Les perspectives économiques des différents organismes internationaux, font ressortir la poursuite du raffermissement de </w:t>
      </w:r>
      <w:r w:rsidRPr="00AF5BEE">
        <w:rPr>
          <w:b/>
          <w:sz w:val="26"/>
          <w:szCs w:val="26"/>
        </w:rPr>
        <w:t>la croissance mondiale</w:t>
      </w:r>
      <w:r w:rsidRPr="00AF5BEE">
        <w:rPr>
          <w:sz w:val="26"/>
          <w:szCs w:val="26"/>
        </w:rPr>
        <w:t>, avec une am</w:t>
      </w:r>
      <w:r w:rsidR="00584D7B">
        <w:rPr>
          <w:sz w:val="26"/>
          <w:szCs w:val="26"/>
        </w:rPr>
        <w:t xml:space="preserve">élioration de  3,6% en 2017 et </w:t>
      </w:r>
      <w:r w:rsidRPr="00AF5BEE">
        <w:rPr>
          <w:sz w:val="26"/>
          <w:szCs w:val="26"/>
        </w:rPr>
        <w:t>3,7% en 2018</w:t>
      </w:r>
      <w:r w:rsidR="007D6BE2" w:rsidRPr="00AF5BEE">
        <w:rPr>
          <w:sz w:val="26"/>
          <w:szCs w:val="26"/>
        </w:rPr>
        <w:t>.</w:t>
      </w:r>
      <w:r w:rsidRPr="00AF5BEE">
        <w:rPr>
          <w:sz w:val="26"/>
          <w:szCs w:val="26"/>
        </w:rPr>
        <w:t xml:space="preserve"> </w:t>
      </w:r>
      <w:r w:rsidR="00991AE4" w:rsidRPr="00AF5BEE">
        <w:rPr>
          <w:sz w:val="26"/>
          <w:szCs w:val="26"/>
        </w:rPr>
        <w:t>L</w:t>
      </w:r>
      <w:r w:rsidRPr="00AF5BEE">
        <w:rPr>
          <w:sz w:val="26"/>
          <w:szCs w:val="26"/>
        </w:rPr>
        <w:t>a reprise</w:t>
      </w:r>
      <w:r w:rsidR="007D6BE2" w:rsidRPr="00AF5BEE">
        <w:rPr>
          <w:sz w:val="26"/>
          <w:szCs w:val="26"/>
        </w:rPr>
        <w:t xml:space="preserve"> devrait se poursuivre dans les grandes économies avancées </w:t>
      </w:r>
      <w:r w:rsidR="00E363FD" w:rsidRPr="00AF5BEE">
        <w:rPr>
          <w:sz w:val="26"/>
          <w:szCs w:val="26"/>
        </w:rPr>
        <w:t>et s’accélérer vivement dans les pays émergents</w:t>
      </w:r>
      <w:r w:rsidR="00991AE4" w:rsidRPr="00AF5BEE">
        <w:rPr>
          <w:sz w:val="26"/>
          <w:szCs w:val="26"/>
        </w:rPr>
        <w:t>,</w:t>
      </w:r>
      <w:r w:rsidRPr="00AF5BEE">
        <w:rPr>
          <w:sz w:val="26"/>
          <w:szCs w:val="26"/>
        </w:rPr>
        <w:t xml:space="preserve"> </w:t>
      </w:r>
      <w:r w:rsidR="00991AE4" w:rsidRPr="00AF5BEE">
        <w:rPr>
          <w:sz w:val="26"/>
          <w:szCs w:val="26"/>
        </w:rPr>
        <w:t>soutenue par les différentes mesures monétaires et budgétaires de relance et</w:t>
      </w:r>
      <w:r w:rsidRPr="00AF5BEE">
        <w:rPr>
          <w:sz w:val="26"/>
          <w:szCs w:val="26"/>
        </w:rPr>
        <w:t xml:space="preserve"> par une augmentation </w:t>
      </w:r>
      <w:r w:rsidR="00991AE4" w:rsidRPr="00AF5BEE">
        <w:rPr>
          <w:sz w:val="26"/>
          <w:szCs w:val="26"/>
        </w:rPr>
        <w:t>importante</w:t>
      </w:r>
      <w:r w:rsidRPr="00AF5BEE">
        <w:rPr>
          <w:sz w:val="26"/>
          <w:szCs w:val="26"/>
        </w:rPr>
        <w:t xml:space="preserve"> des échanges commerciaux</w:t>
      </w:r>
      <w:r w:rsidR="00E363FD" w:rsidRPr="00AF5BEE">
        <w:rPr>
          <w:sz w:val="26"/>
          <w:szCs w:val="26"/>
        </w:rPr>
        <w:t>.</w:t>
      </w:r>
    </w:p>
    <w:p w:rsidR="00E363FD" w:rsidRPr="00AF5BEE" w:rsidRDefault="00E363FD" w:rsidP="00AF5BEE">
      <w:pPr>
        <w:spacing w:line="276" w:lineRule="auto"/>
        <w:jc w:val="both"/>
        <w:rPr>
          <w:sz w:val="26"/>
          <w:szCs w:val="26"/>
        </w:rPr>
      </w:pPr>
    </w:p>
    <w:p w:rsidR="00191140" w:rsidRPr="00AF5BEE" w:rsidRDefault="00191140" w:rsidP="00584D7B">
      <w:pPr>
        <w:spacing w:line="276" w:lineRule="auto"/>
        <w:jc w:val="both"/>
        <w:rPr>
          <w:sz w:val="26"/>
          <w:szCs w:val="26"/>
        </w:rPr>
      </w:pPr>
      <w:r w:rsidRPr="00AF5BEE">
        <w:rPr>
          <w:b/>
          <w:sz w:val="26"/>
          <w:szCs w:val="26"/>
        </w:rPr>
        <w:t>Aux États-Unis</w:t>
      </w:r>
      <w:r w:rsidRPr="00AF5BEE">
        <w:rPr>
          <w:sz w:val="26"/>
          <w:szCs w:val="26"/>
        </w:rPr>
        <w:t xml:space="preserve">, la croissance économique devrait passer de 2,2% en 2017 à 2,3% en 2018, </w:t>
      </w:r>
      <w:r w:rsidR="00B30FE9" w:rsidRPr="00AF5BEE">
        <w:rPr>
          <w:sz w:val="26"/>
          <w:szCs w:val="26"/>
        </w:rPr>
        <w:t xml:space="preserve">suite à </w:t>
      </w:r>
      <w:r w:rsidRPr="00AF5BEE">
        <w:rPr>
          <w:sz w:val="26"/>
          <w:szCs w:val="26"/>
        </w:rPr>
        <w:t xml:space="preserve">un regain des dépenses de consommation et de l’investissement des entreprises. La dépréciation générale du dollar et </w:t>
      </w:r>
      <w:r w:rsidR="00B30FE9" w:rsidRPr="00AF5BEE">
        <w:rPr>
          <w:sz w:val="26"/>
          <w:szCs w:val="26"/>
        </w:rPr>
        <w:t xml:space="preserve">le </w:t>
      </w:r>
      <w:r w:rsidRPr="00AF5BEE">
        <w:rPr>
          <w:sz w:val="26"/>
          <w:szCs w:val="26"/>
        </w:rPr>
        <w:t>resserrement monétaire moins rapide qu'attendu constitueraient également des relais de croissance.</w:t>
      </w:r>
    </w:p>
    <w:p w:rsidR="00191140" w:rsidRPr="00AF5BEE" w:rsidRDefault="00191140" w:rsidP="00AF5BEE">
      <w:pPr>
        <w:spacing w:line="276" w:lineRule="auto"/>
        <w:jc w:val="both"/>
        <w:rPr>
          <w:sz w:val="26"/>
          <w:szCs w:val="26"/>
        </w:rPr>
      </w:pPr>
    </w:p>
    <w:p w:rsidR="00191140" w:rsidRPr="00AF5BEE" w:rsidRDefault="00191140" w:rsidP="008031F6">
      <w:pPr>
        <w:spacing w:line="276" w:lineRule="auto"/>
        <w:jc w:val="both"/>
        <w:rPr>
          <w:sz w:val="26"/>
          <w:szCs w:val="26"/>
        </w:rPr>
      </w:pPr>
      <w:r w:rsidRPr="00AF5BEE">
        <w:rPr>
          <w:b/>
          <w:sz w:val="26"/>
          <w:szCs w:val="26"/>
        </w:rPr>
        <w:t>Dans la zone euro</w:t>
      </w:r>
      <w:r w:rsidRPr="00AF5BEE">
        <w:rPr>
          <w:sz w:val="26"/>
          <w:szCs w:val="26"/>
        </w:rPr>
        <w:t xml:space="preserve">, le </w:t>
      </w:r>
      <w:r w:rsidR="004B73FF" w:rsidRPr="00AF5BEE">
        <w:rPr>
          <w:sz w:val="26"/>
          <w:szCs w:val="26"/>
        </w:rPr>
        <w:t>produit intérieur brut (</w:t>
      </w:r>
      <w:r w:rsidRPr="00AF5BEE">
        <w:rPr>
          <w:sz w:val="26"/>
          <w:szCs w:val="26"/>
        </w:rPr>
        <w:t>PIB</w:t>
      </w:r>
      <w:r w:rsidR="004B73FF" w:rsidRPr="00AF5BEE">
        <w:rPr>
          <w:sz w:val="26"/>
          <w:szCs w:val="26"/>
        </w:rPr>
        <w:t>)</w:t>
      </w:r>
      <w:r w:rsidRPr="00AF5BEE">
        <w:rPr>
          <w:sz w:val="26"/>
          <w:szCs w:val="26"/>
        </w:rPr>
        <w:t xml:space="preserve"> </w:t>
      </w:r>
      <w:r w:rsidR="00795FBB" w:rsidRPr="00AF5BEE">
        <w:rPr>
          <w:sz w:val="26"/>
          <w:szCs w:val="26"/>
        </w:rPr>
        <w:t>s</w:t>
      </w:r>
      <w:r w:rsidR="004B73FF" w:rsidRPr="00AF5BEE">
        <w:rPr>
          <w:sz w:val="26"/>
          <w:szCs w:val="26"/>
        </w:rPr>
        <w:t>’accroitrait à</w:t>
      </w:r>
      <w:r w:rsidRPr="00AF5BEE">
        <w:rPr>
          <w:sz w:val="26"/>
          <w:szCs w:val="26"/>
        </w:rPr>
        <w:t xml:space="preserve"> un taux de 2,1% en 2017. Il </w:t>
      </w:r>
      <w:r w:rsidR="00795FBB" w:rsidRPr="00AF5BEE">
        <w:rPr>
          <w:sz w:val="26"/>
          <w:szCs w:val="26"/>
        </w:rPr>
        <w:t>aurait été</w:t>
      </w:r>
      <w:r w:rsidRPr="00AF5BEE">
        <w:rPr>
          <w:sz w:val="26"/>
          <w:szCs w:val="26"/>
        </w:rPr>
        <w:t xml:space="preserve">  tiré par </w:t>
      </w:r>
      <w:r w:rsidR="00795FBB" w:rsidRPr="00AF5BEE">
        <w:rPr>
          <w:sz w:val="26"/>
          <w:szCs w:val="26"/>
        </w:rPr>
        <w:t>une é</w:t>
      </w:r>
      <w:r w:rsidRPr="00AF5BEE">
        <w:rPr>
          <w:sz w:val="26"/>
          <w:szCs w:val="26"/>
        </w:rPr>
        <w:t xml:space="preserve">volution remarquable des exportations et </w:t>
      </w:r>
      <w:r w:rsidR="00795FBB" w:rsidRPr="00AF5BEE">
        <w:rPr>
          <w:sz w:val="26"/>
          <w:szCs w:val="26"/>
        </w:rPr>
        <w:t>par une</w:t>
      </w:r>
      <w:r w:rsidRPr="00AF5BEE">
        <w:rPr>
          <w:sz w:val="26"/>
          <w:szCs w:val="26"/>
        </w:rPr>
        <w:t xml:space="preserve"> demande intérieure </w:t>
      </w:r>
      <w:r w:rsidR="00795FBB" w:rsidRPr="00AF5BEE">
        <w:rPr>
          <w:sz w:val="26"/>
          <w:szCs w:val="26"/>
        </w:rPr>
        <w:t xml:space="preserve">robuste </w:t>
      </w:r>
      <w:r w:rsidR="004B73FF" w:rsidRPr="00AF5BEE">
        <w:rPr>
          <w:sz w:val="26"/>
          <w:szCs w:val="26"/>
        </w:rPr>
        <w:t>soutenue</w:t>
      </w:r>
      <w:r w:rsidR="00795FBB" w:rsidRPr="00AF5BEE">
        <w:rPr>
          <w:sz w:val="26"/>
          <w:szCs w:val="26"/>
        </w:rPr>
        <w:t xml:space="preserve"> par</w:t>
      </w:r>
      <w:r w:rsidRPr="00AF5BEE">
        <w:rPr>
          <w:sz w:val="26"/>
          <w:szCs w:val="26"/>
        </w:rPr>
        <w:t xml:space="preserve"> des conditions financières favorables. Néanmoins, le rythme de croissance devrait s’infléchir légèrement en 2018 à 1,9%, </w:t>
      </w:r>
      <w:r w:rsidR="004B73FF" w:rsidRPr="00AF5BEE">
        <w:rPr>
          <w:sz w:val="26"/>
          <w:szCs w:val="26"/>
        </w:rPr>
        <w:t xml:space="preserve">en raison de la tendance à la hausse des cours de pétrole, des taux d’intérêt et </w:t>
      </w:r>
      <w:r w:rsidR="00E363FD" w:rsidRPr="00AF5BEE">
        <w:rPr>
          <w:sz w:val="26"/>
          <w:szCs w:val="26"/>
        </w:rPr>
        <w:t xml:space="preserve">du taux de change de l’euro. </w:t>
      </w:r>
    </w:p>
    <w:p w:rsidR="00186D40" w:rsidRPr="00AF5BEE" w:rsidRDefault="00186D40" w:rsidP="00AF5BEE">
      <w:pPr>
        <w:spacing w:line="276" w:lineRule="auto"/>
        <w:jc w:val="both"/>
        <w:rPr>
          <w:sz w:val="26"/>
          <w:szCs w:val="26"/>
        </w:rPr>
      </w:pPr>
    </w:p>
    <w:p w:rsidR="00191140" w:rsidRPr="00AF5BEE" w:rsidRDefault="00191140" w:rsidP="00AF5BEE">
      <w:pPr>
        <w:spacing w:line="276" w:lineRule="auto"/>
        <w:jc w:val="both"/>
        <w:rPr>
          <w:sz w:val="26"/>
          <w:szCs w:val="26"/>
        </w:rPr>
      </w:pPr>
      <w:r w:rsidRPr="00AF5BEE">
        <w:rPr>
          <w:b/>
          <w:sz w:val="26"/>
          <w:szCs w:val="26"/>
        </w:rPr>
        <w:t xml:space="preserve"> Au Japon,</w:t>
      </w:r>
      <w:r w:rsidRPr="00AF5BEE">
        <w:rPr>
          <w:sz w:val="26"/>
          <w:szCs w:val="26"/>
        </w:rPr>
        <w:t xml:space="preserve"> la croissance </w:t>
      </w:r>
      <w:r w:rsidR="00795FBB" w:rsidRPr="00AF5BEE">
        <w:rPr>
          <w:sz w:val="26"/>
          <w:szCs w:val="26"/>
        </w:rPr>
        <w:t>se serait</w:t>
      </w:r>
      <w:r w:rsidRPr="00AF5BEE">
        <w:rPr>
          <w:sz w:val="26"/>
          <w:szCs w:val="26"/>
        </w:rPr>
        <w:t xml:space="preserve"> </w:t>
      </w:r>
      <w:r w:rsidR="00795FBB" w:rsidRPr="00AF5BEE">
        <w:rPr>
          <w:sz w:val="26"/>
          <w:szCs w:val="26"/>
        </w:rPr>
        <w:t>accrue</w:t>
      </w:r>
      <w:r w:rsidRPr="00AF5BEE">
        <w:rPr>
          <w:sz w:val="26"/>
          <w:szCs w:val="26"/>
        </w:rPr>
        <w:t xml:space="preserve"> de 1,5% en 2017 à la faveur d’un affermissement de la demande mondiale et d’une reprise de</w:t>
      </w:r>
      <w:r w:rsidR="00795FBB" w:rsidRPr="00AF5BEE">
        <w:rPr>
          <w:sz w:val="26"/>
          <w:szCs w:val="26"/>
        </w:rPr>
        <w:t xml:space="preserve"> </w:t>
      </w:r>
      <w:r w:rsidR="00EB28BA" w:rsidRPr="00AF5BEE">
        <w:rPr>
          <w:sz w:val="26"/>
          <w:szCs w:val="26"/>
        </w:rPr>
        <w:t>l’investissement</w:t>
      </w:r>
      <w:r w:rsidR="0092312A" w:rsidRPr="00AF5BEE">
        <w:rPr>
          <w:sz w:val="26"/>
          <w:szCs w:val="26"/>
        </w:rPr>
        <w:t xml:space="preserve"> public</w:t>
      </w:r>
      <w:r w:rsidRPr="00AF5BEE">
        <w:rPr>
          <w:sz w:val="26"/>
          <w:szCs w:val="26"/>
        </w:rPr>
        <w:t xml:space="preserve">. Cependant, la faiblesse de la croissance des salaires et les mesures d’assainissement des finances publiques </w:t>
      </w:r>
      <w:r w:rsidR="00D30E58" w:rsidRPr="00AF5BEE">
        <w:rPr>
          <w:sz w:val="26"/>
          <w:szCs w:val="26"/>
        </w:rPr>
        <w:t xml:space="preserve">devraient </w:t>
      </w:r>
      <w:r w:rsidR="00EB28BA" w:rsidRPr="00AF5BEE">
        <w:rPr>
          <w:sz w:val="26"/>
          <w:szCs w:val="26"/>
        </w:rPr>
        <w:t>peser</w:t>
      </w:r>
      <w:r w:rsidRPr="00AF5BEE">
        <w:rPr>
          <w:sz w:val="26"/>
          <w:szCs w:val="26"/>
        </w:rPr>
        <w:t xml:space="preserve"> sur la croissance de l’activité en 2018 qui </w:t>
      </w:r>
      <w:r w:rsidR="0092312A" w:rsidRPr="00AF5BEE">
        <w:rPr>
          <w:sz w:val="26"/>
          <w:szCs w:val="26"/>
        </w:rPr>
        <w:t>se limite</w:t>
      </w:r>
      <w:r w:rsidRPr="00AF5BEE">
        <w:rPr>
          <w:sz w:val="26"/>
          <w:szCs w:val="26"/>
        </w:rPr>
        <w:t>r</w:t>
      </w:r>
      <w:r w:rsidR="00D30E58" w:rsidRPr="00AF5BEE">
        <w:rPr>
          <w:sz w:val="26"/>
          <w:szCs w:val="26"/>
        </w:rPr>
        <w:t>ait</w:t>
      </w:r>
      <w:r w:rsidRPr="00AF5BEE">
        <w:rPr>
          <w:sz w:val="26"/>
          <w:szCs w:val="26"/>
        </w:rPr>
        <w:t xml:space="preserve"> à 0,7%.</w:t>
      </w:r>
    </w:p>
    <w:p w:rsidR="00191140" w:rsidRPr="00AF5BEE" w:rsidRDefault="00191140" w:rsidP="00AF5BEE">
      <w:pPr>
        <w:spacing w:line="276" w:lineRule="auto"/>
        <w:jc w:val="both"/>
        <w:rPr>
          <w:sz w:val="26"/>
          <w:szCs w:val="26"/>
        </w:rPr>
      </w:pPr>
    </w:p>
    <w:p w:rsidR="00191140" w:rsidRDefault="00213339" w:rsidP="00584D7B">
      <w:pPr>
        <w:spacing w:line="276" w:lineRule="auto"/>
        <w:jc w:val="both"/>
        <w:rPr>
          <w:sz w:val="26"/>
          <w:szCs w:val="26"/>
        </w:rPr>
      </w:pPr>
      <w:r w:rsidRPr="00AF5BEE">
        <w:rPr>
          <w:b/>
          <w:sz w:val="26"/>
          <w:szCs w:val="26"/>
        </w:rPr>
        <w:t>L</w:t>
      </w:r>
      <w:r w:rsidR="00E363FD" w:rsidRPr="00AF5BEE">
        <w:rPr>
          <w:b/>
          <w:sz w:val="26"/>
          <w:szCs w:val="26"/>
        </w:rPr>
        <w:t>es</w:t>
      </w:r>
      <w:r w:rsidR="00191140" w:rsidRPr="00AF5BEE">
        <w:rPr>
          <w:b/>
          <w:sz w:val="26"/>
          <w:szCs w:val="26"/>
        </w:rPr>
        <w:t xml:space="preserve"> pays émergents et en </w:t>
      </w:r>
      <w:hyperlink r:id="rId8" w:tooltip="Toute l’actualité développement" w:history="1">
        <w:r w:rsidR="00191140" w:rsidRPr="00AF5BEE">
          <w:rPr>
            <w:b/>
            <w:sz w:val="26"/>
            <w:szCs w:val="26"/>
          </w:rPr>
          <w:t>développement</w:t>
        </w:r>
      </w:hyperlink>
      <w:r w:rsidR="00191140" w:rsidRPr="00AF5BEE">
        <w:rPr>
          <w:sz w:val="26"/>
          <w:szCs w:val="26"/>
        </w:rPr>
        <w:t>,</w:t>
      </w:r>
      <w:r w:rsidRPr="00AF5BEE">
        <w:rPr>
          <w:sz w:val="26"/>
          <w:szCs w:val="26"/>
        </w:rPr>
        <w:t xml:space="preserve"> de leur c</w:t>
      </w:r>
      <w:r w:rsidR="00584D7B">
        <w:rPr>
          <w:sz w:val="26"/>
          <w:szCs w:val="26"/>
        </w:rPr>
        <w:t>ô</w:t>
      </w:r>
      <w:r w:rsidRPr="00AF5BEE">
        <w:rPr>
          <w:sz w:val="26"/>
          <w:szCs w:val="26"/>
        </w:rPr>
        <w:t>té,</w:t>
      </w:r>
      <w:r w:rsidR="00191140" w:rsidRPr="00AF5BEE">
        <w:rPr>
          <w:sz w:val="26"/>
          <w:szCs w:val="26"/>
        </w:rPr>
        <w:t xml:space="preserve">  </w:t>
      </w:r>
      <w:r w:rsidR="004B73FF" w:rsidRPr="00AF5BEE">
        <w:rPr>
          <w:sz w:val="26"/>
          <w:szCs w:val="26"/>
        </w:rPr>
        <w:t xml:space="preserve">consolideraient leur rythme de </w:t>
      </w:r>
      <w:r w:rsidR="006213AA" w:rsidRPr="00AF5BEE">
        <w:rPr>
          <w:sz w:val="26"/>
          <w:szCs w:val="26"/>
        </w:rPr>
        <w:t xml:space="preserve">croissance </w:t>
      </w:r>
      <w:r w:rsidR="004B73FF" w:rsidRPr="00AF5BEE">
        <w:rPr>
          <w:sz w:val="26"/>
          <w:szCs w:val="26"/>
        </w:rPr>
        <w:t xml:space="preserve">à 4,9% en 2018 après 4,6% en 2017 et </w:t>
      </w:r>
      <w:r w:rsidRPr="00AF5BEE">
        <w:rPr>
          <w:sz w:val="26"/>
          <w:szCs w:val="26"/>
        </w:rPr>
        <w:t xml:space="preserve">4,3% en 2016. </w:t>
      </w:r>
      <w:r w:rsidR="000003FE" w:rsidRPr="00AF5BEE">
        <w:rPr>
          <w:sz w:val="26"/>
          <w:szCs w:val="26"/>
        </w:rPr>
        <w:t xml:space="preserve"> Cette  amélioration de la croissance est surtout à mettre au compte des économies russe et brésilienne, qui se remettent </w:t>
      </w:r>
      <w:r w:rsidR="004F2BAF" w:rsidRPr="00AF5BEE">
        <w:rPr>
          <w:sz w:val="26"/>
          <w:szCs w:val="26"/>
        </w:rPr>
        <w:t xml:space="preserve">progressivement </w:t>
      </w:r>
      <w:r w:rsidR="000003FE" w:rsidRPr="00AF5BEE">
        <w:rPr>
          <w:sz w:val="26"/>
          <w:szCs w:val="26"/>
        </w:rPr>
        <w:t xml:space="preserve">de leurs profondes </w:t>
      </w:r>
      <w:r w:rsidR="00EE645C" w:rsidRPr="00AF5BEE">
        <w:rPr>
          <w:sz w:val="26"/>
          <w:szCs w:val="26"/>
        </w:rPr>
        <w:t>récessions.</w:t>
      </w:r>
      <w:r w:rsidR="000003FE" w:rsidRPr="00AF5BEE">
        <w:rPr>
          <w:b/>
          <w:sz w:val="26"/>
          <w:szCs w:val="26"/>
        </w:rPr>
        <w:t xml:space="preserve"> </w:t>
      </w:r>
      <w:r w:rsidR="00191140" w:rsidRPr="00AF5BEE">
        <w:rPr>
          <w:b/>
          <w:sz w:val="26"/>
          <w:szCs w:val="26"/>
        </w:rPr>
        <w:t>En Russie</w:t>
      </w:r>
      <w:r w:rsidR="00191140" w:rsidRPr="00AF5BEE">
        <w:rPr>
          <w:sz w:val="26"/>
          <w:szCs w:val="26"/>
        </w:rPr>
        <w:t>, la hausse des prix du pétrole et la baisse des taux d’intérêt devrai</w:t>
      </w:r>
      <w:r w:rsidR="004F2BAF" w:rsidRPr="00AF5BEE">
        <w:rPr>
          <w:sz w:val="26"/>
          <w:szCs w:val="26"/>
        </w:rPr>
        <w:t>en</w:t>
      </w:r>
      <w:r w:rsidR="00191140" w:rsidRPr="00AF5BEE">
        <w:rPr>
          <w:sz w:val="26"/>
          <w:szCs w:val="26"/>
        </w:rPr>
        <w:t xml:space="preserve">t stimuler la croissance </w:t>
      </w:r>
      <w:r w:rsidR="004F2BAF" w:rsidRPr="00AF5BEE">
        <w:rPr>
          <w:sz w:val="26"/>
          <w:szCs w:val="26"/>
        </w:rPr>
        <w:t xml:space="preserve">économique </w:t>
      </w:r>
      <w:r w:rsidR="00191140" w:rsidRPr="00AF5BEE">
        <w:rPr>
          <w:sz w:val="26"/>
          <w:szCs w:val="26"/>
        </w:rPr>
        <w:t xml:space="preserve">qui avoisinerait </w:t>
      </w:r>
      <w:r w:rsidR="00B30FE9" w:rsidRPr="00AF5BEE">
        <w:rPr>
          <w:sz w:val="26"/>
          <w:szCs w:val="26"/>
        </w:rPr>
        <w:t xml:space="preserve">1,6% en 2018, après </w:t>
      </w:r>
      <w:r w:rsidR="00EB28BA" w:rsidRPr="00AF5BEE">
        <w:rPr>
          <w:sz w:val="26"/>
          <w:szCs w:val="26"/>
        </w:rPr>
        <w:t>1,8</w:t>
      </w:r>
      <w:r w:rsidR="00191140" w:rsidRPr="00AF5BEE">
        <w:rPr>
          <w:sz w:val="26"/>
          <w:szCs w:val="26"/>
        </w:rPr>
        <w:t xml:space="preserve">% en 2017. </w:t>
      </w:r>
      <w:r w:rsidR="00191140" w:rsidRPr="00AF5BEE">
        <w:rPr>
          <w:b/>
          <w:sz w:val="26"/>
          <w:szCs w:val="26"/>
        </w:rPr>
        <w:t>Au Brésil</w:t>
      </w:r>
      <w:r w:rsidR="00191140" w:rsidRPr="00AF5BEE">
        <w:rPr>
          <w:sz w:val="26"/>
          <w:szCs w:val="26"/>
        </w:rPr>
        <w:t xml:space="preserve">, </w:t>
      </w:r>
      <w:r w:rsidRPr="00AF5BEE">
        <w:rPr>
          <w:sz w:val="26"/>
          <w:szCs w:val="26"/>
        </w:rPr>
        <w:t>l’assouplissement de la politique monétaire et le repli marqué de l’inflation devraient conduire à une</w:t>
      </w:r>
      <w:r w:rsidR="00191140" w:rsidRPr="00AF5BEE">
        <w:rPr>
          <w:sz w:val="26"/>
          <w:szCs w:val="26"/>
        </w:rPr>
        <w:t xml:space="preserve"> croissance </w:t>
      </w:r>
      <w:r w:rsidRPr="00AF5BEE">
        <w:rPr>
          <w:sz w:val="26"/>
          <w:szCs w:val="26"/>
        </w:rPr>
        <w:t xml:space="preserve">de </w:t>
      </w:r>
      <w:r w:rsidR="00191140" w:rsidRPr="00AF5BEE">
        <w:rPr>
          <w:sz w:val="26"/>
          <w:szCs w:val="26"/>
        </w:rPr>
        <w:t>1,</w:t>
      </w:r>
      <w:r w:rsidR="00EB28BA" w:rsidRPr="00AF5BEE">
        <w:rPr>
          <w:sz w:val="26"/>
          <w:szCs w:val="26"/>
        </w:rPr>
        <w:t>5</w:t>
      </w:r>
      <w:r w:rsidR="00191140" w:rsidRPr="00AF5BEE">
        <w:rPr>
          <w:sz w:val="26"/>
          <w:szCs w:val="26"/>
        </w:rPr>
        <w:t>% en 2018 après 0,</w:t>
      </w:r>
      <w:r w:rsidR="00EB28BA" w:rsidRPr="00AF5BEE">
        <w:rPr>
          <w:sz w:val="26"/>
          <w:szCs w:val="26"/>
        </w:rPr>
        <w:t>7</w:t>
      </w:r>
      <w:r w:rsidR="00191140" w:rsidRPr="00AF5BEE">
        <w:rPr>
          <w:sz w:val="26"/>
          <w:szCs w:val="26"/>
        </w:rPr>
        <w:t>% en 2017</w:t>
      </w:r>
      <w:r w:rsidRPr="00AF5BEE">
        <w:rPr>
          <w:sz w:val="26"/>
          <w:szCs w:val="26"/>
        </w:rPr>
        <w:t>.</w:t>
      </w:r>
      <w:r w:rsidR="00191140" w:rsidRPr="00AF5BEE">
        <w:rPr>
          <w:sz w:val="26"/>
          <w:szCs w:val="26"/>
        </w:rPr>
        <w:t xml:space="preserve"> </w:t>
      </w:r>
    </w:p>
    <w:p w:rsidR="00AF5BEE" w:rsidRPr="00AF5BEE" w:rsidRDefault="00AF5BEE" w:rsidP="00AF5BEE">
      <w:pPr>
        <w:spacing w:line="276" w:lineRule="auto"/>
        <w:jc w:val="both"/>
        <w:rPr>
          <w:sz w:val="26"/>
          <w:szCs w:val="26"/>
        </w:rPr>
      </w:pPr>
    </w:p>
    <w:p w:rsidR="00A31324" w:rsidRDefault="00A31324" w:rsidP="00AF5BEE">
      <w:pPr>
        <w:spacing w:line="276" w:lineRule="auto"/>
        <w:jc w:val="both"/>
        <w:rPr>
          <w:sz w:val="26"/>
          <w:szCs w:val="26"/>
        </w:rPr>
      </w:pPr>
    </w:p>
    <w:p w:rsidR="001472FB" w:rsidRDefault="001472FB" w:rsidP="00AF5BEE">
      <w:pPr>
        <w:spacing w:line="276" w:lineRule="auto"/>
        <w:jc w:val="both"/>
        <w:rPr>
          <w:sz w:val="26"/>
          <w:szCs w:val="26"/>
        </w:rPr>
      </w:pPr>
      <w:r w:rsidRPr="00AF5BEE">
        <w:rPr>
          <w:sz w:val="26"/>
          <w:szCs w:val="26"/>
        </w:rPr>
        <w:lastRenderedPageBreak/>
        <w:t xml:space="preserve">Par ailleurs, </w:t>
      </w:r>
      <w:r w:rsidR="002007E8" w:rsidRPr="00AF5BEE">
        <w:rPr>
          <w:sz w:val="26"/>
          <w:szCs w:val="26"/>
        </w:rPr>
        <w:t>l</w:t>
      </w:r>
      <w:r w:rsidR="00BC030F" w:rsidRPr="00AF5BEE">
        <w:rPr>
          <w:sz w:val="26"/>
          <w:szCs w:val="26"/>
        </w:rPr>
        <w:t>a croissance d</w:t>
      </w:r>
      <w:r w:rsidR="002007E8" w:rsidRPr="00AF5BEE">
        <w:rPr>
          <w:sz w:val="26"/>
          <w:szCs w:val="26"/>
        </w:rPr>
        <w:t xml:space="preserve">es économies </w:t>
      </w:r>
      <w:r w:rsidR="007F20E6" w:rsidRPr="00AF5BEE">
        <w:rPr>
          <w:b/>
          <w:sz w:val="26"/>
          <w:szCs w:val="26"/>
        </w:rPr>
        <w:t>des pays émergent</w:t>
      </w:r>
      <w:r w:rsidR="00BC030F" w:rsidRPr="00AF5BEE">
        <w:rPr>
          <w:b/>
          <w:sz w:val="26"/>
          <w:szCs w:val="26"/>
        </w:rPr>
        <w:t>s</w:t>
      </w:r>
      <w:r w:rsidRPr="00AF5BEE">
        <w:rPr>
          <w:b/>
          <w:sz w:val="26"/>
          <w:szCs w:val="26"/>
        </w:rPr>
        <w:t xml:space="preserve"> de l'Asie</w:t>
      </w:r>
      <w:r w:rsidRPr="00AF5BEE">
        <w:rPr>
          <w:sz w:val="26"/>
          <w:szCs w:val="26"/>
        </w:rPr>
        <w:t xml:space="preserve"> </w:t>
      </w:r>
      <w:r w:rsidR="00BC030F" w:rsidRPr="00AF5BEE">
        <w:rPr>
          <w:sz w:val="26"/>
          <w:szCs w:val="26"/>
        </w:rPr>
        <w:t>devrai</w:t>
      </w:r>
      <w:r w:rsidR="002007E8" w:rsidRPr="00AF5BEE">
        <w:rPr>
          <w:sz w:val="26"/>
          <w:szCs w:val="26"/>
        </w:rPr>
        <w:t>t</w:t>
      </w:r>
      <w:r w:rsidRPr="00AF5BEE">
        <w:rPr>
          <w:sz w:val="26"/>
          <w:szCs w:val="26"/>
        </w:rPr>
        <w:t xml:space="preserve"> rester </w:t>
      </w:r>
      <w:r w:rsidR="002007E8" w:rsidRPr="00AF5BEE">
        <w:rPr>
          <w:sz w:val="26"/>
          <w:szCs w:val="26"/>
        </w:rPr>
        <w:t>robuste</w:t>
      </w:r>
      <w:r w:rsidR="00BC030F" w:rsidRPr="00AF5BEE">
        <w:rPr>
          <w:sz w:val="26"/>
          <w:szCs w:val="26"/>
        </w:rPr>
        <w:t>. La</w:t>
      </w:r>
      <w:r w:rsidRPr="00AF5BEE">
        <w:rPr>
          <w:sz w:val="26"/>
          <w:szCs w:val="26"/>
        </w:rPr>
        <w:t xml:space="preserve"> </w:t>
      </w:r>
      <w:r w:rsidR="00884F0C" w:rsidRPr="00AF5BEE">
        <w:rPr>
          <w:b/>
          <w:sz w:val="26"/>
          <w:szCs w:val="26"/>
        </w:rPr>
        <w:t>C</w:t>
      </w:r>
      <w:r w:rsidRPr="00AF5BEE">
        <w:rPr>
          <w:b/>
          <w:sz w:val="26"/>
          <w:szCs w:val="26"/>
        </w:rPr>
        <w:t>hine</w:t>
      </w:r>
      <w:r w:rsidR="007F20E6" w:rsidRPr="00AF5BEE">
        <w:rPr>
          <w:sz w:val="26"/>
          <w:szCs w:val="26"/>
        </w:rPr>
        <w:t xml:space="preserve"> devrait réaliser</w:t>
      </w:r>
      <w:r w:rsidRPr="00AF5BEE">
        <w:rPr>
          <w:sz w:val="26"/>
          <w:szCs w:val="26"/>
        </w:rPr>
        <w:t xml:space="preserve"> une croissance de</w:t>
      </w:r>
      <w:r w:rsidR="007F20E6" w:rsidRPr="00AF5BEE">
        <w:rPr>
          <w:sz w:val="26"/>
          <w:szCs w:val="26"/>
        </w:rPr>
        <w:t xml:space="preserve"> </w:t>
      </w:r>
      <w:r w:rsidR="000003FE" w:rsidRPr="00AF5BEE">
        <w:rPr>
          <w:sz w:val="26"/>
          <w:szCs w:val="26"/>
        </w:rPr>
        <w:t xml:space="preserve">6,5% en 2018  après </w:t>
      </w:r>
      <w:r w:rsidR="007F20E6" w:rsidRPr="00AF5BEE">
        <w:rPr>
          <w:sz w:val="26"/>
          <w:szCs w:val="26"/>
        </w:rPr>
        <w:t xml:space="preserve">6,8% en 2017, suite à une politique budgétaire expansionniste, </w:t>
      </w:r>
      <w:r w:rsidR="007E6DAC" w:rsidRPr="00AF5BEE">
        <w:rPr>
          <w:sz w:val="26"/>
          <w:szCs w:val="26"/>
        </w:rPr>
        <w:t xml:space="preserve">à </w:t>
      </w:r>
      <w:r w:rsidR="000003FE" w:rsidRPr="00AF5BEE">
        <w:rPr>
          <w:sz w:val="26"/>
          <w:szCs w:val="26"/>
        </w:rPr>
        <w:t>une</w:t>
      </w:r>
      <w:r w:rsidR="007E6DAC" w:rsidRPr="00AF5BEE">
        <w:rPr>
          <w:sz w:val="26"/>
          <w:szCs w:val="26"/>
        </w:rPr>
        <w:t xml:space="preserve"> hausse</w:t>
      </w:r>
      <w:r w:rsidR="007F20E6" w:rsidRPr="00AF5BEE">
        <w:rPr>
          <w:sz w:val="26"/>
          <w:szCs w:val="26"/>
        </w:rPr>
        <w:t xml:space="preserve"> des exportations et </w:t>
      </w:r>
      <w:r w:rsidR="009A03A4" w:rsidRPr="00AF5BEE">
        <w:rPr>
          <w:sz w:val="26"/>
          <w:szCs w:val="26"/>
        </w:rPr>
        <w:t xml:space="preserve">aussi </w:t>
      </w:r>
      <w:r w:rsidR="007F20E6" w:rsidRPr="00AF5BEE">
        <w:rPr>
          <w:sz w:val="26"/>
          <w:szCs w:val="26"/>
        </w:rPr>
        <w:t xml:space="preserve">à </w:t>
      </w:r>
      <w:r w:rsidR="000003FE" w:rsidRPr="00AF5BEE">
        <w:rPr>
          <w:sz w:val="26"/>
          <w:szCs w:val="26"/>
        </w:rPr>
        <w:t>une</w:t>
      </w:r>
      <w:r w:rsidRPr="00AF5BEE">
        <w:rPr>
          <w:sz w:val="26"/>
          <w:szCs w:val="26"/>
        </w:rPr>
        <w:t xml:space="preserve"> dynamique du marché immobilier.</w:t>
      </w:r>
      <w:r w:rsidR="003265A4" w:rsidRPr="00AF5BEE">
        <w:rPr>
          <w:sz w:val="26"/>
          <w:szCs w:val="26"/>
        </w:rPr>
        <w:t xml:space="preserve"> </w:t>
      </w:r>
      <w:r w:rsidR="004E6480" w:rsidRPr="00AF5BEE">
        <w:rPr>
          <w:sz w:val="26"/>
          <w:szCs w:val="26"/>
        </w:rPr>
        <w:t>En I</w:t>
      </w:r>
      <w:r w:rsidR="007A1486" w:rsidRPr="00AF5BEE">
        <w:rPr>
          <w:b/>
          <w:sz w:val="26"/>
          <w:szCs w:val="26"/>
        </w:rPr>
        <w:t>nde</w:t>
      </w:r>
      <w:r w:rsidR="007A1486" w:rsidRPr="00AF5BEE">
        <w:rPr>
          <w:sz w:val="26"/>
          <w:szCs w:val="26"/>
        </w:rPr>
        <w:t>,</w:t>
      </w:r>
      <w:r w:rsidR="00E214CE" w:rsidRPr="00AF5BEE">
        <w:rPr>
          <w:sz w:val="26"/>
          <w:szCs w:val="26"/>
        </w:rPr>
        <w:t xml:space="preserve"> </w:t>
      </w:r>
      <w:r w:rsidR="004E6480" w:rsidRPr="00AF5BEE">
        <w:rPr>
          <w:sz w:val="26"/>
          <w:szCs w:val="26"/>
        </w:rPr>
        <w:t>la croissance économique devrait s’accélérer</w:t>
      </w:r>
      <w:r w:rsidR="00BC030F" w:rsidRPr="00AF5BEE">
        <w:rPr>
          <w:sz w:val="26"/>
          <w:szCs w:val="26"/>
        </w:rPr>
        <w:t>,</w:t>
      </w:r>
      <w:r w:rsidR="004E6480" w:rsidRPr="00AF5BEE">
        <w:rPr>
          <w:sz w:val="26"/>
          <w:szCs w:val="26"/>
        </w:rPr>
        <w:t xml:space="preserve"> passant de  6,7% en 2017 à 7,4% en 2018,  grâce à des réformes structurelles d’envergure</w:t>
      </w:r>
      <w:r w:rsidR="00EE645C" w:rsidRPr="00AF5BEE">
        <w:rPr>
          <w:sz w:val="26"/>
          <w:szCs w:val="26"/>
        </w:rPr>
        <w:t xml:space="preserve"> ce qui </w:t>
      </w:r>
      <w:r w:rsidR="009A03A4" w:rsidRPr="00AF5BEE">
        <w:rPr>
          <w:sz w:val="26"/>
          <w:szCs w:val="26"/>
        </w:rPr>
        <w:t xml:space="preserve">lui permettrait de se </w:t>
      </w:r>
      <w:r w:rsidR="00BC030F" w:rsidRPr="00AF5BEE">
        <w:rPr>
          <w:sz w:val="26"/>
          <w:szCs w:val="26"/>
        </w:rPr>
        <w:t>hisser</w:t>
      </w:r>
      <w:r w:rsidR="009A03A4" w:rsidRPr="00AF5BEE">
        <w:rPr>
          <w:sz w:val="26"/>
          <w:szCs w:val="26"/>
        </w:rPr>
        <w:t xml:space="preserve"> parmi les grandes puissances économiques mondiales</w:t>
      </w:r>
      <w:r w:rsidR="003265A4" w:rsidRPr="00AF5BEE">
        <w:rPr>
          <w:sz w:val="26"/>
          <w:szCs w:val="26"/>
        </w:rPr>
        <w:t xml:space="preserve">. </w:t>
      </w:r>
    </w:p>
    <w:p w:rsidR="00AF5BEE" w:rsidRPr="00AF5BEE" w:rsidRDefault="00AF5BEE" w:rsidP="00AF5BEE">
      <w:pPr>
        <w:spacing w:line="276" w:lineRule="auto"/>
        <w:jc w:val="both"/>
        <w:rPr>
          <w:sz w:val="26"/>
          <w:szCs w:val="26"/>
        </w:rPr>
      </w:pPr>
    </w:p>
    <w:p w:rsidR="006068D3" w:rsidRDefault="009A03A4" w:rsidP="00155C78">
      <w:pPr>
        <w:spacing w:line="276" w:lineRule="auto"/>
        <w:jc w:val="both"/>
        <w:rPr>
          <w:sz w:val="26"/>
          <w:szCs w:val="26"/>
        </w:rPr>
      </w:pPr>
      <w:r w:rsidRPr="00AF5BEE">
        <w:rPr>
          <w:sz w:val="26"/>
          <w:szCs w:val="26"/>
        </w:rPr>
        <w:t>Dans ce contexte</w:t>
      </w:r>
      <w:r w:rsidR="006068D3" w:rsidRPr="00AF5BEE">
        <w:rPr>
          <w:sz w:val="26"/>
          <w:szCs w:val="26"/>
        </w:rPr>
        <w:t xml:space="preserve">, </w:t>
      </w:r>
      <w:r w:rsidR="006068D3" w:rsidRPr="00AF5BEE">
        <w:rPr>
          <w:b/>
          <w:sz w:val="26"/>
          <w:szCs w:val="26"/>
        </w:rPr>
        <w:t xml:space="preserve">le volume du commerce </w:t>
      </w:r>
      <w:r w:rsidRPr="00AF5BEE">
        <w:rPr>
          <w:b/>
          <w:sz w:val="26"/>
          <w:szCs w:val="26"/>
        </w:rPr>
        <w:t>mondial</w:t>
      </w:r>
      <w:r w:rsidR="006068D3" w:rsidRPr="00AF5BEE">
        <w:rPr>
          <w:sz w:val="26"/>
          <w:szCs w:val="26"/>
        </w:rPr>
        <w:t xml:space="preserve"> devrait </w:t>
      </w:r>
      <w:r w:rsidR="00767505" w:rsidRPr="00AF5BEE">
        <w:rPr>
          <w:sz w:val="26"/>
          <w:szCs w:val="26"/>
        </w:rPr>
        <w:t>s’</w:t>
      </w:r>
      <w:r w:rsidR="006068D3" w:rsidRPr="00AF5BEE">
        <w:rPr>
          <w:sz w:val="26"/>
          <w:szCs w:val="26"/>
        </w:rPr>
        <w:t>accroitre  de 4% en 2018, après 4,2% en 2017 et 2,</w:t>
      </w:r>
      <w:r w:rsidR="003669D1" w:rsidRPr="00AF5BEE">
        <w:rPr>
          <w:sz w:val="26"/>
          <w:szCs w:val="26"/>
        </w:rPr>
        <w:t>4</w:t>
      </w:r>
      <w:r w:rsidR="006068D3" w:rsidRPr="00AF5BEE">
        <w:rPr>
          <w:sz w:val="26"/>
          <w:szCs w:val="26"/>
        </w:rPr>
        <w:t xml:space="preserve">% en 2016. Toutefois, cette dynamique resterait en deçà des niveaux enregistrés avant la crise financière. </w:t>
      </w:r>
      <w:r w:rsidR="00BC030F" w:rsidRPr="00AF5BEE">
        <w:rPr>
          <w:sz w:val="26"/>
          <w:szCs w:val="26"/>
        </w:rPr>
        <w:t xml:space="preserve"> De leur côté, les </w:t>
      </w:r>
      <w:r w:rsidR="006068D3" w:rsidRPr="00AF5BEE">
        <w:rPr>
          <w:sz w:val="26"/>
          <w:szCs w:val="26"/>
        </w:rPr>
        <w:t>cours pétroliers devrai</w:t>
      </w:r>
      <w:r w:rsidR="00767505" w:rsidRPr="00AF5BEE">
        <w:rPr>
          <w:sz w:val="26"/>
          <w:szCs w:val="26"/>
        </w:rPr>
        <w:t>ent</w:t>
      </w:r>
      <w:r w:rsidR="006068D3" w:rsidRPr="00AF5BEE">
        <w:rPr>
          <w:sz w:val="26"/>
          <w:szCs w:val="26"/>
        </w:rPr>
        <w:t xml:space="preserve"> repartir à la hausse</w:t>
      </w:r>
      <w:r w:rsidR="00EC5023" w:rsidRPr="00AF5BEE">
        <w:rPr>
          <w:sz w:val="26"/>
          <w:szCs w:val="26"/>
        </w:rPr>
        <w:t xml:space="preserve">, en liaison avec </w:t>
      </w:r>
      <w:r w:rsidR="006068D3" w:rsidRPr="00AF5BEE">
        <w:rPr>
          <w:sz w:val="26"/>
          <w:szCs w:val="26"/>
        </w:rPr>
        <w:t xml:space="preserve">la reprise de l’activité économique et </w:t>
      </w:r>
      <w:r w:rsidR="00EC5023" w:rsidRPr="00AF5BEE">
        <w:rPr>
          <w:sz w:val="26"/>
          <w:szCs w:val="26"/>
        </w:rPr>
        <w:t xml:space="preserve">avec </w:t>
      </w:r>
      <w:r w:rsidR="006068D3" w:rsidRPr="00AF5BEE">
        <w:rPr>
          <w:sz w:val="26"/>
          <w:szCs w:val="26"/>
        </w:rPr>
        <w:t xml:space="preserve">la reconduction de l’accord </w:t>
      </w:r>
      <w:r w:rsidR="00BE3106" w:rsidRPr="00AF5BEE">
        <w:rPr>
          <w:sz w:val="26"/>
          <w:szCs w:val="26"/>
        </w:rPr>
        <w:t xml:space="preserve">intervenu entre les pays membres de l’OPEP en vue de limiter la production </w:t>
      </w:r>
      <w:r w:rsidR="006068D3" w:rsidRPr="00AF5BEE">
        <w:rPr>
          <w:sz w:val="26"/>
          <w:szCs w:val="26"/>
        </w:rPr>
        <w:t>pétrolière.</w:t>
      </w:r>
      <w:bookmarkStart w:id="0" w:name="bookmark26"/>
      <w:r w:rsidR="006068D3" w:rsidRPr="00AF5BEE">
        <w:rPr>
          <w:sz w:val="26"/>
          <w:szCs w:val="26"/>
        </w:rPr>
        <w:t xml:space="preserve"> Les </w:t>
      </w:r>
      <w:r w:rsidR="00BE3106" w:rsidRPr="00AF5BEE">
        <w:rPr>
          <w:sz w:val="26"/>
          <w:szCs w:val="26"/>
        </w:rPr>
        <w:t>prix</w:t>
      </w:r>
      <w:r w:rsidR="006068D3" w:rsidRPr="00AF5BEE">
        <w:rPr>
          <w:sz w:val="26"/>
          <w:szCs w:val="26"/>
        </w:rPr>
        <w:t xml:space="preserve"> de pétrole devraient évoluer aux environs de </w:t>
      </w:r>
      <w:r w:rsidR="00155C78">
        <w:rPr>
          <w:sz w:val="26"/>
          <w:szCs w:val="26"/>
        </w:rPr>
        <w:t>60</w:t>
      </w:r>
      <w:r w:rsidR="006068D3" w:rsidRPr="00AF5BEE">
        <w:rPr>
          <w:sz w:val="26"/>
          <w:szCs w:val="26"/>
        </w:rPr>
        <w:t xml:space="preserve"> dollars en 2018 après 54 dollars en 2017</w:t>
      </w:r>
      <w:bookmarkEnd w:id="0"/>
      <w:r w:rsidR="006068D3" w:rsidRPr="00AF5BEE">
        <w:rPr>
          <w:sz w:val="26"/>
          <w:szCs w:val="26"/>
        </w:rPr>
        <w:t>. De leur c</w:t>
      </w:r>
      <w:r w:rsidR="00584D7B">
        <w:rPr>
          <w:sz w:val="26"/>
          <w:szCs w:val="26"/>
        </w:rPr>
        <w:t>ô</w:t>
      </w:r>
      <w:r w:rsidR="006068D3" w:rsidRPr="00AF5BEE">
        <w:rPr>
          <w:sz w:val="26"/>
          <w:szCs w:val="26"/>
        </w:rPr>
        <w:t xml:space="preserve">té, les cours des produits de base hors carburants devraient rester élevés avec une évolution de </w:t>
      </w:r>
      <w:r w:rsidR="00BC030F" w:rsidRPr="00AF5BEE">
        <w:rPr>
          <w:sz w:val="26"/>
          <w:szCs w:val="26"/>
        </w:rPr>
        <w:t>0,5% en 2018 après 7,1% en 2017</w:t>
      </w:r>
      <w:r w:rsidR="006068D3" w:rsidRPr="00AF5BEE">
        <w:rPr>
          <w:sz w:val="26"/>
          <w:szCs w:val="26"/>
        </w:rPr>
        <w:t>.</w:t>
      </w:r>
    </w:p>
    <w:p w:rsidR="00AF5BEE" w:rsidRPr="00AF5BEE" w:rsidRDefault="00AF5BEE" w:rsidP="00AF5BEE">
      <w:pPr>
        <w:spacing w:line="276" w:lineRule="auto"/>
        <w:jc w:val="both"/>
        <w:rPr>
          <w:sz w:val="26"/>
          <w:szCs w:val="26"/>
        </w:rPr>
      </w:pPr>
    </w:p>
    <w:p w:rsidR="00191140" w:rsidRDefault="00B24C5B" w:rsidP="00AF5BEE">
      <w:pPr>
        <w:spacing w:line="276" w:lineRule="auto"/>
        <w:jc w:val="both"/>
        <w:rPr>
          <w:sz w:val="26"/>
          <w:szCs w:val="26"/>
        </w:rPr>
      </w:pPr>
      <w:r w:rsidRPr="00AF5BEE">
        <w:rPr>
          <w:sz w:val="26"/>
          <w:szCs w:val="26"/>
        </w:rPr>
        <w:t>Ainsi</w:t>
      </w:r>
      <w:r w:rsidR="00191140" w:rsidRPr="00AF5BEE">
        <w:rPr>
          <w:sz w:val="26"/>
          <w:szCs w:val="26"/>
        </w:rPr>
        <w:t xml:space="preserve">, </w:t>
      </w:r>
      <w:r w:rsidR="00191140" w:rsidRPr="00AF5BEE">
        <w:rPr>
          <w:b/>
          <w:sz w:val="26"/>
          <w:szCs w:val="26"/>
        </w:rPr>
        <w:t>l’inflation</w:t>
      </w:r>
      <w:r w:rsidR="00191140" w:rsidRPr="00AF5BEE">
        <w:rPr>
          <w:sz w:val="26"/>
          <w:szCs w:val="26"/>
        </w:rPr>
        <w:t xml:space="preserve"> dans les pays émergents et en développeme</w:t>
      </w:r>
      <w:r w:rsidR="001E5D66" w:rsidRPr="00AF5BEE">
        <w:rPr>
          <w:sz w:val="26"/>
          <w:szCs w:val="26"/>
        </w:rPr>
        <w:t>nt devrait reste</w:t>
      </w:r>
      <w:r w:rsidR="00064E5D" w:rsidRPr="00AF5BEE">
        <w:rPr>
          <w:sz w:val="26"/>
          <w:szCs w:val="26"/>
        </w:rPr>
        <w:t>r</w:t>
      </w:r>
      <w:r w:rsidR="00191140" w:rsidRPr="00AF5BEE">
        <w:rPr>
          <w:sz w:val="26"/>
          <w:szCs w:val="26"/>
        </w:rPr>
        <w:t xml:space="preserve"> stable </w:t>
      </w:r>
      <w:r w:rsidR="00064E5D" w:rsidRPr="00AF5BEE">
        <w:rPr>
          <w:sz w:val="26"/>
          <w:szCs w:val="26"/>
        </w:rPr>
        <w:t>à 4,4 % en 2018</w:t>
      </w:r>
      <w:r w:rsidR="00BC030F" w:rsidRPr="00AF5BEE">
        <w:rPr>
          <w:sz w:val="26"/>
          <w:szCs w:val="26"/>
        </w:rPr>
        <w:t xml:space="preserve">, alors qu’elle devrait augmenter </w:t>
      </w:r>
      <w:r w:rsidR="00191140" w:rsidRPr="00AF5BEE">
        <w:rPr>
          <w:sz w:val="26"/>
          <w:szCs w:val="26"/>
        </w:rPr>
        <w:t>dans les pays avancés</w:t>
      </w:r>
      <w:r w:rsidR="00BC030F" w:rsidRPr="00AF5BEE">
        <w:rPr>
          <w:sz w:val="26"/>
          <w:szCs w:val="26"/>
        </w:rPr>
        <w:t xml:space="preserve"> </w:t>
      </w:r>
      <w:r w:rsidR="00B721ED" w:rsidRPr="00AF5BEE">
        <w:rPr>
          <w:sz w:val="26"/>
          <w:szCs w:val="26"/>
        </w:rPr>
        <w:t xml:space="preserve">de </w:t>
      </w:r>
      <w:r w:rsidR="00226E7A" w:rsidRPr="00AF5BEE">
        <w:rPr>
          <w:sz w:val="26"/>
          <w:szCs w:val="26"/>
        </w:rPr>
        <w:t>0,8% en 2016</w:t>
      </w:r>
      <w:r w:rsidR="00191140" w:rsidRPr="00AF5BEE">
        <w:rPr>
          <w:sz w:val="26"/>
          <w:szCs w:val="26"/>
        </w:rPr>
        <w:t xml:space="preserve"> à 1,7 % en 201</w:t>
      </w:r>
      <w:r w:rsidR="00226E7A" w:rsidRPr="00AF5BEE">
        <w:rPr>
          <w:sz w:val="26"/>
          <w:szCs w:val="26"/>
        </w:rPr>
        <w:t>7 et 2018</w:t>
      </w:r>
      <w:r w:rsidR="00191140" w:rsidRPr="00AF5BEE">
        <w:rPr>
          <w:sz w:val="26"/>
          <w:szCs w:val="26"/>
        </w:rPr>
        <w:t>. Elle reste, cependant, inférieur</w:t>
      </w:r>
      <w:r w:rsidR="00B721ED" w:rsidRPr="00AF5BEE">
        <w:rPr>
          <w:sz w:val="26"/>
          <w:szCs w:val="26"/>
        </w:rPr>
        <w:t>e</w:t>
      </w:r>
      <w:r w:rsidR="00191140" w:rsidRPr="00AF5BEE">
        <w:rPr>
          <w:sz w:val="26"/>
          <w:szCs w:val="26"/>
        </w:rPr>
        <w:t xml:space="preserve"> aux objectifs fixés par les banques centrales. Pour sa part, la parité euro-dollar devrait atteindre 1,17 en 2017 et 2018 au lieu de 1,10 en 2016. Ce renforcement </w:t>
      </w:r>
      <w:r w:rsidR="00C678C4" w:rsidRPr="00AF5BEE">
        <w:rPr>
          <w:sz w:val="26"/>
          <w:szCs w:val="26"/>
        </w:rPr>
        <w:t xml:space="preserve"> de la monnaie européenne </w:t>
      </w:r>
      <w:r w:rsidR="00191140" w:rsidRPr="00AF5BEE">
        <w:rPr>
          <w:sz w:val="26"/>
          <w:szCs w:val="26"/>
        </w:rPr>
        <w:t xml:space="preserve">intervient dans un contexte d’amélioration de plusieurs indicateurs économiques de la zone euro. </w:t>
      </w:r>
    </w:p>
    <w:p w:rsidR="00584D7B" w:rsidRPr="00AF5BEE" w:rsidRDefault="00584D7B" w:rsidP="00AF5BEE">
      <w:pPr>
        <w:spacing w:line="276" w:lineRule="auto"/>
        <w:jc w:val="both"/>
        <w:rPr>
          <w:sz w:val="26"/>
          <w:szCs w:val="26"/>
        </w:rPr>
      </w:pPr>
    </w:p>
    <w:p w:rsidR="00EE645C" w:rsidRPr="00AF5BEE" w:rsidRDefault="00EE645C" w:rsidP="00584D7B">
      <w:pPr>
        <w:spacing w:line="276" w:lineRule="auto"/>
        <w:jc w:val="both"/>
        <w:rPr>
          <w:sz w:val="26"/>
          <w:szCs w:val="26"/>
        </w:rPr>
      </w:pPr>
      <w:r w:rsidRPr="00AF5BEE">
        <w:rPr>
          <w:sz w:val="26"/>
          <w:szCs w:val="26"/>
        </w:rPr>
        <w:t xml:space="preserve">Dans ces conditions, </w:t>
      </w:r>
      <w:r w:rsidRPr="00584D7B">
        <w:rPr>
          <w:b/>
          <w:bCs/>
          <w:sz w:val="26"/>
          <w:szCs w:val="26"/>
        </w:rPr>
        <w:t>la demande étrangère adressée au Maroc</w:t>
      </w:r>
      <w:r w:rsidRPr="00AF5BEE">
        <w:rPr>
          <w:sz w:val="26"/>
          <w:szCs w:val="26"/>
        </w:rPr>
        <w:t xml:space="preserve"> devrait s</w:t>
      </w:r>
      <w:r w:rsidR="00B24C5B" w:rsidRPr="00AF5BEE">
        <w:rPr>
          <w:sz w:val="26"/>
          <w:szCs w:val="26"/>
        </w:rPr>
        <w:t>’accroitre de</w:t>
      </w:r>
      <w:r w:rsidRPr="00AF5BEE">
        <w:rPr>
          <w:sz w:val="26"/>
          <w:szCs w:val="26"/>
        </w:rPr>
        <w:t xml:space="preserve"> 4% en 2018,</w:t>
      </w:r>
      <w:bookmarkStart w:id="1" w:name="bookmark22"/>
      <w:r w:rsidRPr="00AF5BEE">
        <w:rPr>
          <w:sz w:val="26"/>
          <w:szCs w:val="26"/>
        </w:rPr>
        <w:t xml:space="preserve"> suite au raffermissement des importations de nos principaux partenaires commerciaux, en l’occurrence, l’Espagne et la France</w:t>
      </w:r>
      <w:bookmarkEnd w:id="1"/>
      <w:r w:rsidRPr="00AF5BEE">
        <w:rPr>
          <w:sz w:val="26"/>
          <w:szCs w:val="26"/>
        </w:rPr>
        <w:t xml:space="preserve"> qui accaparent à eux seul</w:t>
      </w:r>
      <w:r w:rsidR="00584D7B">
        <w:rPr>
          <w:sz w:val="26"/>
          <w:szCs w:val="26"/>
        </w:rPr>
        <w:t>s</w:t>
      </w:r>
      <w:r w:rsidRPr="00AF5BEE">
        <w:rPr>
          <w:sz w:val="26"/>
          <w:szCs w:val="26"/>
        </w:rPr>
        <w:t xml:space="preserve"> 45,5% du total des exportations marocaines.</w:t>
      </w:r>
    </w:p>
    <w:p w:rsidR="00D30A7E" w:rsidRPr="00BC6D26" w:rsidRDefault="00D30A7E" w:rsidP="00BC6D26">
      <w:pPr>
        <w:rPr>
          <w:sz w:val="24"/>
          <w:szCs w:val="24"/>
        </w:rPr>
      </w:pPr>
    </w:p>
    <w:p w:rsidR="00191140" w:rsidRPr="00BC6D26" w:rsidRDefault="00191140" w:rsidP="00BC6D26">
      <w:pPr>
        <w:rPr>
          <w:color w:val="0070C0"/>
          <w:sz w:val="24"/>
          <w:szCs w:val="24"/>
        </w:rPr>
      </w:pPr>
    </w:p>
    <w:p w:rsidR="009D25A2" w:rsidRPr="00BC6D26" w:rsidRDefault="009D25A2" w:rsidP="00BC6D26">
      <w:pPr>
        <w:rPr>
          <w:color w:val="0070C0"/>
          <w:sz w:val="24"/>
          <w:szCs w:val="24"/>
        </w:rPr>
      </w:pPr>
    </w:p>
    <w:p w:rsidR="009D25A2" w:rsidRDefault="009D25A2" w:rsidP="00BC6D26">
      <w:pPr>
        <w:rPr>
          <w:color w:val="0070C0"/>
          <w:sz w:val="24"/>
          <w:szCs w:val="24"/>
        </w:rPr>
      </w:pPr>
    </w:p>
    <w:p w:rsidR="00584D7B" w:rsidRDefault="00584D7B" w:rsidP="00BC6D26">
      <w:pPr>
        <w:rPr>
          <w:color w:val="0070C0"/>
          <w:sz w:val="24"/>
          <w:szCs w:val="24"/>
        </w:rPr>
      </w:pPr>
    </w:p>
    <w:p w:rsidR="00584D7B" w:rsidRDefault="00584D7B" w:rsidP="00BC6D26">
      <w:pPr>
        <w:rPr>
          <w:color w:val="0070C0"/>
          <w:sz w:val="24"/>
          <w:szCs w:val="24"/>
        </w:rPr>
      </w:pPr>
    </w:p>
    <w:p w:rsidR="00584D7B" w:rsidRDefault="00584D7B" w:rsidP="00BC6D26">
      <w:pPr>
        <w:rPr>
          <w:color w:val="0070C0"/>
          <w:sz w:val="24"/>
          <w:szCs w:val="24"/>
        </w:rPr>
      </w:pPr>
    </w:p>
    <w:p w:rsidR="00584D7B" w:rsidRDefault="00584D7B" w:rsidP="00BC6D26">
      <w:pPr>
        <w:rPr>
          <w:color w:val="0070C0"/>
          <w:sz w:val="24"/>
          <w:szCs w:val="24"/>
        </w:rPr>
      </w:pPr>
    </w:p>
    <w:p w:rsidR="00584D7B" w:rsidRDefault="00584D7B" w:rsidP="00BC6D26">
      <w:pPr>
        <w:rPr>
          <w:color w:val="0070C0"/>
          <w:sz w:val="24"/>
          <w:szCs w:val="24"/>
        </w:rPr>
      </w:pPr>
    </w:p>
    <w:p w:rsidR="00584D7B" w:rsidRDefault="00584D7B" w:rsidP="00BC6D26">
      <w:pPr>
        <w:rPr>
          <w:color w:val="0070C0"/>
          <w:sz w:val="24"/>
          <w:szCs w:val="24"/>
        </w:rPr>
      </w:pPr>
    </w:p>
    <w:p w:rsidR="00584D7B" w:rsidRDefault="00584D7B" w:rsidP="00BC6D26">
      <w:pPr>
        <w:rPr>
          <w:color w:val="0070C0"/>
          <w:sz w:val="24"/>
          <w:szCs w:val="24"/>
        </w:rPr>
      </w:pPr>
    </w:p>
    <w:p w:rsidR="00584D7B" w:rsidRDefault="00584D7B" w:rsidP="00BC6D26">
      <w:pPr>
        <w:rPr>
          <w:color w:val="0070C0"/>
          <w:sz w:val="24"/>
          <w:szCs w:val="24"/>
        </w:rPr>
      </w:pPr>
    </w:p>
    <w:p w:rsidR="00584D7B" w:rsidRDefault="00584D7B" w:rsidP="00BC6D26">
      <w:pPr>
        <w:rPr>
          <w:color w:val="0070C0"/>
          <w:sz w:val="24"/>
          <w:szCs w:val="24"/>
        </w:rPr>
      </w:pPr>
    </w:p>
    <w:p w:rsidR="00584D7B" w:rsidRPr="00BC6D26" w:rsidRDefault="00584D7B" w:rsidP="00BC6D26">
      <w:pPr>
        <w:rPr>
          <w:color w:val="0070C0"/>
          <w:sz w:val="24"/>
          <w:szCs w:val="24"/>
        </w:rPr>
      </w:pPr>
    </w:p>
    <w:p w:rsidR="00E12D14" w:rsidRDefault="00E12D14" w:rsidP="00397AD0">
      <w:pPr>
        <w:pStyle w:val="Paragraphedeliste"/>
        <w:numPr>
          <w:ilvl w:val="0"/>
          <w:numId w:val="14"/>
        </w:numPr>
        <w:rPr>
          <w:b/>
          <w:caps/>
          <w:shadow/>
          <w:color w:val="0070C0"/>
          <w:kern w:val="16"/>
          <w:sz w:val="28"/>
          <w:szCs w:val="28"/>
          <w:u w:val="single"/>
        </w:rPr>
      </w:pPr>
      <w:r w:rsidRPr="00584D7B">
        <w:rPr>
          <w:b/>
          <w:caps/>
          <w:shadow/>
          <w:color w:val="0070C0"/>
          <w:kern w:val="16"/>
          <w:sz w:val="28"/>
          <w:szCs w:val="28"/>
          <w:u w:val="single"/>
        </w:rPr>
        <w:lastRenderedPageBreak/>
        <w:t xml:space="preserve">Le </w:t>
      </w:r>
      <w:r w:rsidR="00EA408A" w:rsidRPr="00584D7B">
        <w:rPr>
          <w:b/>
          <w:caps/>
          <w:shadow/>
          <w:color w:val="0070C0"/>
          <w:kern w:val="16"/>
          <w:sz w:val="28"/>
          <w:szCs w:val="28"/>
          <w:u w:val="single"/>
        </w:rPr>
        <w:t>contexte</w:t>
      </w:r>
      <w:r w:rsidRPr="00584D7B">
        <w:rPr>
          <w:b/>
          <w:caps/>
          <w:shadow/>
          <w:color w:val="0070C0"/>
          <w:kern w:val="16"/>
          <w:sz w:val="28"/>
          <w:szCs w:val="28"/>
          <w:u w:val="single"/>
        </w:rPr>
        <w:t xml:space="preserve"> national: </w:t>
      </w:r>
      <w:r w:rsidR="006263AF" w:rsidRPr="00584D7B">
        <w:rPr>
          <w:b/>
          <w:caps/>
          <w:shadow/>
          <w:color w:val="0070C0"/>
          <w:kern w:val="16"/>
          <w:sz w:val="28"/>
          <w:szCs w:val="28"/>
          <w:u w:val="single"/>
        </w:rPr>
        <w:t>Amélioration du rythme de croissance économique nationale en 2017 et s</w:t>
      </w:r>
      <w:r w:rsidR="00397AD0">
        <w:rPr>
          <w:b/>
          <w:caps/>
          <w:shadow/>
          <w:color w:val="0070C0"/>
          <w:kern w:val="16"/>
          <w:sz w:val="28"/>
          <w:szCs w:val="28"/>
          <w:u w:val="single"/>
        </w:rPr>
        <w:t>a</w:t>
      </w:r>
      <w:r w:rsidR="006263AF" w:rsidRPr="00584D7B">
        <w:rPr>
          <w:b/>
          <w:caps/>
          <w:shadow/>
          <w:color w:val="0070C0"/>
          <w:kern w:val="16"/>
          <w:sz w:val="28"/>
          <w:szCs w:val="28"/>
          <w:u w:val="single"/>
        </w:rPr>
        <w:t xml:space="preserve"> décélération en 2018</w:t>
      </w:r>
    </w:p>
    <w:p w:rsidR="00584D7B" w:rsidRDefault="00584D7B" w:rsidP="00584D7B">
      <w:pPr>
        <w:pStyle w:val="Paragraphedeliste"/>
        <w:ind w:firstLine="0"/>
        <w:rPr>
          <w:b/>
          <w:caps/>
          <w:shadow/>
          <w:color w:val="0070C0"/>
          <w:kern w:val="16"/>
          <w:sz w:val="28"/>
          <w:szCs w:val="28"/>
          <w:u w:val="single"/>
        </w:rPr>
      </w:pPr>
    </w:p>
    <w:p w:rsidR="00584D7B" w:rsidRDefault="00AD098F" w:rsidP="00584D7B">
      <w:pPr>
        <w:pStyle w:val="Paragraphedeliste"/>
        <w:ind w:firstLine="0"/>
        <w:rPr>
          <w:b/>
          <w:caps/>
          <w:shadow/>
          <w:color w:val="0070C0"/>
          <w:kern w:val="16"/>
          <w:sz w:val="28"/>
          <w:szCs w:val="28"/>
          <w:u w:val="single"/>
        </w:rPr>
      </w:pPr>
      <w:r>
        <w:rPr>
          <w:b/>
          <w:caps/>
          <w:shadow/>
          <w:noProof/>
          <w:color w:val="0070C0"/>
          <w:kern w:val="16"/>
          <w:sz w:val="28"/>
          <w:szCs w:val="28"/>
          <w:u w:val="single"/>
          <w:lang w:eastAsia="fr-FR" w:bidi="ar-SA"/>
        </w:rPr>
        <w:pict>
          <v:roundrect id="_x0000_s1031" style="position:absolute;left:0;text-align:left;margin-left:33.45pt;margin-top:9.9pt;width:258.7pt;height:30.85pt;z-index:251662336" arcsize="10923f" fillcolor="white [3201]" strokecolor="#95b3d7 [1940]" strokeweight="1pt">
            <v:fill color2="#b8cce4 [1300]" focusposition="1" focussize="" focus="100%" type="gradient"/>
            <v:shadow on="t" type="perspective" color="#243f60 [1604]" opacity=".5" offset="1pt" offset2="-3pt"/>
            <v:textbox style="mso-next-textbox:#_x0000_s1031">
              <w:txbxContent>
                <w:p w:rsidR="001E5FB8" w:rsidRPr="00584D7B" w:rsidRDefault="001E5FB8" w:rsidP="00584D7B">
                  <w:pPr>
                    <w:ind w:firstLine="0"/>
                    <w:jc w:val="center"/>
                    <w:rPr>
                      <w:sz w:val="24"/>
                      <w:szCs w:val="24"/>
                    </w:rPr>
                  </w:pPr>
                  <w:r w:rsidRPr="00584D7B">
                    <w:rPr>
                      <w:b/>
                      <w:color w:val="17365D" w:themeColor="text2" w:themeShade="BF"/>
                      <w:sz w:val="32"/>
                      <w:szCs w:val="32"/>
                      <w:u w:val="single"/>
                    </w:rPr>
                    <w:t>Situation économique en 2017</w:t>
                  </w:r>
                </w:p>
              </w:txbxContent>
            </v:textbox>
          </v:roundrect>
        </w:pict>
      </w:r>
    </w:p>
    <w:p w:rsidR="00584D7B" w:rsidRPr="00584D7B" w:rsidRDefault="00584D7B" w:rsidP="00584D7B">
      <w:pPr>
        <w:pStyle w:val="Paragraphedeliste"/>
        <w:ind w:firstLine="0"/>
        <w:rPr>
          <w:b/>
          <w:caps/>
          <w:shadow/>
          <w:color w:val="0070C0"/>
          <w:kern w:val="16"/>
          <w:sz w:val="28"/>
          <w:szCs w:val="28"/>
          <w:u w:val="single"/>
        </w:rPr>
      </w:pPr>
    </w:p>
    <w:p w:rsidR="00584D7B" w:rsidRPr="00584D7B" w:rsidRDefault="0085741A" w:rsidP="00584D7B">
      <w:pPr>
        <w:rPr>
          <w:color w:val="17365D" w:themeColor="text2" w:themeShade="BF"/>
          <w:sz w:val="28"/>
          <w:szCs w:val="28"/>
        </w:rPr>
      </w:pPr>
      <w:r w:rsidRPr="00BC6D26">
        <w:rPr>
          <w:sz w:val="24"/>
          <w:szCs w:val="24"/>
        </w:rPr>
        <w:tab/>
      </w:r>
      <w:r w:rsidRPr="00BC6D26">
        <w:rPr>
          <w:sz w:val="24"/>
          <w:szCs w:val="24"/>
        </w:rPr>
        <w:tab/>
      </w:r>
      <w:r w:rsidR="006263AF" w:rsidRPr="00584D7B">
        <w:rPr>
          <w:color w:val="17365D" w:themeColor="text2" w:themeShade="BF"/>
          <w:sz w:val="28"/>
          <w:szCs w:val="28"/>
        </w:rPr>
        <w:t xml:space="preserve"> </w:t>
      </w:r>
    </w:p>
    <w:p w:rsidR="00856BB9" w:rsidRPr="00584D7B" w:rsidRDefault="00584D7B" w:rsidP="00635426">
      <w:pPr>
        <w:spacing w:line="276" w:lineRule="auto"/>
        <w:jc w:val="both"/>
        <w:rPr>
          <w:sz w:val="26"/>
          <w:szCs w:val="26"/>
        </w:rPr>
      </w:pPr>
      <w:r w:rsidRPr="00584D7B">
        <w:rPr>
          <w:sz w:val="26"/>
          <w:szCs w:val="26"/>
        </w:rPr>
        <w:tab/>
      </w:r>
      <w:r w:rsidR="00B721ED" w:rsidRPr="00584D7B">
        <w:rPr>
          <w:sz w:val="26"/>
          <w:szCs w:val="26"/>
        </w:rPr>
        <w:t>L</w:t>
      </w:r>
      <w:r w:rsidR="00856BB9" w:rsidRPr="00584D7B">
        <w:rPr>
          <w:sz w:val="26"/>
          <w:szCs w:val="26"/>
        </w:rPr>
        <w:t xml:space="preserve">’économie nationale aurait </w:t>
      </w:r>
      <w:r w:rsidR="003E3A4F" w:rsidRPr="00584D7B">
        <w:rPr>
          <w:sz w:val="26"/>
          <w:szCs w:val="26"/>
        </w:rPr>
        <w:t>bénéficié</w:t>
      </w:r>
      <w:r w:rsidR="00B721ED" w:rsidRPr="00584D7B">
        <w:rPr>
          <w:sz w:val="26"/>
          <w:szCs w:val="26"/>
        </w:rPr>
        <w:t xml:space="preserve"> en 2017</w:t>
      </w:r>
      <w:r w:rsidR="00D30A7E" w:rsidRPr="00584D7B">
        <w:rPr>
          <w:sz w:val="26"/>
          <w:szCs w:val="26"/>
        </w:rPr>
        <w:t xml:space="preserve"> d’une campagne agricole favorable et d’une reprise des activités industrielles exportatrices</w:t>
      </w:r>
      <w:r w:rsidR="001B7A2E" w:rsidRPr="00584D7B">
        <w:rPr>
          <w:sz w:val="26"/>
          <w:szCs w:val="26"/>
        </w:rPr>
        <w:t>,</w:t>
      </w:r>
      <w:r w:rsidR="003E3A4F" w:rsidRPr="00584D7B">
        <w:rPr>
          <w:sz w:val="26"/>
          <w:szCs w:val="26"/>
        </w:rPr>
        <w:t xml:space="preserve"> tirée par une </w:t>
      </w:r>
      <w:r w:rsidR="00BE00D8" w:rsidRPr="00584D7B">
        <w:rPr>
          <w:sz w:val="26"/>
          <w:szCs w:val="26"/>
        </w:rPr>
        <w:t>amélioration</w:t>
      </w:r>
      <w:r w:rsidR="003E3A4F" w:rsidRPr="00584D7B">
        <w:rPr>
          <w:sz w:val="26"/>
          <w:szCs w:val="26"/>
        </w:rPr>
        <w:t xml:space="preserve"> de la demande </w:t>
      </w:r>
      <w:r w:rsidR="001B7A2E" w:rsidRPr="00584D7B">
        <w:rPr>
          <w:sz w:val="26"/>
          <w:szCs w:val="26"/>
        </w:rPr>
        <w:t>adressée</w:t>
      </w:r>
      <w:r w:rsidR="003E3A4F" w:rsidRPr="00584D7B">
        <w:rPr>
          <w:sz w:val="26"/>
          <w:szCs w:val="26"/>
        </w:rPr>
        <w:t xml:space="preserve"> au Maroc. Cependant</w:t>
      </w:r>
      <w:r w:rsidR="0067017A" w:rsidRPr="00584D7B">
        <w:rPr>
          <w:sz w:val="26"/>
          <w:szCs w:val="26"/>
        </w:rPr>
        <w:t>,</w:t>
      </w:r>
      <w:r w:rsidR="003E3A4F" w:rsidRPr="00584D7B">
        <w:rPr>
          <w:sz w:val="26"/>
          <w:szCs w:val="26"/>
        </w:rPr>
        <w:t xml:space="preserve"> les besoins </w:t>
      </w:r>
      <w:r w:rsidR="004A61E3" w:rsidRPr="00584D7B">
        <w:rPr>
          <w:sz w:val="26"/>
          <w:szCs w:val="26"/>
        </w:rPr>
        <w:t xml:space="preserve">continus en </w:t>
      </w:r>
      <w:r w:rsidR="00BE00D8" w:rsidRPr="00584D7B">
        <w:rPr>
          <w:sz w:val="26"/>
          <w:szCs w:val="26"/>
        </w:rPr>
        <w:t xml:space="preserve">importations des </w:t>
      </w:r>
      <w:r w:rsidR="004A61E3" w:rsidRPr="00584D7B">
        <w:rPr>
          <w:sz w:val="26"/>
          <w:szCs w:val="26"/>
        </w:rPr>
        <w:t>matières premières</w:t>
      </w:r>
      <w:r w:rsidR="00D30A7E" w:rsidRPr="00584D7B">
        <w:rPr>
          <w:sz w:val="26"/>
          <w:szCs w:val="26"/>
        </w:rPr>
        <w:t xml:space="preserve">, </w:t>
      </w:r>
      <w:r w:rsidR="0067017A" w:rsidRPr="00584D7B">
        <w:rPr>
          <w:sz w:val="26"/>
          <w:szCs w:val="26"/>
        </w:rPr>
        <w:t>des demi</w:t>
      </w:r>
      <w:r w:rsidR="00C76F37" w:rsidRPr="00584D7B">
        <w:rPr>
          <w:sz w:val="26"/>
          <w:szCs w:val="26"/>
        </w:rPr>
        <w:t>s</w:t>
      </w:r>
      <w:r w:rsidR="0067017A" w:rsidRPr="00584D7B">
        <w:rPr>
          <w:sz w:val="26"/>
          <w:szCs w:val="26"/>
        </w:rPr>
        <w:t xml:space="preserve"> produits et </w:t>
      </w:r>
      <w:r w:rsidR="00D30A7E" w:rsidRPr="00584D7B">
        <w:rPr>
          <w:sz w:val="26"/>
          <w:szCs w:val="26"/>
        </w:rPr>
        <w:t xml:space="preserve">de biens de consommation et d’équipement associés à la hausse </w:t>
      </w:r>
      <w:r w:rsidR="00BE00D8" w:rsidRPr="00584D7B">
        <w:rPr>
          <w:sz w:val="26"/>
          <w:szCs w:val="26"/>
        </w:rPr>
        <w:t>de</w:t>
      </w:r>
      <w:r w:rsidR="00664037" w:rsidRPr="00584D7B">
        <w:rPr>
          <w:sz w:val="26"/>
          <w:szCs w:val="26"/>
        </w:rPr>
        <w:t>s</w:t>
      </w:r>
      <w:r w:rsidR="00BE00D8" w:rsidRPr="00584D7B">
        <w:rPr>
          <w:sz w:val="26"/>
          <w:szCs w:val="26"/>
        </w:rPr>
        <w:t xml:space="preserve"> cours</w:t>
      </w:r>
      <w:r w:rsidR="00664037" w:rsidRPr="00584D7B">
        <w:rPr>
          <w:sz w:val="26"/>
          <w:szCs w:val="26"/>
        </w:rPr>
        <w:t xml:space="preserve"> du </w:t>
      </w:r>
      <w:r w:rsidR="00634709" w:rsidRPr="00584D7B">
        <w:rPr>
          <w:sz w:val="26"/>
          <w:szCs w:val="26"/>
        </w:rPr>
        <w:t>pétrole</w:t>
      </w:r>
      <w:r w:rsidR="00C1714B" w:rsidRPr="00584D7B">
        <w:rPr>
          <w:sz w:val="26"/>
          <w:szCs w:val="26"/>
        </w:rPr>
        <w:t xml:space="preserve">, auraient </w:t>
      </w:r>
      <w:r w:rsidR="0067017A" w:rsidRPr="00584D7B">
        <w:rPr>
          <w:sz w:val="26"/>
          <w:szCs w:val="26"/>
        </w:rPr>
        <w:t xml:space="preserve">accentué le </w:t>
      </w:r>
      <w:r w:rsidR="00BE00D8" w:rsidRPr="00584D7B">
        <w:rPr>
          <w:sz w:val="26"/>
          <w:szCs w:val="26"/>
        </w:rPr>
        <w:t xml:space="preserve">besoin de financement </w:t>
      </w:r>
      <w:r w:rsidR="00634709" w:rsidRPr="00584D7B">
        <w:rPr>
          <w:sz w:val="26"/>
          <w:szCs w:val="26"/>
        </w:rPr>
        <w:t xml:space="preserve">permanent </w:t>
      </w:r>
      <w:r w:rsidR="00BE00D8" w:rsidRPr="00584D7B">
        <w:rPr>
          <w:sz w:val="26"/>
          <w:szCs w:val="26"/>
        </w:rPr>
        <w:t xml:space="preserve">de </w:t>
      </w:r>
      <w:r w:rsidR="004E6480" w:rsidRPr="00584D7B">
        <w:rPr>
          <w:sz w:val="26"/>
          <w:szCs w:val="26"/>
        </w:rPr>
        <w:t>l’économie</w:t>
      </w:r>
      <w:r w:rsidR="00BE00D8" w:rsidRPr="00584D7B">
        <w:rPr>
          <w:sz w:val="26"/>
          <w:szCs w:val="26"/>
        </w:rPr>
        <w:t xml:space="preserve"> nationale.</w:t>
      </w:r>
    </w:p>
    <w:p w:rsidR="00DB402D" w:rsidRPr="00584D7B" w:rsidRDefault="00DB402D" w:rsidP="00BC6D26">
      <w:pPr>
        <w:rPr>
          <w:sz w:val="26"/>
          <w:szCs w:val="26"/>
        </w:rPr>
      </w:pPr>
    </w:p>
    <w:p w:rsidR="00856BB9" w:rsidRPr="00397AD0" w:rsidRDefault="00DB402D" w:rsidP="00397AD0">
      <w:pPr>
        <w:pStyle w:val="Paragraphedeliste"/>
        <w:numPr>
          <w:ilvl w:val="0"/>
          <w:numId w:val="16"/>
        </w:numPr>
        <w:rPr>
          <w:rFonts w:eastAsiaTheme="majorEastAsia"/>
          <w:b/>
          <w:color w:val="0070C0"/>
          <w:sz w:val="30"/>
          <w:szCs w:val="30"/>
          <w:u w:val="single"/>
        </w:rPr>
      </w:pPr>
      <w:r w:rsidRPr="00397AD0">
        <w:rPr>
          <w:rFonts w:eastAsiaTheme="majorEastAsia"/>
          <w:b/>
          <w:color w:val="0070C0"/>
          <w:sz w:val="30"/>
          <w:szCs w:val="30"/>
          <w:u w:val="single"/>
        </w:rPr>
        <w:t>Les composantes de l’offre</w:t>
      </w:r>
    </w:p>
    <w:p w:rsidR="00DB402D" w:rsidRPr="00584D7B" w:rsidRDefault="00DB402D" w:rsidP="00BC6D26">
      <w:pPr>
        <w:rPr>
          <w:rFonts w:eastAsiaTheme="majorEastAsia"/>
          <w:b/>
          <w:i/>
          <w:iCs/>
          <w:color w:val="243F60" w:themeColor="accent1" w:themeShade="7F"/>
          <w:sz w:val="26"/>
          <w:szCs w:val="26"/>
          <w:u w:val="single"/>
        </w:rPr>
      </w:pPr>
    </w:p>
    <w:p w:rsidR="00664037" w:rsidRPr="00584D7B" w:rsidRDefault="0066402A" w:rsidP="00635426">
      <w:pPr>
        <w:spacing w:line="276" w:lineRule="auto"/>
        <w:jc w:val="both"/>
        <w:rPr>
          <w:sz w:val="26"/>
          <w:szCs w:val="26"/>
        </w:rPr>
      </w:pPr>
      <w:r w:rsidRPr="00584D7B">
        <w:rPr>
          <w:sz w:val="26"/>
          <w:szCs w:val="26"/>
        </w:rPr>
        <w:tab/>
      </w:r>
      <w:r w:rsidR="00856BB9" w:rsidRPr="00584D7B">
        <w:rPr>
          <w:b/>
          <w:sz w:val="26"/>
          <w:szCs w:val="26"/>
        </w:rPr>
        <w:t xml:space="preserve"> Le secteur agricole</w:t>
      </w:r>
      <w:r w:rsidR="00856BB9" w:rsidRPr="00584D7B">
        <w:rPr>
          <w:sz w:val="26"/>
          <w:szCs w:val="26"/>
        </w:rPr>
        <w:t xml:space="preserve"> aurait connu une reprise remarquable en 2017 avec une croissance de l’ordre de 15,1% grâce aux bonnes conditions climatiques </w:t>
      </w:r>
      <w:r w:rsidR="00D8045A" w:rsidRPr="00584D7B">
        <w:rPr>
          <w:sz w:val="26"/>
          <w:szCs w:val="26"/>
        </w:rPr>
        <w:t>bénéficiant</w:t>
      </w:r>
      <w:r w:rsidR="00856BB9" w:rsidRPr="00584D7B">
        <w:rPr>
          <w:sz w:val="26"/>
          <w:szCs w:val="26"/>
        </w:rPr>
        <w:t xml:space="preserve"> aux différentes cultures </w:t>
      </w:r>
      <w:r w:rsidR="00590D2B" w:rsidRPr="00584D7B">
        <w:rPr>
          <w:sz w:val="26"/>
          <w:szCs w:val="26"/>
        </w:rPr>
        <w:t>céréalières</w:t>
      </w:r>
      <w:r w:rsidR="00856BB9" w:rsidRPr="00584D7B">
        <w:rPr>
          <w:sz w:val="26"/>
          <w:szCs w:val="26"/>
        </w:rPr>
        <w:t>.</w:t>
      </w:r>
      <w:r w:rsidR="00FA257C" w:rsidRPr="00584D7B">
        <w:rPr>
          <w:sz w:val="26"/>
          <w:szCs w:val="26"/>
        </w:rPr>
        <w:t xml:space="preserve"> L</w:t>
      </w:r>
      <w:r w:rsidR="00D8045A" w:rsidRPr="00584D7B">
        <w:rPr>
          <w:sz w:val="26"/>
          <w:szCs w:val="26"/>
        </w:rPr>
        <w:t xml:space="preserve">es </w:t>
      </w:r>
      <w:r w:rsidR="00856BB9" w:rsidRPr="00584D7B">
        <w:rPr>
          <w:sz w:val="26"/>
          <w:szCs w:val="26"/>
        </w:rPr>
        <w:t>activité</w:t>
      </w:r>
      <w:r w:rsidR="00D8045A" w:rsidRPr="00584D7B">
        <w:rPr>
          <w:sz w:val="26"/>
          <w:szCs w:val="26"/>
        </w:rPr>
        <w:t>s</w:t>
      </w:r>
      <w:r w:rsidR="00856BB9" w:rsidRPr="00584D7B">
        <w:rPr>
          <w:sz w:val="26"/>
          <w:szCs w:val="26"/>
        </w:rPr>
        <w:t xml:space="preserve"> des </w:t>
      </w:r>
      <w:r w:rsidR="00D8045A" w:rsidRPr="00584D7B">
        <w:rPr>
          <w:sz w:val="26"/>
          <w:szCs w:val="26"/>
        </w:rPr>
        <w:t xml:space="preserve">autres </w:t>
      </w:r>
      <w:r w:rsidR="00856BB9" w:rsidRPr="00584D7B">
        <w:rPr>
          <w:sz w:val="26"/>
          <w:szCs w:val="26"/>
        </w:rPr>
        <w:t xml:space="preserve">cultures non céréalières et celle de l’élevage </w:t>
      </w:r>
      <w:r w:rsidR="004A6F7B" w:rsidRPr="00584D7B">
        <w:rPr>
          <w:sz w:val="26"/>
          <w:szCs w:val="26"/>
        </w:rPr>
        <w:t>auraient</w:t>
      </w:r>
      <w:r w:rsidR="00856BB9" w:rsidRPr="00584D7B">
        <w:rPr>
          <w:sz w:val="26"/>
          <w:szCs w:val="26"/>
        </w:rPr>
        <w:t xml:space="preserve"> tiré profit</w:t>
      </w:r>
      <w:r w:rsidR="00D8045A" w:rsidRPr="00584D7B">
        <w:rPr>
          <w:sz w:val="26"/>
          <w:szCs w:val="26"/>
        </w:rPr>
        <w:t>,</w:t>
      </w:r>
      <w:r w:rsidR="00856BB9" w:rsidRPr="00584D7B">
        <w:rPr>
          <w:sz w:val="26"/>
          <w:szCs w:val="26"/>
        </w:rPr>
        <w:t xml:space="preserve"> </w:t>
      </w:r>
      <w:r w:rsidR="00FA257C" w:rsidRPr="00584D7B">
        <w:rPr>
          <w:sz w:val="26"/>
          <w:szCs w:val="26"/>
        </w:rPr>
        <w:t>en plus d</w:t>
      </w:r>
      <w:r w:rsidR="0067017A" w:rsidRPr="00584D7B">
        <w:rPr>
          <w:sz w:val="26"/>
          <w:szCs w:val="26"/>
        </w:rPr>
        <w:t>e la bonne pluviométrie</w:t>
      </w:r>
      <w:r w:rsidR="00FA257C" w:rsidRPr="00584D7B">
        <w:rPr>
          <w:sz w:val="26"/>
          <w:szCs w:val="26"/>
        </w:rPr>
        <w:t xml:space="preserve">, </w:t>
      </w:r>
      <w:r w:rsidR="00856BB9" w:rsidRPr="00584D7B">
        <w:rPr>
          <w:sz w:val="26"/>
          <w:szCs w:val="26"/>
        </w:rPr>
        <w:t xml:space="preserve">des stratégies mises en place par le plan Maroc Vert pour </w:t>
      </w:r>
      <w:r w:rsidR="0067017A" w:rsidRPr="00584D7B">
        <w:rPr>
          <w:sz w:val="26"/>
          <w:szCs w:val="26"/>
        </w:rPr>
        <w:t xml:space="preserve">consolider leur </w:t>
      </w:r>
      <w:r w:rsidR="00FA257C" w:rsidRPr="00584D7B">
        <w:rPr>
          <w:sz w:val="26"/>
          <w:szCs w:val="26"/>
        </w:rPr>
        <w:t>croissance</w:t>
      </w:r>
      <w:r w:rsidR="00856BB9" w:rsidRPr="00584D7B">
        <w:rPr>
          <w:sz w:val="26"/>
          <w:szCs w:val="26"/>
        </w:rPr>
        <w:t>.</w:t>
      </w:r>
    </w:p>
    <w:p w:rsidR="00664037" w:rsidRPr="00397AD0" w:rsidRDefault="00664037" w:rsidP="00635426">
      <w:pPr>
        <w:jc w:val="both"/>
        <w:rPr>
          <w:sz w:val="20"/>
          <w:szCs w:val="20"/>
        </w:rPr>
      </w:pPr>
    </w:p>
    <w:p w:rsidR="00E339EB" w:rsidRPr="00584D7B" w:rsidRDefault="00664037" w:rsidP="00635426">
      <w:pPr>
        <w:spacing w:line="276" w:lineRule="auto"/>
        <w:jc w:val="both"/>
        <w:rPr>
          <w:sz w:val="26"/>
          <w:szCs w:val="26"/>
        </w:rPr>
      </w:pPr>
      <w:r w:rsidRPr="00584D7B">
        <w:rPr>
          <w:sz w:val="26"/>
          <w:szCs w:val="26"/>
        </w:rPr>
        <w:tab/>
      </w:r>
      <w:r w:rsidR="00856BB9" w:rsidRPr="00584D7B">
        <w:rPr>
          <w:sz w:val="26"/>
          <w:szCs w:val="26"/>
        </w:rPr>
        <w:t xml:space="preserve"> Ainsi, et en tenant compte </w:t>
      </w:r>
      <w:r w:rsidR="00AE4DB7" w:rsidRPr="00584D7B">
        <w:rPr>
          <w:sz w:val="26"/>
          <w:szCs w:val="26"/>
        </w:rPr>
        <w:t>d’une baisse de 1% de la valeur ajoutée</w:t>
      </w:r>
      <w:r w:rsidR="00856BB9" w:rsidRPr="00584D7B">
        <w:rPr>
          <w:sz w:val="26"/>
          <w:szCs w:val="26"/>
        </w:rPr>
        <w:t xml:space="preserve"> de la pêche maritime, le secteur primaire aurait progressé de 13,</w:t>
      </w:r>
      <w:r w:rsidR="009F6BD2" w:rsidRPr="00584D7B">
        <w:rPr>
          <w:sz w:val="26"/>
          <w:szCs w:val="26"/>
        </w:rPr>
        <w:t>6</w:t>
      </w:r>
      <w:r w:rsidR="00856BB9" w:rsidRPr="00584D7B">
        <w:rPr>
          <w:sz w:val="26"/>
          <w:szCs w:val="26"/>
        </w:rPr>
        <w:t>% en 2017, au lieu d'</w:t>
      </w:r>
      <w:r w:rsidR="0067017A" w:rsidRPr="00584D7B">
        <w:rPr>
          <w:sz w:val="26"/>
          <w:szCs w:val="26"/>
        </w:rPr>
        <w:t xml:space="preserve">une baisse de 11,3% en 2016. Sa </w:t>
      </w:r>
      <w:r w:rsidR="00856BB9" w:rsidRPr="00584D7B">
        <w:rPr>
          <w:sz w:val="26"/>
          <w:szCs w:val="26"/>
        </w:rPr>
        <w:t xml:space="preserve">contribution à la croissance du PIB </w:t>
      </w:r>
      <w:r w:rsidR="0067017A" w:rsidRPr="00584D7B">
        <w:rPr>
          <w:sz w:val="26"/>
          <w:szCs w:val="26"/>
        </w:rPr>
        <w:t xml:space="preserve">serait </w:t>
      </w:r>
      <w:r w:rsidR="00856BB9" w:rsidRPr="00584D7B">
        <w:rPr>
          <w:sz w:val="26"/>
          <w:szCs w:val="26"/>
        </w:rPr>
        <w:t xml:space="preserve">de 1,6 point en 2017 au lieu d'une contribution </w:t>
      </w:r>
      <w:r w:rsidR="007D3C70" w:rsidRPr="00584D7B">
        <w:rPr>
          <w:sz w:val="26"/>
          <w:szCs w:val="26"/>
        </w:rPr>
        <w:t xml:space="preserve">négative </w:t>
      </w:r>
      <w:r w:rsidR="00590D2B" w:rsidRPr="00584D7B">
        <w:rPr>
          <w:sz w:val="26"/>
          <w:szCs w:val="26"/>
        </w:rPr>
        <w:t xml:space="preserve">de </w:t>
      </w:r>
      <w:r w:rsidR="00856BB9" w:rsidRPr="00584D7B">
        <w:rPr>
          <w:sz w:val="26"/>
          <w:szCs w:val="26"/>
        </w:rPr>
        <w:t>1,4 point un an auparavant</w:t>
      </w:r>
      <w:r w:rsidR="00590D2B" w:rsidRPr="00584D7B">
        <w:rPr>
          <w:sz w:val="26"/>
          <w:szCs w:val="26"/>
        </w:rPr>
        <w:t>.</w:t>
      </w:r>
      <w:r w:rsidR="0067017A" w:rsidRPr="00584D7B">
        <w:rPr>
          <w:sz w:val="26"/>
          <w:szCs w:val="26"/>
        </w:rPr>
        <w:t xml:space="preserve"> </w:t>
      </w:r>
    </w:p>
    <w:p w:rsidR="008677B1" w:rsidRPr="00397AD0" w:rsidRDefault="008677B1" w:rsidP="00635426">
      <w:pPr>
        <w:jc w:val="both"/>
        <w:rPr>
          <w:sz w:val="20"/>
          <w:szCs w:val="20"/>
        </w:rPr>
      </w:pPr>
    </w:p>
    <w:p w:rsidR="00DB7C39" w:rsidRDefault="00EE7298" w:rsidP="005F2487">
      <w:pPr>
        <w:spacing w:line="276" w:lineRule="auto"/>
        <w:jc w:val="both"/>
        <w:rPr>
          <w:sz w:val="26"/>
          <w:szCs w:val="26"/>
        </w:rPr>
      </w:pPr>
      <w:r w:rsidRPr="00584D7B">
        <w:rPr>
          <w:sz w:val="26"/>
          <w:szCs w:val="26"/>
        </w:rPr>
        <w:t xml:space="preserve">Les </w:t>
      </w:r>
      <w:r w:rsidRPr="00584D7B">
        <w:rPr>
          <w:b/>
          <w:sz w:val="26"/>
          <w:szCs w:val="26"/>
        </w:rPr>
        <w:t>activités non</w:t>
      </w:r>
      <w:r w:rsidR="007367C6">
        <w:rPr>
          <w:b/>
          <w:sz w:val="26"/>
          <w:szCs w:val="26"/>
        </w:rPr>
        <w:t xml:space="preserve"> </w:t>
      </w:r>
      <w:r w:rsidRPr="00584D7B">
        <w:rPr>
          <w:b/>
          <w:sz w:val="26"/>
          <w:szCs w:val="26"/>
        </w:rPr>
        <w:t>agricoles</w:t>
      </w:r>
      <w:r w:rsidRPr="00584D7B">
        <w:rPr>
          <w:sz w:val="26"/>
          <w:szCs w:val="26"/>
        </w:rPr>
        <w:t xml:space="preserve"> auraient </w:t>
      </w:r>
      <w:r w:rsidR="004E6480" w:rsidRPr="00584D7B">
        <w:rPr>
          <w:sz w:val="26"/>
          <w:szCs w:val="26"/>
        </w:rPr>
        <w:t>progressé</w:t>
      </w:r>
      <w:r w:rsidR="00B80068" w:rsidRPr="00584D7B">
        <w:rPr>
          <w:sz w:val="26"/>
          <w:szCs w:val="26"/>
        </w:rPr>
        <w:t xml:space="preserve"> de </w:t>
      </w:r>
      <w:r w:rsidRPr="00584D7B">
        <w:rPr>
          <w:sz w:val="26"/>
          <w:szCs w:val="26"/>
        </w:rPr>
        <w:t>2,8%</w:t>
      </w:r>
      <w:r w:rsidR="00D8045A" w:rsidRPr="00584D7B">
        <w:rPr>
          <w:sz w:val="26"/>
          <w:szCs w:val="26"/>
        </w:rPr>
        <w:t xml:space="preserve"> </w:t>
      </w:r>
      <w:r w:rsidRPr="00584D7B">
        <w:rPr>
          <w:sz w:val="26"/>
          <w:szCs w:val="26"/>
        </w:rPr>
        <w:t xml:space="preserve">en 2017 </w:t>
      </w:r>
      <w:r w:rsidR="00FA257C" w:rsidRPr="00584D7B">
        <w:rPr>
          <w:sz w:val="26"/>
          <w:szCs w:val="26"/>
        </w:rPr>
        <w:t>après</w:t>
      </w:r>
      <w:r w:rsidRPr="00584D7B">
        <w:rPr>
          <w:sz w:val="26"/>
          <w:szCs w:val="26"/>
        </w:rPr>
        <w:t xml:space="preserve"> 2,2% en 2016. Ce regain d’activité </w:t>
      </w:r>
      <w:r w:rsidR="00CC5B7C" w:rsidRPr="00584D7B">
        <w:rPr>
          <w:sz w:val="26"/>
          <w:szCs w:val="26"/>
        </w:rPr>
        <w:t>aurait été d</w:t>
      </w:r>
      <w:r w:rsidR="00FA257C" w:rsidRPr="00584D7B">
        <w:rPr>
          <w:sz w:val="26"/>
          <w:szCs w:val="26"/>
        </w:rPr>
        <w:t>û</w:t>
      </w:r>
      <w:r w:rsidR="00CC5B7C" w:rsidRPr="00584D7B">
        <w:rPr>
          <w:sz w:val="26"/>
          <w:szCs w:val="26"/>
        </w:rPr>
        <w:t xml:space="preserve"> principalement au dynamisme </w:t>
      </w:r>
      <w:r w:rsidR="00CC5B7C" w:rsidRPr="00584D7B">
        <w:rPr>
          <w:b/>
          <w:sz w:val="26"/>
          <w:szCs w:val="26"/>
        </w:rPr>
        <w:t>du secteur secondaire</w:t>
      </w:r>
      <w:r w:rsidR="00FA257C" w:rsidRPr="00584D7B">
        <w:rPr>
          <w:sz w:val="26"/>
          <w:szCs w:val="26"/>
        </w:rPr>
        <w:t xml:space="preserve"> qui aurait affiché une croissance de 2,9% en 2017 au lieu de 1,2% enregistré en 2016</w:t>
      </w:r>
      <w:r w:rsidR="001F5EC1" w:rsidRPr="00584D7B">
        <w:rPr>
          <w:sz w:val="26"/>
          <w:szCs w:val="26"/>
        </w:rPr>
        <w:t>, avec une contribution</w:t>
      </w:r>
      <w:r w:rsidR="00635426">
        <w:rPr>
          <w:sz w:val="26"/>
          <w:szCs w:val="26"/>
        </w:rPr>
        <w:t xml:space="preserve"> de</w:t>
      </w:r>
      <w:r w:rsidR="00C76F37" w:rsidRPr="00584D7B">
        <w:rPr>
          <w:sz w:val="26"/>
          <w:szCs w:val="26"/>
        </w:rPr>
        <w:t xml:space="preserve"> 0,8</w:t>
      </w:r>
      <w:r w:rsidR="005F2487">
        <w:rPr>
          <w:sz w:val="26"/>
          <w:szCs w:val="26"/>
        </w:rPr>
        <w:t xml:space="preserve"> point</w:t>
      </w:r>
      <w:r w:rsidR="00C76F37" w:rsidRPr="00584D7B">
        <w:rPr>
          <w:sz w:val="26"/>
          <w:szCs w:val="26"/>
        </w:rPr>
        <w:t xml:space="preserve"> </w:t>
      </w:r>
      <w:r w:rsidR="001F5EC1" w:rsidRPr="00584D7B">
        <w:rPr>
          <w:sz w:val="26"/>
          <w:szCs w:val="26"/>
        </w:rPr>
        <w:t>à la croissance du PIB</w:t>
      </w:r>
      <w:r w:rsidR="00FA257C" w:rsidRPr="00584D7B">
        <w:rPr>
          <w:sz w:val="26"/>
          <w:szCs w:val="26"/>
        </w:rPr>
        <w:t>.</w:t>
      </w:r>
      <w:r w:rsidRPr="00584D7B">
        <w:rPr>
          <w:sz w:val="26"/>
          <w:szCs w:val="26"/>
        </w:rPr>
        <w:t xml:space="preserve"> </w:t>
      </w:r>
      <w:r w:rsidR="00FA257C" w:rsidRPr="00584D7B">
        <w:rPr>
          <w:sz w:val="26"/>
          <w:szCs w:val="26"/>
        </w:rPr>
        <w:t xml:space="preserve"> En effet, </w:t>
      </w:r>
      <w:r w:rsidR="00CF64BC" w:rsidRPr="00584D7B">
        <w:rPr>
          <w:sz w:val="26"/>
          <w:szCs w:val="26"/>
        </w:rPr>
        <w:t xml:space="preserve">les activités minières </w:t>
      </w:r>
      <w:r w:rsidR="00B80068" w:rsidRPr="00584D7B">
        <w:rPr>
          <w:sz w:val="26"/>
          <w:szCs w:val="26"/>
        </w:rPr>
        <w:t>auraient connu un rebondissement de 17,</w:t>
      </w:r>
      <w:r w:rsidR="00F34844" w:rsidRPr="00584D7B">
        <w:rPr>
          <w:sz w:val="26"/>
          <w:szCs w:val="26"/>
        </w:rPr>
        <w:t>8</w:t>
      </w:r>
      <w:r w:rsidR="00B80068" w:rsidRPr="00584D7B">
        <w:rPr>
          <w:sz w:val="26"/>
          <w:szCs w:val="26"/>
        </w:rPr>
        <w:t xml:space="preserve">% </w:t>
      </w:r>
      <w:r w:rsidR="004B7D7F" w:rsidRPr="00584D7B">
        <w:rPr>
          <w:sz w:val="26"/>
          <w:szCs w:val="26"/>
        </w:rPr>
        <w:t xml:space="preserve">après </w:t>
      </w:r>
      <w:r w:rsidR="00294450" w:rsidRPr="00584D7B">
        <w:rPr>
          <w:sz w:val="26"/>
          <w:szCs w:val="26"/>
        </w:rPr>
        <w:t xml:space="preserve">2,2% </w:t>
      </w:r>
      <w:r w:rsidR="004B7D7F" w:rsidRPr="00584D7B">
        <w:rPr>
          <w:sz w:val="26"/>
          <w:szCs w:val="26"/>
        </w:rPr>
        <w:t>un an auparavant</w:t>
      </w:r>
      <w:r w:rsidR="00635426">
        <w:rPr>
          <w:sz w:val="26"/>
          <w:szCs w:val="26"/>
        </w:rPr>
        <w:t>,</w:t>
      </w:r>
      <w:r w:rsidR="001F5EC1" w:rsidRPr="00584D7B">
        <w:rPr>
          <w:sz w:val="26"/>
          <w:szCs w:val="26"/>
        </w:rPr>
        <w:t xml:space="preserve"> qui </w:t>
      </w:r>
      <w:r w:rsidR="00F450D5" w:rsidRPr="00584D7B">
        <w:rPr>
          <w:sz w:val="26"/>
          <w:szCs w:val="26"/>
        </w:rPr>
        <w:t>s’explique par</w:t>
      </w:r>
      <w:r w:rsidR="003013BD" w:rsidRPr="00584D7B">
        <w:rPr>
          <w:sz w:val="26"/>
          <w:szCs w:val="26"/>
        </w:rPr>
        <w:t xml:space="preserve"> </w:t>
      </w:r>
      <w:r w:rsidR="004B7D7F" w:rsidRPr="00584D7B">
        <w:rPr>
          <w:sz w:val="26"/>
          <w:szCs w:val="26"/>
        </w:rPr>
        <w:t>la forte demande étrangère sur les produits des phosphates et ses dérivés.</w:t>
      </w:r>
    </w:p>
    <w:p w:rsidR="00397AD0" w:rsidRPr="00397AD0" w:rsidRDefault="00397AD0" w:rsidP="00635426">
      <w:pPr>
        <w:spacing w:line="276" w:lineRule="auto"/>
        <w:jc w:val="both"/>
        <w:rPr>
          <w:sz w:val="20"/>
          <w:szCs w:val="20"/>
        </w:rPr>
      </w:pPr>
    </w:p>
    <w:p w:rsidR="008677B1" w:rsidRDefault="001F5EC1" w:rsidP="004D61AF">
      <w:pPr>
        <w:spacing w:line="276" w:lineRule="auto"/>
        <w:jc w:val="both"/>
        <w:rPr>
          <w:sz w:val="26"/>
          <w:szCs w:val="26"/>
        </w:rPr>
      </w:pPr>
      <w:r w:rsidRPr="00584D7B">
        <w:rPr>
          <w:sz w:val="26"/>
          <w:szCs w:val="26"/>
        </w:rPr>
        <w:t xml:space="preserve">Les </w:t>
      </w:r>
      <w:r w:rsidR="00EE7298" w:rsidRPr="00584D7B">
        <w:rPr>
          <w:b/>
          <w:sz w:val="26"/>
          <w:szCs w:val="26"/>
        </w:rPr>
        <w:t xml:space="preserve">industries </w:t>
      </w:r>
      <w:r w:rsidR="003013BD" w:rsidRPr="00584D7B">
        <w:rPr>
          <w:b/>
          <w:sz w:val="26"/>
          <w:szCs w:val="26"/>
        </w:rPr>
        <w:t>de transformation</w:t>
      </w:r>
      <w:r w:rsidR="00F450D5" w:rsidRPr="00584D7B">
        <w:rPr>
          <w:sz w:val="26"/>
          <w:szCs w:val="26"/>
        </w:rPr>
        <w:t xml:space="preserve"> </w:t>
      </w:r>
      <w:r w:rsidRPr="00584D7B">
        <w:rPr>
          <w:sz w:val="26"/>
          <w:szCs w:val="26"/>
        </w:rPr>
        <w:t xml:space="preserve">auraient dégagé </w:t>
      </w:r>
      <w:r w:rsidR="00EE7298" w:rsidRPr="00584D7B">
        <w:rPr>
          <w:sz w:val="26"/>
          <w:szCs w:val="26"/>
        </w:rPr>
        <w:t xml:space="preserve">une </w:t>
      </w:r>
      <w:r w:rsidR="008461EB" w:rsidRPr="00584D7B">
        <w:rPr>
          <w:sz w:val="26"/>
          <w:szCs w:val="26"/>
        </w:rPr>
        <w:t xml:space="preserve">valeur ajoutée en </w:t>
      </w:r>
      <w:r w:rsidR="00EE7298" w:rsidRPr="00584D7B">
        <w:rPr>
          <w:sz w:val="26"/>
          <w:szCs w:val="26"/>
        </w:rPr>
        <w:t>progression de 2% en 201</w:t>
      </w:r>
      <w:r w:rsidR="00CC5B7C" w:rsidRPr="00584D7B">
        <w:rPr>
          <w:sz w:val="26"/>
          <w:szCs w:val="26"/>
        </w:rPr>
        <w:t>7</w:t>
      </w:r>
      <w:r w:rsidR="00EE7298" w:rsidRPr="00584D7B">
        <w:rPr>
          <w:sz w:val="26"/>
          <w:szCs w:val="26"/>
        </w:rPr>
        <w:t xml:space="preserve"> au lieu</w:t>
      </w:r>
      <w:r w:rsidR="00313D3C" w:rsidRPr="00584D7B">
        <w:rPr>
          <w:sz w:val="26"/>
          <w:szCs w:val="26"/>
        </w:rPr>
        <w:t xml:space="preserve"> de</w:t>
      </w:r>
      <w:r w:rsidR="00EE7298" w:rsidRPr="00584D7B">
        <w:rPr>
          <w:sz w:val="26"/>
          <w:szCs w:val="26"/>
        </w:rPr>
        <w:t xml:space="preserve"> </w:t>
      </w:r>
      <w:r w:rsidR="00D860D6" w:rsidRPr="00584D7B">
        <w:rPr>
          <w:sz w:val="26"/>
          <w:szCs w:val="26"/>
        </w:rPr>
        <w:t>0</w:t>
      </w:r>
      <w:r w:rsidR="00EE7298" w:rsidRPr="00584D7B">
        <w:rPr>
          <w:sz w:val="26"/>
          <w:szCs w:val="26"/>
        </w:rPr>
        <w:t>,</w:t>
      </w:r>
      <w:r w:rsidR="00D860D6" w:rsidRPr="00584D7B">
        <w:rPr>
          <w:sz w:val="26"/>
          <w:szCs w:val="26"/>
        </w:rPr>
        <w:t>8</w:t>
      </w:r>
      <w:r w:rsidR="00EE7298" w:rsidRPr="00584D7B">
        <w:rPr>
          <w:sz w:val="26"/>
          <w:szCs w:val="26"/>
        </w:rPr>
        <w:t>% en 201</w:t>
      </w:r>
      <w:r w:rsidR="00D860D6" w:rsidRPr="00584D7B">
        <w:rPr>
          <w:sz w:val="26"/>
          <w:szCs w:val="26"/>
        </w:rPr>
        <w:t>6</w:t>
      </w:r>
      <w:r w:rsidRPr="00584D7B">
        <w:rPr>
          <w:sz w:val="26"/>
          <w:szCs w:val="26"/>
        </w:rPr>
        <w:t xml:space="preserve"> et ce</w:t>
      </w:r>
      <w:r w:rsidR="00EB0051" w:rsidRPr="00584D7B">
        <w:rPr>
          <w:sz w:val="26"/>
          <w:szCs w:val="26"/>
        </w:rPr>
        <w:t xml:space="preserve"> </w:t>
      </w:r>
      <w:r w:rsidR="003013BD" w:rsidRPr="00584D7B">
        <w:rPr>
          <w:sz w:val="26"/>
          <w:szCs w:val="26"/>
        </w:rPr>
        <w:t xml:space="preserve">malgré la baisse des activités métalliques et </w:t>
      </w:r>
      <w:r w:rsidR="00EB0051" w:rsidRPr="00584D7B">
        <w:rPr>
          <w:sz w:val="26"/>
          <w:szCs w:val="26"/>
        </w:rPr>
        <w:t>métallurgiques</w:t>
      </w:r>
      <w:r w:rsidR="003013BD" w:rsidRPr="00584D7B">
        <w:rPr>
          <w:sz w:val="26"/>
          <w:szCs w:val="26"/>
        </w:rPr>
        <w:t xml:space="preserve"> de </w:t>
      </w:r>
      <w:r w:rsidR="00EB0051" w:rsidRPr="00584D7B">
        <w:rPr>
          <w:sz w:val="26"/>
          <w:szCs w:val="26"/>
        </w:rPr>
        <w:t>pr</w:t>
      </w:r>
      <w:r w:rsidR="004D61AF">
        <w:rPr>
          <w:sz w:val="26"/>
          <w:szCs w:val="26"/>
        </w:rPr>
        <w:t>è</w:t>
      </w:r>
      <w:r w:rsidR="00EB0051" w:rsidRPr="00584D7B">
        <w:rPr>
          <w:sz w:val="26"/>
          <w:szCs w:val="26"/>
        </w:rPr>
        <w:t>s</w:t>
      </w:r>
      <w:r w:rsidR="003013BD" w:rsidRPr="00584D7B">
        <w:rPr>
          <w:sz w:val="26"/>
          <w:szCs w:val="26"/>
        </w:rPr>
        <w:t xml:space="preserve"> de </w:t>
      </w:r>
      <w:r w:rsidR="004B7D7F" w:rsidRPr="00584D7B">
        <w:rPr>
          <w:sz w:val="26"/>
          <w:szCs w:val="26"/>
        </w:rPr>
        <w:t>2,5</w:t>
      </w:r>
      <w:r w:rsidR="003013BD" w:rsidRPr="00584D7B">
        <w:rPr>
          <w:sz w:val="26"/>
          <w:szCs w:val="26"/>
        </w:rPr>
        <w:t>%</w:t>
      </w:r>
      <w:r w:rsidR="00D860D6" w:rsidRPr="00584D7B">
        <w:rPr>
          <w:sz w:val="26"/>
          <w:szCs w:val="26"/>
        </w:rPr>
        <w:t xml:space="preserve">. </w:t>
      </w:r>
      <w:r w:rsidR="00F450D5" w:rsidRPr="00584D7B">
        <w:rPr>
          <w:sz w:val="26"/>
          <w:szCs w:val="26"/>
        </w:rPr>
        <w:t>En revanche, les</w:t>
      </w:r>
      <w:r w:rsidR="008677B1" w:rsidRPr="00584D7B">
        <w:rPr>
          <w:sz w:val="26"/>
          <w:szCs w:val="26"/>
        </w:rPr>
        <w:t xml:space="preserve"> activités </w:t>
      </w:r>
      <w:r w:rsidR="008677B1" w:rsidRPr="00584D7B">
        <w:rPr>
          <w:b/>
          <w:sz w:val="26"/>
          <w:szCs w:val="26"/>
        </w:rPr>
        <w:t>du secteur du bâtiment et travaux publics</w:t>
      </w:r>
      <w:r w:rsidR="008677B1" w:rsidRPr="00584D7B">
        <w:rPr>
          <w:sz w:val="26"/>
          <w:szCs w:val="26"/>
        </w:rPr>
        <w:t xml:space="preserve">, </w:t>
      </w:r>
      <w:r w:rsidR="00F450D5" w:rsidRPr="00584D7B">
        <w:rPr>
          <w:sz w:val="26"/>
          <w:szCs w:val="26"/>
        </w:rPr>
        <w:t>aurai</w:t>
      </w:r>
      <w:r w:rsidR="005D0481" w:rsidRPr="00584D7B">
        <w:rPr>
          <w:sz w:val="26"/>
          <w:szCs w:val="26"/>
        </w:rPr>
        <w:t>ent</w:t>
      </w:r>
      <w:r w:rsidR="008677B1" w:rsidRPr="00584D7B">
        <w:rPr>
          <w:sz w:val="26"/>
          <w:szCs w:val="26"/>
        </w:rPr>
        <w:t xml:space="preserve"> </w:t>
      </w:r>
      <w:r w:rsidR="004B7D7F" w:rsidRPr="00584D7B">
        <w:rPr>
          <w:sz w:val="26"/>
          <w:szCs w:val="26"/>
        </w:rPr>
        <w:t>enregistré une faible croissance de 0,4%, suite notamment au ralentissement</w:t>
      </w:r>
      <w:r w:rsidR="008677B1" w:rsidRPr="00584D7B">
        <w:rPr>
          <w:sz w:val="26"/>
          <w:szCs w:val="26"/>
        </w:rPr>
        <w:t xml:space="preserve"> de l’auto-construction et </w:t>
      </w:r>
      <w:r w:rsidR="00313D3C" w:rsidRPr="00584D7B">
        <w:rPr>
          <w:sz w:val="26"/>
          <w:szCs w:val="26"/>
        </w:rPr>
        <w:t>d</w:t>
      </w:r>
      <w:r w:rsidR="00BA478C" w:rsidRPr="00584D7B">
        <w:rPr>
          <w:sz w:val="26"/>
          <w:szCs w:val="26"/>
        </w:rPr>
        <w:t>es activités d</w:t>
      </w:r>
      <w:r w:rsidR="008677B1" w:rsidRPr="00584D7B">
        <w:rPr>
          <w:sz w:val="26"/>
          <w:szCs w:val="26"/>
        </w:rPr>
        <w:t>es travaux public</w:t>
      </w:r>
      <w:r w:rsidR="00635426">
        <w:rPr>
          <w:sz w:val="26"/>
          <w:szCs w:val="26"/>
        </w:rPr>
        <w:t>s</w:t>
      </w:r>
      <w:r w:rsidRPr="00584D7B">
        <w:rPr>
          <w:sz w:val="26"/>
          <w:szCs w:val="26"/>
        </w:rPr>
        <w:t>.</w:t>
      </w:r>
    </w:p>
    <w:p w:rsidR="00A31324" w:rsidRDefault="00A31324" w:rsidP="004D61AF">
      <w:pPr>
        <w:spacing w:line="276" w:lineRule="auto"/>
        <w:jc w:val="both"/>
        <w:rPr>
          <w:sz w:val="26"/>
          <w:szCs w:val="26"/>
        </w:rPr>
      </w:pPr>
    </w:p>
    <w:p w:rsidR="00397AD0" w:rsidRPr="00397AD0" w:rsidRDefault="00397AD0" w:rsidP="00635426">
      <w:pPr>
        <w:spacing w:line="276" w:lineRule="auto"/>
        <w:jc w:val="both"/>
        <w:rPr>
          <w:sz w:val="20"/>
          <w:szCs w:val="20"/>
        </w:rPr>
      </w:pPr>
    </w:p>
    <w:p w:rsidR="00313D3C" w:rsidRDefault="00A305C5" w:rsidP="00B7591C">
      <w:pPr>
        <w:spacing w:line="276" w:lineRule="auto"/>
        <w:jc w:val="both"/>
        <w:rPr>
          <w:sz w:val="26"/>
          <w:szCs w:val="26"/>
        </w:rPr>
      </w:pPr>
      <w:r w:rsidRPr="00584D7B">
        <w:rPr>
          <w:sz w:val="26"/>
          <w:szCs w:val="26"/>
        </w:rPr>
        <w:lastRenderedPageBreak/>
        <w:t>De leur c</w:t>
      </w:r>
      <w:r w:rsidR="00C76F37" w:rsidRPr="00584D7B">
        <w:rPr>
          <w:sz w:val="26"/>
          <w:szCs w:val="26"/>
        </w:rPr>
        <w:t>ô</w:t>
      </w:r>
      <w:r w:rsidRPr="00584D7B">
        <w:rPr>
          <w:sz w:val="26"/>
          <w:szCs w:val="26"/>
        </w:rPr>
        <w:t>té</w:t>
      </w:r>
      <w:r w:rsidR="00DB7C39" w:rsidRPr="00584D7B">
        <w:rPr>
          <w:sz w:val="26"/>
          <w:szCs w:val="26"/>
        </w:rPr>
        <w:t>,</w:t>
      </w:r>
      <w:r w:rsidRPr="00584D7B">
        <w:rPr>
          <w:sz w:val="26"/>
          <w:szCs w:val="26"/>
        </w:rPr>
        <w:t xml:space="preserve"> les activités</w:t>
      </w:r>
      <w:r w:rsidRPr="00584D7B">
        <w:rPr>
          <w:b/>
          <w:sz w:val="26"/>
          <w:szCs w:val="26"/>
        </w:rPr>
        <w:t xml:space="preserve"> du</w:t>
      </w:r>
      <w:r w:rsidR="008677B1" w:rsidRPr="00584D7B">
        <w:rPr>
          <w:b/>
          <w:sz w:val="26"/>
          <w:szCs w:val="26"/>
        </w:rPr>
        <w:t xml:space="preserve"> secteur tertiaire,</w:t>
      </w:r>
      <w:r w:rsidR="008677B1" w:rsidRPr="00584D7B">
        <w:rPr>
          <w:sz w:val="26"/>
          <w:szCs w:val="26"/>
        </w:rPr>
        <w:t xml:space="preserve"> aurai</w:t>
      </w:r>
      <w:r w:rsidRPr="00584D7B">
        <w:rPr>
          <w:sz w:val="26"/>
          <w:szCs w:val="26"/>
        </w:rPr>
        <w:t>en</w:t>
      </w:r>
      <w:r w:rsidR="008677B1" w:rsidRPr="00584D7B">
        <w:rPr>
          <w:sz w:val="26"/>
          <w:szCs w:val="26"/>
        </w:rPr>
        <w:t xml:space="preserve">t </w:t>
      </w:r>
      <w:r w:rsidRPr="00584D7B">
        <w:rPr>
          <w:sz w:val="26"/>
          <w:szCs w:val="26"/>
        </w:rPr>
        <w:t xml:space="preserve">maintenu leur rythme de </w:t>
      </w:r>
      <w:r w:rsidR="00FF20FA" w:rsidRPr="00584D7B">
        <w:rPr>
          <w:sz w:val="26"/>
          <w:szCs w:val="26"/>
        </w:rPr>
        <w:t xml:space="preserve">croissance à 2,7% </w:t>
      </w:r>
      <w:r w:rsidR="0023651D" w:rsidRPr="00584D7B">
        <w:rPr>
          <w:sz w:val="26"/>
          <w:szCs w:val="26"/>
        </w:rPr>
        <w:t xml:space="preserve">en 2017, </w:t>
      </w:r>
      <w:r w:rsidR="00DB7C39" w:rsidRPr="00584D7B">
        <w:rPr>
          <w:sz w:val="26"/>
          <w:szCs w:val="26"/>
        </w:rPr>
        <w:t>qui reste</w:t>
      </w:r>
      <w:r w:rsidR="00FF20FA" w:rsidRPr="00584D7B">
        <w:rPr>
          <w:sz w:val="26"/>
          <w:szCs w:val="26"/>
        </w:rPr>
        <w:t xml:space="preserve"> toutefois inf</w:t>
      </w:r>
      <w:r w:rsidR="00B7591C">
        <w:rPr>
          <w:sz w:val="26"/>
          <w:szCs w:val="26"/>
        </w:rPr>
        <w:t>é</w:t>
      </w:r>
      <w:r w:rsidR="00FF20FA" w:rsidRPr="00584D7B">
        <w:rPr>
          <w:sz w:val="26"/>
          <w:szCs w:val="26"/>
        </w:rPr>
        <w:t xml:space="preserve">rieur à </w:t>
      </w:r>
      <w:r w:rsidR="00533EDE" w:rsidRPr="00584D7B">
        <w:rPr>
          <w:sz w:val="26"/>
          <w:szCs w:val="26"/>
        </w:rPr>
        <w:t xml:space="preserve">la moyenne de </w:t>
      </w:r>
      <w:r w:rsidR="00FF20FA" w:rsidRPr="00584D7B">
        <w:rPr>
          <w:sz w:val="26"/>
          <w:szCs w:val="26"/>
        </w:rPr>
        <w:t xml:space="preserve">3,4% </w:t>
      </w:r>
      <w:r w:rsidR="00313D3C" w:rsidRPr="00584D7B">
        <w:rPr>
          <w:sz w:val="26"/>
          <w:szCs w:val="26"/>
        </w:rPr>
        <w:t>d</w:t>
      </w:r>
      <w:r w:rsidR="00533EDE" w:rsidRPr="00584D7B">
        <w:rPr>
          <w:sz w:val="26"/>
          <w:szCs w:val="26"/>
        </w:rPr>
        <w:t xml:space="preserve">urant </w:t>
      </w:r>
      <w:r w:rsidR="001F5EC1" w:rsidRPr="00584D7B">
        <w:rPr>
          <w:sz w:val="26"/>
          <w:szCs w:val="26"/>
        </w:rPr>
        <w:t xml:space="preserve">la période 2010-2016. Leur </w:t>
      </w:r>
      <w:r w:rsidR="008677B1" w:rsidRPr="00584D7B">
        <w:rPr>
          <w:sz w:val="26"/>
          <w:szCs w:val="26"/>
        </w:rPr>
        <w:t xml:space="preserve">contribution à la croissance du PIB </w:t>
      </w:r>
      <w:r w:rsidR="00F34844" w:rsidRPr="00584D7B">
        <w:rPr>
          <w:sz w:val="26"/>
          <w:szCs w:val="26"/>
        </w:rPr>
        <w:t>se</w:t>
      </w:r>
      <w:r w:rsidR="001F5EC1" w:rsidRPr="00584D7B">
        <w:rPr>
          <w:sz w:val="26"/>
          <w:szCs w:val="26"/>
        </w:rPr>
        <w:t>ra</w:t>
      </w:r>
      <w:r w:rsidR="00F34844" w:rsidRPr="00584D7B">
        <w:rPr>
          <w:sz w:val="26"/>
          <w:szCs w:val="26"/>
        </w:rPr>
        <w:t xml:space="preserve">it </w:t>
      </w:r>
      <w:r w:rsidR="00533EDE" w:rsidRPr="00584D7B">
        <w:rPr>
          <w:sz w:val="26"/>
          <w:szCs w:val="26"/>
        </w:rPr>
        <w:t>maintenue</w:t>
      </w:r>
      <w:r w:rsidR="0059241A">
        <w:rPr>
          <w:sz w:val="26"/>
          <w:szCs w:val="26"/>
        </w:rPr>
        <w:t xml:space="preserve"> à 1,3 point </w:t>
      </w:r>
      <w:r w:rsidR="00F34844" w:rsidRPr="00584D7B">
        <w:rPr>
          <w:sz w:val="26"/>
          <w:szCs w:val="26"/>
        </w:rPr>
        <w:t>en 2017.</w:t>
      </w:r>
      <w:r w:rsidR="008677B1" w:rsidRPr="00584D7B">
        <w:rPr>
          <w:sz w:val="26"/>
          <w:szCs w:val="26"/>
        </w:rPr>
        <w:t xml:space="preserve"> </w:t>
      </w:r>
    </w:p>
    <w:p w:rsidR="00397AD0" w:rsidRPr="00397AD0" w:rsidRDefault="00397AD0" w:rsidP="00635426">
      <w:pPr>
        <w:spacing w:line="276" w:lineRule="auto"/>
        <w:jc w:val="both"/>
        <w:rPr>
          <w:sz w:val="20"/>
          <w:szCs w:val="20"/>
        </w:rPr>
      </w:pPr>
    </w:p>
    <w:p w:rsidR="008677B1" w:rsidRDefault="002C2570" w:rsidP="00635426">
      <w:pPr>
        <w:spacing w:line="276" w:lineRule="auto"/>
        <w:jc w:val="both"/>
        <w:rPr>
          <w:sz w:val="26"/>
          <w:szCs w:val="26"/>
        </w:rPr>
      </w:pPr>
      <w:r w:rsidRPr="00584D7B">
        <w:rPr>
          <w:sz w:val="26"/>
          <w:szCs w:val="26"/>
        </w:rPr>
        <w:t>Dans ce cadre, l</w:t>
      </w:r>
      <w:r w:rsidR="00874495" w:rsidRPr="00584D7B">
        <w:rPr>
          <w:b/>
          <w:sz w:val="26"/>
          <w:szCs w:val="26"/>
        </w:rPr>
        <w:t>es services marchand</w:t>
      </w:r>
      <w:r w:rsidR="008677B1" w:rsidRPr="00584D7B">
        <w:rPr>
          <w:b/>
          <w:sz w:val="26"/>
          <w:szCs w:val="26"/>
        </w:rPr>
        <w:t>s</w:t>
      </w:r>
      <w:r w:rsidR="00313D3C" w:rsidRPr="00584D7B">
        <w:rPr>
          <w:sz w:val="26"/>
          <w:szCs w:val="26"/>
        </w:rPr>
        <w:t xml:space="preserve"> auraient </w:t>
      </w:r>
      <w:r w:rsidR="00DB7C39" w:rsidRPr="00584D7B">
        <w:rPr>
          <w:sz w:val="26"/>
          <w:szCs w:val="26"/>
        </w:rPr>
        <w:t>enregistré</w:t>
      </w:r>
      <w:r w:rsidR="00313D3C" w:rsidRPr="00584D7B">
        <w:rPr>
          <w:sz w:val="26"/>
          <w:szCs w:val="26"/>
        </w:rPr>
        <w:t xml:space="preserve"> </w:t>
      </w:r>
      <w:r w:rsidR="00DB7C39" w:rsidRPr="00584D7B">
        <w:rPr>
          <w:sz w:val="26"/>
          <w:szCs w:val="26"/>
        </w:rPr>
        <w:t>une</w:t>
      </w:r>
      <w:r w:rsidR="00313D3C" w:rsidRPr="00584D7B">
        <w:rPr>
          <w:sz w:val="26"/>
          <w:szCs w:val="26"/>
        </w:rPr>
        <w:t xml:space="preserve"> croissance </w:t>
      </w:r>
      <w:r w:rsidR="00DB7C39" w:rsidRPr="00584D7B">
        <w:rPr>
          <w:sz w:val="26"/>
          <w:szCs w:val="26"/>
        </w:rPr>
        <w:t>de</w:t>
      </w:r>
      <w:r w:rsidR="00313D3C" w:rsidRPr="00584D7B">
        <w:rPr>
          <w:sz w:val="26"/>
          <w:szCs w:val="26"/>
        </w:rPr>
        <w:t xml:space="preserve"> 3% suite </w:t>
      </w:r>
      <w:r w:rsidR="00053744" w:rsidRPr="00584D7B">
        <w:rPr>
          <w:sz w:val="26"/>
          <w:szCs w:val="26"/>
        </w:rPr>
        <w:t>notamment à la dynamique</w:t>
      </w:r>
      <w:r w:rsidR="008677B1" w:rsidRPr="00584D7B">
        <w:rPr>
          <w:sz w:val="26"/>
          <w:szCs w:val="26"/>
        </w:rPr>
        <w:t xml:space="preserve"> </w:t>
      </w:r>
      <w:r w:rsidR="00053744" w:rsidRPr="00584D7B">
        <w:rPr>
          <w:sz w:val="26"/>
          <w:szCs w:val="26"/>
        </w:rPr>
        <w:t>d</w:t>
      </w:r>
      <w:r w:rsidR="0023651D" w:rsidRPr="00584D7B">
        <w:rPr>
          <w:sz w:val="26"/>
          <w:szCs w:val="26"/>
        </w:rPr>
        <w:t xml:space="preserve">es activités </w:t>
      </w:r>
      <w:r w:rsidR="00053744" w:rsidRPr="00584D7B">
        <w:rPr>
          <w:sz w:val="26"/>
          <w:szCs w:val="26"/>
        </w:rPr>
        <w:t>du commerce, du tourisme</w:t>
      </w:r>
      <w:r w:rsidR="008677B1" w:rsidRPr="00584D7B">
        <w:rPr>
          <w:sz w:val="26"/>
          <w:szCs w:val="26"/>
        </w:rPr>
        <w:t xml:space="preserve"> </w:t>
      </w:r>
      <w:r w:rsidR="00053744" w:rsidRPr="00584D7B">
        <w:rPr>
          <w:sz w:val="26"/>
          <w:szCs w:val="26"/>
        </w:rPr>
        <w:t>et des services rendu</w:t>
      </w:r>
      <w:r w:rsidR="008677B1" w:rsidRPr="00584D7B">
        <w:rPr>
          <w:sz w:val="26"/>
          <w:szCs w:val="26"/>
        </w:rPr>
        <w:t xml:space="preserve">s aux entreprises. </w:t>
      </w:r>
      <w:r w:rsidRPr="00584D7B">
        <w:rPr>
          <w:sz w:val="26"/>
          <w:szCs w:val="26"/>
        </w:rPr>
        <w:t xml:space="preserve">Les </w:t>
      </w:r>
      <w:r w:rsidR="008677B1" w:rsidRPr="00584D7B">
        <w:rPr>
          <w:b/>
          <w:sz w:val="26"/>
          <w:szCs w:val="26"/>
        </w:rPr>
        <w:t>services non marchands</w:t>
      </w:r>
      <w:r w:rsidRPr="00584D7B">
        <w:rPr>
          <w:b/>
          <w:sz w:val="26"/>
          <w:szCs w:val="26"/>
        </w:rPr>
        <w:t xml:space="preserve"> </w:t>
      </w:r>
      <w:r w:rsidR="008677B1" w:rsidRPr="00584D7B">
        <w:rPr>
          <w:sz w:val="26"/>
          <w:szCs w:val="26"/>
        </w:rPr>
        <w:t xml:space="preserve">se </w:t>
      </w:r>
      <w:r w:rsidR="0023651D" w:rsidRPr="00584D7B">
        <w:rPr>
          <w:sz w:val="26"/>
          <w:szCs w:val="26"/>
        </w:rPr>
        <w:t xml:space="preserve">seraient </w:t>
      </w:r>
      <w:r w:rsidR="008677B1" w:rsidRPr="00584D7B">
        <w:rPr>
          <w:sz w:val="26"/>
          <w:szCs w:val="26"/>
        </w:rPr>
        <w:t xml:space="preserve">inscrits dans un rythme </w:t>
      </w:r>
      <w:r w:rsidR="00053744" w:rsidRPr="00584D7B">
        <w:rPr>
          <w:sz w:val="26"/>
          <w:szCs w:val="26"/>
        </w:rPr>
        <w:t xml:space="preserve">de croissance </w:t>
      </w:r>
      <w:r w:rsidR="008677B1" w:rsidRPr="00584D7B">
        <w:rPr>
          <w:sz w:val="26"/>
          <w:szCs w:val="26"/>
        </w:rPr>
        <w:t>timide</w:t>
      </w:r>
      <w:r w:rsidR="0023651D" w:rsidRPr="00584D7B">
        <w:rPr>
          <w:sz w:val="26"/>
          <w:szCs w:val="26"/>
        </w:rPr>
        <w:t xml:space="preserve"> de </w:t>
      </w:r>
      <w:r w:rsidR="00533EDE" w:rsidRPr="00584D7B">
        <w:rPr>
          <w:sz w:val="26"/>
          <w:szCs w:val="26"/>
        </w:rPr>
        <w:t>1</w:t>
      </w:r>
      <w:r w:rsidR="00B5312E" w:rsidRPr="00584D7B">
        <w:rPr>
          <w:sz w:val="26"/>
          <w:szCs w:val="26"/>
        </w:rPr>
        <w:t>,4</w:t>
      </w:r>
      <w:r w:rsidR="008677B1" w:rsidRPr="00584D7B">
        <w:rPr>
          <w:sz w:val="26"/>
          <w:szCs w:val="26"/>
        </w:rPr>
        <w:t>%</w:t>
      </w:r>
      <w:r w:rsidR="00533EDE" w:rsidRPr="00584D7B">
        <w:rPr>
          <w:sz w:val="26"/>
          <w:szCs w:val="26"/>
        </w:rPr>
        <w:t>,</w:t>
      </w:r>
      <w:r w:rsidR="00053744" w:rsidRPr="00584D7B">
        <w:rPr>
          <w:sz w:val="26"/>
          <w:szCs w:val="26"/>
        </w:rPr>
        <w:t xml:space="preserve"> suite </w:t>
      </w:r>
      <w:r w:rsidR="00533EDE" w:rsidRPr="00584D7B">
        <w:rPr>
          <w:sz w:val="26"/>
          <w:szCs w:val="26"/>
        </w:rPr>
        <w:t xml:space="preserve">à la </w:t>
      </w:r>
      <w:r w:rsidRPr="00584D7B">
        <w:rPr>
          <w:sz w:val="26"/>
          <w:szCs w:val="26"/>
        </w:rPr>
        <w:t xml:space="preserve">politique de </w:t>
      </w:r>
      <w:r w:rsidR="00053744" w:rsidRPr="00584D7B">
        <w:rPr>
          <w:sz w:val="26"/>
          <w:szCs w:val="26"/>
        </w:rPr>
        <w:t>rationalisation des</w:t>
      </w:r>
      <w:r w:rsidR="008677B1" w:rsidRPr="00584D7B">
        <w:rPr>
          <w:sz w:val="26"/>
          <w:szCs w:val="26"/>
        </w:rPr>
        <w:t xml:space="preserve"> dépenses </w:t>
      </w:r>
      <w:r w:rsidR="00C3412C" w:rsidRPr="00584D7B">
        <w:rPr>
          <w:sz w:val="26"/>
          <w:szCs w:val="26"/>
        </w:rPr>
        <w:t xml:space="preserve">de </w:t>
      </w:r>
      <w:r w:rsidR="001B7A2E" w:rsidRPr="00584D7B">
        <w:rPr>
          <w:sz w:val="26"/>
          <w:szCs w:val="26"/>
        </w:rPr>
        <w:t>fonctionnement</w:t>
      </w:r>
      <w:r w:rsidR="008677B1" w:rsidRPr="00584D7B">
        <w:rPr>
          <w:sz w:val="26"/>
          <w:szCs w:val="26"/>
        </w:rPr>
        <w:t xml:space="preserve"> </w:t>
      </w:r>
      <w:r w:rsidR="00053744" w:rsidRPr="00584D7B">
        <w:rPr>
          <w:sz w:val="26"/>
          <w:szCs w:val="26"/>
        </w:rPr>
        <w:t xml:space="preserve">dans </w:t>
      </w:r>
      <w:r w:rsidR="00C3412C" w:rsidRPr="00584D7B">
        <w:rPr>
          <w:sz w:val="26"/>
          <w:szCs w:val="26"/>
        </w:rPr>
        <w:t xml:space="preserve">le but </w:t>
      </w:r>
      <w:r w:rsidR="00053744" w:rsidRPr="00584D7B">
        <w:rPr>
          <w:sz w:val="26"/>
          <w:szCs w:val="26"/>
        </w:rPr>
        <w:t xml:space="preserve">de maitriser le </w:t>
      </w:r>
      <w:r w:rsidR="00147412" w:rsidRPr="00584D7B">
        <w:rPr>
          <w:sz w:val="26"/>
          <w:szCs w:val="26"/>
        </w:rPr>
        <w:t>déficit</w:t>
      </w:r>
      <w:r w:rsidR="00053744" w:rsidRPr="00584D7B">
        <w:rPr>
          <w:sz w:val="26"/>
          <w:szCs w:val="26"/>
        </w:rPr>
        <w:t xml:space="preserve"> budgétaire.</w:t>
      </w:r>
    </w:p>
    <w:p w:rsidR="00397AD0" w:rsidRPr="00397AD0" w:rsidRDefault="00397AD0" w:rsidP="00635426">
      <w:pPr>
        <w:spacing w:line="276" w:lineRule="auto"/>
        <w:jc w:val="both"/>
        <w:rPr>
          <w:sz w:val="20"/>
          <w:szCs w:val="20"/>
        </w:rPr>
      </w:pPr>
    </w:p>
    <w:p w:rsidR="00945762" w:rsidRDefault="008677B1" w:rsidP="00635426">
      <w:pPr>
        <w:spacing w:line="276" w:lineRule="auto"/>
        <w:jc w:val="both"/>
        <w:rPr>
          <w:b/>
          <w:sz w:val="26"/>
          <w:szCs w:val="26"/>
        </w:rPr>
      </w:pPr>
      <w:r w:rsidRPr="00584D7B">
        <w:rPr>
          <w:sz w:val="26"/>
          <w:szCs w:val="26"/>
        </w:rPr>
        <w:t>Dans ces conditions et compte tenu d’une évolution de 2,</w:t>
      </w:r>
      <w:r w:rsidR="009631B3" w:rsidRPr="00584D7B">
        <w:rPr>
          <w:sz w:val="26"/>
          <w:szCs w:val="26"/>
        </w:rPr>
        <w:t>1</w:t>
      </w:r>
      <w:r w:rsidRPr="00584D7B">
        <w:rPr>
          <w:sz w:val="26"/>
          <w:szCs w:val="26"/>
        </w:rPr>
        <w:t>%</w:t>
      </w:r>
      <w:r w:rsidR="00182E5D" w:rsidRPr="00584D7B">
        <w:rPr>
          <w:sz w:val="26"/>
          <w:szCs w:val="26"/>
        </w:rPr>
        <w:t xml:space="preserve"> </w:t>
      </w:r>
      <w:r w:rsidRPr="00584D7B">
        <w:rPr>
          <w:sz w:val="26"/>
          <w:szCs w:val="26"/>
        </w:rPr>
        <w:t>des impôts et taxes sur produits nets de subventions</w:t>
      </w:r>
      <w:r w:rsidRPr="00584D7B">
        <w:rPr>
          <w:b/>
          <w:sz w:val="26"/>
          <w:szCs w:val="26"/>
        </w:rPr>
        <w:t xml:space="preserve">, </w:t>
      </w:r>
      <w:r w:rsidR="00685350" w:rsidRPr="00584D7B">
        <w:rPr>
          <w:b/>
          <w:sz w:val="26"/>
          <w:szCs w:val="26"/>
        </w:rPr>
        <w:t xml:space="preserve">l’estimation de la croissance </w:t>
      </w:r>
      <w:r w:rsidR="00945762" w:rsidRPr="00584D7B">
        <w:rPr>
          <w:b/>
          <w:sz w:val="26"/>
          <w:szCs w:val="26"/>
        </w:rPr>
        <w:t>pour</w:t>
      </w:r>
      <w:r w:rsidR="00685350" w:rsidRPr="00584D7B">
        <w:rPr>
          <w:b/>
          <w:sz w:val="26"/>
          <w:szCs w:val="26"/>
        </w:rPr>
        <w:t xml:space="preserve"> 2017 devrait </w:t>
      </w:r>
      <w:r w:rsidR="00945762" w:rsidRPr="00584D7B">
        <w:rPr>
          <w:b/>
          <w:sz w:val="26"/>
          <w:szCs w:val="26"/>
        </w:rPr>
        <w:t xml:space="preserve">confirmer la prévision à </w:t>
      </w:r>
      <w:r w:rsidRPr="00584D7B">
        <w:rPr>
          <w:b/>
          <w:sz w:val="26"/>
          <w:szCs w:val="26"/>
        </w:rPr>
        <w:t xml:space="preserve">4% </w:t>
      </w:r>
      <w:r w:rsidR="00945762" w:rsidRPr="00584D7B">
        <w:rPr>
          <w:b/>
          <w:sz w:val="26"/>
          <w:szCs w:val="26"/>
        </w:rPr>
        <w:t>retenu</w:t>
      </w:r>
      <w:r w:rsidR="00C76F37" w:rsidRPr="00584D7B">
        <w:rPr>
          <w:b/>
          <w:sz w:val="26"/>
          <w:szCs w:val="26"/>
        </w:rPr>
        <w:t>e</w:t>
      </w:r>
      <w:r w:rsidR="00945762" w:rsidRPr="00584D7B">
        <w:rPr>
          <w:b/>
          <w:sz w:val="26"/>
          <w:szCs w:val="26"/>
        </w:rPr>
        <w:t xml:space="preserve"> dans le budget économique exploratoire publié en mois de </w:t>
      </w:r>
      <w:r w:rsidR="00A90BF5" w:rsidRPr="00584D7B">
        <w:rPr>
          <w:b/>
          <w:sz w:val="26"/>
          <w:szCs w:val="26"/>
        </w:rPr>
        <w:t xml:space="preserve">juillet </w:t>
      </w:r>
      <w:r w:rsidR="00945762" w:rsidRPr="00584D7B">
        <w:rPr>
          <w:b/>
          <w:sz w:val="26"/>
          <w:szCs w:val="26"/>
        </w:rPr>
        <w:t xml:space="preserve">de </w:t>
      </w:r>
      <w:r w:rsidR="002C2570" w:rsidRPr="00584D7B">
        <w:rPr>
          <w:b/>
          <w:sz w:val="26"/>
          <w:szCs w:val="26"/>
        </w:rPr>
        <w:t>2017</w:t>
      </w:r>
      <w:r w:rsidR="00945762" w:rsidRPr="00584D7B">
        <w:rPr>
          <w:b/>
          <w:sz w:val="26"/>
          <w:szCs w:val="26"/>
        </w:rPr>
        <w:t>.</w:t>
      </w:r>
      <w:r w:rsidRPr="00584D7B">
        <w:rPr>
          <w:b/>
          <w:sz w:val="26"/>
          <w:szCs w:val="26"/>
        </w:rPr>
        <w:t xml:space="preserve"> </w:t>
      </w:r>
    </w:p>
    <w:p w:rsidR="00397AD0" w:rsidRPr="00584D7B" w:rsidRDefault="00397AD0" w:rsidP="00635426">
      <w:pPr>
        <w:spacing w:line="276" w:lineRule="auto"/>
        <w:jc w:val="both"/>
        <w:rPr>
          <w:b/>
          <w:sz w:val="26"/>
          <w:szCs w:val="26"/>
        </w:rPr>
      </w:pPr>
    </w:p>
    <w:p w:rsidR="008677B1" w:rsidRPr="00397AD0" w:rsidRDefault="008C1DB3" w:rsidP="00635426">
      <w:pPr>
        <w:pStyle w:val="Paragraphedeliste"/>
        <w:numPr>
          <w:ilvl w:val="0"/>
          <w:numId w:val="16"/>
        </w:numPr>
        <w:jc w:val="both"/>
        <w:rPr>
          <w:rFonts w:eastAsiaTheme="majorEastAsia"/>
          <w:b/>
          <w:color w:val="0070C0"/>
          <w:sz w:val="30"/>
          <w:szCs w:val="30"/>
          <w:u w:val="single"/>
        </w:rPr>
      </w:pPr>
      <w:r>
        <w:rPr>
          <w:rFonts w:eastAsiaTheme="majorEastAsia"/>
          <w:b/>
          <w:color w:val="0070C0"/>
          <w:sz w:val="30"/>
          <w:szCs w:val="30"/>
          <w:u w:val="single"/>
        </w:rPr>
        <w:t>Les c</w:t>
      </w:r>
      <w:r w:rsidR="008677B1" w:rsidRPr="00397AD0">
        <w:rPr>
          <w:rFonts w:eastAsiaTheme="majorEastAsia"/>
          <w:b/>
          <w:color w:val="0070C0"/>
          <w:sz w:val="30"/>
          <w:szCs w:val="30"/>
          <w:u w:val="single"/>
        </w:rPr>
        <w:t>omposante</w:t>
      </w:r>
      <w:r w:rsidR="00DB402D" w:rsidRPr="00397AD0">
        <w:rPr>
          <w:rFonts w:eastAsiaTheme="majorEastAsia"/>
          <w:b/>
          <w:color w:val="0070C0"/>
          <w:sz w:val="30"/>
          <w:szCs w:val="30"/>
          <w:u w:val="single"/>
        </w:rPr>
        <w:t>s</w:t>
      </w:r>
      <w:r w:rsidR="008677B1" w:rsidRPr="00397AD0">
        <w:rPr>
          <w:rFonts w:eastAsiaTheme="majorEastAsia"/>
          <w:b/>
          <w:color w:val="0070C0"/>
          <w:sz w:val="30"/>
          <w:szCs w:val="30"/>
          <w:u w:val="single"/>
        </w:rPr>
        <w:t xml:space="preserve"> de la demande</w:t>
      </w:r>
    </w:p>
    <w:p w:rsidR="008677B1" w:rsidRPr="00584D7B" w:rsidRDefault="008677B1" w:rsidP="00635426">
      <w:pPr>
        <w:jc w:val="both"/>
        <w:rPr>
          <w:sz w:val="26"/>
          <w:szCs w:val="26"/>
        </w:rPr>
      </w:pPr>
    </w:p>
    <w:p w:rsidR="0066402A" w:rsidRPr="00584D7B" w:rsidRDefault="0066402A" w:rsidP="00635426">
      <w:pPr>
        <w:spacing w:line="276" w:lineRule="auto"/>
        <w:jc w:val="both"/>
        <w:rPr>
          <w:sz w:val="26"/>
          <w:szCs w:val="26"/>
        </w:rPr>
      </w:pPr>
      <w:r w:rsidRPr="00584D7B">
        <w:rPr>
          <w:sz w:val="26"/>
          <w:szCs w:val="26"/>
        </w:rPr>
        <w:t xml:space="preserve">La croissance économique nationale </w:t>
      </w:r>
      <w:r w:rsidR="00C76F37" w:rsidRPr="00584D7B">
        <w:rPr>
          <w:sz w:val="26"/>
          <w:szCs w:val="26"/>
        </w:rPr>
        <w:t xml:space="preserve">en 2017, </w:t>
      </w:r>
      <w:r w:rsidRPr="00584D7B">
        <w:rPr>
          <w:sz w:val="26"/>
          <w:szCs w:val="26"/>
        </w:rPr>
        <w:t xml:space="preserve">aurait continué d’être soutenue, principalement par la demande intérieure, suite à la consolidation de l’investissement et au maintien du dynamisme de la consommation des ménages et dans une moindre mesure de la consommation publique. </w:t>
      </w:r>
    </w:p>
    <w:p w:rsidR="0066402A" w:rsidRPr="00397AD0" w:rsidRDefault="0066402A" w:rsidP="00635426">
      <w:pPr>
        <w:spacing w:line="276" w:lineRule="auto"/>
        <w:jc w:val="both"/>
        <w:rPr>
          <w:sz w:val="20"/>
          <w:szCs w:val="20"/>
        </w:rPr>
      </w:pPr>
    </w:p>
    <w:p w:rsidR="0066402A" w:rsidRPr="00584D7B" w:rsidRDefault="0066402A" w:rsidP="007367C6">
      <w:pPr>
        <w:spacing w:line="276" w:lineRule="auto"/>
        <w:jc w:val="both"/>
        <w:rPr>
          <w:sz w:val="26"/>
          <w:szCs w:val="26"/>
        </w:rPr>
      </w:pPr>
      <w:r w:rsidRPr="00584D7B">
        <w:rPr>
          <w:sz w:val="26"/>
          <w:szCs w:val="26"/>
        </w:rPr>
        <w:t xml:space="preserve">Ainsi, </w:t>
      </w:r>
      <w:r w:rsidRPr="00584D7B">
        <w:rPr>
          <w:b/>
          <w:sz w:val="26"/>
          <w:szCs w:val="26"/>
        </w:rPr>
        <w:t>la consommation finale nationale</w:t>
      </w:r>
      <w:r w:rsidRPr="00584D7B">
        <w:rPr>
          <w:sz w:val="26"/>
          <w:szCs w:val="26"/>
        </w:rPr>
        <w:t xml:space="preserve"> aurait affiché une hausse de 3,</w:t>
      </w:r>
      <w:r w:rsidR="00B5312E" w:rsidRPr="00584D7B">
        <w:rPr>
          <w:sz w:val="26"/>
          <w:szCs w:val="26"/>
        </w:rPr>
        <w:t>2</w:t>
      </w:r>
      <w:r w:rsidRPr="00584D7B">
        <w:rPr>
          <w:sz w:val="26"/>
          <w:szCs w:val="26"/>
        </w:rPr>
        <w:t xml:space="preserve">% en volume au lieu de 3,1% en 2016, contribuant ainsi de 2,5 points de croissance. </w:t>
      </w:r>
      <w:r w:rsidR="009C25F6" w:rsidRPr="00584D7B">
        <w:rPr>
          <w:sz w:val="26"/>
          <w:szCs w:val="26"/>
        </w:rPr>
        <w:t xml:space="preserve">Dans ce cadre, </w:t>
      </w:r>
      <w:r w:rsidRPr="00584D7B">
        <w:rPr>
          <w:sz w:val="26"/>
          <w:szCs w:val="26"/>
        </w:rPr>
        <w:t xml:space="preserve">la consommation des ménages résidents </w:t>
      </w:r>
      <w:r w:rsidR="0004078D" w:rsidRPr="00584D7B">
        <w:rPr>
          <w:sz w:val="26"/>
          <w:szCs w:val="26"/>
        </w:rPr>
        <w:t xml:space="preserve">se serait accrue </w:t>
      </w:r>
      <w:r w:rsidRPr="00584D7B">
        <w:rPr>
          <w:sz w:val="26"/>
          <w:szCs w:val="26"/>
        </w:rPr>
        <w:t xml:space="preserve">de </w:t>
      </w:r>
      <w:r w:rsidR="007367C6">
        <w:rPr>
          <w:sz w:val="26"/>
          <w:szCs w:val="26"/>
        </w:rPr>
        <w:t>4</w:t>
      </w:r>
      <w:r w:rsidRPr="00584D7B">
        <w:rPr>
          <w:sz w:val="26"/>
          <w:szCs w:val="26"/>
        </w:rPr>
        <w:t xml:space="preserve">%, contribuant </w:t>
      </w:r>
      <w:r w:rsidR="0004078D" w:rsidRPr="00584D7B">
        <w:rPr>
          <w:sz w:val="26"/>
          <w:szCs w:val="26"/>
        </w:rPr>
        <w:t>pour</w:t>
      </w:r>
      <w:r w:rsidRPr="00584D7B">
        <w:rPr>
          <w:sz w:val="26"/>
          <w:szCs w:val="26"/>
        </w:rPr>
        <w:t xml:space="preserve"> 2,</w:t>
      </w:r>
      <w:r w:rsidR="007367C6">
        <w:rPr>
          <w:sz w:val="26"/>
          <w:szCs w:val="26"/>
        </w:rPr>
        <w:t>3</w:t>
      </w:r>
      <w:r w:rsidRPr="00584D7B">
        <w:rPr>
          <w:sz w:val="26"/>
          <w:szCs w:val="26"/>
        </w:rPr>
        <w:t xml:space="preserve"> points </w:t>
      </w:r>
      <w:r w:rsidR="0004078D" w:rsidRPr="00584D7B">
        <w:rPr>
          <w:sz w:val="26"/>
          <w:szCs w:val="26"/>
        </w:rPr>
        <w:t xml:space="preserve">à la croissance </w:t>
      </w:r>
      <w:r w:rsidRPr="00584D7B">
        <w:rPr>
          <w:sz w:val="26"/>
          <w:szCs w:val="26"/>
        </w:rPr>
        <w:t xml:space="preserve">en 2017. </w:t>
      </w:r>
      <w:r w:rsidR="0004078D" w:rsidRPr="00584D7B">
        <w:rPr>
          <w:sz w:val="26"/>
          <w:szCs w:val="26"/>
        </w:rPr>
        <w:t>L</w:t>
      </w:r>
      <w:r w:rsidRPr="00584D7B">
        <w:rPr>
          <w:sz w:val="26"/>
          <w:szCs w:val="26"/>
        </w:rPr>
        <w:t>a consommation final</w:t>
      </w:r>
      <w:r w:rsidR="0004078D" w:rsidRPr="00584D7B">
        <w:rPr>
          <w:sz w:val="26"/>
          <w:szCs w:val="26"/>
        </w:rPr>
        <w:t xml:space="preserve">e des administrations publiques, de son côté, </w:t>
      </w:r>
      <w:r w:rsidRPr="00584D7B">
        <w:rPr>
          <w:sz w:val="26"/>
          <w:szCs w:val="26"/>
        </w:rPr>
        <w:t xml:space="preserve">aurait connu une </w:t>
      </w:r>
      <w:r w:rsidR="0004078D" w:rsidRPr="00584D7B">
        <w:rPr>
          <w:sz w:val="26"/>
          <w:szCs w:val="26"/>
        </w:rPr>
        <w:t xml:space="preserve">faible </w:t>
      </w:r>
      <w:r w:rsidRPr="00584D7B">
        <w:rPr>
          <w:sz w:val="26"/>
          <w:szCs w:val="26"/>
        </w:rPr>
        <w:t xml:space="preserve">amélioration de </w:t>
      </w:r>
      <w:r w:rsidR="00F950B3" w:rsidRPr="00584D7B">
        <w:rPr>
          <w:sz w:val="26"/>
          <w:szCs w:val="26"/>
        </w:rPr>
        <w:t>0</w:t>
      </w:r>
      <w:r w:rsidRPr="00584D7B">
        <w:rPr>
          <w:sz w:val="26"/>
          <w:szCs w:val="26"/>
        </w:rPr>
        <w:t>,</w:t>
      </w:r>
      <w:r w:rsidR="00F950B3" w:rsidRPr="00584D7B">
        <w:rPr>
          <w:sz w:val="26"/>
          <w:szCs w:val="26"/>
        </w:rPr>
        <w:t>8</w:t>
      </w:r>
      <w:r w:rsidRPr="00584D7B">
        <w:rPr>
          <w:sz w:val="26"/>
          <w:szCs w:val="26"/>
        </w:rPr>
        <w:t>%, affectée par le ralentissement des dépenses de fonctionnement</w:t>
      </w:r>
      <w:r w:rsidR="00F05649" w:rsidRPr="00584D7B">
        <w:rPr>
          <w:sz w:val="26"/>
          <w:szCs w:val="26"/>
        </w:rPr>
        <w:t xml:space="preserve">. Sa contribution </w:t>
      </w:r>
      <w:r w:rsidR="00471B2F" w:rsidRPr="00584D7B">
        <w:rPr>
          <w:sz w:val="26"/>
          <w:szCs w:val="26"/>
        </w:rPr>
        <w:t xml:space="preserve">à la croissance économique </w:t>
      </w:r>
      <w:r w:rsidR="00F950B3" w:rsidRPr="00584D7B">
        <w:rPr>
          <w:sz w:val="26"/>
          <w:szCs w:val="26"/>
        </w:rPr>
        <w:t>aurait</w:t>
      </w:r>
      <w:r w:rsidRPr="00584D7B">
        <w:rPr>
          <w:sz w:val="26"/>
          <w:szCs w:val="26"/>
        </w:rPr>
        <w:t xml:space="preserve"> </w:t>
      </w:r>
      <w:r w:rsidR="00F05649" w:rsidRPr="00584D7B">
        <w:rPr>
          <w:sz w:val="26"/>
          <w:szCs w:val="26"/>
        </w:rPr>
        <w:t xml:space="preserve">connu un repli, passant de 0,4 point en 2016 à </w:t>
      </w:r>
      <w:r w:rsidRPr="00584D7B">
        <w:rPr>
          <w:sz w:val="26"/>
          <w:szCs w:val="26"/>
        </w:rPr>
        <w:t>0,</w:t>
      </w:r>
      <w:r w:rsidR="00F05649" w:rsidRPr="00584D7B">
        <w:rPr>
          <w:sz w:val="26"/>
          <w:szCs w:val="26"/>
        </w:rPr>
        <w:t>2</w:t>
      </w:r>
      <w:r w:rsidRPr="00584D7B">
        <w:rPr>
          <w:sz w:val="26"/>
          <w:szCs w:val="26"/>
        </w:rPr>
        <w:t xml:space="preserve"> point</w:t>
      </w:r>
      <w:r w:rsidR="00631B3A">
        <w:rPr>
          <w:sz w:val="26"/>
          <w:szCs w:val="26"/>
        </w:rPr>
        <w:t xml:space="preserve"> en 2017</w:t>
      </w:r>
      <w:r w:rsidRPr="00584D7B">
        <w:rPr>
          <w:sz w:val="26"/>
          <w:szCs w:val="26"/>
        </w:rPr>
        <w:t xml:space="preserve">. </w:t>
      </w:r>
    </w:p>
    <w:p w:rsidR="0066402A" w:rsidRPr="00397AD0" w:rsidRDefault="0066402A" w:rsidP="00635426">
      <w:pPr>
        <w:spacing w:line="276" w:lineRule="auto"/>
        <w:jc w:val="both"/>
        <w:rPr>
          <w:sz w:val="20"/>
          <w:szCs w:val="20"/>
        </w:rPr>
      </w:pPr>
    </w:p>
    <w:p w:rsidR="0066402A" w:rsidRDefault="0066402A" w:rsidP="00935C2B">
      <w:pPr>
        <w:spacing w:line="276" w:lineRule="auto"/>
        <w:jc w:val="both"/>
        <w:rPr>
          <w:sz w:val="26"/>
          <w:szCs w:val="26"/>
        </w:rPr>
      </w:pPr>
      <w:r w:rsidRPr="00584D7B">
        <w:rPr>
          <w:b/>
          <w:sz w:val="26"/>
          <w:szCs w:val="26"/>
        </w:rPr>
        <w:t>L’investissement brut</w:t>
      </w:r>
      <w:r w:rsidRPr="00584D7B">
        <w:rPr>
          <w:sz w:val="26"/>
          <w:szCs w:val="26"/>
        </w:rPr>
        <w:t xml:space="preserve"> aurait cru de </w:t>
      </w:r>
      <w:r w:rsidR="00B5312E" w:rsidRPr="00584D7B">
        <w:rPr>
          <w:sz w:val="26"/>
          <w:szCs w:val="26"/>
        </w:rPr>
        <w:t>3</w:t>
      </w:r>
      <w:r w:rsidR="00AA0E9E">
        <w:rPr>
          <w:sz w:val="26"/>
          <w:szCs w:val="26"/>
        </w:rPr>
        <w:t>,2</w:t>
      </w:r>
      <w:r w:rsidRPr="00584D7B">
        <w:rPr>
          <w:sz w:val="26"/>
          <w:szCs w:val="26"/>
        </w:rPr>
        <w:t xml:space="preserve">% en 2017 et </w:t>
      </w:r>
      <w:r w:rsidR="00AA0E9E">
        <w:rPr>
          <w:sz w:val="26"/>
          <w:szCs w:val="26"/>
        </w:rPr>
        <w:t>aurait</w:t>
      </w:r>
      <w:r w:rsidRPr="00584D7B">
        <w:rPr>
          <w:sz w:val="26"/>
          <w:szCs w:val="26"/>
        </w:rPr>
        <w:t xml:space="preserve"> contribu</w:t>
      </w:r>
      <w:r w:rsidR="00416050" w:rsidRPr="00584D7B">
        <w:rPr>
          <w:sz w:val="26"/>
          <w:szCs w:val="26"/>
        </w:rPr>
        <w:t>é</w:t>
      </w:r>
      <w:r w:rsidRPr="00584D7B">
        <w:rPr>
          <w:sz w:val="26"/>
          <w:szCs w:val="26"/>
        </w:rPr>
        <w:t xml:space="preserve"> </w:t>
      </w:r>
      <w:r w:rsidR="00832FED" w:rsidRPr="00584D7B">
        <w:rPr>
          <w:sz w:val="26"/>
          <w:szCs w:val="26"/>
        </w:rPr>
        <w:t>d</w:t>
      </w:r>
      <w:r w:rsidR="00AA0E9E">
        <w:rPr>
          <w:sz w:val="26"/>
          <w:szCs w:val="26"/>
        </w:rPr>
        <w:t>e 1,1</w:t>
      </w:r>
      <w:r w:rsidR="00B5312E" w:rsidRPr="00584D7B">
        <w:rPr>
          <w:sz w:val="26"/>
          <w:szCs w:val="26"/>
        </w:rPr>
        <w:t xml:space="preserve"> </w:t>
      </w:r>
      <w:r w:rsidR="00FE7D92" w:rsidRPr="00584D7B">
        <w:rPr>
          <w:sz w:val="26"/>
          <w:szCs w:val="26"/>
        </w:rPr>
        <w:t>point</w:t>
      </w:r>
      <w:r w:rsidRPr="00584D7B">
        <w:rPr>
          <w:sz w:val="26"/>
          <w:szCs w:val="26"/>
        </w:rPr>
        <w:t xml:space="preserve"> </w:t>
      </w:r>
      <w:r w:rsidR="00832FED" w:rsidRPr="00584D7B">
        <w:rPr>
          <w:sz w:val="26"/>
          <w:szCs w:val="26"/>
        </w:rPr>
        <w:t xml:space="preserve">à la croissance </w:t>
      </w:r>
      <w:r w:rsidRPr="00584D7B">
        <w:rPr>
          <w:sz w:val="26"/>
          <w:szCs w:val="26"/>
        </w:rPr>
        <w:t>après 3,6 points en 2016. La formation brute du capital fixe, qui en constitue la composante principale, aurait affiché une hausse de 3,</w:t>
      </w:r>
      <w:r w:rsidR="00AA0E9E">
        <w:rPr>
          <w:sz w:val="26"/>
          <w:szCs w:val="26"/>
        </w:rPr>
        <w:t>4</w:t>
      </w:r>
      <w:r w:rsidRPr="00584D7B">
        <w:rPr>
          <w:sz w:val="26"/>
          <w:szCs w:val="26"/>
        </w:rPr>
        <w:t xml:space="preserve">% en décélération par rapport à 9,3% enregistré en 2016, </w:t>
      </w:r>
      <w:r w:rsidR="00832FED" w:rsidRPr="00584D7B">
        <w:rPr>
          <w:sz w:val="26"/>
          <w:szCs w:val="26"/>
        </w:rPr>
        <w:t>subissant</w:t>
      </w:r>
      <w:r w:rsidRPr="00584D7B">
        <w:rPr>
          <w:sz w:val="26"/>
          <w:szCs w:val="26"/>
        </w:rPr>
        <w:t xml:space="preserve"> l’effet du ralentissement du rythme d’accroissement de l’investissement en construction</w:t>
      </w:r>
      <w:r w:rsidR="0004078D" w:rsidRPr="00584D7B">
        <w:rPr>
          <w:sz w:val="26"/>
          <w:szCs w:val="26"/>
        </w:rPr>
        <w:t xml:space="preserve"> et en produits d’équipement</w:t>
      </w:r>
      <w:r w:rsidR="00832FED" w:rsidRPr="00584D7B">
        <w:rPr>
          <w:sz w:val="26"/>
          <w:szCs w:val="26"/>
        </w:rPr>
        <w:t>.</w:t>
      </w:r>
      <w:r w:rsidRPr="00584D7B">
        <w:rPr>
          <w:sz w:val="26"/>
          <w:szCs w:val="26"/>
        </w:rPr>
        <w:t xml:space="preserve"> Sa contribution à la croissance serait passée de 2</w:t>
      </w:r>
      <w:r w:rsidR="00B5312E" w:rsidRPr="00584D7B">
        <w:rPr>
          <w:sz w:val="26"/>
          <w:szCs w:val="26"/>
        </w:rPr>
        <w:t xml:space="preserve">,6 points en 2016 à </w:t>
      </w:r>
      <w:r w:rsidR="00935C2B">
        <w:rPr>
          <w:sz w:val="26"/>
          <w:szCs w:val="26"/>
        </w:rPr>
        <w:t>1</w:t>
      </w:r>
      <w:r w:rsidRPr="00584D7B">
        <w:rPr>
          <w:sz w:val="26"/>
          <w:szCs w:val="26"/>
        </w:rPr>
        <w:t xml:space="preserve"> point en 2017.</w:t>
      </w:r>
      <w:r w:rsidR="00FE7D92" w:rsidRPr="00584D7B">
        <w:rPr>
          <w:sz w:val="26"/>
          <w:szCs w:val="26"/>
        </w:rPr>
        <w:t xml:space="preserve"> </w:t>
      </w:r>
      <w:r w:rsidR="0004078D" w:rsidRPr="00584D7B">
        <w:rPr>
          <w:sz w:val="26"/>
          <w:szCs w:val="26"/>
        </w:rPr>
        <w:t>L</w:t>
      </w:r>
      <w:r w:rsidR="00FE7D92" w:rsidRPr="00584D7B">
        <w:rPr>
          <w:sz w:val="26"/>
          <w:szCs w:val="26"/>
        </w:rPr>
        <w:t>a variation des stocks</w:t>
      </w:r>
      <w:r w:rsidRPr="00584D7B">
        <w:rPr>
          <w:sz w:val="26"/>
          <w:szCs w:val="26"/>
        </w:rPr>
        <w:t xml:space="preserve"> </w:t>
      </w:r>
      <w:r w:rsidR="007A65F4" w:rsidRPr="00584D7B">
        <w:rPr>
          <w:sz w:val="26"/>
          <w:szCs w:val="26"/>
        </w:rPr>
        <w:t xml:space="preserve">aurait </w:t>
      </w:r>
      <w:r w:rsidR="0004078D" w:rsidRPr="00584D7B">
        <w:rPr>
          <w:sz w:val="26"/>
          <w:szCs w:val="26"/>
        </w:rPr>
        <w:t xml:space="preserve">dégagé une contribution </w:t>
      </w:r>
      <w:r w:rsidR="00935C2B">
        <w:rPr>
          <w:sz w:val="26"/>
          <w:szCs w:val="26"/>
        </w:rPr>
        <w:t>nulle</w:t>
      </w:r>
      <w:r w:rsidR="007A65F4" w:rsidRPr="00584D7B">
        <w:rPr>
          <w:sz w:val="26"/>
          <w:szCs w:val="26"/>
        </w:rPr>
        <w:t xml:space="preserve"> </w:t>
      </w:r>
      <w:r w:rsidRPr="00584D7B">
        <w:rPr>
          <w:sz w:val="26"/>
          <w:szCs w:val="26"/>
        </w:rPr>
        <w:t xml:space="preserve">en 2017 après avoir été positive de 0,9 point en 2016. </w:t>
      </w:r>
    </w:p>
    <w:p w:rsidR="00397AD0" w:rsidRPr="00397AD0" w:rsidRDefault="00397AD0" w:rsidP="00635426">
      <w:pPr>
        <w:spacing w:line="276" w:lineRule="auto"/>
        <w:jc w:val="both"/>
        <w:rPr>
          <w:sz w:val="20"/>
          <w:szCs w:val="20"/>
        </w:rPr>
      </w:pPr>
    </w:p>
    <w:p w:rsidR="0066402A" w:rsidRPr="00584D7B" w:rsidRDefault="0066402A" w:rsidP="00935C2B">
      <w:pPr>
        <w:spacing w:line="276" w:lineRule="auto"/>
        <w:jc w:val="both"/>
        <w:rPr>
          <w:sz w:val="26"/>
          <w:szCs w:val="26"/>
        </w:rPr>
      </w:pPr>
      <w:r w:rsidRPr="00584D7B">
        <w:rPr>
          <w:sz w:val="26"/>
          <w:szCs w:val="26"/>
        </w:rPr>
        <w:lastRenderedPageBreak/>
        <w:t xml:space="preserve">Globalement, </w:t>
      </w:r>
      <w:r w:rsidRPr="00584D7B">
        <w:rPr>
          <w:b/>
          <w:sz w:val="26"/>
          <w:szCs w:val="26"/>
        </w:rPr>
        <w:t>la demande intérieure</w:t>
      </w:r>
      <w:r w:rsidRPr="00584D7B">
        <w:rPr>
          <w:sz w:val="26"/>
          <w:szCs w:val="26"/>
        </w:rPr>
        <w:t xml:space="preserve"> aurait connu</w:t>
      </w:r>
      <w:r w:rsidR="00C76F37" w:rsidRPr="00584D7B">
        <w:rPr>
          <w:sz w:val="26"/>
          <w:szCs w:val="26"/>
        </w:rPr>
        <w:t xml:space="preserve"> </w:t>
      </w:r>
      <w:r w:rsidR="005320D0" w:rsidRPr="00584D7B">
        <w:rPr>
          <w:sz w:val="26"/>
          <w:szCs w:val="26"/>
        </w:rPr>
        <w:t xml:space="preserve">un </w:t>
      </w:r>
      <w:r w:rsidRPr="00584D7B">
        <w:rPr>
          <w:sz w:val="26"/>
          <w:szCs w:val="26"/>
        </w:rPr>
        <w:t xml:space="preserve">repli de son rythme de croissance </w:t>
      </w:r>
      <w:r w:rsidR="005320D0" w:rsidRPr="00584D7B">
        <w:rPr>
          <w:sz w:val="26"/>
          <w:szCs w:val="26"/>
        </w:rPr>
        <w:t>qui serait passé de</w:t>
      </w:r>
      <w:r w:rsidRPr="00584D7B">
        <w:rPr>
          <w:sz w:val="26"/>
          <w:szCs w:val="26"/>
        </w:rPr>
        <w:t xml:space="preserve"> </w:t>
      </w:r>
      <w:r w:rsidR="00935C2B">
        <w:rPr>
          <w:sz w:val="26"/>
          <w:szCs w:val="26"/>
        </w:rPr>
        <w:t>5,5%</w:t>
      </w:r>
      <w:r w:rsidR="000557BC" w:rsidRPr="00584D7B">
        <w:rPr>
          <w:sz w:val="26"/>
          <w:szCs w:val="26"/>
        </w:rPr>
        <w:t xml:space="preserve"> en 2016 à </w:t>
      </w:r>
      <w:r w:rsidRPr="00584D7B">
        <w:rPr>
          <w:sz w:val="26"/>
          <w:szCs w:val="26"/>
        </w:rPr>
        <w:t>3,</w:t>
      </w:r>
      <w:r w:rsidR="00935C2B">
        <w:rPr>
          <w:sz w:val="26"/>
          <w:szCs w:val="26"/>
        </w:rPr>
        <w:t>2</w:t>
      </w:r>
      <w:r w:rsidRPr="00584D7B">
        <w:rPr>
          <w:sz w:val="26"/>
          <w:szCs w:val="26"/>
        </w:rPr>
        <w:t>% en 2017. Sa contribution à la croissance du PIB, aurait ainsi décéléré pour atteindre 3,</w:t>
      </w:r>
      <w:r w:rsidR="00935C2B">
        <w:rPr>
          <w:sz w:val="26"/>
          <w:szCs w:val="26"/>
        </w:rPr>
        <w:t>6</w:t>
      </w:r>
      <w:r w:rsidRPr="00584D7B">
        <w:rPr>
          <w:sz w:val="26"/>
          <w:szCs w:val="26"/>
        </w:rPr>
        <w:t xml:space="preserve"> points au lieu de 5,9 points en 2016.</w:t>
      </w:r>
    </w:p>
    <w:p w:rsidR="009754AD" w:rsidRPr="00397AD0" w:rsidRDefault="009754AD" w:rsidP="00635426">
      <w:pPr>
        <w:spacing w:line="276" w:lineRule="auto"/>
        <w:jc w:val="both"/>
        <w:rPr>
          <w:sz w:val="20"/>
          <w:szCs w:val="20"/>
        </w:rPr>
      </w:pPr>
    </w:p>
    <w:p w:rsidR="0063255C" w:rsidRPr="00584D7B" w:rsidRDefault="008C1DB3" w:rsidP="00046678">
      <w:pPr>
        <w:spacing w:line="276" w:lineRule="auto"/>
        <w:jc w:val="both"/>
        <w:rPr>
          <w:sz w:val="26"/>
          <w:szCs w:val="26"/>
        </w:rPr>
      </w:pPr>
      <w:r>
        <w:rPr>
          <w:sz w:val="26"/>
          <w:szCs w:val="26"/>
        </w:rPr>
        <w:t xml:space="preserve">Au </w:t>
      </w:r>
      <w:r w:rsidR="0063255C" w:rsidRPr="00584D7B">
        <w:rPr>
          <w:sz w:val="26"/>
          <w:szCs w:val="26"/>
        </w:rPr>
        <w:t>niveau de</w:t>
      </w:r>
      <w:r w:rsidR="004B318C" w:rsidRPr="00584D7B">
        <w:rPr>
          <w:sz w:val="26"/>
          <w:szCs w:val="26"/>
        </w:rPr>
        <w:t xml:space="preserve">s échanges extérieurs, </w:t>
      </w:r>
      <w:r w:rsidR="0063255C" w:rsidRPr="00584D7B">
        <w:rPr>
          <w:sz w:val="26"/>
          <w:szCs w:val="26"/>
        </w:rPr>
        <w:t xml:space="preserve">l'amélioration </w:t>
      </w:r>
      <w:r w:rsidR="0004078D" w:rsidRPr="00584D7B">
        <w:rPr>
          <w:sz w:val="26"/>
          <w:szCs w:val="26"/>
        </w:rPr>
        <w:t xml:space="preserve">de </w:t>
      </w:r>
      <w:r w:rsidR="0063255C" w:rsidRPr="00584D7B">
        <w:rPr>
          <w:sz w:val="26"/>
          <w:szCs w:val="26"/>
        </w:rPr>
        <w:t xml:space="preserve">la demande mondiale adressée au Maroc </w:t>
      </w:r>
      <w:r w:rsidR="00243DD7" w:rsidRPr="00584D7B">
        <w:rPr>
          <w:sz w:val="26"/>
          <w:szCs w:val="26"/>
        </w:rPr>
        <w:t xml:space="preserve">aurait </w:t>
      </w:r>
      <w:r w:rsidR="0004078D" w:rsidRPr="00584D7B">
        <w:rPr>
          <w:sz w:val="26"/>
          <w:szCs w:val="26"/>
        </w:rPr>
        <w:t xml:space="preserve">bénéficié aux </w:t>
      </w:r>
      <w:bookmarkStart w:id="2" w:name="_Toc318191897"/>
      <w:bookmarkStart w:id="3" w:name="_Toc328056277"/>
      <w:bookmarkStart w:id="4" w:name="_Toc328056531"/>
      <w:bookmarkStart w:id="5" w:name="_Toc202419680"/>
      <w:r w:rsidR="00EE1FC2" w:rsidRPr="00584D7B">
        <w:rPr>
          <w:sz w:val="26"/>
          <w:szCs w:val="26"/>
        </w:rPr>
        <w:t>exportations des biens et services</w:t>
      </w:r>
      <w:r w:rsidR="004B318C" w:rsidRPr="00584D7B">
        <w:rPr>
          <w:sz w:val="26"/>
          <w:szCs w:val="26"/>
        </w:rPr>
        <w:t xml:space="preserve"> qui </w:t>
      </w:r>
      <w:r w:rsidR="00EE1FC2" w:rsidRPr="00584D7B">
        <w:rPr>
          <w:sz w:val="26"/>
          <w:szCs w:val="26"/>
        </w:rPr>
        <w:t>auraient progressé de 8,</w:t>
      </w:r>
      <w:r w:rsidR="006A0023">
        <w:rPr>
          <w:sz w:val="26"/>
          <w:szCs w:val="26"/>
        </w:rPr>
        <w:t>8</w:t>
      </w:r>
      <w:r w:rsidR="00EE1FC2" w:rsidRPr="00584D7B">
        <w:rPr>
          <w:sz w:val="26"/>
          <w:szCs w:val="26"/>
        </w:rPr>
        <w:t>%</w:t>
      </w:r>
      <w:r w:rsidR="00BF32F7">
        <w:rPr>
          <w:sz w:val="26"/>
          <w:szCs w:val="26"/>
        </w:rPr>
        <w:t xml:space="preserve"> en 2017</w:t>
      </w:r>
      <w:r w:rsidR="004B318C" w:rsidRPr="00584D7B">
        <w:rPr>
          <w:sz w:val="26"/>
          <w:szCs w:val="26"/>
        </w:rPr>
        <w:t>. La hausse d</w:t>
      </w:r>
      <w:r w:rsidR="00EE1FC2" w:rsidRPr="00584D7B">
        <w:rPr>
          <w:sz w:val="26"/>
          <w:szCs w:val="26"/>
        </w:rPr>
        <w:t xml:space="preserve">es importations aurait </w:t>
      </w:r>
      <w:r w:rsidR="004B318C" w:rsidRPr="00584D7B">
        <w:rPr>
          <w:sz w:val="26"/>
          <w:szCs w:val="26"/>
        </w:rPr>
        <w:t xml:space="preserve">été </w:t>
      </w:r>
      <w:r w:rsidR="00EE1FC2" w:rsidRPr="00584D7B">
        <w:rPr>
          <w:sz w:val="26"/>
          <w:szCs w:val="26"/>
        </w:rPr>
        <w:t>de 5,</w:t>
      </w:r>
      <w:r w:rsidR="00E92985">
        <w:rPr>
          <w:sz w:val="26"/>
          <w:szCs w:val="26"/>
        </w:rPr>
        <w:t>9</w:t>
      </w:r>
      <w:r w:rsidR="00EE1FC2" w:rsidRPr="00584D7B">
        <w:rPr>
          <w:sz w:val="26"/>
          <w:szCs w:val="26"/>
        </w:rPr>
        <w:t>%</w:t>
      </w:r>
      <w:r w:rsidR="004B318C" w:rsidRPr="00584D7B">
        <w:rPr>
          <w:sz w:val="26"/>
          <w:szCs w:val="26"/>
        </w:rPr>
        <w:t xml:space="preserve"> et en conséquence l</w:t>
      </w:r>
      <w:r w:rsidR="00EE1FC2" w:rsidRPr="00584D7B">
        <w:rPr>
          <w:sz w:val="26"/>
          <w:szCs w:val="26"/>
        </w:rPr>
        <w:t xml:space="preserve">a </w:t>
      </w:r>
      <w:r w:rsidR="00EE1FC2" w:rsidRPr="00584D7B">
        <w:rPr>
          <w:b/>
          <w:sz w:val="26"/>
          <w:szCs w:val="26"/>
        </w:rPr>
        <w:t>demande extérieure</w:t>
      </w:r>
      <w:r w:rsidR="00EE1FC2" w:rsidRPr="00584D7B">
        <w:rPr>
          <w:sz w:val="26"/>
          <w:szCs w:val="26"/>
        </w:rPr>
        <w:t xml:space="preserve"> aurait enregistré une contribution positive à la croissance de 0,</w:t>
      </w:r>
      <w:r w:rsidR="00716716">
        <w:rPr>
          <w:sz w:val="26"/>
          <w:szCs w:val="26"/>
        </w:rPr>
        <w:t>4</w:t>
      </w:r>
      <w:r w:rsidR="00EE1FC2" w:rsidRPr="00584D7B">
        <w:rPr>
          <w:sz w:val="26"/>
          <w:szCs w:val="26"/>
        </w:rPr>
        <w:t xml:space="preserve"> point en 2017 au lieu d'une contribution négative de 4,7 points en 2016. </w:t>
      </w:r>
      <w:bookmarkEnd w:id="2"/>
      <w:bookmarkEnd w:id="3"/>
      <w:bookmarkEnd w:id="4"/>
      <w:bookmarkEnd w:id="5"/>
    </w:p>
    <w:p w:rsidR="007E2FBD" w:rsidRPr="00584D7B" w:rsidRDefault="007E2FBD" w:rsidP="00BC6D26">
      <w:pPr>
        <w:rPr>
          <w:sz w:val="26"/>
          <w:szCs w:val="26"/>
        </w:rPr>
      </w:pPr>
    </w:p>
    <w:p w:rsidR="007A4FBE" w:rsidRPr="008C1DB3" w:rsidRDefault="008C1DB3" w:rsidP="008C1DB3">
      <w:pPr>
        <w:pStyle w:val="Paragraphedeliste"/>
        <w:numPr>
          <w:ilvl w:val="0"/>
          <w:numId w:val="16"/>
        </w:numPr>
        <w:rPr>
          <w:rFonts w:eastAsiaTheme="majorEastAsia"/>
          <w:b/>
          <w:color w:val="0070C0"/>
          <w:sz w:val="30"/>
          <w:szCs w:val="30"/>
          <w:u w:val="single"/>
        </w:rPr>
      </w:pPr>
      <w:r>
        <w:rPr>
          <w:rFonts w:eastAsiaTheme="majorEastAsia"/>
          <w:b/>
          <w:color w:val="0070C0"/>
          <w:sz w:val="30"/>
          <w:szCs w:val="30"/>
          <w:u w:val="single"/>
        </w:rPr>
        <w:t>Le f</w:t>
      </w:r>
      <w:r w:rsidR="00174BC7" w:rsidRPr="008C1DB3">
        <w:rPr>
          <w:rFonts w:eastAsiaTheme="majorEastAsia"/>
          <w:b/>
          <w:color w:val="0070C0"/>
          <w:sz w:val="30"/>
          <w:szCs w:val="30"/>
          <w:u w:val="single"/>
        </w:rPr>
        <w:t>inancement de l’économie nationale en 2017</w:t>
      </w:r>
    </w:p>
    <w:p w:rsidR="008C1DB3" w:rsidRPr="008C1DB3" w:rsidRDefault="008C1DB3" w:rsidP="00BC6D26">
      <w:pPr>
        <w:rPr>
          <w:rFonts w:eastAsiaTheme="majorEastAsia"/>
          <w:b/>
          <w:color w:val="0070C0"/>
          <w:sz w:val="30"/>
          <w:szCs w:val="30"/>
          <w:u w:val="single"/>
        </w:rPr>
      </w:pPr>
    </w:p>
    <w:p w:rsidR="00147412" w:rsidRPr="00584D7B" w:rsidRDefault="00147412" w:rsidP="00F52060">
      <w:pPr>
        <w:spacing w:line="276" w:lineRule="auto"/>
        <w:jc w:val="both"/>
        <w:rPr>
          <w:sz w:val="26"/>
          <w:szCs w:val="26"/>
        </w:rPr>
      </w:pPr>
      <w:r w:rsidRPr="00584D7B">
        <w:rPr>
          <w:b/>
          <w:sz w:val="26"/>
          <w:szCs w:val="26"/>
        </w:rPr>
        <w:t xml:space="preserve">Les finances publiques </w:t>
      </w:r>
      <w:r w:rsidRPr="00584D7B">
        <w:rPr>
          <w:sz w:val="26"/>
          <w:szCs w:val="26"/>
        </w:rPr>
        <w:t xml:space="preserve">auraient été marquées en 2017 par le redressement du déficit budgétaire, suite au renforcement de la collecte des recettes ordinaires notamment </w:t>
      </w:r>
      <w:r w:rsidR="00FB0EF7" w:rsidRPr="00584D7B">
        <w:rPr>
          <w:sz w:val="26"/>
          <w:szCs w:val="26"/>
        </w:rPr>
        <w:t xml:space="preserve">les recettes </w:t>
      </w:r>
      <w:r w:rsidRPr="00584D7B">
        <w:rPr>
          <w:sz w:val="26"/>
          <w:szCs w:val="26"/>
        </w:rPr>
        <w:t xml:space="preserve">fiscales et </w:t>
      </w:r>
      <w:r w:rsidR="00B364E4" w:rsidRPr="00584D7B">
        <w:rPr>
          <w:sz w:val="26"/>
          <w:szCs w:val="26"/>
        </w:rPr>
        <w:t xml:space="preserve">à </w:t>
      </w:r>
      <w:r w:rsidRPr="00584D7B">
        <w:rPr>
          <w:sz w:val="26"/>
          <w:szCs w:val="26"/>
        </w:rPr>
        <w:t xml:space="preserve">la maitrise des dépenses. Ainsi, les recettes auraient couvert </w:t>
      </w:r>
      <w:r w:rsidR="00B364E4" w:rsidRPr="00584D7B">
        <w:rPr>
          <w:sz w:val="26"/>
          <w:szCs w:val="26"/>
        </w:rPr>
        <w:t>largement les dépenses</w:t>
      </w:r>
      <w:r w:rsidR="005320D0" w:rsidRPr="00584D7B">
        <w:rPr>
          <w:sz w:val="26"/>
          <w:szCs w:val="26"/>
        </w:rPr>
        <w:t>, dégagent un</w:t>
      </w:r>
      <w:r w:rsidRPr="00584D7B">
        <w:rPr>
          <w:sz w:val="26"/>
          <w:szCs w:val="26"/>
        </w:rPr>
        <w:t xml:space="preserve"> </w:t>
      </w:r>
      <w:r w:rsidR="00B364E4" w:rsidRPr="00584D7B">
        <w:rPr>
          <w:sz w:val="26"/>
          <w:szCs w:val="26"/>
        </w:rPr>
        <w:t xml:space="preserve">solde ordinaire positif de </w:t>
      </w:r>
      <w:r w:rsidR="00FF0FCF" w:rsidRPr="00584D7B">
        <w:rPr>
          <w:sz w:val="26"/>
          <w:szCs w:val="26"/>
        </w:rPr>
        <w:t xml:space="preserve">1,8% </w:t>
      </w:r>
      <w:r w:rsidRPr="00584D7B">
        <w:rPr>
          <w:sz w:val="26"/>
          <w:szCs w:val="26"/>
        </w:rPr>
        <w:t xml:space="preserve">du PIB en 2017. En tenant compte </w:t>
      </w:r>
      <w:r w:rsidR="005320D0" w:rsidRPr="00584D7B">
        <w:rPr>
          <w:sz w:val="26"/>
          <w:szCs w:val="26"/>
        </w:rPr>
        <w:t>d</w:t>
      </w:r>
      <w:r w:rsidRPr="00584D7B">
        <w:rPr>
          <w:sz w:val="26"/>
          <w:szCs w:val="26"/>
        </w:rPr>
        <w:t>es dépenses d’investissement</w:t>
      </w:r>
      <w:r w:rsidR="00E3039B" w:rsidRPr="00584D7B">
        <w:rPr>
          <w:sz w:val="26"/>
          <w:szCs w:val="26"/>
        </w:rPr>
        <w:t>,</w:t>
      </w:r>
      <w:r w:rsidRPr="00584D7B">
        <w:rPr>
          <w:sz w:val="26"/>
          <w:szCs w:val="26"/>
        </w:rPr>
        <w:t xml:space="preserve"> </w:t>
      </w:r>
      <w:r w:rsidR="00B364E4" w:rsidRPr="00584D7B">
        <w:rPr>
          <w:sz w:val="26"/>
          <w:szCs w:val="26"/>
        </w:rPr>
        <w:t xml:space="preserve">représentant </w:t>
      </w:r>
      <w:r w:rsidR="004F645E" w:rsidRPr="00584D7B">
        <w:rPr>
          <w:sz w:val="26"/>
          <w:szCs w:val="26"/>
        </w:rPr>
        <w:t>5,9</w:t>
      </w:r>
      <w:r w:rsidRPr="00584D7B">
        <w:rPr>
          <w:sz w:val="26"/>
          <w:szCs w:val="26"/>
        </w:rPr>
        <w:t xml:space="preserve">% du PIB en 2017, </w:t>
      </w:r>
      <w:r w:rsidR="00F52060">
        <w:rPr>
          <w:sz w:val="26"/>
          <w:szCs w:val="26"/>
        </w:rPr>
        <w:t xml:space="preserve">le déficit budgétaire </w:t>
      </w:r>
      <w:r w:rsidRPr="00584D7B">
        <w:rPr>
          <w:sz w:val="26"/>
          <w:szCs w:val="26"/>
        </w:rPr>
        <w:t xml:space="preserve">aurait connu un allégement, pour atteindre 3,5% du PIB au lieu de 4% en 2016.  </w:t>
      </w:r>
    </w:p>
    <w:p w:rsidR="00147412" w:rsidRPr="008C1DB3" w:rsidRDefault="00147412" w:rsidP="008C1DB3">
      <w:pPr>
        <w:spacing w:line="276" w:lineRule="auto"/>
        <w:jc w:val="both"/>
        <w:rPr>
          <w:sz w:val="20"/>
          <w:szCs w:val="20"/>
        </w:rPr>
      </w:pPr>
    </w:p>
    <w:p w:rsidR="00147412" w:rsidRDefault="00E32AD7" w:rsidP="008C1DB3">
      <w:pPr>
        <w:spacing w:line="276" w:lineRule="auto"/>
        <w:jc w:val="both"/>
        <w:rPr>
          <w:sz w:val="26"/>
          <w:szCs w:val="26"/>
        </w:rPr>
      </w:pPr>
      <w:r w:rsidRPr="00584D7B">
        <w:rPr>
          <w:sz w:val="26"/>
          <w:szCs w:val="26"/>
        </w:rPr>
        <w:t xml:space="preserve">A cet effet, </w:t>
      </w:r>
      <w:r w:rsidR="00147412" w:rsidRPr="00584D7B">
        <w:rPr>
          <w:sz w:val="26"/>
          <w:szCs w:val="26"/>
        </w:rPr>
        <w:t xml:space="preserve">l’encours de </w:t>
      </w:r>
      <w:r w:rsidR="00147412" w:rsidRPr="00584D7B">
        <w:rPr>
          <w:b/>
          <w:sz w:val="26"/>
          <w:szCs w:val="26"/>
        </w:rPr>
        <w:t>la dette du Trésor</w:t>
      </w:r>
      <w:r w:rsidR="00147412" w:rsidRPr="00584D7B">
        <w:rPr>
          <w:sz w:val="26"/>
          <w:szCs w:val="26"/>
        </w:rPr>
        <w:t xml:space="preserve"> s</w:t>
      </w:r>
      <w:r w:rsidRPr="00584D7B">
        <w:rPr>
          <w:sz w:val="26"/>
          <w:szCs w:val="26"/>
        </w:rPr>
        <w:t xml:space="preserve">e serait </w:t>
      </w:r>
      <w:r w:rsidR="00147412" w:rsidRPr="00584D7B">
        <w:rPr>
          <w:sz w:val="26"/>
          <w:szCs w:val="26"/>
        </w:rPr>
        <w:t>établi à 6</w:t>
      </w:r>
      <w:r w:rsidRPr="00584D7B">
        <w:rPr>
          <w:sz w:val="26"/>
          <w:szCs w:val="26"/>
        </w:rPr>
        <w:t>5</w:t>
      </w:r>
      <w:r w:rsidR="00147412" w:rsidRPr="00584D7B">
        <w:rPr>
          <w:sz w:val="26"/>
          <w:szCs w:val="26"/>
        </w:rPr>
        <w:t>,</w:t>
      </w:r>
      <w:r w:rsidRPr="00584D7B">
        <w:rPr>
          <w:sz w:val="26"/>
          <w:szCs w:val="26"/>
        </w:rPr>
        <w:t>1</w:t>
      </w:r>
      <w:r w:rsidR="00147412" w:rsidRPr="00584D7B">
        <w:rPr>
          <w:sz w:val="26"/>
          <w:szCs w:val="26"/>
        </w:rPr>
        <w:t xml:space="preserve">% du PIB en 2017 au lieu de 64,6% en 2016. En tenant compte </w:t>
      </w:r>
      <w:r w:rsidR="004D0ADE" w:rsidRPr="00584D7B">
        <w:rPr>
          <w:sz w:val="26"/>
          <w:szCs w:val="26"/>
        </w:rPr>
        <w:t xml:space="preserve">de </w:t>
      </w:r>
      <w:r w:rsidR="00147412" w:rsidRPr="00584D7B">
        <w:rPr>
          <w:sz w:val="26"/>
          <w:szCs w:val="26"/>
        </w:rPr>
        <w:t xml:space="preserve">la dette extérieure garantie, la dette publique aurait </w:t>
      </w:r>
      <w:r w:rsidR="004D0ADE" w:rsidRPr="00584D7B">
        <w:rPr>
          <w:sz w:val="26"/>
          <w:szCs w:val="26"/>
        </w:rPr>
        <w:t>atteint</w:t>
      </w:r>
      <w:r w:rsidR="00147412" w:rsidRPr="00584D7B">
        <w:rPr>
          <w:sz w:val="26"/>
          <w:szCs w:val="26"/>
        </w:rPr>
        <w:t xml:space="preserve"> </w:t>
      </w:r>
      <w:r w:rsidR="004D0ADE" w:rsidRPr="00584D7B">
        <w:rPr>
          <w:sz w:val="26"/>
          <w:szCs w:val="26"/>
        </w:rPr>
        <w:t>81,</w:t>
      </w:r>
      <w:r w:rsidR="00712839" w:rsidRPr="00584D7B">
        <w:rPr>
          <w:sz w:val="26"/>
          <w:szCs w:val="26"/>
        </w:rPr>
        <w:t>6</w:t>
      </w:r>
      <w:r w:rsidR="004D0ADE" w:rsidRPr="00584D7B">
        <w:rPr>
          <w:sz w:val="26"/>
          <w:szCs w:val="26"/>
        </w:rPr>
        <w:t>% du</w:t>
      </w:r>
      <w:r w:rsidR="00147412" w:rsidRPr="00584D7B">
        <w:rPr>
          <w:sz w:val="26"/>
          <w:szCs w:val="26"/>
        </w:rPr>
        <w:t xml:space="preserve"> PIB en 2017 au lieu de 80,9% en 2016.</w:t>
      </w:r>
    </w:p>
    <w:p w:rsidR="008C1DB3" w:rsidRPr="008C1DB3" w:rsidRDefault="008C1DB3" w:rsidP="008C1DB3">
      <w:pPr>
        <w:spacing w:line="276" w:lineRule="auto"/>
        <w:jc w:val="both"/>
        <w:rPr>
          <w:sz w:val="20"/>
          <w:szCs w:val="20"/>
        </w:rPr>
      </w:pPr>
    </w:p>
    <w:p w:rsidR="00EE281F" w:rsidRPr="00F263EE" w:rsidRDefault="00EE1FC2" w:rsidP="00F263EE">
      <w:pPr>
        <w:spacing w:line="276" w:lineRule="auto"/>
        <w:jc w:val="both"/>
        <w:rPr>
          <w:sz w:val="26"/>
          <w:szCs w:val="26"/>
        </w:rPr>
      </w:pPr>
      <w:r w:rsidRPr="00F263EE">
        <w:rPr>
          <w:sz w:val="26"/>
          <w:szCs w:val="26"/>
        </w:rPr>
        <w:t xml:space="preserve">Au plan des </w:t>
      </w:r>
      <w:r w:rsidRPr="00F263EE">
        <w:rPr>
          <w:b/>
          <w:sz w:val="26"/>
          <w:szCs w:val="26"/>
        </w:rPr>
        <w:t>finances extérieures</w:t>
      </w:r>
      <w:r w:rsidRPr="00F263EE">
        <w:rPr>
          <w:sz w:val="26"/>
          <w:szCs w:val="26"/>
        </w:rPr>
        <w:t xml:space="preserve">, </w:t>
      </w:r>
      <w:r w:rsidR="004B318C" w:rsidRPr="00F263EE">
        <w:rPr>
          <w:sz w:val="26"/>
          <w:szCs w:val="26"/>
        </w:rPr>
        <w:t xml:space="preserve">l’accroissement aux prix courants des exportations de marchandises aurait légèrement amélioré les capacités de financement des importations. Le </w:t>
      </w:r>
      <w:r w:rsidRPr="00F263EE">
        <w:rPr>
          <w:sz w:val="26"/>
          <w:szCs w:val="26"/>
        </w:rPr>
        <w:t xml:space="preserve">taux de couverture des importations par les </w:t>
      </w:r>
      <w:r w:rsidR="00D86F99" w:rsidRPr="00F263EE">
        <w:rPr>
          <w:sz w:val="26"/>
          <w:szCs w:val="26"/>
        </w:rPr>
        <w:t>exportations</w:t>
      </w:r>
      <w:r w:rsidRPr="00F263EE">
        <w:rPr>
          <w:sz w:val="26"/>
          <w:szCs w:val="26"/>
        </w:rPr>
        <w:t xml:space="preserve"> </w:t>
      </w:r>
      <w:r w:rsidR="004B318C" w:rsidRPr="00F263EE">
        <w:rPr>
          <w:sz w:val="26"/>
          <w:szCs w:val="26"/>
        </w:rPr>
        <w:t>aurait atteint 56,4% en 2017 au lieu d</w:t>
      </w:r>
      <w:r w:rsidR="00D86F99" w:rsidRPr="00F263EE">
        <w:rPr>
          <w:sz w:val="26"/>
          <w:szCs w:val="26"/>
        </w:rPr>
        <w:t xml:space="preserve">e 55% </w:t>
      </w:r>
      <w:r w:rsidR="004B318C" w:rsidRPr="00F263EE">
        <w:rPr>
          <w:sz w:val="26"/>
          <w:szCs w:val="26"/>
        </w:rPr>
        <w:t>une année auparavant</w:t>
      </w:r>
      <w:r w:rsidR="00D86F99" w:rsidRPr="00F263EE">
        <w:rPr>
          <w:sz w:val="26"/>
          <w:szCs w:val="26"/>
        </w:rPr>
        <w:t>. Le</w:t>
      </w:r>
      <w:r w:rsidRPr="00F263EE">
        <w:rPr>
          <w:sz w:val="26"/>
          <w:szCs w:val="26"/>
        </w:rPr>
        <w:t>s exportations</w:t>
      </w:r>
      <w:r w:rsidR="00D86F99" w:rsidRPr="00F263EE">
        <w:rPr>
          <w:sz w:val="26"/>
          <w:szCs w:val="26"/>
        </w:rPr>
        <w:t xml:space="preserve"> </w:t>
      </w:r>
      <w:r w:rsidR="00BF32F7" w:rsidRPr="00F263EE">
        <w:rPr>
          <w:sz w:val="26"/>
          <w:szCs w:val="26"/>
        </w:rPr>
        <w:t>a</w:t>
      </w:r>
      <w:r w:rsidRPr="00F263EE">
        <w:rPr>
          <w:sz w:val="26"/>
          <w:szCs w:val="26"/>
        </w:rPr>
        <w:t>uraient enregistré une croissance de 9,</w:t>
      </w:r>
      <w:r w:rsidR="00F263EE">
        <w:rPr>
          <w:sz w:val="26"/>
          <w:szCs w:val="26"/>
        </w:rPr>
        <w:t>6</w:t>
      </w:r>
      <w:r w:rsidRPr="00F263EE">
        <w:rPr>
          <w:sz w:val="26"/>
          <w:szCs w:val="26"/>
        </w:rPr>
        <w:t>%</w:t>
      </w:r>
      <w:r w:rsidR="00D86F99" w:rsidRPr="00F263EE">
        <w:rPr>
          <w:sz w:val="26"/>
          <w:szCs w:val="26"/>
        </w:rPr>
        <w:t xml:space="preserve">, </w:t>
      </w:r>
      <w:r w:rsidRPr="00F263EE">
        <w:rPr>
          <w:sz w:val="26"/>
          <w:szCs w:val="26"/>
        </w:rPr>
        <w:t xml:space="preserve">stimulées principalement par la hausse des ventes des produits </w:t>
      </w:r>
      <w:r w:rsidR="004B318C" w:rsidRPr="00F263EE">
        <w:rPr>
          <w:sz w:val="26"/>
          <w:szCs w:val="26"/>
        </w:rPr>
        <w:t>bruts d’origine minérale de 2</w:t>
      </w:r>
      <w:r w:rsidR="00F263EE">
        <w:rPr>
          <w:sz w:val="26"/>
          <w:szCs w:val="26"/>
        </w:rPr>
        <w:t>6</w:t>
      </w:r>
      <w:r w:rsidR="004B318C" w:rsidRPr="00F263EE">
        <w:rPr>
          <w:sz w:val="26"/>
          <w:szCs w:val="26"/>
        </w:rPr>
        <w:t xml:space="preserve">%, </w:t>
      </w:r>
      <w:r w:rsidRPr="00F263EE">
        <w:rPr>
          <w:sz w:val="26"/>
          <w:szCs w:val="26"/>
        </w:rPr>
        <w:t xml:space="preserve"> </w:t>
      </w:r>
      <w:r w:rsidR="004B318C" w:rsidRPr="00F263EE">
        <w:rPr>
          <w:sz w:val="26"/>
          <w:szCs w:val="26"/>
        </w:rPr>
        <w:t xml:space="preserve">de l’agro-alimentaire de </w:t>
      </w:r>
      <w:r w:rsidR="00F263EE">
        <w:rPr>
          <w:sz w:val="26"/>
          <w:szCs w:val="26"/>
        </w:rPr>
        <w:t>9,3</w:t>
      </w:r>
      <w:r w:rsidR="004B318C" w:rsidRPr="00F263EE">
        <w:rPr>
          <w:sz w:val="26"/>
          <w:szCs w:val="26"/>
        </w:rPr>
        <w:t>%</w:t>
      </w:r>
      <w:r w:rsidR="00EE281F" w:rsidRPr="00F263EE">
        <w:rPr>
          <w:sz w:val="26"/>
          <w:szCs w:val="26"/>
        </w:rPr>
        <w:t>,</w:t>
      </w:r>
      <w:r w:rsidR="004B318C" w:rsidRPr="00F263EE">
        <w:rPr>
          <w:sz w:val="26"/>
          <w:szCs w:val="26"/>
        </w:rPr>
        <w:t xml:space="preserve"> </w:t>
      </w:r>
      <w:r w:rsidRPr="00F263EE">
        <w:rPr>
          <w:sz w:val="26"/>
          <w:szCs w:val="26"/>
        </w:rPr>
        <w:t>des</w:t>
      </w:r>
      <w:r w:rsidR="00EE281F" w:rsidRPr="00F263EE">
        <w:rPr>
          <w:sz w:val="26"/>
          <w:szCs w:val="26"/>
        </w:rPr>
        <w:t xml:space="preserve"> demi produits de 1</w:t>
      </w:r>
      <w:r w:rsidR="00F263EE">
        <w:rPr>
          <w:sz w:val="26"/>
          <w:szCs w:val="26"/>
        </w:rPr>
        <w:t>2</w:t>
      </w:r>
      <w:r w:rsidR="00EE281F" w:rsidRPr="00F263EE">
        <w:rPr>
          <w:sz w:val="26"/>
          <w:szCs w:val="26"/>
        </w:rPr>
        <w:t xml:space="preserve">%, des produits finis de consommation de </w:t>
      </w:r>
      <w:r w:rsidR="00F263EE">
        <w:rPr>
          <w:sz w:val="26"/>
          <w:szCs w:val="26"/>
        </w:rPr>
        <w:t>6</w:t>
      </w:r>
      <w:r w:rsidR="00EE281F" w:rsidRPr="00F263EE">
        <w:rPr>
          <w:sz w:val="26"/>
          <w:szCs w:val="26"/>
        </w:rPr>
        <w:t>,</w:t>
      </w:r>
      <w:r w:rsidR="00F263EE">
        <w:rPr>
          <w:sz w:val="26"/>
          <w:szCs w:val="26"/>
        </w:rPr>
        <w:t>9</w:t>
      </w:r>
      <w:r w:rsidR="00EE281F" w:rsidRPr="00F263EE">
        <w:rPr>
          <w:sz w:val="26"/>
          <w:szCs w:val="26"/>
        </w:rPr>
        <w:t>%.</w:t>
      </w:r>
    </w:p>
    <w:p w:rsidR="00EE1FC2" w:rsidRPr="00F263EE" w:rsidRDefault="00EE1FC2" w:rsidP="008C1DB3">
      <w:pPr>
        <w:spacing w:line="276" w:lineRule="auto"/>
        <w:jc w:val="both"/>
        <w:rPr>
          <w:sz w:val="20"/>
          <w:szCs w:val="20"/>
        </w:rPr>
      </w:pPr>
    </w:p>
    <w:p w:rsidR="00EE1FC2" w:rsidRPr="00F263EE" w:rsidRDefault="00D86F99" w:rsidP="00F263EE">
      <w:pPr>
        <w:spacing w:line="276" w:lineRule="auto"/>
        <w:jc w:val="both"/>
        <w:rPr>
          <w:sz w:val="26"/>
          <w:szCs w:val="26"/>
        </w:rPr>
      </w:pPr>
      <w:r w:rsidRPr="00F263EE">
        <w:rPr>
          <w:sz w:val="26"/>
          <w:szCs w:val="26"/>
        </w:rPr>
        <w:t xml:space="preserve">De leur côté, </w:t>
      </w:r>
      <w:r w:rsidR="00EE1FC2" w:rsidRPr="00F263EE">
        <w:rPr>
          <w:sz w:val="26"/>
          <w:szCs w:val="26"/>
        </w:rPr>
        <w:t xml:space="preserve">les importations </w:t>
      </w:r>
      <w:r w:rsidRPr="00F263EE">
        <w:rPr>
          <w:sz w:val="26"/>
          <w:szCs w:val="26"/>
        </w:rPr>
        <w:t xml:space="preserve">de </w:t>
      </w:r>
      <w:r w:rsidR="00BE4D97" w:rsidRPr="00F263EE">
        <w:rPr>
          <w:sz w:val="26"/>
          <w:szCs w:val="26"/>
        </w:rPr>
        <w:t>marchandises</w:t>
      </w:r>
      <w:r w:rsidRPr="00F263EE">
        <w:rPr>
          <w:sz w:val="26"/>
          <w:szCs w:val="26"/>
        </w:rPr>
        <w:t xml:space="preserve"> </w:t>
      </w:r>
      <w:r w:rsidR="00EE1FC2" w:rsidRPr="00F263EE">
        <w:rPr>
          <w:sz w:val="26"/>
          <w:szCs w:val="26"/>
        </w:rPr>
        <w:t xml:space="preserve">auraient </w:t>
      </w:r>
      <w:r w:rsidRPr="00F263EE">
        <w:rPr>
          <w:sz w:val="26"/>
          <w:szCs w:val="26"/>
        </w:rPr>
        <w:t xml:space="preserve">augmenté de 6,6% en 2017, affectées </w:t>
      </w:r>
      <w:r w:rsidR="00EE1FC2" w:rsidRPr="00F263EE">
        <w:rPr>
          <w:sz w:val="26"/>
          <w:szCs w:val="26"/>
        </w:rPr>
        <w:t>par la forte hausse de la facture énergétique de</w:t>
      </w:r>
      <w:r w:rsidR="00EE281F" w:rsidRPr="00F263EE">
        <w:rPr>
          <w:sz w:val="26"/>
          <w:szCs w:val="26"/>
        </w:rPr>
        <w:t xml:space="preserve"> 3</w:t>
      </w:r>
      <w:r w:rsidR="00F263EE">
        <w:rPr>
          <w:sz w:val="26"/>
          <w:szCs w:val="26"/>
        </w:rPr>
        <w:t>1</w:t>
      </w:r>
      <w:r w:rsidR="00EE1FC2" w:rsidRPr="00F263EE">
        <w:rPr>
          <w:sz w:val="26"/>
          <w:szCs w:val="26"/>
        </w:rPr>
        <w:t>%</w:t>
      </w:r>
      <w:r w:rsidR="00EE281F" w:rsidRPr="00F263EE">
        <w:rPr>
          <w:sz w:val="26"/>
          <w:szCs w:val="26"/>
        </w:rPr>
        <w:t xml:space="preserve">, </w:t>
      </w:r>
      <w:r w:rsidR="00EE1FC2" w:rsidRPr="00F263EE">
        <w:rPr>
          <w:sz w:val="26"/>
          <w:szCs w:val="26"/>
        </w:rPr>
        <w:t xml:space="preserve"> et par l’augmentation des achats des produits </w:t>
      </w:r>
      <w:r w:rsidR="00EE281F" w:rsidRPr="00F263EE">
        <w:rPr>
          <w:sz w:val="26"/>
          <w:szCs w:val="26"/>
        </w:rPr>
        <w:t xml:space="preserve">finis de consommation de </w:t>
      </w:r>
      <w:r w:rsidR="00F263EE">
        <w:rPr>
          <w:sz w:val="26"/>
          <w:szCs w:val="26"/>
        </w:rPr>
        <w:t>5,2</w:t>
      </w:r>
      <w:r w:rsidR="00EE281F" w:rsidRPr="00F263EE">
        <w:rPr>
          <w:sz w:val="26"/>
          <w:szCs w:val="26"/>
        </w:rPr>
        <w:t xml:space="preserve">%, </w:t>
      </w:r>
      <w:r w:rsidR="00EE1FC2" w:rsidRPr="00F263EE">
        <w:rPr>
          <w:sz w:val="26"/>
          <w:szCs w:val="26"/>
        </w:rPr>
        <w:t xml:space="preserve">d’équipements de </w:t>
      </w:r>
      <w:r w:rsidR="00EE281F" w:rsidRPr="00F263EE">
        <w:rPr>
          <w:sz w:val="26"/>
          <w:szCs w:val="26"/>
        </w:rPr>
        <w:t>3</w:t>
      </w:r>
      <w:r w:rsidR="00F263EE">
        <w:rPr>
          <w:sz w:val="26"/>
          <w:szCs w:val="26"/>
        </w:rPr>
        <w:t>,9</w:t>
      </w:r>
      <w:r w:rsidR="00EE1FC2" w:rsidRPr="00F263EE">
        <w:rPr>
          <w:sz w:val="26"/>
          <w:szCs w:val="26"/>
        </w:rPr>
        <w:t xml:space="preserve">% et des demi-produits de </w:t>
      </w:r>
      <w:r w:rsidR="00EE281F" w:rsidRPr="00F263EE">
        <w:rPr>
          <w:sz w:val="26"/>
          <w:szCs w:val="26"/>
        </w:rPr>
        <w:t>3,2</w:t>
      </w:r>
      <w:r w:rsidR="00EE1FC2" w:rsidRPr="00F263EE">
        <w:rPr>
          <w:sz w:val="26"/>
          <w:szCs w:val="26"/>
        </w:rPr>
        <w:t>%, en liaison respectivement avec l’amélioration de l’investissement national et de l’offre exportable</w:t>
      </w:r>
      <w:r w:rsidR="00EE281F" w:rsidRPr="00F263EE">
        <w:rPr>
          <w:sz w:val="26"/>
          <w:szCs w:val="26"/>
        </w:rPr>
        <w:t xml:space="preserve"> en produits d’origine minérale, en demi produits et en produits finis de consommation</w:t>
      </w:r>
      <w:r w:rsidR="00EE1FC2" w:rsidRPr="00F263EE">
        <w:rPr>
          <w:sz w:val="26"/>
          <w:szCs w:val="26"/>
        </w:rPr>
        <w:t xml:space="preserve">. </w:t>
      </w:r>
      <w:r w:rsidRPr="00F263EE">
        <w:rPr>
          <w:sz w:val="26"/>
          <w:szCs w:val="26"/>
        </w:rPr>
        <w:t>L</w:t>
      </w:r>
      <w:r w:rsidR="00EE1FC2" w:rsidRPr="00F263EE">
        <w:rPr>
          <w:sz w:val="26"/>
          <w:szCs w:val="26"/>
        </w:rPr>
        <w:t xml:space="preserve">e déficit commercial </w:t>
      </w:r>
      <w:r w:rsidR="005320D0" w:rsidRPr="00F263EE">
        <w:rPr>
          <w:sz w:val="26"/>
          <w:szCs w:val="26"/>
        </w:rPr>
        <w:t>serait</w:t>
      </w:r>
      <w:r w:rsidR="00EE1FC2" w:rsidRPr="00F263EE">
        <w:rPr>
          <w:sz w:val="26"/>
          <w:szCs w:val="26"/>
        </w:rPr>
        <w:t xml:space="preserve"> </w:t>
      </w:r>
      <w:r w:rsidRPr="00F263EE">
        <w:rPr>
          <w:sz w:val="26"/>
          <w:szCs w:val="26"/>
        </w:rPr>
        <w:t xml:space="preserve">resté élevé, représentant </w:t>
      </w:r>
      <w:r w:rsidR="00F263EE">
        <w:rPr>
          <w:sz w:val="26"/>
          <w:szCs w:val="26"/>
        </w:rPr>
        <w:t>18</w:t>
      </w:r>
      <w:r w:rsidR="00EE1FC2" w:rsidRPr="00F263EE">
        <w:rPr>
          <w:sz w:val="26"/>
          <w:szCs w:val="26"/>
        </w:rPr>
        <w:t>% du PIB.</w:t>
      </w:r>
    </w:p>
    <w:p w:rsidR="00EE1FC2" w:rsidRPr="00F263EE" w:rsidRDefault="00EE1FC2" w:rsidP="008C1DB3">
      <w:pPr>
        <w:spacing w:line="276" w:lineRule="auto"/>
        <w:jc w:val="both"/>
        <w:rPr>
          <w:sz w:val="26"/>
          <w:szCs w:val="26"/>
        </w:rPr>
      </w:pPr>
    </w:p>
    <w:p w:rsidR="009C63E8" w:rsidRPr="00584D7B" w:rsidRDefault="00EE1FC2" w:rsidP="00080290">
      <w:pPr>
        <w:spacing w:line="276" w:lineRule="auto"/>
        <w:jc w:val="both"/>
        <w:rPr>
          <w:sz w:val="26"/>
          <w:szCs w:val="26"/>
        </w:rPr>
      </w:pPr>
      <w:r w:rsidRPr="00F263EE">
        <w:rPr>
          <w:sz w:val="26"/>
          <w:szCs w:val="26"/>
        </w:rPr>
        <w:lastRenderedPageBreak/>
        <w:t>Les échanges extérieurs des services auraient dégagé un solde excédentaire de pr</w:t>
      </w:r>
      <w:r w:rsidR="00080290">
        <w:rPr>
          <w:sz w:val="26"/>
          <w:szCs w:val="26"/>
        </w:rPr>
        <w:t>è</w:t>
      </w:r>
      <w:r w:rsidRPr="00F263EE">
        <w:rPr>
          <w:sz w:val="26"/>
          <w:szCs w:val="26"/>
        </w:rPr>
        <w:t>s</w:t>
      </w:r>
      <w:r w:rsidR="00080290">
        <w:rPr>
          <w:sz w:val="26"/>
          <w:szCs w:val="26"/>
        </w:rPr>
        <w:t xml:space="preserve"> de</w:t>
      </w:r>
      <w:r w:rsidRPr="00F263EE">
        <w:rPr>
          <w:sz w:val="26"/>
          <w:szCs w:val="26"/>
        </w:rPr>
        <w:t xml:space="preserve"> </w:t>
      </w:r>
      <w:r w:rsidR="009C63E8" w:rsidRPr="00F263EE">
        <w:rPr>
          <w:sz w:val="26"/>
          <w:szCs w:val="26"/>
        </w:rPr>
        <w:t xml:space="preserve">66 milliards de DH. Les exportations de services auraient augmenté de </w:t>
      </w:r>
      <w:r w:rsidR="008E7772">
        <w:rPr>
          <w:sz w:val="26"/>
          <w:szCs w:val="26"/>
        </w:rPr>
        <w:t>7</w:t>
      </w:r>
      <w:r w:rsidR="009C63E8" w:rsidRPr="00F263EE">
        <w:rPr>
          <w:sz w:val="26"/>
          <w:szCs w:val="26"/>
        </w:rPr>
        <w:t>% et les importations de 1</w:t>
      </w:r>
      <w:r w:rsidR="008E7772">
        <w:rPr>
          <w:sz w:val="26"/>
          <w:szCs w:val="26"/>
        </w:rPr>
        <w:t>2</w:t>
      </w:r>
      <w:r w:rsidR="009C63E8" w:rsidRPr="00F263EE">
        <w:rPr>
          <w:sz w:val="26"/>
          <w:szCs w:val="26"/>
        </w:rPr>
        <w:t>%. Ceci a permis d’atténuer l’ampleur du déficit commercial pour se situer, en prenant en considération les services, à 11,</w:t>
      </w:r>
      <w:r w:rsidR="008E7772">
        <w:rPr>
          <w:sz w:val="26"/>
          <w:szCs w:val="26"/>
        </w:rPr>
        <w:t>7</w:t>
      </w:r>
      <w:r w:rsidR="009C63E8" w:rsidRPr="00F263EE">
        <w:rPr>
          <w:sz w:val="26"/>
          <w:szCs w:val="26"/>
        </w:rPr>
        <w:t>% en 2017.</w:t>
      </w:r>
    </w:p>
    <w:p w:rsidR="00BE4D97" w:rsidRPr="008C1DB3" w:rsidRDefault="00BE4D97" w:rsidP="008C1DB3">
      <w:pPr>
        <w:spacing w:line="276" w:lineRule="auto"/>
        <w:jc w:val="both"/>
        <w:rPr>
          <w:sz w:val="20"/>
          <w:szCs w:val="20"/>
        </w:rPr>
      </w:pPr>
    </w:p>
    <w:p w:rsidR="009C63E8" w:rsidRPr="00584D7B" w:rsidRDefault="00BE4D97" w:rsidP="00D52D8D">
      <w:pPr>
        <w:spacing w:line="276" w:lineRule="auto"/>
        <w:jc w:val="both"/>
        <w:rPr>
          <w:sz w:val="26"/>
          <w:szCs w:val="26"/>
        </w:rPr>
      </w:pPr>
      <w:r w:rsidRPr="001E5FB8">
        <w:rPr>
          <w:sz w:val="26"/>
          <w:szCs w:val="26"/>
        </w:rPr>
        <w:t xml:space="preserve">En </w:t>
      </w:r>
      <w:r w:rsidR="009C63E8" w:rsidRPr="001E5FB8">
        <w:rPr>
          <w:sz w:val="26"/>
          <w:szCs w:val="26"/>
        </w:rPr>
        <w:t xml:space="preserve">outre, la balance excédentaire </w:t>
      </w:r>
      <w:r w:rsidR="001E5FB8">
        <w:rPr>
          <w:sz w:val="26"/>
          <w:szCs w:val="26"/>
        </w:rPr>
        <w:t xml:space="preserve">des revenus et </w:t>
      </w:r>
      <w:r w:rsidR="009C63E8" w:rsidRPr="001E5FB8">
        <w:rPr>
          <w:sz w:val="26"/>
          <w:szCs w:val="26"/>
        </w:rPr>
        <w:t xml:space="preserve">des transferts courants de </w:t>
      </w:r>
      <w:r w:rsidR="001E5FB8">
        <w:rPr>
          <w:sz w:val="26"/>
          <w:szCs w:val="26"/>
        </w:rPr>
        <w:t>62</w:t>
      </w:r>
      <w:r w:rsidR="009C63E8" w:rsidRPr="001E5FB8">
        <w:rPr>
          <w:sz w:val="26"/>
          <w:szCs w:val="26"/>
        </w:rPr>
        <w:t xml:space="preserve"> milliards de DH,</w:t>
      </w:r>
      <w:r w:rsidR="00EE1FC2" w:rsidRPr="001E5FB8">
        <w:rPr>
          <w:sz w:val="26"/>
          <w:szCs w:val="26"/>
        </w:rPr>
        <w:t xml:space="preserve"> </w:t>
      </w:r>
      <w:r w:rsidR="009C63E8" w:rsidRPr="001E5FB8">
        <w:rPr>
          <w:sz w:val="26"/>
          <w:szCs w:val="26"/>
        </w:rPr>
        <w:t xml:space="preserve">en raison de l’augmentation des transferts des MRE de </w:t>
      </w:r>
      <w:r w:rsidR="001E5FB8">
        <w:rPr>
          <w:sz w:val="26"/>
          <w:szCs w:val="26"/>
        </w:rPr>
        <w:t>4</w:t>
      </w:r>
      <w:r w:rsidR="009C63E8" w:rsidRPr="001E5FB8">
        <w:rPr>
          <w:sz w:val="26"/>
          <w:szCs w:val="26"/>
        </w:rPr>
        <w:t>% et aux transferts publics reçus de pr</w:t>
      </w:r>
      <w:r w:rsidR="00D52D8D">
        <w:rPr>
          <w:sz w:val="26"/>
          <w:szCs w:val="26"/>
        </w:rPr>
        <w:t>è</w:t>
      </w:r>
      <w:r w:rsidR="009C63E8" w:rsidRPr="001E5FB8">
        <w:rPr>
          <w:sz w:val="26"/>
          <w:szCs w:val="26"/>
        </w:rPr>
        <w:t>s de 10 milliards de dirhams</w:t>
      </w:r>
      <w:r w:rsidR="0061666B" w:rsidRPr="001E5FB8">
        <w:rPr>
          <w:sz w:val="26"/>
          <w:szCs w:val="26"/>
        </w:rPr>
        <w:t>,</w:t>
      </w:r>
      <w:r w:rsidR="009C63E8" w:rsidRPr="001E5FB8">
        <w:rPr>
          <w:sz w:val="26"/>
          <w:szCs w:val="26"/>
        </w:rPr>
        <w:t xml:space="preserve"> a permis également d’absorber une grande partie du déficit des échanges extérieurs de biens et services. En conséquence, le déficit courant de la balance des paiements </w:t>
      </w:r>
      <w:r w:rsidR="005320D0" w:rsidRPr="001E5FB8">
        <w:rPr>
          <w:sz w:val="26"/>
          <w:szCs w:val="26"/>
        </w:rPr>
        <w:t>se serait</w:t>
      </w:r>
      <w:r w:rsidR="009C63E8" w:rsidRPr="001E5FB8">
        <w:rPr>
          <w:sz w:val="26"/>
          <w:szCs w:val="26"/>
        </w:rPr>
        <w:t xml:space="preserve"> </w:t>
      </w:r>
      <w:r w:rsidR="00B71A47" w:rsidRPr="001E5FB8">
        <w:rPr>
          <w:sz w:val="26"/>
          <w:szCs w:val="26"/>
        </w:rPr>
        <w:t xml:space="preserve">maintenu à </w:t>
      </w:r>
      <w:r w:rsidR="009C63E8" w:rsidRPr="001E5FB8">
        <w:rPr>
          <w:sz w:val="26"/>
          <w:szCs w:val="26"/>
        </w:rPr>
        <w:t>4,</w:t>
      </w:r>
      <w:r w:rsidR="00B71A47" w:rsidRPr="001E5FB8">
        <w:rPr>
          <w:sz w:val="26"/>
          <w:szCs w:val="26"/>
        </w:rPr>
        <w:t>4</w:t>
      </w:r>
      <w:r w:rsidR="009C63E8" w:rsidRPr="001E5FB8">
        <w:rPr>
          <w:sz w:val="26"/>
          <w:szCs w:val="26"/>
        </w:rPr>
        <w:t>% du PIB en 201</w:t>
      </w:r>
      <w:r w:rsidR="00B71A47" w:rsidRPr="001E5FB8">
        <w:rPr>
          <w:sz w:val="26"/>
          <w:szCs w:val="26"/>
        </w:rPr>
        <w:t>6</w:t>
      </w:r>
      <w:r w:rsidR="009C63E8" w:rsidRPr="001E5FB8">
        <w:rPr>
          <w:sz w:val="26"/>
          <w:szCs w:val="26"/>
        </w:rPr>
        <w:t xml:space="preserve"> </w:t>
      </w:r>
      <w:r w:rsidR="00B71A47" w:rsidRPr="001E5FB8">
        <w:rPr>
          <w:sz w:val="26"/>
          <w:szCs w:val="26"/>
        </w:rPr>
        <w:t xml:space="preserve">et 2017 </w:t>
      </w:r>
      <w:r w:rsidR="009C63E8" w:rsidRPr="001E5FB8">
        <w:rPr>
          <w:sz w:val="26"/>
          <w:szCs w:val="26"/>
        </w:rPr>
        <w:t>au lieu de 2,4% en 2015.</w:t>
      </w:r>
    </w:p>
    <w:p w:rsidR="00BE4D97" w:rsidRPr="008C1DB3" w:rsidRDefault="00BE4D97" w:rsidP="008C1DB3">
      <w:pPr>
        <w:spacing w:line="276" w:lineRule="auto"/>
        <w:jc w:val="both"/>
        <w:rPr>
          <w:sz w:val="20"/>
          <w:szCs w:val="20"/>
        </w:rPr>
      </w:pPr>
    </w:p>
    <w:p w:rsidR="00EE1FC2" w:rsidRPr="00584D7B" w:rsidRDefault="00BE4D97" w:rsidP="008F228B">
      <w:pPr>
        <w:spacing w:line="276" w:lineRule="auto"/>
        <w:jc w:val="both"/>
        <w:rPr>
          <w:sz w:val="26"/>
          <w:szCs w:val="26"/>
        </w:rPr>
      </w:pPr>
      <w:r w:rsidRPr="00584D7B">
        <w:rPr>
          <w:sz w:val="26"/>
          <w:szCs w:val="26"/>
        </w:rPr>
        <w:t xml:space="preserve">Au </w:t>
      </w:r>
      <w:r w:rsidR="0061666B" w:rsidRPr="00584D7B">
        <w:rPr>
          <w:sz w:val="26"/>
          <w:szCs w:val="26"/>
        </w:rPr>
        <w:t xml:space="preserve">plan du </w:t>
      </w:r>
      <w:r w:rsidR="0061666B" w:rsidRPr="00584D7B">
        <w:rPr>
          <w:b/>
          <w:sz w:val="26"/>
          <w:szCs w:val="26"/>
        </w:rPr>
        <w:t>financement monétaire</w:t>
      </w:r>
      <w:r w:rsidR="0061666B" w:rsidRPr="00584D7B">
        <w:rPr>
          <w:sz w:val="26"/>
          <w:szCs w:val="26"/>
        </w:rPr>
        <w:t xml:space="preserve">, la situation des finances publiques </w:t>
      </w:r>
      <w:r w:rsidR="005320D0" w:rsidRPr="00584D7B">
        <w:rPr>
          <w:sz w:val="26"/>
          <w:szCs w:val="26"/>
        </w:rPr>
        <w:t xml:space="preserve">se serait </w:t>
      </w:r>
      <w:r w:rsidR="0061666B" w:rsidRPr="00584D7B">
        <w:rPr>
          <w:sz w:val="26"/>
          <w:szCs w:val="26"/>
        </w:rPr>
        <w:t xml:space="preserve"> traduite par une augmentation d</w:t>
      </w:r>
      <w:r w:rsidR="00EE1FC2" w:rsidRPr="00584D7B">
        <w:rPr>
          <w:sz w:val="26"/>
          <w:szCs w:val="26"/>
        </w:rPr>
        <w:t>es créances nettes sur l’administration centrale de pr</w:t>
      </w:r>
      <w:r w:rsidR="00074628">
        <w:rPr>
          <w:sz w:val="26"/>
          <w:szCs w:val="26"/>
        </w:rPr>
        <w:t>è</w:t>
      </w:r>
      <w:r w:rsidR="00EE1FC2" w:rsidRPr="00584D7B">
        <w:rPr>
          <w:sz w:val="26"/>
          <w:szCs w:val="26"/>
        </w:rPr>
        <w:t>s 13,4%</w:t>
      </w:r>
      <w:r w:rsidR="0061666B" w:rsidRPr="00584D7B">
        <w:rPr>
          <w:sz w:val="26"/>
          <w:szCs w:val="26"/>
        </w:rPr>
        <w:t xml:space="preserve"> en 2017,</w:t>
      </w:r>
      <w:r w:rsidR="00EE1FC2" w:rsidRPr="00584D7B">
        <w:rPr>
          <w:sz w:val="26"/>
          <w:szCs w:val="26"/>
        </w:rPr>
        <w:t xml:space="preserve"> au moment où l’accroissement net des créances sur l’économie aurait été </w:t>
      </w:r>
      <w:r w:rsidR="0061666B" w:rsidRPr="00584D7B">
        <w:rPr>
          <w:sz w:val="26"/>
          <w:szCs w:val="26"/>
        </w:rPr>
        <w:t>limité à</w:t>
      </w:r>
      <w:r w:rsidR="00EE1FC2" w:rsidRPr="00584D7B">
        <w:rPr>
          <w:sz w:val="26"/>
          <w:szCs w:val="26"/>
        </w:rPr>
        <w:t xml:space="preserve"> 5</w:t>
      </w:r>
      <w:r w:rsidR="00074628">
        <w:rPr>
          <w:sz w:val="26"/>
          <w:szCs w:val="26"/>
        </w:rPr>
        <w:t>,2</w:t>
      </w:r>
      <w:r w:rsidR="00EE1FC2" w:rsidRPr="00584D7B">
        <w:rPr>
          <w:sz w:val="26"/>
          <w:szCs w:val="26"/>
        </w:rPr>
        <w:t>%. Toutefois, le marché monétaire aurait été marqué par un léger recul des réserves internationales nettes à pr</w:t>
      </w:r>
      <w:r w:rsidR="008F228B">
        <w:rPr>
          <w:sz w:val="26"/>
          <w:szCs w:val="26"/>
        </w:rPr>
        <w:t>è</w:t>
      </w:r>
      <w:r w:rsidR="00EE1FC2" w:rsidRPr="00584D7B">
        <w:rPr>
          <w:sz w:val="26"/>
          <w:szCs w:val="26"/>
        </w:rPr>
        <w:t>s de 24</w:t>
      </w:r>
      <w:r w:rsidR="00074628">
        <w:rPr>
          <w:sz w:val="26"/>
          <w:szCs w:val="26"/>
        </w:rPr>
        <w:t>1</w:t>
      </w:r>
      <w:r w:rsidR="00EE1FC2" w:rsidRPr="00584D7B">
        <w:rPr>
          <w:sz w:val="26"/>
          <w:szCs w:val="26"/>
        </w:rPr>
        <w:t xml:space="preserve"> milliards de dirhams pour couvrir 5,5 mois d’importation. Dans ce contexte, la masse monétaire aurait cru de près de 6,</w:t>
      </w:r>
      <w:r w:rsidR="009415D6">
        <w:rPr>
          <w:sz w:val="26"/>
          <w:szCs w:val="26"/>
        </w:rPr>
        <w:t>3</w:t>
      </w:r>
      <w:r w:rsidR="00EE1FC2" w:rsidRPr="00584D7B">
        <w:rPr>
          <w:sz w:val="26"/>
          <w:szCs w:val="26"/>
        </w:rPr>
        <w:t>% en amélioration par rapport à 4,7% enregistré en 2016.</w:t>
      </w:r>
    </w:p>
    <w:p w:rsidR="00BE4D97" w:rsidRPr="008C1DB3" w:rsidRDefault="00BE4D97" w:rsidP="008C1DB3">
      <w:pPr>
        <w:spacing w:line="276" w:lineRule="auto"/>
        <w:jc w:val="both"/>
        <w:rPr>
          <w:sz w:val="20"/>
          <w:szCs w:val="20"/>
        </w:rPr>
      </w:pPr>
    </w:p>
    <w:p w:rsidR="0061666B" w:rsidRDefault="00BE4D97" w:rsidP="008B78C5">
      <w:pPr>
        <w:spacing w:line="276" w:lineRule="auto"/>
        <w:jc w:val="both"/>
        <w:rPr>
          <w:sz w:val="26"/>
          <w:szCs w:val="26"/>
        </w:rPr>
      </w:pPr>
      <w:r w:rsidRPr="008C1DB3">
        <w:rPr>
          <w:bCs/>
          <w:sz w:val="26"/>
          <w:szCs w:val="26"/>
        </w:rPr>
        <w:t>Dans l</w:t>
      </w:r>
      <w:r w:rsidR="0061666B" w:rsidRPr="008C1DB3">
        <w:rPr>
          <w:bCs/>
          <w:sz w:val="26"/>
          <w:szCs w:val="26"/>
        </w:rPr>
        <w:t>’ensemble</w:t>
      </w:r>
      <w:r w:rsidR="0061666B" w:rsidRPr="00584D7B">
        <w:rPr>
          <w:b/>
          <w:sz w:val="26"/>
          <w:szCs w:val="26"/>
        </w:rPr>
        <w:t>, le financement de l’économie</w:t>
      </w:r>
      <w:r w:rsidR="0061666B" w:rsidRPr="00584D7B">
        <w:rPr>
          <w:sz w:val="26"/>
          <w:szCs w:val="26"/>
        </w:rPr>
        <w:t xml:space="preserve"> aurait été marqué par une amélioration de l’épargne intérieure de 5,3% en 2017. De même, en prenant en considération la consolidation des revenus nets en provenance du reste du monde à 5,</w:t>
      </w:r>
      <w:r w:rsidR="00DB4C6D">
        <w:rPr>
          <w:sz w:val="26"/>
          <w:szCs w:val="26"/>
        </w:rPr>
        <w:t>5</w:t>
      </w:r>
      <w:r w:rsidR="0061666B" w:rsidRPr="00584D7B">
        <w:rPr>
          <w:sz w:val="26"/>
          <w:szCs w:val="26"/>
        </w:rPr>
        <w:t xml:space="preserve">% du PIB, l’épargne nationale aurait augmenté de 5%. Ainsi, l’épargne intérieure aurait représenté 23,1% du PIB et l’épargne nationale 28,9% du PIB en 2017 au lieu </w:t>
      </w:r>
      <w:r w:rsidR="008B78C5">
        <w:rPr>
          <w:sz w:val="26"/>
          <w:szCs w:val="26"/>
        </w:rPr>
        <w:t xml:space="preserve">de </w:t>
      </w:r>
      <w:r w:rsidR="0061666B" w:rsidRPr="00584D7B">
        <w:rPr>
          <w:sz w:val="26"/>
          <w:szCs w:val="26"/>
        </w:rPr>
        <w:t>28,7% en 2016. Avec un niveau élevé de l’investissement brut de 33,2% du PIB, le besoin de financement de l’économie nationale se serait maintenu à 4,4% du PIB en 2017.</w:t>
      </w:r>
    </w:p>
    <w:p w:rsidR="008C1DB3" w:rsidRDefault="008C1DB3" w:rsidP="008C1DB3">
      <w:pPr>
        <w:spacing w:line="276" w:lineRule="auto"/>
        <w:jc w:val="both"/>
        <w:rPr>
          <w:sz w:val="26"/>
          <w:szCs w:val="26"/>
        </w:rPr>
      </w:pPr>
    </w:p>
    <w:p w:rsidR="008C1DB3" w:rsidRDefault="008C1DB3" w:rsidP="008C1DB3">
      <w:pPr>
        <w:spacing w:line="276" w:lineRule="auto"/>
        <w:jc w:val="both"/>
        <w:rPr>
          <w:sz w:val="26"/>
          <w:szCs w:val="26"/>
        </w:rPr>
      </w:pPr>
    </w:p>
    <w:p w:rsidR="008C1DB3" w:rsidRDefault="008C1DB3" w:rsidP="008C1DB3">
      <w:pPr>
        <w:spacing w:line="276" w:lineRule="auto"/>
        <w:jc w:val="both"/>
        <w:rPr>
          <w:sz w:val="26"/>
          <w:szCs w:val="26"/>
        </w:rPr>
      </w:pPr>
    </w:p>
    <w:p w:rsidR="008C1DB3" w:rsidRDefault="008C1DB3" w:rsidP="008C1DB3">
      <w:pPr>
        <w:spacing w:line="276" w:lineRule="auto"/>
        <w:jc w:val="both"/>
        <w:rPr>
          <w:sz w:val="26"/>
          <w:szCs w:val="26"/>
        </w:rPr>
      </w:pPr>
    </w:p>
    <w:p w:rsidR="008C1DB3" w:rsidRDefault="008C1DB3" w:rsidP="008C1DB3">
      <w:pPr>
        <w:spacing w:line="276" w:lineRule="auto"/>
        <w:jc w:val="both"/>
        <w:rPr>
          <w:sz w:val="26"/>
          <w:szCs w:val="26"/>
        </w:rPr>
      </w:pPr>
    </w:p>
    <w:p w:rsidR="008C1DB3" w:rsidRDefault="008C1DB3" w:rsidP="008C1DB3">
      <w:pPr>
        <w:spacing w:line="276" w:lineRule="auto"/>
        <w:jc w:val="both"/>
        <w:rPr>
          <w:sz w:val="26"/>
          <w:szCs w:val="26"/>
        </w:rPr>
      </w:pPr>
    </w:p>
    <w:p w:rsidR="008C1DB3" w:rsidRDefault="008C1DB3" w:rsidP="008C1DB3">
      <w:pPr>
        <w:spacing w:line="276" w:lineRule="auto"/>
        <w:jc w:val="both"/>
        <w:rPr>
          <w:sz w:val="26"/>
          <w:szCs w:val="26"/>
        </w:rPr>
      </w:pPr>
    </w:p>
    <w:p w:rsidR="008C1DB3" w:rsidRDefault="008C1DB3" w:rsidP="008C1DB3">
      <w:pPr>
        <w:spacing w:line="276" w:lineRule="auto"/>
        <w:jc w:val="both"/>
        <w:rPr>
          <w:sz w:val="26"/>
          <w:szCs w:val="26"/>
        </w:rPr>
      </w:pPr>
    </w:p>
    <w:p w:rsidR="008C1DB3" w:rsidRPr="00584D7B" w:rsidRDefault="008C1DB3" w:rsidP="008C1DB3">
      <w:pPr>
        <w:spacing w:line="276" w:lineRule="auto"/>
        <w:jc w:val="both"/>
        <w:rPr>
          <w:sz w:val="26"/>
          <w:szCs w:val="26"/>
        </w:rPr>
      </w:pPr>
    </w:p>
    <w:p w:rsidR="0061666B" w:rsidRPr="00584D7B" w:rsidRDefault="0061666B" w:rsidP="00BC6D26">
      <w:pPr>
        <w:rPr>
          <w:sz w:val="26"/>
          <w:szCs w:val="26"/>
        </w:rPr>
      </w:pPr>
    </w:p>
    <w:p w:rsidR="0061666B" w:rsidRDefault="0061666B" w:rsidP="00BC6D26">
      <w:pPr>
        <w:rPr>
          <w:sz w:val="26"/>
          <w:szCs w:val="26"/>
        </w:rPr>
      </w:pPr>
    </w:p>
    <w:p w:rsidR="00AF653D" w:rsidRDefault="00AF653D" w:rsidP="00BC6D26">
      <w:pPr>
        <w:rPr>
          <w:sz w:val="26"/>
          <w:szCs w:val="26"/>
        </w:rPr>
      </w:pPr>
    </w:p>
    <w:p w:rsidR="00AF653D" w:rsidRDefault="00AF653D" w:rsidP="00BC6D26">
      <w:pPr>
        <w:rPr>
          <w:sz w:val="26"/>
          <w:szCs w:val="26"/>
        </w:rPr>
      </w:pPr>
    </w:p>
    <w:p w:rsidR="008C1DB3" w:rsidRDefault="00AD098F" w:rsidP="00BC6D26">
      <w:pPr>
        <w:rPr>
          <w:b/>
          <w:caps/>
          <w:shadow/>
          <w:color w:val="0070C0"/>
          <w:kern w:val="16"/>
          <w:sz w:val="26"/>
          <w:szCs w:val="26"/>
          <w:u w:val="single"/>
        </w:rPr>
      </w:pPr>
      <w:r>
        <w:rPr>
          <w:b/>
          <w:caps/>
          <w:shadow/>
          <w:noProof/>
          <w:color w:val="0070C0"/>
          <w:kern w:val="16"/>
          <w:sz w:val="26"/>
          <w:szCs w:val="26"/>
          <w:u w:val="single"/>
          <w:lang w:eastAsia="fr-FR" w:bidi="ar-SA"/>
        </w:rPr>
        <w:lastRenderedPageBreak/>
        <w:pict>
          <v:roundrect id="_x0000_s1032" style="position:absolute;left:0;text-align:left;margin-left:11.45pt;margin-top:-1.4pt;width:302.05pt;height:30.85pt;z-index:251663360" arcsize="10923f" fillcolor="white [3201]" strokecolor="#95b3d7 [1940]" strokeweight="1pt">
            <v:fill color2="#b8cce4 [1300]" focusposition="1" focussize="" focus="100%" type="gradient"/>
            <v:shadow on="t" type="perspective" color="#243f60 [1604]" opacity=".5" offset="1pt" offset2="-3pt"/>
            <v:textbox style="mso-next-textbox:#_x0000_s1032">
              <w:txbxContent>
                <w:p w:rsidR="001E5FB8" w:rsidRPr="00584D7B" w:rsidRDefault="001E5FB8" w:rsidP="008C1DB3">
                  <w:pPr>
                    <w:ind w:firstLine="0"/>
                    <w:jc w:val="center"/>
                    <w:rPr>
                      <w:sz w:val="24"/>
                      <w:szCs w:val="24"/>
                    </w:rPr>
                  </w:pPr>
                  <w:r>
                    <w:rPr>
                      <w:b/>
                      <w:color w:val="17365D" w:themeColor="text2" w:themeShade="BF"/>
                      <w:sz w:val="32"/>
                      <w:szCs w:val="32"/>
                      <w:u w:val="single"/>
                    </w:rPr>
                    <w:t>PERSPECTIVES ECONOMIQUES EN 2018</w:t>
                  </w:r>
                  <w:r w:rsidRPr="00584D7B">
                    <w:rPr>
                      <w:b/>
                      <w:color w:val="17365D" w:themeColor="text2" w:themeShade="BF"/>
                      <w:sz w:val="32"/>
                      <w:szCs w:val="32"/>
                      <w:u w:val="single"/>
                    </w:rPr>
                    <w:t xml:space="preserve"> 2017</w:t>
                  </w:r>
                </w:p>
              </w:txbxContent>
            </v:textbox>
          </v:roundrect>
        </w:pict>
      </w:r>
    </w:p>
    <w:p w:rsidR="008C1DB3" w:rsidRDefault="008C1DB3" w:rsidP="00BC6D26">
      <w:pPr>
        <w:rPr>
          <w:b/>
          <w:caps/>
          <w:shadow/>
          <w:color w:val="0070C0"/>
          <w:kern w:val="16"/>
          <w:sz w:val="26"/>
          <w:szCs w:val="26"/>
          <w:u w:val="single"/>
        </w:rPr>
      </w:pPr>
    </w:p>
    <w:p w:rsidR="001D0D52" w:rsidRPr="00584D7B" w:rsidRDefault="001D0D52" w:rsidP="008C1DB3">
      <w:pPr>
        <w:ind w:firstLine="0"/>
        <w:rPr>
          <w:sz w:val="26"/>
          <w:szCs w:val="26"/>
        </w:rPr>
      </w:pPr>
    </w:p>
    <w:p w:rsidR="00D85D46" w:rsidRPr="00584D7B" w:rsidRDefault="00EC6E3D" w:rsidP="008C1DB3">
      <w:pPr>
        <w:spacing w:line="276" w:lineRule="auto"/>
        <w:jc w:val="both"/>
        <w:rPr>
          <w:sz w:val="26"/>
          <w:szCs w:val="26"/>
        </w:rPr>
      </w:pPr>
      <w:r w:rsidRPr="00584D7B">
        <w:rPr>
          <w:sz w:val="26"/>
          <w:szCs w:val="26"/>
        </w:rPr>
        <w:t xml:space="preserve">Les perspectives économiques nationales pour l’année 2018 </w:t>
      </w:r>
      <w:r w:rsidR="00D85D46" w:rsidRPr="00584D7B">
        <w:rPr>
          <w:sz w:val="26"/>
          <w:szCs w:val="26"/>
        </w:rPr>
        <w:t xml:space="preserve">prennent en considération, en plus des nouvelles dispositions de la loi des finances 2018, l’évolution de l’environnement national et international. Elles se basent également sur </w:t>
      </w:r>
      <w:r w:rsidRPr="00584D7B">
        <w:rPr>
          <w:sz w:val="26"/>
          <w:szCs w:val="26"/>
        </w:rPr>
        <w:t>la réalisation d’une production agricole moyenne</w:t>
      </w:r>
      <w:r w:rsidR="00D85D46" w:rsidRPr="00584D7B">
        <w:rPr>
          <w:sz w:val="26"/>
          <w:szCs w:val="26"/>
        </w:rPr>
        <w:t>.</w:t>
      </w:r>
    </w:p>
    <w:p w:rsidR="005320D0" w:rsidRPr="00584D7B" w:rsidRDefault="005320D0" w:rsidP="008C1DB3">
      <w:pPr>
        <w:spacing w:line="276" w:lineRule="auto"/>
        <w:jc w:val="both"/>
        <w:rPr>
          <w:sz w:val="26"/>
          <w:szCs w:val="26"/>
        </w:rPr>
      </w:pPr>
    </w:p>
    <w:p w:rsidR="005320D0" w:rsidRPr="008C1DB3" w:rsidRDefault="005320D0" w:rsidP="008C1DB3">
      <w:pPr>
        <w:pStyle w:val="Paragraphedeliste"/>
        <w:numPr>
          <w:ilvl w:val="0"/>
          <w:numId w:val="16"/>
        </w:numPr>
        <w:spacing w:line="276" w:lineRule="auto"/>
        <w:jc w:val="both"/>
        <w:rPr>
          <w:rFonts w:eastAsiaTheme="majorEastAsia"/>
          <w:b/>
          <w:color w:val="0070C0"/>
          <w:sz w:val="30"/>
          <w:szCs w:val="30"/>
          <w:u w:val="single"/>
        </w:rPr>
      </w:pPr>
      <w:r w:rsidRPr="008C1DB3">
        <w:rPr>
          <w:rFonts w:eastAsiaTheme="majorEastAsia"/>
          <w:b/>
          <w:color w:val="0070C0"/>
          <w:sz w:val="30"/>
          <w:szCs w:val="30"/>
          <w:u w:val="single"/>
        </w:rPr>
        <w:t>Les composantes de l’offre</w:t>
      </w:r>
    </w:p>
    <w:p w:rsidR="001D3104" w:rsidRPr="00584D7B" w:rsidRDefault="001D3104" w:rsidP="008C1DB3">
      <w:pPr>
        <w:spacing w:line="276" w:lineRule="auto"/>
        <w:jc w:val="both"/>
        <w:rPr>
          <w:sz w:val="26"/>
          <w:szCs w:val="26"/>
        </w:rPr>
      </w:pPr>
    </w:p>
    <w:p w:rsidR="00774368" w:rsidRPr="00584D7B" w:rsidRDefault="005320D0" w:rsidP="00D762C8">
      <w:pPr>
        <w:spacing w:line="276" w:lineRule="auto"/>
        <w:jc w:val="both"/>
        <w:rPr>
          <w:sz w:val="26"/>
          <w:szCs w:val="26"/>
        </w:rPr>
      </w:pPr>
      <w:r w:rsidRPr="00584D7B">
        <w:rPr>
          <w:sz w:val="26"/>
          <w:szCs w:val="26"/>
        </w:rPr>
        <w:t>L</w:t>
      </w:r>
      <w:r w:rsidR="001D3104" w:rsidRPr="00584D7B">
        <w:rPr>
          <w:sz w:val="26"/>
          <w:szCs w:val="26"/>
        </w:rPr>
        <w:t xml:space="preserve">a </w:t>
      </w:r>
      <w:r w:rsidR="00D50AB7" w:rsidRPr="00584D7B">
        <w:rPr>
          <w:b/>
          <w:sz w:val="26"/>
          <w:szCs w:val="26"/>
        </w:rPr>
        <w:t>valeur ajoutée des activités agricoles</w:t>
      </w:r>
      <w:r w:rsidR="00D50AB7" w:rsidRPr="00584D7B">
        <w:rPr>
          <w:sz w:val="26"/>
          <w:szCs w:val="26"/>
        </w:rPr>
        <w:t xml:space="preserve"> </w:t>
      </w:r>
      <w:r w:rsidR="009E785D" w:rsidRPr="00584D7B">
        <w:rPr>
          <w:sz w:val="26"/>
          <w:szCs w:val="26"/>
        </w:rPr>
        <w:t>devrait enregistrer</w:t>
      </w:r>
      <w:r w:rsidR="001D0D52" w:rsidRPr="00584D7B">
        <w:rPr>
          <w:sz w:val="26"/>
          <w:szCs w:val="26"/>
        </w:rPr>
        <w:t xml:space="preserve"> </w:t>
      </w:r>
      <w:r w:rsidR="00D50AB7" w:rsidRPr="00584D7B">
        <w:rPr>
          <w:sz w:val="26"/>
          <w:szCs w:val="26"/>
        </w:rPr>
        <w:t xml:space="preserve">un repli de 2,1%. Sa contribution à la croissance du PIB </w:t>
      </w:r>
      <w:r w:rsidR="009F6B36" w:rsidRPr="00584D7B">
        <w:rPr>
          <w:sz w:val="26"/>
          <w:szCs w:val="26"/>
        </w:rPr>
        <w:t xml:space="preserve">serait </w:t>
      </w:r>
      <w:r w:rsidR="00D762C8">
        <w:rPr>
          <w:sz w:val="26"/>
          <w:szCs w:val="26"/>
        </w:rPr>
        <w:t>de -0,2</w:t>
      </w:r>
      <w:r w:rsidR="009F6B36" w:rsidRPr="00584D7B">
        <w:rPr>
          <w:sz w:val="26"/>
          <w:szCs w:val="26"/>
        </w:rPr>
        <w:t xml:space="preserve"> </w:t>
      </w:r>
      <w:r w:rsidR="00D50AB7" w:rsidRPr="00584D7B">
        <w:rPr>
          <w:sz w:val="26"/>
          <w:szCs w:val="26"/>
        </w:rPr>
        <w:t xml:space="preserve">au lieu d’une contribution positive de 1,6 point une année auparavant. En tenant compte </w:t>
      </w:r>
      <w:r w:rsidR="00E17804" w:rsidRPr="00584D7B">
        <w:rPr>
          <w:sz w:val="26"/>
          <w:szCs w:val="26"/>
        </w:rPr>
        <w:t>d’une</w:t>
      </w:r>
      <w:r w:rsidR="00D50AB7" w:rsidRPr="00584D7B">
        <w:rPr>
          <w:sz w:val="26"/>
          <w:szCs w:val="26"/>
        </w:rPr>
        <w:t xml:space="preserve"> reprise des activités de la pêche maritime, </w:t>
      </w:r>
      <w:r w:rsidR="00E17804" w:rsidRPr="00584D7B">
        <w:rPr>
          <w:sz w:val="26"/>
          <w:szCs w:val="26"/>
        </w:rPr>
        <w:t xml:space="preserve"> </w:t>
      </w:r>
      <w:r w:rsidR="00D50AB7" w:rsidRPr="00584D7B">
        <w:rPr>
          <w:b/>
          <w:sz w:val="26"/>
          <w:szCs w:val="26"/>
        </w:rPr>
        <w:t>le secteur primaire</w:t>
      </w:r>
      <w:r w:rsidR="00D50AB7" w:rsidRPr="00584D7B">
        <w:rPr>
          <w:sz w:val="26"/>
          <w:szCs w:val="26"/>
        </w:rPr>
        <w:t xml:space="preserve"> devrait dégager une valeur ajoutée en baisse de </w:t>
      </w:r>
      <w:r w:rsidR="001D0D52" w:rsidRPr="00584D7B">
        <w:rPr>
          <w:sz w:val="26"/>
          <w:szCs w:val="26"/>
        </w:rPr>
        <w:t>1</w:t>
      </w:r>
      <w:r w:rsidR="00D50AB7" w:rsidRPr="00584D7B">
        <w:rPr>
          <w:sz w:val="26"/>
          <w:szCs w:val="26"/>
        </w:rPr>
        <w:t>,</w:t>
      </w:r>
      <w:r w:rsidR="001D0D52" w:rsidRPr="00584D7B">
        <w:rPr>
          <w:sz w:val="26"/>
          <w:szCs w:val="26"/>
        </w:rPr>
        <w:t>3</w:t>
      </w:r>
      <w:r w:rsidR="00D50AB7" w:rsidRPr="00584D7B">
        <w:rPr>
          <w:sz w:val="26"/>
          <w:szCs w:val="26"/>
        </w:rPr>
        <w:t>% au lieu d’une hausse de 1</w:t>
      </w:r>
      <w:r w:rsidR="001D0D52" w:rsidRPr="00584D7B">
        <w:rPr>
          <w:sz w:val="26"/>
          <w:szCs w:val="26"/>
        </w:rPr>
        <w:t>3</w:t>
      </w:r>
      <w:r w:rsidR="00D50AB7" w:rsidRPr="00584D7B">
        <w:rPr>
          <w:sz w:val="26"/>
          <w:szCs w:val="26"/>
        </w:rPr>
        <w:t>,</w:t>
      </w:r>
      <w:r w:rsidR="001D0D52" w:rsidRPr="00584D7B">
        <w:rPr>
          <w:sz w:val="26"/>
          <w:szCs w:val="26"/>
        </w:rPr>
        <w:t>6</w:t>
      </w:r>
      <w:r w:rsidR="00D50AB7" w:rsidRPr="00584D7B">
        <w:rPr>
          <w:sz w:val="26"/>
          <w:szCs w:val="26"/>
        </w:rPr>
        <w:t>% estimée pour 2017</w:t>
      </w:r>
      <w:r w:rsidR="004B0C4C" w:rsidRPr="00584D7B">
        <w:rPr>
          <w:sz w:val="26"/>
          <w:szCs w:val="26"/>
        </w:rPr>
        <w:t>.</w:t>
      </w:r>
    </w:p>
    <w:p w:rsidR="00B827CA" w:rsidRPr="00E76B83" w:rsidRDefault="00B827CA" w:rsidP="008C1DB3">
      <w:pPr>
        <w:spacing w:line="276" w:lineRule="auto"/>
        <w:jc w:val="both"/>
        <w:rPr>
          <w:sz w:val="20"/>
          <w:szCs w:val="20"/>
        </w:rPr>
      </w:pPr>
    </w:p>
    <w:p w:rsidR="00B827CA" w:rsidRPr="00584D7B" w:rsidRDefault="001347A2" w:rsidP="00272949">
      <w:pPr>
        <w:spacing w:line="276" w:lineRule="auto"/>
        <w:jc w:val="both"/>
        <w:rPr>
          <w:sz w:val="26"/>
          <w:szCs w:val="26"/>
        </w:rPr>
      </w:pPr>
      <w:r w:rsidRPr="00584D7B">
        <w:rPr>
          <w:b/>
          <w:sz w:val="26"/>
          <w:szCs w:val="26"/>
        </w:rPr>
        <w:t xml:space="preserve">Les </w:t>
      </w:r>
      <w:r w:rsidR="00B827CA" w:rsidRPr="00584D7B">
        <w:rPr>
          <w:b/>
          <w:sz w:val="26"/>
          <w:szCs w:val="26"/>
        </w:rPr>
        <w:t>activités non agricoles</w:t>
      </w:r>
      <w:r w:rsidR="00B827CA" w:rsidRPr="00584D7B">
        <w:rPr>
          <w:sz w:val="26"/>
          <w:szCs w:val="26"/>
        </w:rPr>
        <w:t xml:space="preserve">, </w:t>
      </w:r>
      <w:r w:rsidRPr="00584D7B">
        <w:rPr>
          <w:sz w:val="26"/>
          <w:szCs w:val="26"/>
        </w:rPr>
        <w:t xml:space="preserve">de leur côté, </w:t>
      </w:r>
      <w:r w:rsidR="00B827CA" w:rsidRPr="00584D7B">
        <w:rPr>
          <w:sz w:val="26"/>
          <w:szCs w:val="26"/>
        </w:rPr>
        <w:t xml:space="preserve">devraient poursuivre leur </w:t>
      </w:r>
      <w:r w:rsidR="009F6B36" w:rsidRPr="00584D7B">
        <w:rPr>
          <w:sz w:val="26"/>
          <w:szCs w:val="26"/>
        </w:rPr>
        <w:t xml:space="preserve">légère </w:t>
      </w:r>
      <w:r w:rsidR="00B827CA" w:rsidRPr="00584D7B">
        <w:rPr>
          <w:sz w:val="26"/>
          <w:szCs w:val="26"/>
        </w:rPr>
        <w:t xml:space="preserve">reprise, </w:t>
      </w:r>
      <w:r w:rsidR="009F6B36" w:rsidRPr="00584D7B">
        <w:rPr>
          <w:sz w:val="26"/>
          <w:szCs w:val="26"/>
        </w:rPr>
        <w:t>amorcée en</w:t>
      </w:r>
      <w:r w:rsidR="00B827CA" w:rsidRPr="00584D7B">
        <w:rPr>
          <w:sz w:val="26"/>
          <w:szCs w:val="26"/>
        </w:rPr>
        <w:t xml:space="preserve"> 2016, </w:t>
      </w:r>
      <w:r w:rsidRPr="00584D7B">
        <w:rPr>
          <w:sz w:val="26"/>
          <w:szCs w:val="26"/>
        </w:rPr>
        <w:t xml:space="preserve">avec </w:t>
      </w:r>
      <w:r w:rsidR="00B827CA" w:rsidRPr="00584D7B">
        <w:rPr>
          <w:sz w:val="26"/>
          <w:szCs w:val="26"/>
        </w:rPr>
        <w:t>une valeu</w:t>
      </w:r>
      <w:r w:rsidR="00F31766" w:rsidRPr="00584D7B">
        <w:rPr>
          <w:sz w:val="26"/>
          <w:szCs w:val="26"/>
        </w:rPr>
        <w:t xml:space="preserve">r ajoutée en amélioration de </w:t>
      </w:r>
      <w:r w:rsidR="0068590E">
        <w:rPr>
          <w:sz w:val="26"/>
          <w:szCs w:val="26"/>
        </w:rPr>
        <w:t>2,9</w:t>
      </w:r>
      <w:r w:rsidR="00B827CA" w:rsidRPr="00584D7B">
        <w:rPr>
          <w:sz w:val="26"/>
          <w:szCs w:val="26"/>
        </w:rPr>
        <w:t>% au lieu de 2,8% en 2017</w:t>
      </w:r>
      <w:r w:rsidR="009F6B36" w:rsidRPr="00584D7B">
        <w:rPr>
          <w:sz w:val="26"/>
          <w:szCs w:val="26"/>
        </w:rPr>
        <w:t xml:space="preserve"> et 2,2% en 2016</w:t>
      </w:r>
      <w:r w:rsidRPr="00584D7B">
        <w:rPr>
          <w:sz w:val="26"/>
          <w:szCs w:val="26"/>
        </w:rPr>
        <w:t xml:space="preserve">. Elles contribueraient </w:t>
      </w:r>
      <w:r w:rsidR="00B827CA" w:rsidRPr="00584D7B">
        <w:rPr>
          <w:sz w:val="26"/>
          <w:szCs w:val="26"/>
        </w:rPr>
        <w:t>ainsi,</w:t>
      </w:r>
      <w:r w:rsidR="009F6B36" w:rsidRPr="00584D7B">
        <w:rPr>
          <w:sz w:val="26"/>
          <w:szCs w:val="26"/>
        </w:rPr>
        <w:t xml:space="preserve"> pour </w:t>
      </w:r>
      <w:r w:rsidR="00B827CA" w:rsidRPr="00584D7B">
        <w:rPr>
          <w:sz w:val="26"/>
          <w:szCs w:val="26"/>
        </w:rPr>
        <w:t>2,</w:t>
      </w:r>
      <w:r w:rsidR="00F31766" w:rsidRPr="00584D7B">
        <w:rPr>
          <w:sz w:val="26"/>
          <w:szCs w:val="26"/>
        </w:rPr>
        <w:t>2</w:t>
      </w:r>
      <w:r w:rsidR="00B827CA" w:rsidRPr="00584D7B">
        <w:rPr>
          <w:sz w:val="26"/>
          <w:szCs w:val="26"/>
        </w:rPr>
        <w:t xml:space="preserve"> points à la croissance du PIB</w:t>
      </w:r>
      <w:r w:rsidR="000B3A4F">
        <w:rPr>
          <w:sz w:val="26"/>
          <w:szCs w:val="26"/>
        </w:rPr>
        <w:t xml:space="preserve"> en 2018</w:t>
      </w:r>
      <w:r w:rsidR="00B827CA" w:rsidRPr="00584D7B">
        <w:rPr>
          <w:sz w:val="26"/>
          <w:szCs w:val="26"/>
        </w:rPr>
        <w:t xml:space="preserve">. </w:t>
      </w:r>
      <w:r w:rsidR="009F6B36" w:rsidRPr="00584D7B">
        <w:rPr>
          <w:sz w:val="26"/>
          <w:szCs w:val="26"/>
        </w:rPr>
        <w:t>Dans ce cadre, l</w:t>
      </w:r>
      <w:r w:rsidR="00B827CA" w:rsidRPr="00584D7B">
        <w:rPr>
          <w:sz w:val="26"/>
          <w:szCs w:val="26"/>
        </w:rPr>
        <w:t>e secteur secondaire, soutenu par l’amélioration de</w:t>
      </w:r>
      <w:r w:rsidR="00E17804" w:rsidRPr="00584D7B">
        <w:rPr>
          <w:sz w:val="26"/>
          <w:szCs w:val="26"/>
        </w:rPr>
        <w:t>s</w:t>
      </w:r>
      <w:r w:rsidR="00B827CA" w:rsidRPr="00584D7B">
        <w:rPr>
          <w:sz w:val="26"/>
          <w:szCs w:val="26"/>
        </w:rPr>
        <w:t xml:space="preserve"> demande</w:t>
      </w:r>
      <w:r w:rsidR="00E17804" w:rsidRPr="00584D7B">
        <w:rPr>
          <w:sz w:val="26"/>
          <w:szCs w:val="26"/>
        </w:rPr>
        <w:t>s</w:t>
      </w:r>
      <w:r w:rsidR="00B827CA" w:rsidRPr="00584D7B">
        <w:rPr>
          <w:sz w:val="26"/>
          <w:szCs w:val="26"/>
        </w:rPr>
        <w:t xml:space="preserve"> extérieure </w:t>
      </w:r>
      <w:r w:rsidRPr="00584D7B">
        <w:rPr>
          <w:sz w:val="26"/>
          <w:szCs w:val="26"/>
        </w:rPr>
        <w:t xml:space="preserve">et </w:t>
      </w:r>
      <w:r w:rsidR="00B827CA" w:rsidRPr="00584D7B">
        <w:rPr>
          <w:sz w:val="26"/>
          <w:szCs w:val="26"/>
        </w:rPr>
        <w:t xml:space="preserve">intérieure, devrait </w:t>
      </w:r>
      <w:r w:rsidR="00F31766" w:rsidRPr="00584D7B">
        <w:rPr>
          <w:sz w:val="26"/>
          <w:szCs w:val="26"/>
        </w:rPr>
        <w:t>maintenir</w:t>
      </w:r>
      <w:r w:rsidR="00B827CA" w:rsidRPr="00584D7B">
        <w:rPr>
          <w:sz w:val="26"/>
          <w:szCs w:val="26"/>
        </w:rPr>
        <w:t xml:space="preserve"> son rythme de croissance à 2,9%</w:t>
      </w:r>
      <w:r w:rsidR="009F6B36" w:rsidRPr="00584D7B">
        <w:rPr>
          <w:sz w:val="26"/>
          <w:szCs w:val="26"/>
        </w:rPr>
        <w:t xml:space="preserve">. </w:t>
      </w:r>
      <w:r w:rsidR="00A7262F" w:rsidRPr="00584D7B">
        <w:rPr>
          <w:sz w:val="26"/>
          <w:szCs w:val="26"/>
        </w:rPr>
        <w:t xml:space="preserve">Sa </w:t>
      </w:r>
      <w:r w:rsidR="00B827CA" w:rsidRPr="00584D7B">
        <w:rPr>
          <w:sz w:val="26"/>
          <w:szCs w:val="26"/>
        </w:rPr>
        <w:t>contribu</w:t>
      </w:r>
      <w:r w:rsidR="00A7262F" w:rsidRPr="00584D7B">
        <w:rPr>
          <w:sz w:val="26"/>
          <w:szCs w:val="26"/>
        </w:rPr>
        <w:t xml:space="preserve">tion </w:t>
      </w:r>
      <w:r w:rsidR="00B827CA" w:rsidRPr="00584D7B">
        <w:rPr>
          <w:sz w:val="26"/>
          <w:szCs w:val="26"/>
        </w:rPr>
        <w:t xml:space="preserve">à la croissance du PIB </w:t>
      </w:r>
      <w:r w:rsidR="00E17804" w:rsidRPr="00584D7B">
        <w:rPr>
          <w:sz w:val="26"/>
          <w:szCs w:val="26"/>
        </w:rPr>
        <w:t xml:space="preserve">serait </w:t>
      </w:r>
      <w:r w:rsidR="009F6B36" w:rsidRPr="00584D7B">
        <w:rPr>
          <w:sz w:val="26"/>
          <w:szCs w:val="26"/>
        </w:rPr>
        <w:t xml:space="preserve">maintenue à </w:t>
      </w:r>
      <w:r w:rsidR="00B827CA" w:rsidRPr="00584D7B">
        <w:rPr>
          <w:sz w:val="26"/>
          <w:szCs w:val="26"/>
        </w:rPr>
        <w:t>0,7 point en 2018</w:t>
      </w:r>
      <w:r w:rsidR="009F6B36" w:rsidRPr="00584D7B">
        <w:rPr>
          <w:sz w:val="26"/>
          <w:szCs w:val="26"/>
        </w:rPr>
        <w:t xml:space="preserve"> au lieu 0,</w:t>
      </w:r>
      <w:r w:rsidR="003A6FEB">
        <w:rPr>
          <w:sz w:val="26"/>
          <w:szCs w:val="26"/>
        </w:rPr>
        <w:t>8</w:t>
      </w:r>
      <w:r w:rsidR="009F6B36" w:rsidRPr="00584D7B">
        <w:rPr>
          <w:sz w:val="26"/>
          <w:szCs w:val="26"/>
        </w:rPr>
        <w:t xml:space="preserve"> en 201</w:t>
      </w:r>
      <w:r w:rsidR="003A6FEB">
        <w:rPr>
          <w:sz w:val="26"/>
          <w:szCs w:val="26"/>
        </w:rPr>
        <w:t>7</w:t>
      </w:r>
      <w:r w:rsidR="00B827CA" w:rsidRPr="00584D7B">
        <w:rPr>
          <w:sz w:val="26"/>
          <w:szCs w:val="26"/>
        </w:rPr>
        <w:t xml:space="preserve">. </w:t>
      </w:r>
      <w:r w:rsidR="00E600AB" w:rsidRPr="00584D7B">
        <w:rPr>
          <w:sz w:val="26"/>
          <w:szCs w:val="26"/>
        </w:rPr>
        <w:t xml:space="preserve">De </w:t>
      </w:r>
      <w:r w:rsidR="00F31766" w:rsidRPr="00584D7B">
        <w:rPr>
          <w:sz w:val="26"/>
          <w:szCs w:val="26"/>
        </w:rPr>
        <w:t>même</w:t>
      </w:r>
      <w:r w:rsidR="00E600AB" w:rsidRPr="00584D7B">
        <w:rPr>
          <w:sz w:val="26"/>
          <w:szCs w:val="26"/>
        </w:rPr>
        <w:t xml:space="preserve">, </w:t>
      </w:r>
      <w:r w:rsidR="009F6B36" w:rsidRPr="00584D7B">
        <w:rPr>
          <w:sz w:val="26"/>
          <w:szCs w:val="26"/>
        </w:rPr>
        <w:t>l</w:t>
      </w:r>
      <w:r w:rsidR="00A7262F" w:rsidRPr="00584D7B">
        <w:rPr>
          <w:sz w:val="26"/>
          <w:szCs w:val="26"/>
        </w:rPr>
        <w:t xml:space="preserve">e </w:t>
      </w:r>
      <w:r w:rsidR="00B827CA" w:rsidRPr="00584D7B">
        <w:rPr>
          <w:sz w:val="26"/>
          <w:szCs w:val="26"/>
        </w:rPr>
        <w:t>secteur tertiaire devrait consolider sa reprise po</w:t>
      </w:r>
      <w:r w:rsidR="00324F2D">
        <w:rPr>
          <w:sz w:val="26"/>
          <w:szCs w:val="26"/>
        </w:rPr>
        <w:t>ur afficher une croissance de 3</w:t>
      </w:r>
      <w:r w:rsidR="00B827CA" w:rsidRPr="00584D7B">
        <w:rPr>
          <w:sz w:val="26"/>
          <w:szCs w:val="26"/>
        </w:rPr>
        <w:t>%</w:t>
      </w:r>
      <w:r w:rsidR="00E87A11" w:rsidRPr="00584D7B">
        <w:rPr>
          <w:sz w:val="26"/>
          <w:szCs w:val="26"/>
        </w:rPr>
        <w:t>,</w:t>
      </w:r>
      <w:r w:rsidR="00B827CA" w:rsidRPr="00584D7B">
        <w:rPr>
          <w:sz w:val="26"/>
          <w:szCs w:val="26"/>
        </w:rPr>
        <w:t xml:space="preserve"> </w:t>
      </w:r>
      <w:r w:rsidR="00E17804" w:rsidRPr="00584D7B">
        <w:rPr>
          <w:sz w:val="26"/>
          <w:szCs w:val="26"/>
        </w:rPr>
        <w:t>liée</w:t>
      </w:r>
      <w:r w:rsidR="00B827CA" w:rsidRPr="00584D7B">
        <w:rPr>
          <w:sz w:val="26"/>
          <w:szCs w:val="26"/>
        </w:rPr>
        <w:t xml:space="preserve"> notamment </w:t>
      </w:r>
      <w:r w:rsidR="00E17804" w:rsidRPr="00584D7B">
        <w:rPr>
          <w:sz w:val="26"/>
          <w:szCs w:val="26"/>
        </w:rPr>
        <w:t>à</w:t>
      </w:r>
      <w:r w:rsidR="00B827CA" w:rsidRPr="00584D7B">
        <w:rPr>
          <w:sz w:val="26"/>
          <w:szCs w:val="26"/>
        </w:rPr>
        <w:t xml:space="preserve"> l’accroissement des services marchands de 3,</w:t>
      </w:r>
      <w:r w:rsidR="00324F2D">
        <w:rPr>
          <w:sz w:val="26"/>
          <w:szCs w:val="26"/>
        </w:rPr>
        <w:t>4</w:t>
      </w:r>
      <w:r w:rsidR="00B827CA" w:rsidRPr="00584D7B">
        <w:rPr>
          <w:sz w:val="26"/>
          <w:szCs w:val="26"/>
        </w:rPr>
        <w:t xml:space="preserve">% et l’amélioration de la valeur ajoutée des administrations publiques de </w:t>
      </w:r>
      <w:r w:rsidR="00981942">
        <w:rPr>
          <w:sz w:val="26"/>
          <w:szCs w:val="26"/>
        </w:rPr>
        <w:t>1</w:t>
      </w:r>
      <w:r w:rsidR="00B827CA" w:rsidRPr="00584D7B">
        <w:rPr>
          <w:sz w:val="26"/>
          <w:szCs w:val="26"/>
        </w:rPr>
        <w:t xml:space="preserve">%. </w:t>
      </w:r>
      <w:r w:rsidR="009F6B36" w:rsidRPr="00584D7B">
        <w:rPr>
          <w:sz w:val="26"/>
          <w:szCs w:val="26"/>
        </w:rPr>
        <w:t>La contribution des services à la croissance économique poursuivrait sa tendance à la hausse avec 1,</w:t>
      </w:r>
      <w:r w:rsidR="00272949">
        <w:rPr>
          <w:sz w:val="26"/>
          <w:szCs w:val="26"/>
        </w:rPr>
        <w:t xml:space="preserve">5 </w:t>
      </w:r>
      <w:r w:rsidR="009F6B36" w:rsidRPr="00584D7B">
        <w:rPr>
          <w:sz w:val="26"/>
          <w:szCs w:val="26"/>
        </w:rPr>
        <w:t>point au lieu de 1,</w:t>
      </w:r>
      <w:r w:rsidR="00272949">
        <w:rPr>
          <w:sz w:val="26"/>
          <w:szCs w:val="26"/>
        </w:rPr>
        <w:t>3</w:t>
      </w:r>
      <w:r w:rsidR="009F6B36" w:rsidRPr="00584D7B">
        <w:rPr>
          <w:sz w:val="26"/>
          <w:szCs w:val="26"/>
        </w:rPr>
        <w:t xml:space="preserve"> en 2017 et 2016.</w:t>
      </w:r>
    </w:p>
    <w:p w:rsidR="00B827CA" w:rsidRPr="00E76B83" w:rsidRDefault="00B827CA" w:rsidP="008C1DB3">
      <w:pPr>
        <w:spacing w:line="276" w:lineRule="auto"/>
        <w:jc w:val="both"/>
        <w:rPr>
          <w:sz w:val="20"/>
          <w:szCs w:val="20"/>
        </w:rPr>
      </w:pPr>
    </w:p>
    <w:p w:rsidR="00B827CA" w:rsidRPr="00584D7B" w:rsidRDefault="00B827CA" w:rsidP="008C1DB3">
      <w:pPr>
        <w:spacing w:line="276" w:lineRule="auto"/>
        <w:jc w:val="both"/>
        <w:rPr>
          <w:sz w:val="26"/>
          <w:szCs w:val="26"/>
        </w:rPr>
      </w:pPr>
      <w:r w:rsidRPr="00584D7B">
        <w:rPr>
          <w:sz w:val="26"/>
          <w:szCs w:val="26"/>
        </w:rPr>
        <w:t xml:space="preserve">Dans ces conditions et compte tenu d’une évolution </w:t>
      </w:r>
      <w:r w:rsidR="00D76FFC" w:rsidRPr="00584D7B">
        <w:rPr>
          <w:sz w:val="26"/>
          <w:szCs w:val="26"/>
        </w:rPr>
        <w:t xml:space="preserve">prévisible </w:t>
      </w:r>
      <w:r w:rsidRPr="00584D7B">
        <w:rPr>
          <w:sz w:val="26"/>
          <w:szCs w:val="26"/>
        </w:rPr>
        <w:t xml:space="preserve">des impôts et taxes sur produits nets de subventions de </w:t>
      </w:r>
      <w:r w:rsidR="007B6018" w:rsidRPr="00584D7B">
        <w:rPr>
          <w:sz w:val="26"/>
          <w:szCs w:val="26"/>
        </w:rPr>
        <w:t>5</w:t>
      </w:r>
      <w:r w:rsidRPr="00584D7B">
        <w:rPr>
          <w:sz w:val="26"/>
          <w:szCs w:val="26"/>
        </w:rPr>
        <w:t xml:space="preserve">,9%, </w:t>
      </w:r>
      <w:r w:rsidRPr="00584D7B">
        <w:rPr>
          <w:b/>
          <w:sz w:val="26"/>
          <w:szCs w:val="26"/>
        </w:rPr>
        <w:t>le Produit Intérieur Brut devrait s’accroitre de 2,8% en 2018</w:t>
      </w:r>
      <w:r w:rsidRPr="00584D7B">
        <w:rPr>
          <w:sz w:val="26"/>
          <w:szCs w:val="26"/>
        </w:rPr>
        <w:t xml:space="preserve"> en ralentissement par rapport à 4% estimé </w:t>
      </w:r>
      <w:r w:rsidR="00CA787D" w:rsidRPr="00584D7B">
        <w:rPr>
          <w:sz w:val="26"/>
          <w:szCs w:val="26"/>
        </w:rPr>
        <w:t>pour</w:t>
      </w:r>
      <w:r w:rsidRPr="00584D7B">
        <w:rPr>
          <w:sz w:val="26"/>
          <w:szCs w:val="26"/>
        </w:rPr>
        <w:t xml:space="preserve"> 2017. </w:t>
      </w:r>
    </w:p>
    <w:p w:rsidR="006744C1" w:rsidRPr="00E76B83" w:rsidRDefault="006744C1" w:rsidP="008C1DB3">
      <w:pPr>
        <w:spacing w:line="276" w:lineRule="auto"/>
        <w:jc w:val="both"/>
        <w:rPr>
          <w:sz w:val="20"/>
          <w:szCs w:val="20"/>
        </w:rPr>
      </w:pPr>
    </w:p>
    <w:p w:rsidR="006744C1" w:rsidRPr="00584D7B" w:rsidRDefault="006744C1" w:rsidP="008C1DB3">
      <w:pPr>
        <w:spacing w:line="276" w:lineRule="auto"/>
        <w:jc w:val="both"/>
        <w:rPr>
          <w:sz w:val="26"/>
          <w:szCs w:val="26"/>
        </w:rPr>
      </w:pPr>
      <w:r w:rsidRPr="00584D7B">
        <w:rPr>
          <w:sz w:val="26"/>
          <w:szCs w:val="26"/>
        </w:rPr>
        <w:t xml:space="preserve">Aux prix courants, le PIB devrait s’accroitre de 4,3% en 2018. </w:t>
      </w:r>
      <w:r w:rsidRPr="00584D7B">
        <w:rPr>
          <w:b/>
          <w:sz w:val="26"/>
          <w:szCs w:val="26"/>
        </w:rPr>
        <w:t>L’inflation</w:t>
      </w:r>
      <w:r w:rsidRPr="00584D7B">
        <w:rPr>
          <w:sz w:val="26"/>
          <w:szCs w:val="26"/>
        </w:rPr>
        <w:t>, exprimée par le prix implicite du PIB, serait de 1,5%, en 2018 après avoir enregistr</w:t>
      </w:r>
      <w:r w:rsidR="00532C50" w:rsidRPr="00584D7B">
        <w:rPr>
          <w:sz w:val="26"/>
          <w:szCs w:val="26"/>
        </w:rPr>
        <w:t>é 0,2% en 2017 et 1,6% en 2016.</w:t>
      </w:r>
    </w:p>
    <w:p w:rsidR="00532C50" w:rsidRPr="00E76B83" w:rsidRDefault="00532C50" w:rsidP="008C1DB3">
      <w:pPr>
        <w:spacing w:line="276" w:lineRule="auto"/>
        <w:jc w:val="both"/>
        <w:rPr>
          <w:sz w:val="20"/>
          <w:szCs w:val="20"/>
        </w:rPr>
      </w:pPr>
    </w:p>
    <w:p w:rsidR="00976799" w:rsidRPr="00584D7B" w:rsidRDefault="00532C50" w:rsidP="00A31324">
      <w:pPr>
        <w:spacing w:line="276" w:lineRule="auto"/>
        <w:jc w:val="both"/>
        <w:rPr>
          <w:sz w:val="26"/>
          <w:szCs w:val="26"/>
        </w:rPr>
      </w:pPr>
      <w:r w:rsidRPr="00584D7B">
        <w:rPr>
          <w:sz w:val="26"/>
          <w:szCs w:val="26"/>
        </w:rPr>
        <w:t xml:space="preserve">Par ailleurs, la croissance économique serait accompagnée par des créations d’emploi qui ne permettraient pas de répondre à la demande additionnelle en augmentation continue sur le marché du travail. Dans ce cadre, le </w:t>
      </w:r>
      <w:r w:rsidRPr="00584D7B">
        <w:rPr>
          <w:b/>
          <w:sz w:val="26"/>
          <w:szCs w:val="26"/>
        </w:rPr>
        <w:t>taux de chômage</w:t>
      </w:r>
      <w:r w:rsidRPr="00584D7B">
        <w:rPr>
          <w:sz w:val="26"/>
          <w:szCs w:val="26"/>
        </w:rPr>
        <w:t xml:space="preserve"> devrait atteindre 10,5% en 2018 au lieu de 10,2% pour 2017 et 9,4% en 2016.</w:t>
      </w:r>
    </w:p>
    <w:p w:rsidR="009C37BF" w:rsidRPr="008C1DB3" w:rsidRDefault="008C1DB3" w:rsidP="008C1DB3">
      <w:pPr>
        <w:pStyle w:val="Paragraphedeliste"/>
        <w:numPr>
          <w:ilvl w:val="0"/>
          <w:numId w:val="16"/>
        </w:numPr>
        <w:spacing w:line="276" w:lineRule="auto"/>
        <w:jc w:val="both"/>
        <w:rPr>
          <w:rFonts w:eastAsiaTheme="majorEastAsia"/>
          <w:b/>
          <w:color w:val="0070C0"/>
          <w:sz w:val="30"/>
          <w:szCs w:val="30"/>
          <w:u w:val="single"/>
        </w:rPr>
      </w:pPr>
      <w:r>
        <w:rPr>
          <w:rFonts w:eastAsiaTheme="majorEastAsia"/>
          <w:b/>
          <w:color w:val="0070C0"/>
          <w:sz w:val="30"/>
          <w:szCs w:val="30"/>
          <w:u w:val="single"/>
        </w:rPr>
        <w:lastRenderedPageBreak/>
        <w:t>Les c</w:t>
      </w:r>
      <w:r w:rsidR="009C37BF" w:rsidRPr="008C1DB3">
        <w:rPr>
          <w:rFonts w:eastAsiaTheme="majorEastAsia"/>
          <w:b/>
          <w:color w:val="0070C0"/>
          <w:sz w:val="30"/>
          <w:szCs w:val="30"/>
          <w:u w:val="single"/>
        </w:rPr>
        <w:t>omposantes de la demande</w:t>
      </w:r>
    </w:p>
    <w:p w:rsidR="00B30A98" w:rsidRPr="00584D7B" w:rsidRDefault="00B30A98" w:rsidP="008C1DB3">
      <w:pPr>
        <w:spacing w:line="276" w:lineRule="auto"/>
        <w:jc w:val="both"/>
        <w:rPr>
          <w:rFonts w:cstheme="majorBidi"/>
          <w:color w:val="0000FF"/>
          <w:sz w:val="26"/>
          <w:szCs w:val="26"/>
        </w:rPr>
      </w:pPr>
    </w:p>
    <w:p w:rsidR="000F5BD9" w:rsidRPr="00584D7B" w:rsidRDefault="00B30A98" w:rsidP="008C1DB3">
      <w:pPr>
        <w:spacing w:line="276" w:lineRule="auto"/>
        <w:jc w:val="both"/>
        <w:rPr>
          <w:sz w:val="26"/>
          <w:szCs w:val="26"/>
        </w:rPr>
      </w:pPr>
      <w:r w:rsidRPr="00584D7B">
        <w:rPr>
          <w:sz w:val="26"/>
          <w:szCs w:val="26"/>
        </w:rPr>
        <w:t xml:space="preserve">La </w:t>
      </w:r>
      <w:r w:rsidR="00D76FFC" w:rsidRPr="00584D7B">
        <w:rPr>
          <w:sz w:val="26"/>
          <w:szCs w:val="26"/>
        </w:rPr>
        <w:t xml:space="preserve">croissance économique nationale continuerait </w:t>
      </w:r>
      <w:r w:rsidR="000F5BD9" w:rsidRPr="00584D7B">
        <w:rPr>
          <w:sz w:val="26"/>
          <w:szCs w:val="26"/>
        </w:rPr>
        <w:t xml:space="preserve">d’être soutenue par la </w:t>
      </w:r>
      <w:r w:rsidRPr="00584D7B">
        <w:rPr>
          <w:sz w:val="26"/>
          <w:szCs w:val="26"/>
        </w:rPr>
        <w:t>demande intérieure</w:t>
      </w:r>
      <w:r w:rsidR="0001139F" w:rsidRPr="00584D7B">
        <w:rPr>
          <w:sz w:val="26"/>
          <w:szCs w:val="26"/>
        </w:rPr>
        <w:t xml:space="preserve"> </w:t>
      </w:r>
      <w:r w:rsidR="000F5BD9" w:rsidRPr="00584D7B">
        <w:rPr>
          <w:sz w:val="26"/>
          <w:szCs w:val="26"/>
        </w:rPr>
        <w:t xml:space="preserve">en dépit de son ralentissement </w:t>
      </w:r>
      <w:r w:rsidR="0001139F" w:rsidRPr="00584D7B">
        <w:rPr>
          <w:sz w:val="26"/>
          <w:szCs w:val="26"/>
        </w:rPr>
        <w:t>en 2018</w:t>
      </w:r>
      <w:r w:rsidRPr="00584D7B">
        <w:rPr>
          <w:sz w:val="26"/>
          <w:szCs w:val="26"/>
        </w:rPr>
        <w:t xml:space="preserve"> </w:t>
      </w:r>
      <w:r w:rsidR="000F5BD9" w:rsidRPr="00584D7B">
        <w:rPr>
          <w:sz w:val="26"/>
          <w:szCs w:val="26"/>
        </w:rPr>
        <w:t xml:space="preserve">au moment où la </w:t>
      </w:r>
      <w:r w:rsidR="00AA1856" w:rsidRPr="00584D7B">
        <w:rPr>
          <w:sz w:val="26"/>
          <w:szCs w:val="26"/>
        </w:rPr>
        <w:t xml:space="preserve">contribution de la </w:t>
      </w:r>
      <w:r w:rsidR="000F5BD9" w:rsidRPr="00584D7B">
        <w:rPr>
          <w:sz w:val="26"/>
          <w:szCs w:val="26"/>
        </w:rPr>
        <w:t xml:space="preserve">demande extérieure serait </w:t>
      </w:r>
      <w:r w:rsidR="00AA1856" w:rsidRPr="00584D7B">
        <w:rPr>
          <w:sz w:val="26"/>
          <w:szCs w:val="26"/>
        </w:rPr>
        <w:t xml:space="preserve">à nouveau </w:t>
      </w:r>
      <w:r w:rsidR="000F5BD9" w:rsidRPr="00584D7B">
        <w:rPr>
          <w:sz w:val="26"/>
          <w:szCs w:val="26"/>
        </w:rPr>
        <w:t xml:space="preserve">négative. </w:t>
      </w:r>
    </w:p>
    <w:p w:rsidR="000F5BD9" w:rsidRPr="00E76B83" w:rsidRDefault="000F5BD9" w:rsidP="008C1DB3">
      <w:pPr>
        <w:spacing w:line="276" w:lineRule="auto"/>
        <w:jc w:val="both"/>
        <w:rPr>
          <w:sz w:val="20"/>
          <w:szCs w:val="20"/>
        </w:rPr>
      </w:pPr>
    </w:p>
    <w:p w:rsidR="00B30A98" w:rsidRPr="00584D7B" w:rsidRDefault="000F5BD9" w:rsidP="00187F99">
      <w:pPr>
        <w:spacing w:line="276" w:lineRule="auto"/>
        <w:jc w:val="both"/>
        <w:rPr>
          <w:sz w:val="26"/>
          <w:szCs w:val="26"/>
        </w:rPr>
      </w:pPr>
      <w:r w:rsidRPr="00584D7B">
        <w:rPr>
          <w:sz w:val="26"/>
          <w:szCs w:val="26"/>
        </w:rPr>
        <w:t xml:space="preserve">Ainsi, </w:t>
      </w:r>
      <w:r w:rsidRPr="00584D7B">
        <w:rPr>
          <w:b/>
          <w:sz w:val="26"/>
          <w:szCs w:val="26"/>
        </w:rPr>
        <w:t>la demande intérieure</w:t>
      </w:r>
      <w:r w:rsidRPr="00584D7B">
        <w:rPr>
          <w:sz w:val="26"/>
          <w:szCs w:val="26"/>
        </w:rPr>
        <w:t xml:space="preserve"> devrait s’accroitre de</w:t>
      </w:r>
      <w:r w:rsidR="00B30A98" w:rsidRPr="00584D7B">
        <w:rPr>
          <w:sz w:val="26"/>
          <w:szCs w:val="26"/>
        </w:rPr>
        <w:t xml:space="preserve"> 2,</w:t>
      </w:r>
      <w:r w:rsidR="009F4826">
        <w:rPr>
          <w:sz w:val="26"/>
          <w:szCs w:val="26"/>
        </w:rPr>
        <w:t>7</w:t>
      </w:r>
      <w:r w:rsidR="00B30A98" w:rsidRPr="00584D7B">
        <w:rPr>
          <w:sz w:val="26"/>
          <w:szCs w:val="26"/>
        </w:rPr>
        <w:t>% en volume au lieu de 3,</w:t>
      </w:r>
      <w:r w:rsidR="009F4826">
        <w:rPr>
          <w:sz w:val="26"/>
          <w:szCs w:val="26"/>
        </w:rPr>
        <w:t>2</w:t>
      </w:r>
      <w:r w:rsidR="00B30A98" w:rsidRPr="00584D7B">
        <w:rPr>
          <w:sz w:val="26"/>
          <w:szCs w:val="26"/>
        </w:rPr>
        <w:t xml:space="preserve">% en 2017. Sa contribution à la croissance du PIB </w:t>
      </w:r>
      <w:r w:rsidR="0001139F" w:rsidRPr="00584D7B">
        <w:rPr>
          <w:sz w:val="26"/>
          <w:szCs w:val="26"/>
        </w:rPr>
        <w:t>se limiterait à</w:t>
      </w:r>
      <w:r w:rsidR="00B30A98" w:rsidRPr="00584D7B">
        <w:rPr>
          <w:sz w:val="26"/>
          <w:szCs w:val="26"/>
        </w:rPr>
        <w:t xml:space="preserve"> 3</w:t>
      </w:r>
      <w:r w:rsidR="009C37BF" w:rsidRPr="00584D7B">
        <w:rPr>
          <w:sz w:val="26"/>
          <w:szCs w:val="26"/>
        </w:rPr>
        <w:t xml:space="preserve"> </w:t>
      </w:r>
      <w:r w:rsidR="00B30A98" w:rsidRPr="00584D7B">
        <w:rPr>
          <w:sz w:val="26"/>
          <w:szCs w:val="26"/>
        </w:rPr>
        <w:t>points au lieu de 3,</w:t>
      </w:r>
      <w:r w:rsidR="00187F99">
        <w:rPr>
          <w:sz w:val="26"/>
          <w:szCs w:val="26"/>
        </w:rPr>
        <w:t>6</w:t>
      </w:r>
      <w:r w:rsidR="00B30A98" w:rsidRPr="00584D7B">
        <w:rPr>
          <w:sz w:val="26"/>
          <w:szCs w:val="26"/>
        </w:rPr>
        <w:t xml:space="preserve"> points en 2017. </w:t>
      </w:r>
    </w:p>
    <w:p w:rsidR="00B30A98" w:rsidRPr="00E76B83" w:rsidRDefault="00B30A98" w:rsidP="008C1DB3">
      <w:pPr>
        <w:spacing w:line="276" w:lineRule="auto"/>
        <w:jc w:val="both"/>
        <w:rPr>
          <w:sz w:val="20"/>
          <w:szCs w:val="20"/>
        </w:rPr>
      </w:pPr>
    </w:p>
    <w:p w:rsidR="00B30A98" w:rsidRPr="00584D7B" w:rsidRDefault="000F5BD9" w:rsidP="006F3798">
      <w:pPr>
        <w:spacing w:line="276" w:lineRule="auto"/>
        <w:jc w:val="both"/>
        <w:rPr>
          <w:sz w:val="26"/>
          <w:szCs w:val="26"/>
        </w:rPr>
      </w:pPr>
      <w:r w:rsidRPr="00584D7B">
        <w:rPr>
          <w:sz w:val="26"/>
          <w:szCs w:val="26"/>
        </w:rPr>
        <w:t>Dans ce cadre, l</w:t>
      </w:r>
      <w:r w:rsidR="00B30A98" w:rsidRPr="00584D7B">
        <w:rPr>
          <w:b/>
          <w:sz w:val="26"/>
          <w:szCs w:val="26"/>
        </w:rPr>
        <w:t>a consommation finale nationale</w:t>
      </w:r>
      <w:r w:rsidR="00B30A98" w:rsidRPr="00584D7B">
        <w:rPr>
          <w:sz w:val="26"/>
          <w:szCs w:val="26"/>
        </w:rPr>
        <w:t xml:space="preserve"> </w:t>
      </w:r>
      <w:r w:rsidRPr="00584D7B">
        <w:rPr>
          <w:sz w:val="26"/>
          <w:szCs w:val="26"/>
        </w:rPr>
        <w:t>s</w:t>
      </w:r>
      <w:r w:rsidR="00B30A98" w:rsidRPr="00584D7B">
        <w:rPr>
          <w:sz w:val="26"/>
          <w:szCs w:val="26"/>
        </w:rPr>
        <w:t>e se</w:t>
      </w:r>
      <w:r w:rsidRPr="00584D7B">
        <w:rPr>
          <w:sz w:val="26"/>
          <w:szCs w:val="26"/>
        </w:rPr>
        <w:t xml:space="preserve">rait accrue </w:t>
      </w:r>
      <w:r w:rsidR="00B30A98" w:rsidRPr="00584D7B">
        <w:rPr>
          <w:sz w:val="26"/>
          <w:szCs w:val="26"/>
        </w:rPr>
        <w:t>de 2,</w:t>
      </w:r>
      <w:r w:rsidR="009C37BF" w:rsidRPr="00584D7B">
        <w:rPr>
          <w:sz w:val="26"/>
          <w:szCs w:val="26"/>
        </w:rPr>
        <w:t>8</w:t>
      </w:r>
      <w:r w:rsidR="00B30A98" w:rsidRPr="00584D7B">
        <w:rPr>
          <w:sz w:val="26"/>
          <w:szCs w:val="26"/>
        </w:rPr>
        <w:t xml:space="preserve">% </w:t>
      </w:r>
      <w:r w:rsidRPr="00584D7B">
        <w:rPr>
          <w:sz w:val="26"/>
          <w:szCs w:val="26"/>
        </w:rPr>
        <w:t>au lieu de 3,2% en 2017</w:t>
      </w:r>
      <w:r w:rsidR="00B30A98" w:rsidRPr="00584D7B">
        <w:rPr>
          <w:sz w:val="26"/>
          <w:szCs w:val="26"/>
        </w:rPr>
        <w:t>, dégageant ainsi une contribution de 2,</w:t>
      </w:r>
      <w:r w:rsidR="009C37BF" w:rsidRPr="00584D7B">
        <w:rPr>
          <w:sz w:val="26"/>
          <w:szCs w:val="26"/>
        </w:rPr>
        <w:t>2</w:t>
      </w:r>
      <w:r w:rsidR="00B30A98" w:rsidRPr="00584D7B">
        <w:rPr>
          <w:sz w:val="26"/>
          <w:szCs w:val="26"/>
        </w:rPr>
        <w:t xml:space="preserve"> points à la croissance au lieu de 2,5 points</w:t>
      </w:r>
      <w:r w:rsidR="0092296A">
        <w:rPr>
          <w:sz w:val="26"/>
          <w:szCs w:val="26"/>
        </w:rPr>
        <w:t xml:space="preserve"> en 2017</w:t>
      </w:r>
      <w:r w:rsidR="00B30A98" w:rsidRPr="00584D7B">
        <w:rPr>
          <w:sz w:val="26"/>
          <w:szCs w:val="26"/>
        </w:rPr>
        <w:t xml:space="preserve">. Ce résultat serait </w:t>
      </w:r>
      <w:r w:rsidRPr="00584D7B">
        <w:rPr>
          <w:sz w:val="26"/>
          <w:szCs w:val="26"/>
        </w:rPr>
        <w:t xml:space="preserve">essentiellement </w:t>
      </w:r>
      <w:r w:rsidR="00B30A98" w:rsidRPr="00584D7B">
        <w:rPr>
          <w:sz w:val="26"/>
          <w:szCs w:val="26"/>
        </w:rPr>
        <w:t xml:space="preserve">tributaire </w:t>
      </w:r>
      <w:r w:rsidR="00D55FD7" w:rsidRPr="00584D7B">
        <w:rPr>
          <w:sz w:val="26"/>
          <w:szCs w:val="26"/>
        </w:rPr>
        <w:t>au</w:t>
      </w:r>
      <w:r w:rsidR="00B30A98" w:rsidRPr="00584D7B">
        <w:rPr>
          <w:sz w:val="26"/>
          <w:szCs w:val="26"/>
        </w:rPr>
        <w:t xml:space="preserve"> ralentissement du rythme d’évolution de la consommation des ménages résidents</w:t>
      </w:r>
      <w:r w:rsidR="00BF1561" w:rsidRPr="00584D7B">
        <w:rPr>
          <w:sz w:val="26"/>
          <w:szCs w:val="26"/>
        </w:rPr>
        <w:t xml:space="preserve"> qui passerait de </w:t>
      </w:r>
      <w:r w:rsidR="0092296A">
        <w:rPr>
          <w:sz w:val="26"/>
          <w:szCs w:val="26"/>
        </w:rPr>
        <w:t>4</w:t>
      </w:r>
      <w:r w:rsidR="00BF1561" w:rsidRPr="00584D7B">
        <w:rPr>
          <w:sz w:val="26"/>
          <w:szCs w:val="26"/>
        </w:rPr>
        <w:t>% en 2017 à 3,</w:t>
      </w:r>
      <w:r w:rsidR="0092296A">
        <w:rPr>
          <w:sz w:val="26"/>
          <w:szCs w:val="26"/>
        </w:rPr>
        <w:t>3</w:t>
      </w:r>
      <w:r w:rsidR="00BF1561" w:rsidRPr="00584D7B">
        <w:rPr>
          <w:sz w:val="26"/>
          <w:szCs w:val="26"/>
        </w:rPr>
        <w:t>% en 2018</w:t>
      </w:r>
      <w:r w:rsidR="00B30A98" w:rsidRPr="00584D7B">
        <w:rPr>
          <w:sz w:val="26"/>
          <w:szCs w:val="26"/>
        </w:rPr>
        <w:t xml:space="preserve">, </w:t>
      </w:r>
      <w:r w:rsidR="00BF1561" w:rsidRPr="00584D7B">
        <w:rPr>
          <w:sz w:val="26"/>
          <w:szCs w:val="26"/>
        </w:rPr>
        <w:t>en liaison notamment avec l</w:t>
      </w:r>
      <w:r w:rsidR="001D3104" w:rsidRPr="00584D7B">
        <w:rPr>
          <w:sz w:val="26"/>
          <w:szCs w:val="26"/>
        </w:rPr>
        <w:t>e ralentissement des revenus</w:t>
      </w:r>
      <w:r w:rsidR="00BF1561" w:rsidRPr="00584D7B">
        <w:rPr>
          <w:sz w:val="26"/>
          <w:szCs w:val="26"/>
        </w:rPr>
        <w:t xml:space="preserve">. Sa </w:t>
      </w:r>
      <w:r w:rsidR="00B30A98" w:rsidRPr="00584D7B">
        <w:rPr>
          <w:sz w:val="26"/>
          <w:szCs w:val="26"/>
        </w:rPr>
        <w:t>contribu</w:t>
      </w:r>
      <w:r w:rsidR="00BF1561" w:rsidRPr="00584D7B">
        <w:rPr>
          <w:sz w:val="26"/>
          <w:szCs w:val="26"/>
        </w:rPr>
        <w:t>tion</w:t>
      </w:r>
      <w:r w:rsidR="00B30A98" w:rsidRPr="00584D7B">
        <w:rPr>
          <w:sz w:val="26"/>
          <w:szCs w:val="26"/>
        </w:rPr>
        <w:t xml:space="preserve"> à la croissance du PIB </w:t>
      </w:r>
      <w:r w:rsidR="00BF1561" w:rsidRPr="00584D7B">
        <w:rPr>
          <w:sz w:val="26"/>
          <w:szCs w:val="26"/>
        </w:rPr>
        <w:t xml:space="preserve">serait ainsi </w:t>
      </w:r>
      <w:r w:rsidR="00B30A98" w:rsidRPr="00584D7B">
        <w:rPr>
          <w:sz w:val="26"/>
          <w:szCs w:val="26"/>
        </w:rPr>
        <w:t>de</w:t>
      </w:r>
      <w:r w:rsidR="00BF1561" w:rsidRPr="00584D7B">
        <w:rPr>
          <w:sz w:val="26"/>
          <w:szCs w:val="26"/>
        </w:rPr>
        <w:t xml:space="preserve"> </w:t>
      </w:r>
      <w:r w:rsidR="00B30A98" w:rsidRPr="00584D7B">
        <w:rPr>
          <w:sz w:val="26"/>
          <w:szCs w:val="26"/>
        </w:rPr>
        <w:t>1,8 point au lieu de 2,</w:t>
      </w:r>
      <w:r w:rsidR="006F3798">
        <w:rPr>
          <w:sz w:val="26"/>
          <w:szCs w:val="26"/>
        </w:rPr>
        <w:t>3</w:t>
      </w:r>
      <w:r w:rsidR="00B30A98" w:rsidRPr="00584D7B">
        <w:rPr>
          <w:sz w:val="26"/>
          <w:szCs w:val="26"/>
        </w:rPr>
        <w:t xml:space="preserve"> points en 2017. </w:t>
      </w:r>
      <w:r w:rsidR="00AA1856" w:rsidRPr="00584D7B">
        <w:rPr>
          <w:sz w:val="26"/>
          <w:szCs w:val="26"/>
        </w:rPr>
        <w:t>Quant à</w:t>
      </w:r>
      <w:r w:rsidR="00B30A98" w:rsidRPr="00584D7B">
        <w:rPr>
          <w:sz w:val="26"/>
          <w:szCs w:val="26"/>
        </w:rPr>
        <w:t xml:space="preserve"> la consommation des administrations publiques</w:t>
      </w:r>
      <w:r w:rsidR="00AA1856" w:rsidRPr="00584D7B">
        <w:rPr>
          <w:sz w:val="26"/>
          <w:szCs w:val="26"/>
        </w:rPr>
        <w:t>,</w:t>
      </w:r>
      <w:r w:rsidR="00B30A98" w:rsidRPr="00584D7B">
        <w:rPr>
          <w:sz w:val="26"/>
          <w:szCs w:val="26"/>
        </w:rPr>
        <w:t xml:space="preserve"> </w:t>
      </w:r>
      <w:r w:rsidR="00AA1856" w:rsidRPr="00584D7B">
        <w:rPr>
          <w:sz w:val="26"/>
          <w:szCs w:val="26"/>
        </w:rPr>
        <w:t xml:space="preserve">elle </w:t>
      </w:r>
      <w:r w:rsidRPr="00584D7B">
        <w:rPr>
          <w:sz w:val="26"/>
          <w:szCs w:val="26"/>
        </w:rPr>
        <w:t xml:space="preserve">connaitrait une hausse </w:t>
      </w:r>
      <w:r w:rsidR="00B30A98" w:rsidRPr="00584D7B">
        <w:rPr>
          <w:sz w:val="26"/>
          <w:szCs w:val="26"/>
        </w:rPr>
        <w:t>de 1,</w:t>
      </w:r>
      <w:r w:rsidR="006F3798">
        <w:rPr>
          <w:sz w:val="26"/>
          <w:szCs w:val="26"/>
        </w:rPr>
        <w:t>2</w:t>
      </w:r>
      <w:r w:rsidR="00B30A98" w:rsidRPr="00584D7B">
        <w:rPr>
          <w:sz w:val="26"/>
          <w:szCs w:val="26"/>
        </w:rPr>
        <w:t xml:space="preserve">% au lieu de </w:t>
      </w:r>
      <w:r w:rsidR="00CF1F0F" w:rsidRPr="00584D7B">
        <w:rPr>
          <w:sz w:val="26"/>
          <w:szCs w:val="26"/>
        </w:rPr>
        <w:t>0,</w:t>
      </w:r>
      <w:r w:rsidR="006F3798">
        <w:rPr>
          <w:sz w:val="26"/>
          <w:szCs w:val="26"/>
        </w:rPr>
        <w:t>8</w:t>
      </w:r>
      <w:r w:rsidR="00B30A98" w:rsidRPr="00584D7B">
        <w:rPr>
          <w:sz w:val="26"/>
          <w:szCs w:val="26"/>
        </w:rPr>
        <w:t xml:space="preserve">% en 2017, suite à l’accroissement </w:t>
      </w:r>
      <w:r w:rsidR="00D55FD7" w:rsidRPr="00584D7B">
        <w:rPr>
          <w:sz w:val="26"/>
          <w:szCs w:val="26"/>
        </w:rPr>
        <w:t xml:space="preserve">prévu </w:t>
      </w:r>
      <w:r w:rsidR="00B30A98" w:rsidRPr="00584D7B">
        <w:rPr>
          <w:sz w:val="26"/>
          <w:szCs w:val="26"/>
        </w:rPr>
        <w:t xml:space="preserve">des dépenses budgétaires de fonctionnement </w:t>
      </w:r>
      <w:r w:rsidR="00A7262F" w:rsidRPr="00584D7B">
        <w:rPr>
          <w:sz w:val="26"/>
          <w:szCs w:val="26"/>
        </w:rPr>
        <w:t xml:space="preserve">hors </w:t>
      </w:r>
      <w:r w:rsidR="00B30A98" w:rsidRPr="00584D7B">
        <w:rPr>
          <w:sz w:val="26"/>
          <w:szCs w:val="26"/>
        </w:rPr>
        <w:t>salai</w:t>
      </w:r>
      <w:r w:rsidR="00A7262F" w:rsidRPr="00584D7B">
        <w:rPr>
          <w:sz w:val="26"/>
          <w:szCs w:val="26"/>
        </w:rPr>
        <w:t>res. S</w:t>
      </w:r>
      <w:r w:rsidR="00B30A98" w:rsidRPr="00584D7B">
        <w:rPr>
          <w:sz w:val="26"/>
          <w:szCs w:val="26"/>
        </w:rPr>
        <w:t xml:space="preserve">a contribution </w:t>
      </w:r>
      <w:r w:rsidR="006744C1" w:rsidRPr="00584D7B">
        <w:rPr>
          <w:sz w:val="26"/>
          <w:szCs w:val="26"/>
        </w:rPr>
        <w:t xml:space="preserve">à la croissance du PIB serait de </w:t>
      </w:r>
      <w:r w:rsidR="00B30A98" w:rsidRPr="00584D7B">
        <w:rPr>
          <w:sz w:val="26"/>
          <w:szCs w:val="26"/>
        </w:rPr>
        <w:t>0,</w:t>
      </w:r>
      <w:r w:rsidR="00CF1F0F" w:rsidRPr="00584D7B">
        <w:rPr>
          <w:sz w:val="26"/>
          <w:szCs w:val="26"/>
        </w:rPr>
        <w:t>3</w:t>
      </w:r>
      <w:r w:rsidR="00B30A98" w:rsidRPr="00584D7B">
        <w:rPr>
          <w:sz w:val="26"/>
          <w:szCs w:val="26"/>
        </w:rPr>
        <w:t xml:space="preserve"> point</w:t>
      </w:r>
      <w:r w:rsidR="006744C1" w:rsidRPr="00584D7B">
        <w:rPr>
          <w:sz w:val="26"/>
          <w:szCs w:val="26"/>
        </w:rPr>
        <w:t xml:space="preserve"> en 2018</w:t>
      </w:r>
      <w:r w:rsidR="00B30A98" w:rsidRPr="00584D7B">
        <w:rPr>
          <w:sz w:val="26"/>
          <w:szCs w:val="26"/>
        </w:rPr>
        <w:t xml:space="preserve">. </w:t>
      </w:r>
    </w:p>
    <w:p w:rsidR="00B30A98" w:rsidRPr="00E76B83" w:rsidRDefault="00B30A98" w:rsidP="008C1DB3">
      <w:pPr>
        <w:spacing w:line="276" w:lineRule="auto"/>
        <w:jc w:val="both"/>
        <w:rPr>
          <w:sz w:val="20"/>
          <w:szCs w:val="20"/>
        </w:rPr>
      </w:pPr>
    </w:p>
    <w:p w:rsidR="00B30A98" w:rsidRPr="00584D7B" w:rsidRDefault="00B30A98" w:rsidP="007501A2">
      <w:pPr>
        <w:spacing w:line="276" w:lineRule="auto"/>
        <w:jc w:val="both"/>
        <w:rPr>
          <w:sz w:val="26"/>
          <w:szCs w:val="26"/>
        </w:rPr>
      </w:pPr>
      <w:r w:rsidRPr="00584D7B">
        <w:rPr>
          <w:b/>
          <w:sz w:val="26"/>
          <w:szCs w:val="26"/>
        </w:rPr>
        <w:t>La formation brute de capital fixe</w:t>
      </w:r>
      <w:r w:rsidRPr="00584D7B">
        <w:rPr>
          <w:sz w:val="26"/>
          <w:szCs w:val="26"/>
        </w:rPr>
        <w:t xml:space="preserve">, </w:t>
      </w:r>
      <w:r w:rsidR="006744C1" w:rsidRPr="00584D7B">
        <w:rPr>
          <w:sz w:val="26"/>
          <w:szCs w:val="26"/>
        </w:rPr>
        <w:t xml:space="preserve">de son côté, </w:t>
      </w:r>
      <w:r w:rsidRPr="00584D7B">
        <w:rPr>
          <w:sz w:val="26"/>
          <w:szCs w:val="26"/>
        </w:rPr>
        <w:t>soutenue par la poursuite de</w:t>
      </w:r>
      <w:r w:rsidR="00BF1561" w:rsidRPr="00584D7B">
        <w:rPr>
          <w:sz w:val="26"/>
          <w:szCs w:val="26"/>
        </w:rPr>
        <w:t xml:space="preserve"> la réalisation des gra</w:t>
      </w:r>
      <w:r w:rsidRPr="00584D7B">
        <w:rPr>
          <w:sz w:val="26"/>
          <w:szCs w:val="26"/>
        </w:rPr>
        <w:t xml:space="preserve">nds projets </w:t>
      </w:r>
      <w:r w:rsidR="00BF1561" w:rsidRPr="00584D7B">
        <w:rPr>
          <w:sz w:val="26"/>
          <w:szCs w:val="26"/>
        </w:rPr>
        <w:t xml:space="preserve">d’investissements, </w:t>
      </w:r>
      <w:r w:rsidRPr="00584D7B">
        <w:rPr>
          <w:sz w:val="26"/>
          <w:szCs w:val="26"/>
        </w:rPr>
        <w:t>devrait connaitre une hausse de 4,</w:t>
      </w:r>
      <w:r w:rsidR="00CF1F0F" w:rsidRPr="00584D7B">
        <w:rPr>
          <w:sz w:val="26"/>
          <w:szCs w:val="26"/>
        </w:rPr>
        <w:t>1</w:t>
      </w:r>
      <w:r w:rsidRPr="00584D7B">
        <w:rPr>
          <w:sz w:val="26"/>
          <w:szCs w:val="26"/>
        </w:rPr>
        <w:t>% en volume en 2018</w:t>
      </w:r>
      <w:r w:rsidR="006744C1" w:rsidRPr="00584D7B">
        <w:rPr>
          <w:sz w:val="26"/>
          <w:szCs w:val="26"/>
        </w:rPr>
        <w:t xml:space="preserve"> au lieu de 3,</w:t>
      </w:r>
      <w:r w:rsidR="00113366">
        <w:rPr>
          <w:sz w:val="26"/>
          <w:szCs w:val="26"/>
        </w:rPr>
        <w:t>4</w:t>
      </w:r>
      <w:r w:rsidR="006744C1" w:rsidRPr="00584D7B">
        <w:rPr>
          <w:sz w:val="26"/>
          <w:szCs w:val="26"/>
        </w:rPr>
        <w:t>% en 2017</w:t>
      </w:r>
      <w:r w:rsidRPr="00584D7B">
        <w:rPr>
          <w:sz w:val="26"/>
          <w:szCs w:val="26"/>
        </w:rPr>
        <w:t>. Sa contribution à la croissance économique devrait passer</w:t>
      </w:r>
      <w:r w:rsidR="000F6675" w:rsidRPr="00584D7B">
        <w:rPr>
          <w:sz w:val="26"/>
          <w:szCs w:val="26"/>
        </w:rPr>
        <w:t xml:space="preserve"> de</w:t>
      </w:r>
      <w:r w:rsidRPr="00584D7B">
        <w:rPr>
          <w:sz w:val="26"/>
          <w:szCs w:val="26"/>
        </w:rPr>
        <w:t xml:space="preserve"> </w:t>
      </w:r>
      <w:r w:rsidR="004A0E75">
        <w:rPr>
          <w:sz w:val="26"/>
          <w:szCs w:val="26"/>
        </w:rPr>
        <w:t>1</w:t>
      </w:r>
      <w:r w:rsidRPr="00584D7B">
        <w:rPr>
          <w:sz w:val="26"/>
          <w:szCs w:val="26"/>
        </w:rPr>
        <w:t xml:space="preserve"> point à 1,</w:t>
      </w:r>
      <w:r w:rsidR="00CF1F0F" w:rsidRPr="00584D7B">
        <w:rPr>
          <w:sz w:val="26"/>
          <w:szCs w:val="26"/>
        </w:rPr>
        <w:t>2</w:t>
      </w:r>
      <w:r w:rsidRPr="00584D7B">
        <w:rPr>
          <w:sz w:val="26"/>
          <w:szCs w:val="26"/>
        </w:rPr>
        <w:t xml:space="preserve"> point en 2018. </w:t>
      </w:r>
      <w:r w:rsidR="006744C1" w:rsidRPr="00584D7B">
        <w:rPr>
          <w:sz w:val="26"/>
          <w:szCs w:val="26"/>
        </w:rPr>
        <w:t>Avec la v</w:t>
      </w:r>
      <w:r w:rsidRPr="00584D7B">
        <w:rPr>
          <w:sz w:val="26"/>
          <w:szCs w:val="26"/>
        </w:rPr>
        <w:t>ariation des stocks qui devrait contribuer négativement à la croissance du PIB, l’investissement brut connaitr</w:t>
      </w:r>
      <w:r w:rsidR="00CF1F0F" w:rsidRPr="00584D7B">
        <w:rPr>
          <w:sz w:val="26"/>
          <w:szCs w:val="26"/>
        </w:rPr>
        <w:t>ait</w:t>
      </w:r>
      <w:r w:rsidRPr="00584D7B">
        <w:rPr>
          <w:sz w:val="26"/>
          <w:szCs w:val="26"/>
        </w:rPr>
        <w:t xml:space="preserve"> une hausse de 2,</w:t>
      </w:r>
      <w:r w:rsidR="007501A2">
        <w:rPr>
          <w:sz w:val="26"/>
          <w:szCs w:val="26"/>
        </w:rPr>
        <w:t>5</w:t>
      </w:r>
      <w:r w:rsidRPr="00584D7B">
        <w:rPr>
          <w:sz w:val="26"/>
          <w:szCs w:val="26"/>
        </w:rPr>
        <w:t>% en volume en ralentissement par rapport à son évolution estimée en 2017. Sa contribution à la croissance devrait se stabiliser à 0,</w:t>
      </w:r>
      <w:r w:rsidR="007501A2">
        <w:rPr>
          <w:sz w:val="26"/>
          <w:szCs w:val="26"/>
        </w:rPr>
        <w:t>8</w:t>
      </w:r>
      <w:r w:rsidRPr="00584D7B">
        <w:rPr>
          <w:sz w:val="26"/>
          <w:szCs w:val="26"/>
        </w:rPr>
        <w:t xml:space="preserve"> point. </w:t>
      </w:r>
    </w:p>
    <w:p w:rsidR="00B30A98" w:rsidRPr="00E76B83" w:rsidRDefault="00B30A98" w:rsidP="008C1DB3">
      <w:pPr>
        <w:spacing w:line="276" w:lineRule="auto"/>
        <w:jc w:val="both"/>
        <w:rPr>
          <w:sz w:val="20"/>
          <w:szCs w:val="20"/>
        </w:rPr>
      </w:pPr>
    </w:p>
    <w:p w:rsidR="00B30A98" w:rsidRPr="00584D7B" w:rsidRDefault="00532C50" w:rsidP="00B80E14">
      <w:pPr>
        <w:spacing w:line="276" w:lineRule="auto"/>
        <w:jc w:val="both"/>
        <w:rPr>
          <w:sz w:val="26"/>
          <w:szCs w:val="26"/>
        </w:rPr>
      </w:pPr>
      <w:r w:rsidRPr="00584D7B">
        <w:rPr>
          <w:sz w:val="26"/>
          <w:szCs w:val="26"/>
        </w:rPr>
        <w:t xml:space="preserve">Au plan </w:t>
      </w:r>
      <w:r w:rsidR="00B30A98" w:rsidRPr="00584D7B">
        <w:rPr>
          <w:sz w:val="26"/>
          <w:szCs w:val="26"/>
        </w:rPr>
        <w:t xml:space="preserve">des </w:t>
      </w:r>
      <w:r w:rsidR="00B30A98" w:rsidRPr="00584D7B">
        <w:rPr>
          <w:b/>
          <w:sz w:val="26"/>
          <w:szCs w:val="26"/>
        </w:rPr>
        <w:t>échanges extérieurs</w:t>
      </w:r>
      <w:r w:rsidR="00B30A98" w:rsidRPr="00584D7B">
        <w:rPr>
          <w:sz w:val="26"/>
          <w:szCs w:val="26"/>
        </w:rPr>
        <w:t xml:space="preserve">, les exportations des biens et services devraient poursuivre leurs performances amorcées </w:t>
      </w:r>
      <w:r w:rsidRPr="00584D7B">
        <w:rPr>
          <w:sz w:val="26"/>
          <w:szCs w:val="26"/>
        </w:rPr>
        <w:t>en</w:t>
      </w:r>
      <w:r w:rsidR="00B30A98" w:rsidRPr="00584D7B">
        <w:rPr>
          <w:sz w:val="26"/>
          <w:szCs w:val="26"/>
        </w:rPr>
        <w:t xml:space="preserve"> 2014</w:t>
      </w:r>
      <w:r w:rsidR="00BC6797" w:rsidRPr="00584D7B">
        <w:rPr>
          <w:sz w:val="26"/>
          <w:szCs w:val="26"/>
        </w:rPr>
        <w:t xml:space="preserve">, pour enregistrer une hausse de </w:t>
      </w:r>
      <w:r w:rsidR="00B30A98" w:rsidRPr="00584D7B">
        <w:rPr>
          <w:sz w:val="26"/>
          <w:szCs w:val="26"/>
        </w:rPr>
        <w:t>6,</w:t>
      </w:r>
      <w:r w:rsidR="00B80E14">
        <w:rPr>
          <w:sz w:val="26"/>
          <w:szCs w:val="26"/>
        </w:rPr>
        <w:t>8</w:t>
      </w:r>
      <w:r w:rsidR="00B30A98" w:rsidRPr="00584D7B">
        <w:rPr>
          <w:sz w:val="26"/>
          <w:szCs w:val="26"/>
        </w:rPr>
        <w:t>%</w:t>
      </w:r>
      <w:r w:rsidR="00BC6797" w:rsidRPr="00584D7B">
        <w:rPr>
          <w:sz w:val="26"/>
          <w:szCs w:val="26"/>
        </w:rPr>
        <w:t xml:space="preserve"> en volume</w:t>
      </w:r>
      <w:r w:rsidRPr="00584D7B">
        <w:rPr>
          <w:sz w:val="26"/>
          <w:szCs w:val="26"/>
        </w:rPr>
        <w:t xml:space="preserve"> en 2018</w:t>
      </w:r>
      <w:r w:rsidR="00B30A98" w:rsidRPr="00584D7B">
        <w:rPr>
          <w:sz w:val="26"/>
          <w:szCs w:val="26"/>
        </w:rPr>
        <w:t xml:space="preserve">. </w:t>
      </w:r>
      <w:r w:rsidRPr="00584D7B">
        <w:rPr>
          <w:sz w:val="26"/>
          <w:szCs w:val="26"/>
        </w:rPr>
        <w:t>Les importations seraient en hausse de</w:t>
      </w:r>
      <w:r w:rsidR="00B30A98" w:rsidRPr="00584D7B">
        <w:rPr>
          <w:sz w:val="26"/>
          <w:szCs w:val="26"/>
        </w:rPr>
        <w:t xml:space="preserve"> 5,</w:t>
      </w:r>
      <w:r w:rsidR="00B80E14">
        <w:rPr>
          <w:sz w:val="26"/>
          <w:szCs w:val="26"/>
        </w:rPr>
        <w:t>8</w:t>
      </w:r>
      <w:r w:rsidR="00B30A98" w:rsidRPr="00584D7B">
        <w:rPr>
          <w:sz w:val="26"/>
          <w:szCs w:val="26"/>
        </w:rPr>
        <w:t>%</w:t>
      </w:r>
      <w:r w:rsidRPr="00584D7B">
        <w:rPr>
          <w:sz w:val="26"/>
          <w:szCs w:val="26"/>
        </w:rPr>
        <w:t xml:space="preserve"> et par </w:t>
      </w:r>
      <w:r w:rsidR="007F7082" w:rsidRPr="00584D7B">
        <w:rPr>
          <w:sz w:val="26"/>
          <w:szCs w:val="26"/>
        </w:rPr>
        <w:t>conséquen</w:t>
      </w:r>
      <w:r w:rsidRPr="00584D7B">
        <w:rPr>
          <w:sz w:val="26"/>
          <w:szCs w:val="26"/>
        </w:rPr>
        <w:t>t</w:t>
      </w:r>
      <w:r w:rsidR="007F7082" w:rsidRPr="00584D7B">
        <w:rPr>
          <w:sz w:val="26"/>
          <w:szCs w:val="26"/>
        </w:rPr>
        <w:t xml:space="preserve">, la demande extérieure nette dégagerait </w:t>
      </w:r>
      <w:r w:rsidR="00255839" w:rsidRPr="00584D7B">
        <w:rPr>
          <w:sz w:val="26"/>
          <w:szCs w:val="26"/>
        </w:rPr>
        <w:t xml:space="preserve">à nouveau </w:t>
      </w:r>
      <w:r w:rsidR="00B30A98" w:rsidRPr="00584D7B">
        <w:rPr>
          <w:sz w:val="26"/>
          <w:szCs w:val="26"/>
        </w:rPr>
        <w:t>une contribution négative de 0,2 point</w:t>
      </w:r>
      <w:r w:rsidR="004D3625" w:rsidRPr="00584D7B">
        <w:rPr>
          <w:sz w:val="26"/>
          <w:szCs w:val="26"/>
        </w:rPr>
        <w:t xml:space="preserve"> à la croissance économique</w:t>
      </w:r>
      <w:r w:rsidR="00B30A98" w:rsidRPr="00584D7B">
        <w:rPr>
          <w:sz w:val="26"/>
          <w:szCs w:val="26"/>
        </w:rPr>
        <w:t>.</w:t>
      </w:r>
    </w:p>
    <w:p w:rsidR="00B30A98" w:rsidRDefault="00B30A98" w:rsidP="008C1DB3">
      <w:pPr>
        <w:spacing w:line="276" w:lineRule="auto"/>
        <w:jc w:val="both"/>
        <w:rPr>
          <w:sz w:val="26"/>
          <w:szCs w:val="26"/>
        </w:rPr>
      </w:pPr>
    </w:p>
    <w:p w:rsidR="00B80E14" w:rsidRDefault="00B80E14" w:rsidP="008C1DB3">
      <w:pPr>
        <w:spacing w:line="276" w:lineRule="auto"/>
        <w:jc w:val="both"/>
        <w:rPr>
          <w:sz w:val="26"/>
          <w:szCs w:val="26"/>
        </w:rPr>
      </w:pPr>
    </w:p>
    <w:p w:rsidR="00B80E14" w:rsidRPr="00584D7B" w:rsidRDefault="00B80E14" w:rsidP="008C1DB3">
      <w:pPr>
        <w:spacing w:line="276" w:lineRule="auto"/>
        <w:jc w:val="both"/>
        <w:rPr>
          <w:sz w:val="26"/>
          <w:szCs w:val="26"/>
        </w:rPr>
      </w:pPr>
    </w:p>
    <w:p w:rsidR="00976799" w:rsidRDefault="00976799" w:rsidP="008C1DB3">
      <w:pPr>
        <w:spacing w:line="276" w:lineRule="auto"/>
        <w:jc w:val="both"/>
        <w:rPr>
          <w:sz w:val="26"/>
          <w:szCs w:val="26"/>
        </w:rPr>
      </w:pPr>
    </w:p>
    <w:p w:rsidR="00A31324" w:rsidRDefault="00A31324" w:rsidP="008C1DB3">
      <w:pPr>
        <w:spacing w:line="276" w:lineRule="auto"/>
        <w:jc w:val="both"/>
        <w:rPr>
          <w:sz w:val="26"/>
          <w:szCs w:val="26"/>
        </w:rPr>
      </w:pPr>
    </w:p>
    <w:p w:rsidR="00E76B83" w:rsidRPr="00584D7B" w:rsidRDefault="00E76B83" w:rsidP="008C1DB3">
      <w:pPr>
        <w:spacing w:line="276" w:lineRule="auto"/>
        <w:jc w:val="both"/>
        <w:rPr>
          <w:sz w:val="26"/>
          <w:szCs w:val="26"/>
        </w:rPr>
      </w:pPr>
    </w:p>
    <w:p w:rsidR="009C37BF" w:rsidRPr="00E76B83" w:rsidRDefault="00E76B83" w:rsidP="00E76B83">
      <w:pPr>
        <w:pStyle w:val="Paragraphedeliste"/>
        <w:numPr>
          <w:ilvl w:val="0"/>
          <w:numId w:val="16"/>
        </w:numPr>
        <w:spacing w:line="276" w:lineRule="auto"/>
        <w:jc w:val="both"/>
        <w:rPr>
          <w:rFonts w:eastAsiaTheme="majorEastAsia"/>
          <w:b/>
          <w:color w:val="0070C0"/>
          <w:sz w:val="30"/>
          <w:szCs w:val="30"/>
          <w:u w:val="single"/>
        </w:rPr>
      </w:pPr>
      <w:r w:rsidRPr="00E76B83">
        <w:rPr>
          <w:rFonts w:eastAsiaTheme="majorEastAsia"/>
          <w:b/>
          <w:color w:val="0070C0"/>
          <w:sz w:val="30"/>
          <w:szCs w:val="30"/>
          <w:u w:val="single"/>
        </w:rPr>
        <w:lastRenderedPageBreak/>
        <w:t>Le f</w:t>
      </w:r>
      <w:r w:rsidR="009C37BF" w:rsidRPr="00E76B83">
        <w:rPr>
          <w:rFonts w:eastAsiaTheme="majorEastAsia"/>
          <w:b/>
          <w:color w:val="0070C0"/>
          <w:sz w:val="30"/>
          <w:szCs w:val="30"/>
          <w:u w:val="single"/>
        </w:rPr>
        <w:t xml:space="preserve">inancement de l’économie nationale </w:t>
      </w:r>
    </w:p>
    <w:p w:rsidR="009E1E59" w:rsidRPr="00584D7B" w:rsidRDefault="009E1E59" w:rsidP="008C1DB3">
      <w:pPr>
        <w:spacing w:line="276" w:lineRule="auto"/>
        <w:jc w:val="both"/>
        <w:rPr>
          <w:sz w:val="26"/>
          <w:szCs w:val="26"/>
        </w:rPr>
      </w:pPr>
    </w:p>
    <w:p w:rsidR="00BF1561" w:rsidRPr="00584D7B" w:rsidRDefault="004D3625" w:rsidP="008C1DB3">
      <w:pPr>
        <w:spacing w:line="276" w:lineRule="auto"/>
        <w:jc w:val="both"/>
        <w:rPr>
          <w:sz w:val="26"/>
          <w:szCs w:val="26"/>
        </w:rPr>
      </w:pPr>
      <w:r w:rsidRPr="00584D7B">
        <w:rPr>
          <w:sz w:val="26"/>
          <w:szCs w:val="26"/>
        </w:rPr>
        <w:t>Au niveau de</w:t>
      </w:r>
      <w:r w:rsidR="00BF1561" w:rsidRPr="00584D7B">
        <w:rPr>
          <w:sz w:val="26"/>
          <w:szCs w:val="26"/>
        </w:rPr>
        <w:t xml:space="preserve">s </w:t>
      </w:r>
      <w:r w:rsidR="00BF1561" w:rsidRPr="00584D7B">
        <w:rPr>
          <w:b/>
          <w:sz w:val="26"/>
          <w:szCs w:val="26"/>
        </w:rPr>
        <w:t>finances publiques</w:t>
      </w:r>
      <w:r w:rsidR="00BF1561" w:rsidRPr="00584D7B">
        <w:rPr>
          <w:sz w:val="26"/>
          <w:szCs w:val="26"/>
        </w:rPr>
        <w:t xml:space="preserve">, la politique budgétaire devrait </w:t>
      </w:r>
      <w:r w:rsidRPr="00584D7B">
        <w:rPr>
          <w:sz w:val="26"/>
          <w:szCs w:val="26"/>
        </w:rPr>
        <w:t xml:space="preserve">continuer à être marquée par </w:t>
      </w:r>
      <w:r w:rsidR="00BF1561" w:rsidRPr="00584D7B">
        <w:rPr>
          <w:sz w:val="26"/>
          <w:szCs w:val="26"/>
        </w:rPr>
        <w:t>le</w:t>
      </w:r>
      <w:r w:rsidR="00E41D82" w:rsidRPr="00584D7B">
        <w:rPr>
          <w:sz w:val="26"/>
          <w:szCs w:val="26"/>
        </w:rPr>
        <w:t>s mesures de</w:t>
      </w:r>
      <w:r w:rsidR="00BF1561" w:rsidRPr="00584D7B">
        <w:rPr>
          <w:sz w:val="26"/>
          <w:szCs w:val="26"/>
        </w:rPr>
        <w:t xml:space="preserve"> redressement des équilibres macroéconomiques, à travers </w:t>
      </w:r>
      <w:r w:rsidR="00E41D82" w:rsidRPr="00584D7B">
        <w:rPr>
          <w:sz w:val="26"/>
          <w:szCs w:val="26"/>
        </w:rPr>
        <w:t xml:space="preserve">la maitrise </w:t>
      </w:r>
      <w:r w:rsidR="00BF1561" w:rsidRPr="00584D7B">
        <w:rPr>
          <w:sz w:val="26"/>
          <w:szCs w:val="26"/>
        </w:rPr>
        <w:t xml:space="preserve">des dépenses budgétaires et le renforcement de la collecte des recettes. Dans ces conditions, les opérations des dépenses et des recettes courantes du Trésor donneraient lieu à </w:t>
      </w:r>
      <w:r w:rsidR="00F31766" w:rsidRPr="00584D7B">
        <w:rPr>
          <w:sz w:val="26"/>
          <w:szCs w:val="26"/>
        </w:rPr>
        <w:t xml:space="preserve">un solde ordinaire excédentaire de </w:t>
      </w:r>
      <w:r w:rsidR="00BF1561" w:rsidRPr="00584D7B">
        <w:rPr>
          <w:sz w:val="26"/>
          <w:szCs w:val="26"/>
        </w:rPr>
        <w:t>2,2% du PIB en 2018. E</w:t>
      </w:r>
      <w:r w:rsidR="00397785" w:rsidRPr="00584D7B">
        <w:rPr>
          <w:sz w:val="26"/>
          <w:szCs w:val="26"/>
        </w:rPr>
        <w:t xml:space="preserve">n tenant compte </w:t>
      </w:r>
      <w:r w:rsidRPr="00584D7B">
        <w:rPr>
          <w:sz w:val="26"/>
          <w:szCs w:val="26"/>
        </w:rPr>
        <w:t xml:space="preserve">de </w:t>
      </w:r>
      <w:r w:rsidR="00397785" w:rsidRPr="00584D7B">
        <w:rPr>
          <w:sz w:val="26"/>
          <w:szCs w:val="26"/>
        </w:rPr>
        <w:t xml:space="preserve">l’augmentation </w:t>
      </w:r>
      <w:r w:rsidR="00BF1561" w:rsidRPr="00584D7B">
        <w:rPr>
          <w:sz w:val="26"/>
          <w:szCs w:val="26"/>
        </w:rPr>
        <w:t xml:space="preserve">des dépenses d’investissements </w:t>
      </w:r>
      <w:r w:rsidR="00E41D82" w:rsidRPr="00584D7B">
        <w:rPr>
          <w:sz w:val="26"/>
          <w:szCs w:val="26"/>
        </w:rPr>
        <w:t xml:space="preserve">à </w:t>
      </w:r>
      <w:r w:rsidR="00E41D82" w:rsidRPr="001E5FB8">
        <w:rPr>
          <w:sz w:val="26"/>
          <w:szCs w:val="26"/>
        </w:rPr>
        <w:t>6,1</w:t>
      </w:r>
      <w:r w:rsidR="00E41D82" w:rsidRPr="00584D7B">
        <w:rPr>
          <w:sz w:val="26"/>
          <w:szCs w:val="26"/>
        </w:rPr>
        <w:t xml:space="preserve">% </w:t>
      </w:r>
      <w:r w:rsidR="00BF1561" w:rsidRPr="00584D7B">
        <w:rPr>
          <w:sz w:val="26"/>
          <w:szCs w:val="26"/>
        </w:rPr>
        <w:t>du PIB</w:t>
      </w:r>
      <w:r w:rsidR="00E41D82" w:rsidRPr="00584D7B">
        <w:rPr>
          <w:sz w:val="26"/>
          <w:szCs w:val="26"/>
        </w:rPr>
        <w:t>,</w:t>
      </w:r>
      <w:r w:rsidR="00BF1561" w:rsidRPr="00584D7B">
        <w:rPr>
          <w:sz w:val="26"/>
          <w:szCs w:val="26"/>
        </w:rPr>
        <w:t xml:space="preserve"> le déficit budgétaire devrait se stabiliser à 3,5% du PIB en 2018.</w:t>
      </w:r>
    </w:p>
    <w:p w:rsidR="00BF1561" w:rsidRPr="00E76B83" w:rsidRDefault="00BF1561" w:rsidP="008C1DB3">
      <w:pPr>
        <w:spacing w:line="276" w:lineRule="auto"/>
        <w:jc w:val="both"/>
        <w:rPr>
          <w:sz w:val="20"/>
          <w:szCs w:val="20"/>
        </w:rPr>
      </w:pPr>
    </w:p>
    <w:p w:rsidR="00BF1561" w:rsidRPr="00584D7B" w:rsidRDefault="004D3625" w:rsidP="00C046BE">
      <w:pPr>
        <w:spacing w:line="276" w:lineRule="auto"/>
        <w:jc w:val="both"/>
        <w:rPr>
          <w:sz w:val="26"/>
          <w:szCs w:val="26"/>
        </w:rPr>
      </w:pPr>
      <w:r w:rsidRPr="00584D7B">
        <w:rPr>
          <w:sz w:val="26"/>
          <w:szCs w:val="26"/>
        </w:rPr>
        <w:t xml:space="preserve">Le </w:t>
      </w:r>
      <w:r w:rsidR="00BF1561" w:rsidRPr="00584D7B">
        <w:rPr>
          <w:sz w:val="26"/>
          <w:szCs w:val="26"/>
        </w:rPr>
        <w:t xml:space="preserve">recours </w:t>
      </w:r>
      <w:r w:rsidRPr="00584D7B">
        <w:rPr>
          <w:sz w:val="26"/>
          <w:szCs w:val="26"/>
        </w:rPr>
        <w:t xml:space="preserve">de l’Etat </w:t>
      </w:r>
      <w:r w:rsidR="00BF1561" w:rsidRPr="00584D7B">
        <w:rPr>
          <w:sz w:val="26"/>
          <w:szCs w:val="26"/>
        </w:rPr>
        <w:t>à l’emprunt inte</w:t>
      </w:r>
      <w:r w:rsidRPr="00584D7B">
        <w:rPr>
          <w:sz w:val="26"/>
          <w:szCs w:val="26"/>
        </w:rPr>
        <w:t>rne et externe se traduirait par le maintien du t</w:t>
      </w:r>
      <w:r w:rsidR="00BF1561" w:rsidRPr="00584D7B">
        <w:rPr>
          <w:sz w:val="26"/>
          <w:szCs w:val="26"/>
        </w:rPr>
        <w:t xml:space="preserve">aux </w:t>
      </w:r>
      <w:r w:rsidRPr="00584D7B">
        <w:rPr>
          <w:sz w:val="26"/>
          <w:szCs w:val="26"/>
        </w:rPr>
        <w:t>d’endettement du Trésor à 65% du PIB. L</w:t>
      </w:r>
      <w:r w:rsidR="00BF1561" w:rsidRPr="00584D7B">
        <w:rPr>
          <w:sz w:val="26"/>
          <w:szCs w:val="26"/>
        </w:rPr>
        <w:t xml:space="preserve">a dette extérieure garantie </w:t>
      </w:r>
      <w:r w:rsidRPr="00584D7B">
        <w:rPr>
          <w:sz w:val="26"/>
          <w:szCs w:val="26"/>
        </w:rPr>
        <w:t xml:space="preserve">devait se situer </w:t>
      </w:r>
      <w:r w:rsidR="00BF1561" w:rsidRPr="00584D7B">
        <w:rPr>
          <w:sz w:val="26"/>
          <w:szCs w:val="26"/>
        </w:rPr>
        <w:t>à 17</w:t>
      </w:r>
      <w:r w:rsidR="00C54F75" w:rsidRPr="00584D7B">
        <w:rPr>
          <w:sz w:val="26"/>
          <w:szCs w:val="26"/>
        </w:rPr>
        <w:t>,2</w:t>
      </w:r>
      <w:r w:rsidR="00BF1561" w:rsidRPr="00584D7B">
        <w:rPr>
          <w:sz w:val="26"/>
          <w:szCs w:val="26"/>
        </w:rPr>
        <w:t xml:space="preserve">% du PIB </w:t>
      </w:r>
      <w:r w:rsidRPr="00584D7B">
        <w:rPr>
          <w:sz w:val="26"/>
          <w:szCs w:val="26"/>
        </w:rPr>
        <w:t xml:space="preserve">et </w:t>
      </w:r>
      <w:r w:rsidR="00BF1561" w:rsidRPr="00584D7B">
        <w:rPr>
          <w:sz w:val="26"/>
          <w:szCs w:val="26"/>
        </w:rPr>
        <w:t>la dette publique globale atteindr</w:t>
      </w:r>
      <w:r w:rsidRPr="00584D7B">
        <w:rPr>
          <w:sz w:val="26"/>
          <w:szCs w:val="26"/>
        </w:rPr>
        <w:t>ait</w:t>
      </w:r>
      <w:r w:rsidR="00BF1561" w:rsidRPr="00584D7B">
        <w:rPr>
          <w:sz w:val="26"/>
          <w:szCs w:val="26"/>
        </w:rPr>
        <w:t xml:space="preserve"> 82,</w:t>
      </w:r>
      <w:r w:rsidR="00C046BE">
        <w:rPr>
          <w:sz w:val="26"/>
          <w:szCs w:val="26"/>
        </w:rPr>
        <w:t>3</w:t>
      </w:r>
      <w:r w:rsidR="00BF1561" w:rsidRPr="00584D7B">
        <w:rPr>
          <w:sz w:val="26"/>
          <w:szCs w:val="26"/>
        </w:rPr>
        <w:t>% au lieu de 81,6% pour 2017.</w:t>
      </w:r>
    </w:p>
    <w:p w:rsidR="004D3625" w:rsidRPr="00584D7B" w:rsidRDefault="004D3625" w:rsidP="008C1DB3">
      <w:pPr>
        <w:spacing w:line="276" w:lineRule="auto"/>
        <w:jc w:val="both"/>
        <w:rPr>
          <w:sz w:val="26"/>
          <w:szCs w:val="26"/>
        </w:rPr>
      </w:pPr>
    </w:p>
    <w:p w:rsidR="004D3625" w:rsidRPr="0042250A" w:rsidRDefault="004D3625" w:rsidP="001E5FB8">
      <w:pPr>
        <w:spacing w:line="276" w:lineRule="auto"/>
        <w:jc w:val="both"/>
        <w:rPr>
          <w:sz w:val="26"/>
          <w:szCs w:val="26"/>
        </w:rPr>
      </w:pPr>
      <w:r w:rsidRPr="0042250A">
        <w:rPr>
          <w:b/>
          <w:sz w:val="26"/>
          <w:szCs w:val="26"/>
        </w:rPr>
        <w:t>Les finances extérieures</w:t>
      </w:r>
      <w:r w:rsidRPr="0042250A">
        <w:rPr>
          <w:sz w:val="26"/>
          <w:szCs w:val="26"/>
        </w:rPr>
        <w:t xml:space="preserve"> seraient marquées par une accentuation du déficit en ressources à </w:t>
      </w:r>
      <w:r w:rsidR="001E5FB8" w:rsidRPr="0042250A">
        <w:rPr>
          <w:sz w:val="26"/>
          <w:szCs w:val="26"/>
        </w:rPr>
        <w:t>12</w:t>
      </w:r>
      <w:r w:rsidRPr="0042250A">
        <w:rPr>
          <w:sz w:val="26"/>
          <w:szCs w:val="26"/>
        </w:rPr>
        <w:t>% du PIB en 2018 au lieu de 11,</w:t>
      </w:r>
      <w:r w:rsidR="001E5FB8" w:rsidRPr="0042250A">
        <w:rPr>
          <w:sz w:val="26"/>
          <w:szCs w:val="26"/>
        </w:rPr>
        <w:t>7</w:t>
      </w:r>
      <w:r w:rsidRPr="0042250A">
        <w:rPr>
          <w:sz w:val="26"/>
          <w:szCs w:val="26"/>
        </w:rPr>
        <w:t>% en 2017. Les exportations des biens et services aux prix courants devraient enregistrer une hausse de 6,</w:t>
      </w:r>
      <w:r w:rsidR="001E5FB8" w:rsidRPr="0042250A">
        <w:rPr>
          <w:sz w:val="26"/>
          <w:szCs w:val="26"/>
        </w:rPr>
        <w:t>9</w:t>
      </w:r>
      <w:r w:rsidRPr="0042250A">
        <w:rPr>
          <w:sz w:val="26"/>
          <w:szCs w:val="26"/>
        </w:rPr>
        <w:t>%, alors que les importations connaitraient une progression de 6,8%, sous l’effet de la poursuite de la hausse des prix des matières premières. Avec des transferts courants nets représentant 7,1% du PIB, le déficit</w:t>
      </w:r>
      <w:r w:rsidR="001255F0" w:rsidRPr="0042250A">
        <w:rPr>
          <w:sz w:val="26"/>
          <w:szCs w:val="26"/>
        </w:rPr>
        <w:t xml:space="preserve"> du compte courant</w:t>
      </w:r>
      <w:r w:rsidRPr="0042250A">
        <w:rPr>
          <w:sz w:val="26"/>
          <w:szCs w:val="26"/>
        </w:rPr>
        <w:t xml:space="preserve"> de la balance des paiements s’accentuerait à 4,8% du PIB au lieu de 4,4% en 2017.</w:t>
      </w:r>
    </w:p>
    <w:p w:rsidR="004D3625" w:rsidRPr="0042250A" w:rsidRDefault="004D3625" w:rsidP="008C1DB3">
      <w:pPr>
        <w:spacing w:line="276" w:lineRule="auto"/>
        <w:jc w:val="both"/>
        <w:rPr>
          <w:sz w:val="20"/>
          <w:szCs w:val="20"/>
        </w:rPr>
      </w:pPr>
    </w:p>
    <w:p w:rsidR="005610D6" w:rsidRPr="0042250A" w:rsidRDefault="004D3625" w:rsidP="0042250A">
      <w:pPr>
        <w:spacing w:line="276" w:lineRule="auto"/>
        <w:jc w:val="both"/>
        <w:rPr>
          <w:sz w:val="26"/>
          <w:szCs w:val="26"/>
        </w:rPr>
      </w:pPr>
      <w:r w:rsidRPr="0042250A">
        <w:rPr>
          <w:sz w:val="26"/>
          <w:szCs w:val="26"/>
        </w:rPr>
        <w:t xml:space="preserve">Au plan du </w:t>
      </w:r>
      <w:r w:rsidRPr="0042250A">
        <w:rPr>
          <w:b/>
          <w:sz w:val="26"/>
          <w:szCs w:val="26"/>
        </w:rPr>
        <w:t>financement monétaire</w:t>
      </w:r>
      <w:r w:rsidRPr="0042250A">
        <w:rPr>
          <w:sz w:val="26"/>
          <w:szCs w:val="26"/>
        </w:rPr>
        <w:t xml:space="preserve">, avec le maintien des </w:t>
      </w:r>
      <w:r w:rsidR="005610D6" w:rsidRPr="0042250A">
        <w:rPr>
          <w:sz w:val="26"/>
          <w:szCs w:val="26"/>
        </w:rPr>
        <w:t xml:space="preserve">réserves à </w:t>
      </w:r>
      <w:r w:rsidR="0042250A">
        <w:rPr>
          <w:sz w:val="26"/>
          <w:szCs w:val="26"/>
        </w:rPr>
        <w:t>4</w:t>
      </w:r>
      <w:r w:rsidR="005610D6" w:rsidRPr="0042250A">
        <w:rPr>
          <w:sz w:val="26"/>
          <w:szCs w:val="26"/>
        </w:rPr>
        <w:t>,</w:t>
      </w:r>
      <w:r w:rsidR="0042250A">
        <w:rPr>
          <w:sz w:val="26"/>
          <w:szCs w:val="26"/>
        </w:rPr>
        <w:t>9</w:t>
      </w:r>
      <w:r w:rsidR="005610D6" w:rsidRPr="0042250A">
        <w:rPr>
          <w:sz w:val="26"/>
          <w:szCs w:val="26"/>
        </w:rPr>
        <w:t xml:space="preserve"> mois d’importations et en prenant en considération, les perspectives de croissance économique et d’évolution du niveau général des prix, la masse monétaire devrait s’accroitre de près de </w:t>
      </w:r>
      <w:r w:rsidR="0042250A">
        <w:rPr>
          <w:sz w:val="26"/>
          <w:szCs w:val="26"/>
        </w:rPr>
        <w:t>5</w:t>
      </w:r>
      <w:r w:rsidR="005610D6" w:rsidRPr="0042250A">
        <w:rPr>
          <w:sz w:val="26"/>
          <w:szCs w:val="26"/>
        </w:rPr>
        <w:t>,</w:t>
      </w:r>
      <w:r w:rsidR="0042250A">
        <w:rPr>
          <w:sz w:val="26"/>
          <w:szCs w:val="26"/>
        </w:rPr>
        <w:t>1</w:t>
      </w:r>
      <w:r w:rsidR="005610D6" w:rsidRPr="0042250A">
        <w:rPr>
          <w:sz w:val="26"/>
          <w:szCs w:val="26"/>
        </w:rPr>
        <w:t>% au lieu de 6,</w:t>
      </w:r>
      <w:r w:rsidR="0042250A">
        <w:rPr>
          <w:sz w:val="26"/>
          <w:szCs w:val="26"/>
        </w:rPr>
        <w:t>3</w:t>
      </w:r>
      <w:r w:rsidR="005610D6" w:rsidRPr="0042250A">
        <w:rPr>
          <w:sz w:val="26"/>
          <w:szCs w:val="26"/>
        </w:rPr>
        <w:t xml:space="preserve">% en 2017 et de 5,4% en moyenne annuelle durant la période 2010-2016. </w:t>
      </w:r>
    </w:p>
    <w:p w:rsidR="00BF1561" w:rsidRPr="0042250A" w:rsidRDefault="00BF1561" w:rsidP="008C1DB3">
      <w:pPr>
        <w:spacing w:line="276" w:lineRule="auto"/>
        <w:jc w:val="both"/>
        <w:rPr>
          <w:sz w:val="20"/>
          <w:szCs w:val="20"/>
        </w:rPr>
      </w:pPr>
    </w:p>
    <w:p w:rsidR="005610D6" w:rsidRPr="00584D7B" w:rsidRDefault="005610D6" w:rsidP="00E36C3E">
      <w:pPr>
        <w:spacing w:line="276" w:lineRule="auto"/>
        <w:jc w:val="both"/>
        <w:rPr>
          <w:sz w:val="26"/>
          <w:szCs w:val="26"/>
        </w:rPr>
      </w:pPr>
      <w:r w:rsidRPr="0042250A">
        <w:rPr>
          <w:sz w:val="26"/>
          <w:szCs w:val="26"/>
        </w:rPr>
        <w:t>Dans l’ensemble, l’année 2018 connaitrait une légère baisse de l’épargne intérieure de 23,1% du PIB en 2017 à 22,7%. L’amélioration des revenus nets en provenance du reste du monde de</w:t>
      </w:r>
      <w:r w:rsidR="00E36C3E">
        <w:rPr>
          <w:sz w:val="26"/>
          <w:szCs w:val="26"/>
        </w:rPr>
        <w:t xml:space="preserve"> 4,</w:t>
      </w:r>
      <w:r w:rsidRPr="0042250A">
        <w:rPr>
          <w:sz w:val="26"/>
          <w:szCs w:val="26"/>
        </w:rPr>
        <w:t>3%</w:t>
      </w:r>
      <w:r w:rsidR="008414B4" w:rsidRPr="0042250A">
        <w:rPr>
          <w:sz w:val="26"/>
          <w:szCs w:val="26"/>
        </w:rPr>
        <w:t>,</w:t>
      </w:r>
      <w:r w:rsidRPr="0042250A">
        <w:rPr>
          <w:sz w:val="26"/>
          <w:szCs w:val="26"/>
        </w:rPr>
        <w:t xml:space="preserve"> pour se maintenir à 5,</w:t>
      </w:r>
      <w:r w:rsidR="00E36C3E">
        <w:rPr>
          <w:sz w:val="26"/>
          <w:szCs w:val="26"/>
        </w:rPr>
        <w:t>9</w:t>
      </w:r>
      <w:r w:rsidRPr="0042250A">
        <w:rPr>
          <w:sz w:val="26"/>
          <w:szCs w:val="26"/>
        </w:rPr>
        <w:t>% du PIB</w:t>
      </w:r>
      <w:r w:rsidR="008414B4" w:rsidRPr="0042250A">
        <w:rPr>
          <w:sz w:val="26"/>
          <w:szCs w:val="26"/>
        </w:rPr>
        <w:t xml:space="preserve"> en 2018</w:t>
      </w:r>
      <w:r w:rsidRPr="0042250A">
        <w:rPr>
          <w:sz w:val="26"/>
          <w:szCs w:val="26"/>
        </w:rPr>
        <w:t xml:space="preserve">, serait </w:t>
      </w:r>
      <w:r w:rsidR="00D4393F" w:rsidRPr="0042250A">
        <w:rPr>
          <w:sz w:val="26"/>
          <w:szCs w:val="26"/>
        </w:rPr>
        <w:t>insuffisante</w:t>
      </w:r>
      <w:r w:rsidRPr="0042250A">
        <w:rPr>
          <w:sz w:val="26"/>
          <w:szCs w:val="26"/>
        </w:rPr>
        <w:t xml:space="preserve"> pour atténuer </w:t>
      </w:r>
      <w:r w:rsidR="008414B4" w:rsidRPr="0042250A">
        <w:rPr>
          <w:sz w:val="26"/>
          <w:szCs w:val="26"/>
        </w:rPr>
        <w:t xml:space="preserve">cette </w:t>
      </w:r>
      <w:r w:rsidRPr="0042250A">
        <w:rPr>
          <w:sz w:val="26"/>
          <w:szCs w:val="26"/>
        </w:rPr>
        <w:t>baisse de l’épargne intérieure. L’épargne nationale se</w:t>
      </w:r>
      <w:r w:rsidR="008414B4" w:rsidRPr="0042250A">
        <w:rPr>
          <w:sz w:val="26"/>
          <w:szCs w:val="26"/>
        </w:rPr>
        <w:t xml:space="preserve"> situerait </w:t>
      </w:r>
      <w:r w:rsidRPr="0042250A">
        <w:rPr>
          <w:sz w:val="26"/>
          <w:szCs w:val="26"/>
        </w:rPr>
        <w:t xml:space="preserve">ainsi </w:t>
      </w:r>
      <w:r w:rsidR="00D4393F" w:rsidRPr="0042250A">
        <w:rPr>
          <w:sz w:val="26"/>
          <w:szCs w:val="26"/>
        </w:rPr>
        <w:t>à 28,</w:t>
      </w:r>
      <w:r w:rsidR="00E36C3E">
        <w:rPr>
          <w:sz w:val="26"/>
          <w:szCs w:val="26"/>
        </w:rPr>
        <w:t>4</w:t>
      </w:r>
      <w:r w:rsidR="00D4393F" w:rsidRPr="0042250A">
        <w:rPr>
          <w:sz w:val="26"/>
          <w:szCs w:val="26"/>
        </w:rPr>
        <w:t>% du PIB en 2018 au lieu de 28,9% une année auparavant. A</w:t>
      </w:r>
      <w:r w:rsidRPr="0042250A">
        <w:rPr>
          <w:sz w:val="26"/>
          <w:szCs w:val="26"/>
        </w:rPr>
        <w:t xml:space="preserve">vec le maintien de l’investissement brut à 33,2% du PIB, </w:t>
      </w:r>
      <w:r w:rsidRPr="0042250A">
        <w:rPr>
          <w:b/>
          <w:sz w:val="26"/>
          <w:szCs w:val="26"/>
        </w:rPr>
        <w:t>le financement de l’économie</w:t>
      </w:r>
      <w:r w:rsidRPr="0042250A">
        <w:rPr>
          <w:sz w:val="26"/>
          <w:szCs w:val="26"/>
        </w:rPr>
        <w:t xml:space="preserve"> serait marqué par une accentuation de son déficit à 4,8% du PIB en 2018.</w:t>
      </w:r>
      <w:r w:rsidRPr="00584D7B">
        <w:rPr>
          <w:sz w:val="26"/>
          <w:szCs w:val="26"/>
        </w:rPr>
        <w:t xml:space="preserve"> </w:t>
      </w:r>
    </w:p>
    <w:p w:rsidR="005610D6" w:rsidRPr="00584D7B" w:rsidRDefault="005610D6" w:rsidP="00BC6D26">
      <w:pPr>
        <w:rPr>
          <w:sz w:val="26"/>
          <w:szCs w:val="26"/>
        </w:rPr>
      </w:pPr>
    </w:p>
    <w:p w:rsidR="00BC6D26" w:rsidRDefault="00BC6D26" w:rsidP="00BC6D26">
      <w:pPr>
        <w:rPr>
          <w:sz w:val="24"/>
          <w:szCs w:val="24"/>
        </w:rPr>
      </w:pPr>
    </w:p>
    <w:p w:rsidR="00BC6D26" w:rsidRDefault="00BC6D26" w:rsidP="00BC6D26">
      <w:pPr>
        <w:rPr>
          <w:sz w:val="24"/>
          <w:szCs w:val="24"/>
        </w:rPr>
      </w:pPr>
    </w:p>
    <w:p w:rsidR="00BC6D26" w:rsidRDefault="00BC6D26" w:rsidP="00BC6D26">
      <w:pPr>
        <w:rPr>
          <w:sz w:val="24"/>
          <w:szCs w:val="24"/>
        </w:rPr>
      </w:pPr>
    </w:p>
    <w:p w:rsidR="00BC6D26" w:rsidRDefault="00BC6D26" w:rsidP="00BC6D26">
      <w:pPr>
        <w:rPr>
          <w:sz w:val="24"/>
          <w:szCs w:val="24"/>
        </w:rPr>
      </w:pPr>
    </w:p>
    <w:p w:rsidR="00E3039B" w:rsidRPr="00BC6D26" w:rsidRDefault="00E3039B" w:rsidP="00BC6D26">
      <w:pPr>
        <w:rPr>
          <w:rFonts w:eastAsiaTheme="majorEastAsia"/>
          <w:b/>
          <w:i/>
          <w:iCs/>
          <w:color w:val="0070C0"/>
          <w:sz w:val="24"/>
          <w:szCs w:val="24"/>
          <w:u w:val="single"/>
        </w:rPr>
      </w:pPr>
    </w:p>
    <w:p w:rsidR="00271B17" w:rsidRPr="00E76B83" w:rsidRDefault="00271B17" w:rsidP="00BC6D26">
      <w:pPr>
        <w:rPr>
          <w:rFonts w:eastAsiaTheme="majorEastAsia"/>
          <w:b/>
          <w:color w:val="0070C0"/>
          <w:sz w:val="30"/>
          <w:szCs w:val="30"/>
          <w:u w:val="single"/>
        </w:rPr>
      </w:pPr>
      <w:r w:rsidRPr="00E76B83">
        <w:rPr>
          <w:rFonts w:eastAsiaTheme="majorEastAsia"/>
          <w:b/>
          <w:color w:val="0070C0"/>
          <w:sz w:val="30"/>
          <w:szCs w:val="30"/>
          <w:u w:val="single"/>
        </w:rPr>
        <w:lastRenderedPageBreak/>
        <w:t>Conclusion</w:t>
      </w:r>
    </w:p>
    <w:p w:rsidR="00271B17" w:rsidRPr="00BC6D26" w:rsidRDefault="00271B17" w:rsidP="00BC6D26">
      <w:pPr>
        <w:rPr>
          <w:sz w:val="24"/>
          <w:szCs w:val="24"/>
        </w:rPr>
      </w:pPr>
    </w:p>
    <w:p w:rsidR="00457A08" w:rsidRPr="00BC6D26" w:rsidRDefault="00271B17" w:rsidP="00E76B83">
      <w:pPr>
        <w:spacing w:line="276" w:lineRule="auto"/>
        <w:jc w:val="both"/>
        <w:rPr>
          <w:sz w:val="24"/>
          <w:szCs w:val="24"/>
        </w:rPr>
      </w:pPr>
      <w:r w:rsidRPr="00BC6D26">
        <w:rPr>
          <w:sz w:val="24"/>
          <w:szCs w:val="24"/>
        </w:rPr>
        <w:t xml:space="preserve">Les perspectives de l’évolution de l’économie nationale s’inscrivent dans une tendance de ralentissement et de fluctuation du rythme de croissance. Certes, la fluctuation provient de celle de la valeur ajoutée agricole, mais celle-ci se maintient néanmoins sur un sentier de croissance élevé de l’ordre de 6,4% en moyenne annuelle depuis 2008 et 5,8% sur les cinq dernières années.  </w:t>
      </w:r>
    </w:p>
    <w:p w:rsidR="00457A08" w:rsidRPr="00BC6D26" w:rsidRDefault="00457A08" w:rsidP="00E76B83">
      <w:pPr>
        <w:spacing w:line="276" w:lineRule="auto"/>
        <w:jc w:val="both"/>
        <w:rPr>
          <w:sz w:val="24"/>
          <w:szCs w:val="24"/>
        </w:rPr>
      </w:pPr>
    </w:p>
    <w:p w:rsidR="00457A08" w:rsidRPr="00BC6D26" w:rsidRDefault="00271B17" w:rsidP="00E76B83">
      <w:pPr>
        <w:spacing w:line="276" w:lineRule="auto"/>
        <w:jc w:val="both"/>
        <w:rPr>
          <w:sz w:val="24"/>
          <w:szCs w:val="24"/>
        </w:rPr>
      </w:pPr>
      <w:r w:rsidRPr="00BC6D26">
        <w:rPr>
          <w:sz w:val="24"/>
          <w:szCs w:val="24"/>
        </w:rPr>
        <w:t xml:space="preserve">En fait, le ralentissement de la croissance économique nationale est le résultat des faibles performances des activités non agricoles. Celles-ci ont connu une croissance en ralentissement à 2,2% par an depuis 2013 au lieu de 4,2% durant la période 2008-2012. La demande domestique qui a constitué le moteur de la croissance des activités non agricoles est également en ralentissement  à 3,2% par an ces cinq dernières années au lieu de 5,3% entre 2008 et 2012. </w:t>
      </w:r>
    </w:p>
    <w:p w:rsidR="00457A08" w:rsidRPr="00BC6D26" w:rsidRDefault="00457A08" w:rsidP="00E76B83">
      <w:pPr>
        <w:spacing w:line="276" w:lineRule="auto"/>
        <w:jc w:val="both"/>
        <w:rPr>
          <w:sz w:val="24"/>
          <w:szCs w:val="24"/>
        </w:rPr>
      </w:pPr>
    </w:p>
    <w:p w:rsidR="00271B17" w:rsidRPr="00BC6D26" w:rsidRDefault="00457A08" w:rsidP="00E76B83">
      <w:pPr>
        <w:spacing w:line="276" w:lineRule="auto"/>
        <w:jc w:val="both"/>
        <w:rPr>
          <w:sz w:val="24"/>
          <w:szCs w:val="24"/>
        </w:rPr>
      </w:pPr>
      <w:r w:rsidRPr="00BC6D26">
        <w:rPr>
          <w:sz w:val="24"/>
          <w:szCs w:val="24"/>
        </w:rPr>
        <w:t>Toutefois</w:t>
      </w:r>
      <w:r w:rsidR="00271B17" w:rsidRPr="00BC6D26">
        <w:rPr>
          <w:sz w:val="24"/>
          <w:szCs w:val="24"/>
        </w:rPr>
        <w:t xml:space="preserve">, la demande mondiale adressée au Maroc est </w:t>
      </w:r>
      <w:r w:rsidRPr="00BC6D26">
        <w:rPr>
          <w:sz w:val="24"/>
          <w:szCs w:val="24"/>
        </w:rPr>
        <w:t xml:space="preserve">en </w:t>
      </w:r>
      <w:r w:rsidR="00271B17" w:rsidRPr="00BC6D26">
        <w:rPr>
          <w:sz w:val="24"/>
          <w:szCs w:val="24"/>
        </w:rPr>
        <w:t>amélior</w:t>
      </w:r>
      <w:r w:rsidRPr="00BC6D26">
        <w:rPr>
          <w:sz w:val="24"/>
          <w:szCs w:val="24"/>
        </w:rPr>
        <w:t>ation ces dernières années,</w:t>
      </w:r>
      <w:r w:rsidR="00271B17" w:rsidRPr="00BC6D26">
        <w:rPr>
          <w:sz w:val="24"/>
          <w:szCs w:val="24"/>
        </w:rPr>
        <w:t xml:space="preserve"> profitant aux exportations marocaines qui ont enregistré un rythme de croissance de 5,6% par an </w:t>
      </w:r>
      <w:r w:rsidR="006875E7" w:rsidRPr="00BC6D26">
        <w:rPr>
          <w:sz w:val="24"/>
          <w:szCs w:val="24"/>
        </w:rPr>
        <w:t xml:space="preserve">entre 2013 et 2017 </w:t>
      </w:r>
      <w:r w:rsidR="00271B17" w:rsidRPr="00BC6D26">
        <w:rPr>
          <w:sz w:val="24"/>
          <w:szCs w:val="24"/>
        </w:rPr>
        <w:t xml:space="preserve">au lieu de 4,2% </w:t>
      </w:r>
      <w:r w:rsidR="006875E7" w:rsidRPr="00BC6D26">
        <w:rPr>
          <w:sz w:val="24"/>
          <w:szCs w:val="24"/>
        </w:rPr>
        <w:t>durant la période 2008-2012</w:t>
      </w:r>
      <w:r w:rsidR="00271B17" w:rsidRPr="00BC6D26">
        <w:rPr>
          <w:sz w:val="24"/>
          <w:szCs w:val="24"/>
        </w:rPr>
        <w:t xml:space="preserve">. Les performances des exportations devaient logiquement atténuer l’effet du ralentissement de la contribution de la demande domestique à la croissance. Chose qui n’a pas été observée, soulevant ainsi des interrogations sur la nature de l’offre exportable susceptibles de dynamiser les structures de production nationale et également </w:t>
      </w:r>
      <w:r w:rsidRPr="00BC6D26">
        <w:rPr>
          <w:sz w:val="24"/>
          <w:szCs w:val="24"/>
        </w:rPr>
        <w:t>d’</w:t>
      </w:r>
      <w:r w:rsidR="00271B17" w:rsidRPr="00BC6D26">
        <w:rPr>
          <w:sz w:val="24"/>
          <w:szCs w:val="24"/>
        </w:rPr>
        <w:t>assurer un financement endogène pour la soutenabilité de la demande intérieure.</w:t>
      </w:r>
    </w:p>
    <w:p w:rsidR="00271B17" w:rsidRPr="00BC6D26" w:rsidRDefault="00271B17" w:rsidP="00E76B83">
      <w:pPr>
        <w:spacing w:line="276" w:lineRule="auto"/>
        <w:jc w:val="both"/>
        <w:rPr>
          <w:sz w:val="24"/>
          <w:szCs w:val="24"/>
        </w:rPr>
      </w:pPr>
    </w:p>
    <w:p w:rsidR="00457A08" w:rsidRPr="00BC6D26" w:rsidRDefault="00457A08" w:rsidP="00E76B83">
      <w:pPr>
        <w:spacing w:line="276" w:lineRule="auto"/>
        <w:jc w:val="both"/>
        <w:rPr>
          <w:sz w:val="24"/>
          <w:szCs w:val="24"/>
        </w:rPr>
      </w:pPr>
      <w:r w:rsidRPr="00BC6D26">
        <w:rPr>
          <w:sz w:val="24"/>
          <w:szCs w:val="24"/>
        </w:rPr>
        <w:t xml:space="preserve">Les perspectives montrent, </w:t>
      </w:r>
      <w:r w:rsidR="006875E7" w:rsidRPr="00BC6D26">
        <w:rPr>
          <w:sz w:val="24"/>
          <w:szCs w:val="24"/>
        </w:rPr>
        <w:t>par ailleurs</w:t>
      </w:r>
      <w:r w:rsidRPr="00BC6D26">
        <w:rPr>
          <w:sz w:val="24"/>
          <w:szCs w:val="24"/>
        </w:rPr>
        <w:t>, la poursuite d</w:t>
      </w:r>
      <w:r w:rsidR="006875E7" w:rsidRPr="00BC6D26">
        <w:rPr>
          <w:sz w:val="24"/>
          <w:szCs w:val="24"/>
        </w:rPr>
        <w:t xml:space="preserve">u </w:t>
      </w:r>
      <w:r w:rsidRPr="00BC6D26">
        <w:rPr>
          <w:sz w:val="24"/>
          <w:szCs w:val="24"/>
        </w:rPr>
        <w:t xml:space="preserve">rétablissement des équilibres macroéconomiques, notamment le déficit des finances publiques. Cependant, </w:t>
      </w:r>
      <w:r w:rsidR="006875E7" w:rsidRPr="00BC6D26">
        <w:rPr>
          <w:sz w:val="24"/>
          <w:szCs w:val="24"/>
        </w:rPr>
        <w:t>cette</w:t>
      </w:r>
      <w:r w:rsidR="00271B17" w:rsidRPr="00BC6D26">
        <w:rPr>
          <w:sz w:val="24"/>
          <w:szCs w:val="24"/>
        </w:rPr>
        <w:t xml:space="preserve"> maitrise des équil</w:t>
      </w:r>
      <w:r w:rsidRPr="00BC6D26">
        <w:rPr>
          <w:sz w:val="24"/>
          <w:szCs w:val="24"/>
        </w:rPr>
        <w:t>ibres macroéconomiques ne devrait pas occulter</w:t>
      </w:r>
      <w:r w:rsidR="00271B17" w:rsidRPr="00BC6D26">
        <w:rPr>
          <w:sz w:val="24"/>
          <w:szCs w:val="24"/>
        </w:rPr>
        <w:t xml:space="preserve"> les déséquilibres structurels qui caractérisent l’économie nationale. Même avec le ralentissement de la demande intérieure et par conséquent des importations, l’amélioration que connait les exportations n’a pas permis d’atténuer le déficit de la balance commerciale qui absorbe une part importante de notre stock en devises étrangères. Le dynamisme que connaissent les exportations ne dev</w:t>
      </w:r>
      <w:r w:rsidR="006875E7" w:rsidRPr="00BC6D26">
        <w:rPr>
          <w:sz w:val="24"/>
          <w:szCs w:val="24"/>
        </w:rPr>
        <w:t>r</w:t>
      </w:r>
      <w:r w:rsidR="00271B17" w:rsidRPr="00BC6D26">
        <w:rPr>
          <w:sz w:val="24"/>
          <w:szCs w:val="24"/>
        </w:rPr>
        <w:t>ait pas également cacher la faible compétitivité du tissu productif national, notamment sur le marché domestique marqué par une forte pénétration des importations. Le taux de pénétration observé au Maroc, de l’ordre de 41%, dépasse largement celui des pays émerge</w:t>
      </w:r>
      <w:r w:rsidRPr="00BC6D26">
        <w:rPr>
          <w:sz w:val="24"/>
          <w:szCs w:val="24"/>
        </w:rPr>
        <w:t>nts se situant en moyenne à 25%.</w:t>
      </w:r>
    </w:p>
    <w:p w:rsidR="004B72AF" w:rsidRPr="00BC6D26" w:rsidRDefault="004B72AF" w:rsidP="00BC6D26">
      <w:pPr>
        <w:rPr>
          <w:sz w:val="24"/>
          <w:szCs w:val="24"/>
        </w:rPr>
      </w:pPr>
    </w:p>
    <w:p w:rsidR="004B72AF" w:rsidRPr="00BC6D26" w:rsidRDefault="004B72AF" w:rsidP="00BC6D26">
      <w:pPr>
        <w:rPr>
          <w:sz w:val="24"/>
          <w:szCs w:val="24"/>
        </w:rPr>
      </w:pPr>
    </w:p>
    <w:p w:rsidR="004B72AF" w:rsidRPr="00BC6D26" w:rsidRDefault="004B72AF" w:rsidP="00BC6D26">
      <w:pPr>
        <w:rPr>
          <w:sz w:val="24"/>
          <w:szCs w:val="24"/>
        </w:rPr>
      </w:pPr>
    </w:p>
    <w:p w:rsidR="004B72AF" w:rsidRPr="00BC6D26" w:rsidRDefault="004B72AF" w:rsidP="00BC6D26">
      <w:pPr>
        <w:rPr>
          <w:sz w:val="24"/>
          <w:szCs w:val="24"/>
        </w:rPr>
      </w:pPr>
    </w:p>
    <w:p w:rsidR="004B72AF" w:rsidRPr="00BC6D26" w:rsidRDefault="004B72AF" w:rsidP="00BC6D26">
      <w:pPr>
        <w:rPr>
          <w:sz w:val="24"/>
          <w:szCs w:val="24"/>
        </w:rPr>
      </w:pPr>
    </w:p>
    <w:p w:rsidR="004B72AF" w:rsidRPr="00BC6D26" w:rsidRDefault="004B72AF" w:rsidP="00BC6D26">
      <w:pPr>
        <w:ind w:firstLine="0"/>
        <w:rPr>
          <w:sz w:val="24"/>
          <w:szCs w:val="24"/>
        </w:rPr>
      </w:pPr>
      <w:r w:rsidRPr="00BC6D26">
        <w:rPr>
          <w:sz w:val="24"/>
          <w:szCs w:val="24"/>
        </w:rPr>
        <w:br w:type="page"/>
      </w:r>
    </w:p>
    <w:p w:rsidR="004F4374" w:rsidRPr="00CC31AA" w:rsidRDefault="004F4374" w:rsidP="00CC31AA">
      <w:pPr>
        <w:ind w:firstLine="0"/>
        <w:jc w:val="center"/>
        <w:rPr>
          <w:rFonts w:eastAsiaTheme="majorEastAsia"/>
          <w:b/>
          <w:color w:val="0070C0"/>
          <w:sz w:val="30"/>
          <w:szCs w:val="30"/>
          <w:u w:val="single"/>
        </w:rPr>
      </w:pPr>
      <w:r w:rsidRPr="00CC31AA">
        <w:rPr>
          <w:rFonts w:eastAsiaTheme="majorEastAsia"/>
          <w:b/>
          <w:color w:val="0070C0"/>
          <w:sz w:val="30"/>
          <w:szCs w:val="30"/>
          <w:u w:val="single"/>
        </w:rPr>
        <w:lastRenderedPageBreak/>
        <w:t>Evolution du Produit Intérieur Brut</w:t>
      </w:r>
      <w:r w:rsidR="00CC31AA" w:rsidRPr="00CC31AA">
        <w:rPr>
          <w:rFonts w:eastAsiaTheme="majorEastAsia"/>
          <w:b/>
          <w:color w:val="0070C0"/>
          <w:sz w:val="30"/>
          <w:szCs w:val="30"/>
          <w:u w:val="single"/>
        </w:rPr>
        <w:t xml:space="preserve"> e</w:t>
      </w:r>
      <w:r w:rsidRPr="00CC31AA">
        <w:rPr>
          <w:rFonts w:eastAsiaTheme="majorEastAsia"/>
          <w:b/>
          <w:color w:val="0070C0"/>
          <w:sz w:val="30"/>
          <w:szCs w:val="30"/>
          <w:u w:val="single"/>
        </w:rPr>
        <w:t>n volume selon les prix de l’année précédente (En %)</w:t>
      </w:r>
    </w:p>
    <w:p w:rsidR="004F4374" w:rsidRPr="00BC6D26" w:rsidRDefault="004F4374" w:rsidP="00BC6D26">
      <w:pPr>
        <w:rPr>
          <w:b/>
          <w:color w:val="0000FF"/>
          <w:sz w:val="24"/>
          <w:szCs w:val="24"/>
        </w:rPr>
      </w:pP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291"/>
        <w:gridCol w:w="1417"/>
        <w:gridCol w:w="1463"/>
        <w:gridCol w:w="1510"/>
      </w:tblGrid>
      <w:tr w:rsidR="004F4374" w:rsidRPr="00BC6D26" w:rsidTr="001B7A2E">
        <w:trPr>
          <w:trHeight w:val="343"/>
          <w:jc w:val="center"/>
        </w:trPr>
        <w:tc>
          <w:tcPr>
            <w:tcW w:w="5142" w:type="dxa"/>
          </w:tcPr>
          <w:p w:rsidR="004F4374" w:rsidRPr="00BC6D26" w:rsidRDefault="004F4374" w:rsidP="00BC6D26">
            <w:pPr>
              <w:rPr>
                <w:b/>
                <w:sz w:val="24"/>
                <w:szCs w:val="24"/>
                <w:lang w:bidi="ar-MA"/>
              </w:rPr>
            </w:pPr>
            <w:r w:rsidRPr="00BC6D26">
              <w:rPr>
                <w:b/>
                <w:color w:val="0000FF"/>
                <w:sz w:val="24"/>
                <w:szCs w:val="24"/>
              </w:rPr>
              <w:t>Rubriques</w:t>
            </w:r>
          </w:p>
        </w:tc>
        <w:tc>
          <w:tcPr>
            <w:tcW w:w="1291" w:type="dxa"/>
            <w:shd w:val="clear" w:color="auto" w:fill="auto"/>
            <w:vAlign w:val="center"/>
          </w:tcPr>
          <w:p w:rsidR="004F4374" w:rsidRPr="0015539B" w:rsidRDefault="004F4374" w:rsidP="00BC6D26">
            <w:pPr>
              <w:rPr>
                <w:b/>
                <w:color w:val="0000FF"/>
                <w:sz w:val="28"/>
                <w:szCs w:val="28"/>
              </w:rPr>
            </w:pPr>
            <w:r w:rsidRPr="0015539B">
              <w:rPr>
                <w:b/>
                <w:color w:val="0000FF"/>
                <w:sz w:val="28"/>
                <w:szCs w:val="28"/>
              </w:rPr>
              <w:t>2015</w:t>
            </w:r>
          </w:p>
        </w:tc>
        <w:tc>
          <w:tcPr>
            <w:tcW w:w="1417" w:type="dxa"/>
            <w:shd w:val="clear" w:color="auto" w:fill="auto"/>
            <w:vAlign w:val="center"/>
          </w:tcPr>
          <w:p w:rsidR="004F4374" w:rsidRPr="0015539B" w:rsidRDefault="004F4374" w:rsidP="00BC6D26">
            <w:pPr>
              <w:rPr>
                <w:b/>
                <w:color w:val="0000FF"/>
                <w:sz w:val="28"/>
                <w:szCs w:val="28"/>
              </w:rPr>
            </w:pPr>
            <w:r w:rsidRPr="0015539B">
              <w:rPr>
                <w:b/>
                <w:color w:val="0000FF"/>
                <w:sz w:val="28"/>
                <w:szCs w:val="28"/>
              </w:rPr>
              <w:t>2016</w:t>
            </w:r>
          </w:p>
        </w:tc>
        <w:tc>
          <w:tcPr>
            <w:tcW w:w="1463" w:type="dxa"/>
            <w:shd w:val="clear" w:color="auto" w:fill="C6D9F1" w:themeFill="text2" w:themeFillTint="33"/>
            <w:vAlign w:val="center"/>
          </w:tcPr>
          <w:p w:rsidR="004F4374" w:rsidRPr="0015539B" w:rsidRDefault="004F4374" w:rsidP="00BC6D26">
            <w:pPr>
              <w:rPr>
                <w:b/>
                <w:color w:val="0000FF"/>
                <w:sz w:val="28"/>
                <w:szCs w:val="28"/>
              </w:rPr>
            </w:pPr>
            <w:r w:rsidRPr="0015539B">
              <w:rPr>
                <w:b/>
                <w:color w:val="0000FF"/>
                <w:sz w:val="28"/>
                <w:szCs w:val="28"/>
              </w:rPr>
              <w:t>2017*</w:t>
            </w:r>
          </w:p>
        </w:tc>
        <w:tc>
          <w:tcPr>
            <w:tcW w:w="1510" w:type="dxa"/>
            <w:shd w:val="clear" w:color="auto" w:fill="C6D9F1" w:themeFill="text2" w:themeFillTint="33"/>
            <w:vAlign w:val="center"/>
          </w:tcPr>
          <w:p w:rsidR="004F4374" w:rsidRPr="0015539B" w:rsidRDefault="004F4374" w:rsidP="00BC6D26">
            <w:pPr>
              <w:rPr>
                <w:b/>
                <w:color w:val="0000FF"/>
                <w:sz w:val="28"/>
                <w:szCs w:val="28"/>
              </w:rPr>
            </w:pPr>
            <w:r w:rsidRPr="0015539B">
              <w:rPr>
                <w:b/>
                <w:color w:val="0000FF"/>
                <w:sz w:val="28"/>
                <w:szCs w:val="28"/>
              </w:rPr>
              <w:t>2018**</w:t>
            </w:r>
          </w:p>
        </w:tc>
      </w:tr>
      <w:tr w:rsidR="004F4374" w:rsidRPr="00BC6D26" w:rsidTr="001B7A2E">
        <w:trPr>
          <w:trHeight w:val="2951"/>
          <w:jc w:val="center"/>
        </w:trPr>
        <w:tc>
          <w:tcPr>
            <w:tcW w:w="5142" w:type="dxa"/>
          </w:tcPr>
          <w:p w:rsidR="004F4374" w:rsidRPr="00BC6D26" w:rsidRDefault="004F4374" w:rsidP="00BC6D26">
            <w:pPr>
              <w:rPr>
                <w:b/>
                <w:sz w:val="24"/>
                <w:szCs w:val="24"/>
                <w:lang w:bidi="ar-MA"/>
              </w:rPr>
            </w:pPr>
          </w:p>
          <w:p w:rsidR="004F4374" w:rsidRPr="00BC6D26" w:rsidRDefault="004F4374" w:rsidP="00BC6D26">
            <w:pPr>
              <w:rPr>
                <w:sz w:val="24"/>
                <w:szCs w:val="24"/>
                <w:lang w:bidi="ar-MA"/>
              </w:rPr>
            </w:pPr>
            <w:r w:rsidRPr="00BC6D26">
              <w:rPr>
                <w:sz w:val="24"/>
                <w:szCs w:val="24"/>
                <w:lang w:bidi="ar-MA"/>
              </w:rPr>
              <w:t>Valeur ajoutée du secteur Primaire……..…</w:t>
            </w:r>
          </w:p>
          <w:p w:rsidR="004F4374" w:rsidRPr="00BC6D26" w:rsidRDefault="004F4374" w:rsidP="00BC6D26">
            <w:pPr>
              <w:rPr>
                <w:sz w:val="24"/>
                <w:szCs w:val="24"/>
                <w:lang w:bidi="ar-MA"/>
              </w:rPr>
            </w:pPr>
          </w:p>
          <w:p w:rsidR="004F4374" w:rsidRPr="00BC6D26" w:rsidRDefault="004F4374" w:rsidP="00BC6D26">
            <w:pPr>
              <w:rPr>
                <w:b/>
                <w:sz w:val="24"/>
                <w:szCs w:val="24"/>
                <w:lang w:bidi="ar-MA"/>
              </w:rPr>
            </w:pPr>
            <w:r w:rsidRPr="00BC6D26">
              <w:rPr>
                <w:sz w:val="24"/>
                <w:szCs w:val="24"/>
                <w:lang w:bidi="ar-MA"/>
              </w:rPr>
              <w:t>Valeurs ajoutées non agricoles</w:t>
            </w:r>
            <w:r w:rsidRPr="00BC6D26">
              <w:rPr>
                <w:sz w:val="24"/>
                <w:szCs w:val="24"/>
                <w:lang w:val="it-IT" w:bidi="ar-MA"/>
              </w:rPr>
              <w:t>.................</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Secteur Secondaire……….….…..………</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Secteur tertiaire…..………………….…...</w:t>
            </w:r>
          </w:p>
          <w:p w:rsidR="004F4374" w:rsidRPr="00BC6D26" w:rsidRDefault="004F4374" w:rsidP="00BC6D26">
            <w:pPr>
              <w:rPr>
                <w:b/>
                <w:sz w:val="24"/>
                <w:szCs w:val="24"/>
                <w:lang w:bidi="ar-MA"/>
              </w:rPr>
            </w:pPr>
          </w:p>
        </w:tc>
        <w:tc>
          <w:tcPr>
            <w:tcW w:w="1291" w:type="dxa"/>
          </w:tcPr>
          <w:p w:rsidR="004F4374" w:rsidRPr="00BC6D26" w:rsidRDefault="004F4374" w:rsidP="00BC6D26">
            <w:pPr>
              <w:rPr>
                <w:b/>
                <w:sz w:val="24"/>
                <w:szCs w:val="24"/>
                <w:lang w:bidi="ar-MA"/>
              </w:rPr>
            </w:pPr>
          </w:p>
          <w:p w:rsidR="004F4374" w:rsidRPr="00BC6D26" w:rsidRDefault="004F4374" w:rsidP="00BC6D26">
            <w:pPr>
              <w:rPr>
                <w:sz w:val="24"/>
                <w:szCs w:val="24"/>
                <w:lang w:bidi="ar-MA"/>
              </w:rPr>
            </w:pPr>
            <w:r w:rsidRPr="00BC6D26">
              <w:rPr>
                <w:sz w:val="24"/>
                <w:szCs w:val="24"/>
                <w:lang w:bidi="ar-MA"/>
              </w:rPr>
              <w:t>11,6</w:t>
            </w:r>
          </w:p>
          <w:p w:rsidR="004F4374" w:rsidRPr="00BC6D26" w:rsidRDefault="004F4374" w:rsidP="00BC6D26">
            <w:pPr>
              <w:rPr>
                <w:b/>
                <w:sz w:val="24"/>
                <w:szCs w:val="24"/>
                <w:lang w:bidi="ar-MA"/>
              </w:rPr>
            </w:pPr>
          </w:p>
          <w:p w:rsidR="004F4374" w:rsidRPr="00BC6D26" w:rsidRDefault="004F4374" w:rsidP="00BC6D26">
            <w:pPr>
              <w:rPr>
                <w:sz w:val="24"/>
                <w:szCs w:val="24"/>
                <w:lang w:bidi="ar-MA"/>
              </w:rPr>
            </w:pPr>
            <w:r w:rsidRPr="00BC6D26">
              <w:rPr>
                <w:sz w:val="24"/>
                <w:szCs w:val="24"/>
                <w:lang w:bidi="ar-MA"/>
              </w:rPr>
              <w:t>1,7</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1,8</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1,7</w:t>
            </w:r>
          </w:p>
          <w:p w:rsidR="004F4374" w:rsidRPr="00BC6D26" w:rsidRDefault="004F4374" w:rsidP="00BC6D26">
            <w:pPr>
              <w:rPr>
                <w:b/>
                <w:sz w:val="24"/>
                <w:szCs w:val="24"/>
                <w:lang w:bidi="ar-MA"/>
              </w:rPr>
            </w:pPr>
          </w:p>
        </w:tc>
        <w:tc>
          <w:tcPr>
            <w:tcW w:w="1417" w:type="dxa"/>
          </w:tcPr>
          <w:p w:rsidR="004F4374" w:rsidRPr="00BC6D26" w:rsidRDefault="004F4374" w:rsidP="00BC6D26">
            <w:pPr>
              <w:rPr>
                <w:b/>
                <w:sz w:val="24"/>
                <w:szCs w:val="24"/>
                <w:lang w:bidi="ar-MA"/>
              </w:rPr>
            </w:pPr>
          </w:p>
          <w:p w:rsidR="004F4374" w:rsidRPr="00BC6D26" w:rsidRDefault="008C744D" w:rsidP="00BC6D26">
            <w:pPr>
              <w:rPr>
                <w:sz w:val="24"/>
                <w:szCs w:val="24"/>
                <w:lang w:bidi="ar-MA"/>
              </w:rPr>
            </w:pPr>
            <w:r>
              <w:rPr>
                <w:sz w:val="24"/>
                <w:szCs w:val="24"/>
                <w:lang w:bidi="ar-MA"/>
              </w:rPr>
              <w:t>-</w:t>
            </w:r>
            <w:r w:rsidR="004F4374" w:rsidRPr="00BC6D26">
              <w:rPr>
                <w:sz w:val="24"/>
                <w:szCs w:val="24"/>
                <w:lang w:bidi="ar-MA"/>
              </w:rPr>
              <w:t>11,3</w:t>
            </w:r>
          </w:p>
          <w:p w:rsidR="004F4374" w:rsidRPr="00BC6D26" w:rsidRDefault="004F4374" w:rsidP="00BC6D26">
            <w:pPr>
              <w:rPr>
                <w:b/>
                <w:sz w:val="24"/>
                <w:szCs w:val="24"/>
                <w:lang w:bidi="ar-MA"/>
              </w:rPr>
            </w:pPr>
          </w:p>
          <w:p w:rsidR="004F4374" w:rsidRPr="00BC6D26" w:rsidRDefault="004F4374" w:rsidP="00BC6D26">
            <w:pPr>
              <w:rPr>
                <w:sz w:val="24"/>
                <w:szCs w:val="24"/>
                <w:lang w:bidi="ar-MA"/>
              </w:rPr>
            </w:pPr>
            <w:r w:rsidRPr="00BC6D26">
              <w:rPr>
                <w:sz w:val="24"/>
                <w:szCs w:val="24"/>
                <w:lang w:bidi="ar-MA"/>
              </w:rPr>
              <w:t>2,2</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1,2</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2,7</w:t>
            </w:r>
          </w:p>
          <w:p w:rsidR="004F4374" w:rsidRPr="00BC6D26" w:rsidRDefault="004F4374" w:rsidP="00BC6D26">
            <w:pPr>
              <w:rPr>
                <w:b/>
                <w:sz w:val="24"/>
                <w:szCs w:val="24"/>
                <w:lang w:bidi="ar-MA"/>
              </w:rPr>
            </w:pPr>
          </w:p>
        </w:tc>
        <w:tc>
          <w:tcPr>
            <w:tcW w:w="1463" w:type="dxa"/>
            <w:shd w:val="clear" w:color="auto" w:fill="C6D9F1" w:themeFill="text2" w:themeFillTint="33"/>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13,</w:t>
            </w:r>
            <w:r w:rsidR="00C54F75" w:rsidRPr="00BC6D26">
              <w:rPr>
                <w:sz w:val="24"/>
                <w:szCs w:val="24"/>
                <w:lang w:bidi="ar-MA"/>
              </w:rPr>
              <w:t>6</w:t>
            </w:r>
          </w:p>
          <w:p w:rsidR="004F4374" w:rsidRPr="00BC6D26" w:rsidRDefault="004F4374" w:rsidP="00BC6D26">
            <w:pPr>
              <w:rPr>
                <w:b/>
                <w:sz w:val="24"/>
                <w:szCs w:val="24"/>
                <w:lang w:bidi="ar-MA"/>
              </w:rPr>
            </w:pPr>
          </w:p>
          <w:p w:rsidR="004F4374" w:rsidRPr="00BC6D26" w:rsidRDefault="004F4374" w:rsidP="00BC6D26">
            <w:pPr>
              <w:rPr>
                <w:sz w:val="24"/>
                <w:szCs w:val="24"/>
                <w:lang w:bidi="ar-MA"/>
              </w:rPr>
            </w:pPr>
            <w:r w:rsidRPr="00BC6D26">
              <w:rPr>
                <w:sz w:val="24"/>
                <w:szCs w:val="24"/>
                <w:lang w:bidi="ar-MA"/>
              </w:rPr>
              <w:t>2,8</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w:t>
            </w:r>
            <w:r w:rsidR="00C54F75" w:rsidRPr="00BC6D26">
              <w:rPr>
                <w:sz w:val="24"/>
                <w:szCs w:val="24"/>
                <w:lang w:bidi="ar-MA"/>
              </w:rPr>
              <w:t>9</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w:t>
            </w:r>
            <w:r w:rsidR="00C54F75" w:rsidRPr="00BC6D26">
              <w:rPr>
                <w:sz w:val="24"/>
                <w:szCs w:val="24"/>
                <w:lang w:bidi="ar-MA"/>
              </w:rPr>
              <w:t>7</w:t>
            </w:r>
          </w:p>
        </w:tc>
        <w:tc>
          <w:tcPr>
            <w:tcW w:w="1510" w:type="dxa"/>
            <w:shd w:val="clear" w:color="auto" w:fill="C6D9F1" w:themeFill="text2" w:themeFillTint="33"/>
          </w:tcPr>
          <w:p w:rsidR="004F4374" w:rsidRPr="00BC6D26" w:rsidRDefault="004F4374" w:rsidP="00BC6D26">
            <w:pPr>
              <w:rPr>
                <w:b/>
                <w:sz w:val="24"/>
                <w:szCs w:val="24"/>
                <w:lang w:bidi="ar-MA"/>
              </w:rPr>
            </w:pPr>
          </w:p>
          <w:p w:rsidR="004F4374" w:rsidRPr="00BC6D26" w:rsidRDefault="004F4374" w:rsidP="00BC6D26">
            <w:pPr>
              <w:rPr>
                <w:sz w:val="24"/>
                <w:szCs w:val="24"/>
                <w:lang w:bidi="ar-MA"/>
              </w:rPr>
            </w:pPr>
            <w:r w:rsidRPr="00BC6D26">
              <w:rPr>
                <w:sz w:val="24"/>
                <w:szCs w:val="24"/>
                <w:lang w:bidi="ar-MA"/>
              </w:rPr>
              <w:t>-1,3</w:t>
            </w:r>
          </w:p>
          <w:p w:rsidR="004F4374" w:rsidRPr="00BC6D26" w:rsidRDefault="004F4374" w:rsidP="00BC6D26">
            <w:pPr>
              <w:rPr>
                <w:b/>
                <w:sz w:val="24"/>
                <w:szCs w:val="24"/>
                <w:lang w:bidi="ar-MA"/>
              </w:rPr>
            </w:pPr>
          </w:p>
          <w:p w:rsidR="004F4374" w:rsidRPr="00BC6D26" w:rsidRDefault="008C744D" w:rsidP="00BC6D26">
            <w:pPr>
              <w:rPr>
                <w:sz w:val="24"/>
                <w:szCs w:val="24"/>
                <w:lang w:bidi="ar-MA"/>
              </w:rPr>
            </w:pPr>
            <w:r>
              <w:rPr>
                <w:sz w:val="24"/>
                <w:szCs w:val="24"/>
                <w:lang w:bidi="ar-MA"/>
              </w:rPr>
              <w:t>2,9</w:t>
            </w:r>
          </w:p>
          <w:p w:rsidR="007C2758" w:rsidRPr="00BC6D26" w:rsidRDefault="007C2758" w:rsidP="008C744D">
            <w:pPr>
              <w:ind w:firstLine="0"/>
              <w:rPr>
                <w:sz w:val="24"/>
                <w:szCs w:val="24"/>
                <w:lang w:bidi="ar-MA"/>
              </w:rPr>
            </w:pPr>
          </w:p>
          <w:p w:rsidR="004F4374" w:rsidRPr="00BC6D26" w:rsidRDefault="004F4374" w:rsidP="00BC6D26">
            <w:pPr>
              <w:rPr>
                <w:b/>
                <w:sz w:val="24"/>
                <w:szCs w:val="24"/>
                <w:lang w:bidi="ar-MA"/>
              </w:rPr>
            </w:pPr>
            <w:r w:rsidRPr="00BC6D26">
              <w:rPr>
                <w:sz w:val="24"/>
                <w:szCs w:val="24"/>
                <w:lang w:bidi="ar-MA"/>
              </w:rPr>
              <w:t>2,9</w:t>
            </w:r>
          </w:p>
          <w:p w:rsidR="004F4374" w:rsidRPr="00BC6D26" w:rsidRDefault="004F4374" w:rsidP="00BC6D26">
            <w:pPr>
              <w:rPr>
                <w:b/>
                <w:sz w:val="24"/>
                <w:szCs w:val="24"/>
                <w:lang w:bidi="ar-MA"/>
              </w:rPr>
            </w:pPr>
          </w:p>
          <w:p w:rsidR="004F4374" w:rsidRPr="00BC6D26" w:rsidRDefault="00096867" w:rsidP="00096867">
            <w:pPr>
              <w:rPr>
                <w:b/>
                <w:sz w:val="24"/>
                <w:szCs w:val="24"/>
                <w:lang w:bidi="ar-MA"/>
              </w:rPr>
            </w:pPr>
            <w:r>
              <w:rPr>
                <w:sz w:val="24"/>
                <w:szCs w:val="24"/>
                <w:lang w:bidi="ar-MA"/>
              </w:rPr>
              <w:t xml:space="preserve">  </w:t>
            </w:r>
            <w:r w:rsidR="004F4374" w:rsidRPr="00BC6D26">
              <w:rPr>
                <w:sz w:val="24"/>
                <w:szCs w:val="24"/>
                <w:lang w:bidi="ar-MA"/>
              </w:rPr>
              <w:t>3</w:t>
            </w:r>
          </w:p>
        </w:tc>
      </w:tr>
      <w:tr w:rsidR="004F4374" w:rsidRPr="00BC6D26" w:rsidTr="001B7A2E">
        <w:trPr>
          <w:trHeight w:val="626"/>
          <w:jc w:val="center"/>
        </w:trPr>
        <w:tc>
          <w:tcPr>
            <w:tcW w:w="5142" w:type="dxa"/>
          </w:tcPr>
          <w:p w:rsidR="004F4374" w:rsidRPr="00BC6D26" w:rsidRDefault="004F4374" w:rsidP="00BC6D26">
            <w:pPr>
              <w:rPr>
                <w:sz w:val="24"/>
                <w:szCs w:val="24"/>
                <w:lang w:bidi="ar-MA"/>
              </w:rPr>
            </w:pPr>
            <w:r w:rsidRPr="00BC6D26">
              <w:rPr>
                <w:sz w:val="24"/>
                <w:szCs w:val="24"/>
                <w:lang w:bidi="ar-MA"/>
              </w:rPr>
              <w:t>Valeur ajoutée totale………………</w:t>
            </w:r>
          </w:p>
        </w:tc>
        <w:tc>
          <w:tcPr>
            <w:tcW w:w="1291" w:type="dxa"/>
          </w:tcPr>
          <w:p w:rsidR="004F4374" w:rsidRPr="00BC6D26" w:rsidRDefault="004F4374" w:rsidP="00BC6D26">
            <w:pPr>
              <w:rPr>
                <w:sz w:val="24"/>
                <w:szCs w:val="24"/>
                <w:lang w:bidi="ar-MA"/>
              </w:rPr>
            </w:pPr>
            <w:r w:rsidRPr="00BC6D26">
              <w:rPr>
                <w:sz w:val="24"/>
                <w:szCs w:val="24"/>
                <w:lang w:bidi="ar-MA"/>
              </w:rPr>
              <w:t>3,0</w:t>
            </w:r>
          </w:p>
        </w:tc>
        <w:tc>
          <w:tcPr>
            <w:tcW w:w="1417" w:type="dxa"/>
          </w:tcPr>
          <w:p w:rsidR="004F4374" w:rsidRPr="00BC6D26" w:rsidRDefault="004F4374" w:rsidP="00BC6D26">
            <w:pPr>
              <w:rPr>
                <w:sz w:val="24"/>
                <w:szCs w:val="24"/>
                <w:lang w:bidi="ar-MA"/>
              </w:rPr>
            </w:pPr>
            <w:r w:rsidRPr="00BC6D26">
              <w:rPr>
                <w:sz w:val="24"/>
                <w:szCs w:val="24"/>
                <w:lang w:bidi="ar-MA"/>
              </w:rPr>
              <w:t>0,3</w:t>
            </w:r>
          </w:p>
        </w:tc>
        <w:tc>
          <w:tcPr>
            <w:tcW w:w="1463" w:type="dxa"/>
            <w:shd w:val="clear" w:color="auto" w:fill="C6D9F1" w:themeFill="text2" w:themeFillTint="33"/>
          </w:tcPr>
          <w:p w:rsidR="004F4374" w:rsidRPr="00BC6D26" w:rsidRDefault="004F4374" w:rsidP="00BC6D26">
            <w:pPr>
              <w:rPr>
                <w:sz w:val="24"/>
                <w:szCs w:val="24"/>
                <w:lang w:bidi="ar-MA"/>
              </w:rPr>
            </w:pPr>
            <w:r w:rsidRPr="00BC6D26">
              <w:rPr>
                <w:sz w:val="24"/>
                <w:szCs w:val="24"/>
                <w:lang w:bidi="ar-MA"/>
              </w:rPr>
              <w:t>4,2</w:t>
            </w:r>
          </w:p>
        </w:tc>
        <w:tc>
          <w:tcPr>
            <w:tcW w:w="1510" w:type="dxa"/>
            <w:shd w:val="clear" w:color="auto" w:fill="C6D9F1" w:themeFill="text2" w:themeFillTint="33"/>
          </w:tcPr>
          <w:p w:rsidR="004F4374" w:rsidRPr="00BC6D26" w:rsidRDefault="004F4374" w:rsidP="0038148D">
            <w:pPr>
              <w:rPr>
                <w:sz w:val="24"/>
                <w:szCs w:val="24"/>
                <w:lang w:bidi="ar-MA"/>
              </w:rPr>
            </w:pPr>
            <w:r w:rsidRPr="00BC6D26">
              <w:rPr>
                <w:sz w:val="24"/>
                <w:szCs w:val="24"/>
                <w:lang w:bidi="ar-MA"/>
              </w:rPr>
              <w:t>2,</w:t>
            </w:r>
            <w:r w:rsidR="0038148D">
              <w:rPr>
                <w:sz w:val="24"/>
                <w:szCs w:val="24"/>
                <w:lang w:bidi="ar-MA"/>
              </w:rPr>
              <w:t>3</w:t>
            </w:r>
          </w:p>
        </w:tc>
      </w:tr>
      <w:tr w:rsidR="004F4374" w:rsidRPr="00BC6D26" w:rsidTr="001B7A2E">
        <w:trPr>
          <w:trHeight w:val="812"/>
          <w:jc w:val="center"/>
        </w:trPr>
        <w:tc>
          <w:tcPr>
            <w:tcW w:w="5142" w:type="dxa"/>
          </w:tcPr>
          <w:p w:rsidR="004F4374" w:rsidRPr="00BC6D26" w:rsidRDefault="004F4374" w:rsidP="00BC6D26">
            <w:pPr>
              <w:rPr>
                <w:b/>
                <w:sz w:val="24"/>
                <w:szCs w:val="24"/>
                <w:lang w:bidi="ar-MA"/>
              </w:rPr>
            </w:pPr>
            <w:r w:rsidRPr="00BC6D26">
              <w:rPr>
                <w:sz w:val="24"/>
                <w:szCs w:val="24"/>
                <w:lang w:bidi="ar-MA"/>
              </w:rPr>
              <w:t>Impôts et taxes sur produits nets de subventions (ITS)……………………….</w:t>
            </w:r>
          </w:p>
          <w:p w:rsidR="004F4374" w:rsidRPr="00BC6D26" w:rsidRDefault="004F4374" w:rsidP="00BC6D26">
            <w:pPr>
              <w:rPr>
                <w:b/>
                <w:sz w:val="24"/>
                <w:szCs w:val="24"/>
                <w:lang w:bidi="ar-MA"/>
              </w:rPr>
            </w:pPr>
          </w:p>
        </w:tc>
        <w:tc>
          <w:tcPr>
            <w:tcW w:w="1291"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18,1</w:t>
            </w:r>
          </w:p>
        </w:tc>
        <w:tc>
          <w:tcPr>
            <w:tcW w:w="1417"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8,5</w:t>
            </w:r>
          </w:p>
        </w:tc>
        <w:tc>
          <w:tcPr>
            <w:tcW w:w="1463" w:type="dxa"/>
            <w:shd w:val="clear" w:color="auto" w:fill="C6D9F1" w:themeFill="text2" w:themeFillTint="33"/>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w:t>
            </w:r>
            <w:r w:rsidR="00C54F75" w:rsidRPr="00BC6D26">
              <w:rPr>
                <w:sz w:val="24"/>
                <w:szCs w:val="24"/>
                <w:lang w:bidi="ar-MA"/>
              </w:rPr>
              <w:t>1</w:t>
            </w:r>
          </w:p>
        </w:tc>
        <w:tc>
          <w:tcPr>
            <w:tcW w:w="1510" w:type="dxa"/>
            <w:shd w:val="clear" w:color="auto" w:fill="C6D9F1" w:themeFill="text2" w:themeFillTint="33"/>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5,9</w:t>
            </w:r>
          </w:p>
        </w:tc>
      </w:tr>
      <w:tr w:rsidR="004F4374" w:rsidRPr="00BC6D26" w:rsidTr="001B7A2E">
        <w:trPr>
          <w:trHeight w:val="812"/>
          <w:jc w:val="center"/>
        </w:trPr>
        <w:tc>
          <w:tcPr>
            <w:tcW w:w="5142" w:type="dxa"/>
          </w:tcPr>
          <w:p w:rsidR="004F4374" w:rsidRPr="00BC6D26" w:rsidRDefault="004F4374" w:rsidP="00BC6D26">
            <w:pPr>
              <w:rPr>
                <w:b/>
                <w:sz w:val="24"/>
                <w:szCs w:val="24"/>
                <w:lang w:val="it-IT" w:bidi="ar-MA"/>
              </w:rPr>
            </w:pPr>
          </w:p>
          <w:p w:rsidR="004F4374" w:rsidRPr="00BC6D26" w:rsidRDefault="004F4374" w:rsidP="00BC6D26">
            <w:pPr>
              <w:rPr>
                <w:b/>
                <w:sz w:val="24"/>
                <w:szCs w:val="24"/>
                <w:lang w:val="it-IT" w:bidi="ar-MA"/>
              </w:rPr>
            </w:pPr>
            <w:r w:rsidRPr="00BC6D26">
              <w:rPr>
                <w:sz w:val="24"/>
                <w:szCs w:val="24"/>
                <w:lang w:val="it-IT" w:bidi="ar-MA"/>
              </w:rPr>
              <w:t>PIB non agricole (VA +ITS).......................</w:t>
            </w:r>
          </w:p>
        </w:tc>
        <w:tc>
          <w:tcPr>
            <w:tcW w:w="1291"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3,6</w:t>
            </w:r>
          </w:p>
        </w:tc>
        <w:tc>
          <w:tcPr>
            <w:tcW w:w="1417"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3,0</w:t>
            </w:r>
          </w:p>
        </w:tc>
        <w:tc>
          <w:tcPr>
            <w:tcW w:w="1463" w:type="dxa"/>
            <w:shd w:val="clear" w:color="auto" w:fill="C6D9F1" w:themeFill="text2" w:themeFillTint="33"/>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2,7</w:t>
            </w:r>
          </w:p>
        </w:tc>
        <w:tc>
          <w:tcPr>
            <w:tcW w:w="1510" w:type="dxa"/>
            <w:shd w:val="clear" w:color="auto" w:fill="C6D9F1" w:themeFill="text2" w:themeFillTint="33"/>
          </w:tcPr>
          <w:p w:rsidR="004F4374" w:rsidRPr="00BC6D26" w:rsidRDefault="004F4374" w:rsidP="00BC6D26">
            <w:pPr>
              <w:rPr>
                <w:b/>
                <w:sz w:val="24"/>
                <w:szCs w:val="24"/>
                <w:lang w:bidi="ar-MA"/>
              </w:rPr>
            </w:pPr>
          </w:p>
          <w:p w:rsidR="004F4374" w:rsidRPr="00BC6D26" w:rsidRDefault="004F4374" w:rsidP="0038148D">
            <w:pPr>
              <w:rPr>
                <w:b/>
                <w:sz w:val="24"/>
                <w:szCs w:val="24"/>
                <w:lang w:bidi="ar-MA"/>
              </w:rPr>
            </w:pPr>
            <w:r w:rsidRPr="00BC6D26">
              <w:rPr>
                <w:sz w:val="24"/>
                <w:szCs w:val="24"/>
                <w:lang w:bidi="ar-MA"/>
              </w:rPr>
              <w:t>3,</w:t>
            </w:r>
            <w:r w:rsidR="0038148D">
              <w:rPr>
                <w:sz w:val="24"/>
                <w:szCs w:val="24"/>
                <w:lang w:bidi="ar-MA"/>
              </w:rPr>
              <w:t>3</w:t>
            </w:r>
          </w:p>
        </w:tc>
      </w:tr>
      <w:tr w:rsidR="004F4374" w:rsidRPr="00BC6D26" w:rsidTr="001B7A2E">
        <w:trPr>
          <w:trHeight w:val="812"/>
          <w:jc w:val="center"/>
        </w:trPr>
        <w:tc>
          <w:tcPr>
            <w:tcW w:w="5142" w:type="dxa"/>
          </w:tcPr>
          <w:p w:rsidR="004F4374" w:rsidRPr="00BC6D26" w:rsidRDefault="004F4374" w:rsidP="00BC6D26">
            <w:pPr>
              <w:rPr>
                <w:color w:val="C00000"/>
                <w:sz w:val="24"/>
                <w:szCs w:val="24"/>
                <w:lang w:bidi="ar-MA"/>
              </w:rPr>
            </w:pPr>
          </w:p>
          <w:p w:rsidR="004F4374" w:rsidRPr="00BC6D26" w:rsidRDefault="004F4374" w:rsidP="00BC6D26">
            <w:pPr>
              <w:rPr>
                <w:color w:val="C00000"/>
                <w:sz w:val="24"/>
                <w:szCs w:val="24"/>
                <w:lang w:bidi="ar-MA"/>
              </w:rPr>
            </w:pPr>
            <w:r w:rsidRPr="00BC6D26">
              <w:rPr>
                <w:color w:val="C00000"/>
                <w:sz w:val="24"/>
                <w:szCs w:val="24"/>
                <w:lang w:bidi="ar-MA"/>
              </w:rPr>
              <w:t>PIB en volume…………………..………………….</w:t>
            </w:r>
          </w:p>
          <w:p w:rsidR="004F4374" w:rsidRPr="00BC6D26" w:rsidRDefault="004F4374" w:rsidP="00BC6D26">
            <w:pPr>
              <w:rPr>
                <w:color w:val="C00000"/>
                <w:sz w:val="24"/>
                <w:szCs w:val="24"/>
                <w:lang w:bidi="ar-MA"/>
              </w:rPr>
            </w:pPr>
          </w:p>
        </w:tc>
        <w:tc>
          <w:tcPr>
            <w:tcW w:w="1291" w:type="dxa"/>
          </w:tcPr>
          <w:p w:rsidR="004F4374" w:rsidRPr="00BC6D26" w:rsidRDefault="004F4374" w:rsidP="00BC6D26">
            <w:pPr>
              <w:rPr>
                <w:color w:val="C00000"/>
                <w:sz w:val="24"/>
                <w:szCs w:val="24"/>
                <w:lang w:bidi="ar-MA"/>
              </w:rPr>
            </w:pPr>
          </w:p>
          <w:p w:rsidR="004F4374" w:rsidRPr="00BC6D26" w:rsidRDefault="004F4374" w:rsidP="00BC6D26">
            <w:pPr>
              <w:rPr>
                <w:color w:val="C00000"/>
                <w:sz w:val="24"/>
                <w:szCs w:val="24"/>
                <w:lang w:bidi="ar-MA"/>
              </w:rPr>
            </w:pPr>
            <w:r w:rsidRPr="00BC6D26">
              <w:rPr>
                <w:color w:val="C00000"/>
                <w:sz w:val="24"/>
                <w:szCs w:val="24"/>
                <w:lang w:bidi="ar-MA"/>
              </w:rPr>
              <w:t>4,5</w:t>
            </w:r>
          </w:p>
        </w:tc>
        <w:tc>
          <w:tcPr>
            <w:tcW w:w="1417" w:type="dxa"/>
          </w:tcPr>
          <w:p w:rsidR="004F4374" w:rsidRPr="00BC6D26" w:rsidRDefault="004F4374" w:rsidP="00BC6D26">
            <w:pPr>
              <w:rPr>
                <w:color w:val="C00000"/>
                <w:sz w:val="24"/>
                <w:szCs w:val="24"/>
                <w:lang w:bidi="ar-MA"/>
              </w:rPr>
            </w:pPr>
          </w:p>
          <w:p w:rsidR="004F4374" w:rsidRPr="00BC6D26" w:rsidRDefault="004F4374" w:rsidP="00BC6D26">
            <w:pPr>
              <w:rPr>
                <w:color w:val="C00000"/>
                <w:sz w:val="24"/>
                <w:szCs w:val="24"/>
                <w:lang w:bidi="ar-MA"/>
              </w:rPr>
            </w:pPr>
            <w:r w:rsidRPr="00BC6D26">
              <w:rPr>
                <w:color w:val="C00000"/>
                <w:sz w:val="24"/>
                <w:szCs w:val="24"/>
                <w:lang w:bidi="ar-MA"/>
              </w:rPr>
              <w:t>1,2</w:t>
            </w:r>
          </w:p>
        </w:tc>
        <w:tc>
          <w:tcPr>
            <w:tcW w:w="1463" w:type="dxa"/>
            <w:shd w:val="clear" w:color="auto" w:fill="C6D9F1" w:themeFill="text2" w:themeFillTint="33"/>
          </w:tcPr>
          <w:p w:rsidR="004F4374" w:rsidRPr="00BC6D26" w:rsidRDefault="004F4374" w:rsidP="00BC6D26">
            <w:pPr>
              <w:rPr>
                <w:color w:val="C00000"/>
                <w:sz w:val="24"/>
                <w:szCs w:val="24"/>
                <w:lang w:bidi="ar-MA"/>
              </w:rPr>
            </w:pPr>
          </w:p>
          <w:p w:rsidR="004F4374" w:rsidRPr="00BC6D26" w:rsidRDefault="004F4374" w:rsidP="00BC6D26">
            <w:pPr>
              <w:rPr>
                <w:color w:val="C00000"/>
                <w:sz w:val="24"/>
                <w:szCs w:val="24"/>
                <w:lang w:bidi="ar-MA"/>
              </w:rPr>
            </w:pPr>
            <w:r w:rsidRPr="00BC6D26">
              <w:rPr>
                <w:color w:val="C00000"/>
                <w:sz w:val="24"/>
                <w:szCs w:val="24"/>
                <w:lang w:bidi="ar-MA"/>
              </w:rPr>
              <w:t>4,0</w:t>
            </w:r>
          </w:p>
        </w:tc>
        <w:tc>
          <w:tcPr>
            <w:tcW w:w="1510" w:type="dxa"/>
            <w:shd w:val="clear" w:color="auto" w:fill="C6D9F1" w:themeFill="text2" w:themeFillTint="33"/>
          </w:tcPr>
          <w:p w:rsidR="004F4374" w:rsidRPr="00BC6D26" w:rsidRDefault="004F4374" w:rsidP="00BC6D26">
            <w:pPr>
              <w:rPr>
                <w:color w:val="C00000"/>
                <w:sz w:val="24"/>
                <w:szCs w:val="24"/>
                <w:lang w:bidi="ar-MA"/>
              </w:rPr>
            </w:pPr>
          </w:p>
          <w:p w:rsidR="004F4374" w:rsidRPr="00BC6D26" w:rsidRDefault="004F4374" w:rsidP="00BC6D26">
            <w:pPr>
              <w:rPr>
                <w:color w:val="C00000"/>
                <w:sz w:val="24"/>
                <w:szCs w:val="24"/>
                <w:lang w:bidi="ar-MA"/>
              </w:rPr>
            </w:pPr>
            <w:r w:rsidRPr="00BC6D26">
              <w:rPr>
                <w:color w:val="C00000"/>
                <w:sz w:val="24"/>
                <w:szCs w:val="24"/>
                <w:lang w:bidi="ar-MA"/>
              </w:rPr>
              <w:t>2,8</w:t>
            </w:r>
          </w:p>
        </w:tc>
      </w:tr>
      <w:tr w:rsidR="004F4374" w:rsidRPr="00BC6D26" w:rsidTr="001B7A2E">
        <w:trPr>
          <w:trHeight w:val="812"/>
          <w:jc w:val="center"/>
        </w:trPr>
        <w:tc>
          <w:tcPr>
            <w:tcW w:w="5142"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Variation du prix implicite du PIB……..</w:t>
            </w:r>
          </w:p>
        </w:tc>
        <w:tc>
          <w:tcPr>
            <w:tcW w:w="1291"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1,8</w:t>
            </w:r>
          </w:p>
        </w:tc>
        <w:tc>
          <w:tcPr>
            <w:tcW w:w="1417"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1,6</w:t>
            </w:r>
          </w:p>
        </w:tc>
        <w:tc>
          <w:tcPr>
            <w:tcW w:w="1463" w:type="dxa"/>
            <w:shd w:val="clear" w:color="auto" w:fill="C6D9F1" w:themeFill="text2" w:themeFillTint="33"/>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0,</w:t>
            </w:r>
            <w:r w:rsidR="00C54F75" w:rsidRPr="00BC6D26">
              <w:rPr>
                <w:sz w:val="24"/>
                <w:szCs w:val="24"/>
                <w:lang w:bidi="ar-MA"/>
              </w:rPr>
              <w:t>2</w:t>
            </w:r>
          </w:p>
        </w:tc>
        <w:tc>
          <w:tcPr>
            <w:tcW w:w="1510" w:type="dxa"/>
            <w:shd w:val="clear" w:color="auto" w:fill="C6D9F1" w:themeFill="text2" w:themeFillTint="33"/>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1,</w:t>
            </w:r>
            <w:r w:rsidR="00C54F75" w:rsidRPr="00BC6D26">
              <w:rPr>
                <w:sz w:val="24"/>
                <w:szCs w:val="24"/>
                <w:lang w:bidi="ar-MA"/>
              </w:rPr>
              <w:t>5</w:t>
            </w:r>
          </w:p>
        </w:tc>
      </w:tr>
    </w:tbl>
    <w:p w:rsidR="004F4374" w:rsidRPr="00BC6D26" w:rsidRDefault="004F4374" w:rsidP="00BC6D26">
      <w:pPr>
        <w:rPr>
          <w:b/>
          <w:sz w:val="24"/>
          <w:szCs w:val="24"/>
        </w:rPr>
      </w:pPr>
      <w:r w:rsidRPr="00BC6D26">
        <w:rPr>
          <w:b/>
          <w:sz w:val="24"/>
          <w:szCs w:val="24"/>
        </w:rPr>
        <w:t xml:space="preserve">(*) : Estimation pour 2017    (**) : Prévisions établies par le Haut Commissariat au Plan pour 2018. </w:t>
      </w:r>
    </w:p>
    <w:p w:rsidR="004F4374" w:rsidRPr="00BC6D26" w:rsidRDefault="004F4374" w:rsidP="00BC6D26">
      <w:pPr>
        <w:rPr>
          <w:b/>
          <w:sz w:val="24"/>
          <w:szCs w:val="24"/>
        </w:rPr>
      </w:pPr>
      <w:r w:rsidRPr="00BC6D26">
        <w:rPr>
          <w:sz w:val="24"/>
          <w:szCs w:val="24"/>
        </w:rPr>
        <w:tab/>
      </w:r>
    </w:p>
    <w:p w:rsidR="004F4374" w:rsidRPr="00BC6D26" w:rsidRDefault="004F4374" w:rsidP="00BC6D26">
      <w:pPr>
        <w:rPr>
          <w:color w:val="4BACC6" w:themeColor="accent5"/>
          <w:sz w:val="24"/>
          <w:szCs w:val="24"/>
        </w:rPr>
      </w:pPr>
      <w:r w:rsidRPr="00BC6D26">
        <w:rPr>
          <w:sz w:val="24"/>
          <w:szCs w:val="24"/>
        </w:rPr>
        <w:br w:type="page"/>
      </w:r>
      <w:r w:rsidRPr="00BC6D26">
        <w:rPr>
          <w:color w:val="4BACC6" w:themeColor="accent5"/>
          <w:sz w:val="24"/>
          <w:szCs w:val="24"/>
        </w:rPr>
        <w:lastRenderedPageBreak/>
        <w:t xml:space="preserve">                             </w:t>
      </w:r>
    </w:p>
    <w:p w:rsidR="004F4374" w:rsidRPr="00BC6D26" w:rsidRDefault="004F4374" w:rsidP="00BC6D26">
      <w:pPr>
        <w:rPr>
          <w:color w:val="4BACC6" w:themeColor="accent5"/>
          <w:sz w:val="24"/>
          <w:szCs w:val="24"/>
        </w:rPr>
      </w:pPr>
    </w:p>
    <w:p w:rsidR="004F4374" w:rsidRDefault="004F4374" w:rsidP="00CC31AA">
      <w:pPr>
        <w:ind w:firstLine="0"/>
        <w:jc w:val="center"/>
        <w:rPr>
          <w:rFonts w:eastAsiaTheme="majorEastAsia"/>
          <w:b/>
          <w:color w:val="0070C0"/>
          <w:sz w:val="30"/>
          <w:szCs w:val="30"/>
          <w:u w:val="single"/>
        </w:rPr>
      </w:pPr>
      <w:r w:rsidRPr="00CC31AA">
        <w:rPr>
          <w:rFonts w:eastAsiaTheme="majorEastAsia"/>
          <w:b/>
          <w:color w:val="0070C0"/>
          <w:sz w:val="30"/>
          <w:szCs w:val="30"/>
          <w:u w:val="single"/>
        </w:rPr>
        <w:t>Equilibre Ressources-Emplois en volume</w:t>
      </w:r>
      <w:r w:rsidR="00CC31AA" w:rsidRPr="00CC31AA">
        <w:rPr>
          <w:rFonts w:eastAsiaTheme="majorEastAsia"/>
          <w:b/>
          <w:color w:val="0070C0"/>
          <w:sz w:val="30"/>
          <w:szCs w:val="30"/>
          <w:u w:val="single"/>
        </w:rPr>
        <w:t xml:space="preserve"> (v</w:t>
      </w:r>
      <w:r w:rsidRPr="00CC31AA">
        <w:rPr>
          <w:rFonts w:eastAsiaTheme="majorEastAsia"/>
          <w:b/>
          <w:color w:val="0070C0"/>
          <w:sz w:val="30"/>
          <w:szCs w:val="30"/>
          <w:u w:val="single"/>
        </w:rPr>
        <w:t>ariation en %</w:t>
      </w:r>
      <w:r w:rsidR="00CC31AA" w:rsidRPr="00CC31AA">
        <w:rPr>
          <w:rFonts w:eastAsiaTheme="majorEastAsia"/>
          <w:b/>
          <w:color w:val="0070C0"/>
          <w:sz w:val="30"/>
          <w:szCs w:val="30"/>
          <w:u w:val="single"/>
        </w:rPr>
        <w:t>)</w:t>
      </w:r>
    </w:p>
    <w:p w:rsidR="00CC31AA" w:rsidRPr="00CC31AA" w:rsidRDefault="00CC31AA" w:rsidP="00CC31AA">
      <w:pPr>
        <w:ind w:firstLine="0"/>
        <w:jc w:val="center"/>
        <w:rPr>
          <w:rFonts w:eastAsiaTheme="majorEastAsia"/>
          <w:b/>
          <w:color w:val="0070C0"/>
          <w:sz w:val="30"/>
          <w:szCs w:val="30"/>
          <w:u w:val="single"/>
        </w:rPr>
      </w:pP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8"/>
        <w:gridCol w:w="1318"/>
        <w:gridCol w:w="1394"/>
        <w:gridCol w:w="1355"/>
        <w:gridCol w:w="1423"/>
      </w:tblGrid>
      <w:tr w:rsidR="004F4374" w:rsidRPr="00BC6D26" w:rsidTr="0015539B">
        <w:trPr>
          <w:trHeight w:val="660"/>
          <w:jc w:val="center"/>
        </w:trPr>
        <w:tc>
          <w:tcPr>
            <w:tcW w:w="4498" w:type="dxa"/>
          </w:tcPr>
          <w:p w:rsidR="004F4374" w:rsidRPr="0015539B" w:rsidRDefault="004F4374" w:rsidP="00BC6D26">
            <w:pPr>
              <w:rPr>
                <w:b/>
                <w:bCs/>
                <w:sz w:val="24"/>
                <w:szCs w:val="24"/>
                <w:lang w:bidi="ar-MA"/>
              </w:rPr>
            </w:pPr>
          </w:p>
          <w:p w:rsidR="004F4374" w:rsidRPr="0015539B" w:rsidRDefault="004F4374" w:rsidP="0015539B">
            <w:pPr>
              <w:rPr>
                <w:b/>
                <w:bCs/>
                <w:color w:val="0000FF"/>
                <w:sz w:val="24"/>
                <w:szCs w:val="24"/>
              </w:rPr>
            </w:pPr>
            <w:r w:rsidRPr="0015539B">
              <w:rPr>
                <w:b/>
                <w:bCs/>
                <w:color w:val="0000FF"/>
                <w:sz w:val="24"/>
                <w:szCs w:val="24"/>
              </w:rPr>
              <w:t>RUBRIQUES</w:t>
            </w:r>
          </w:p>
        </w:tc>
        <w:tc>
          <w:tcPr>
            <w:tcW w:w="1318" w:type="dxa"/>
            <w:vAlign w:val="center"/>
          </w:tcPr>
          <w:p w:rsidR="004F4374" w:rsidRPr="0015539B" w:rsidRDefault="004F4374" w:rsidP="00BC6D26">
            <w:pPr>
              <w:rPr>
                <w:b/>
                <w:bCs/>
                <w:color w:val="0000FF"/>
                <w:sz w:val="24"/>
                <w:szCs w:val="24"/>
              </w:rPr>
            </w:pPr>
            <w:r w:rsidRPr="0015539B">
              <w:rPr>
                <w:b/>
                <w:bCs/>
                <w:color w:val="0000FF"/>
                <w:sz w:val="24"/>
                <w:szCs w:val="24"/>
              </w:rPr>
              <w:t>2015</w:t>
            </w:r>
          </w:p>
        </w:tc>
        <w:tc>
          <w:tcPr>
            <w:tcW w:w="1394" w:type="dxa"/>
            <w:vAlign w:val="center"/>
          </w:tcPr>
          <w:p w:rsidR="004F4374" w:rsidRPr="0015539B" w:rsidRDefault="004F4374" w:rsidP="00BC6D26">
            <w:pPr>
              <w:rPr>
                <w:b/>
                <w:bCs/>
                <w:color w:val="0000FF"/>
                <w:sz w:val="24"/>
                <w:szCs w:val="24"/>
              </w:rPr>
            </w:pPr>
            <w:r w:rsidRPr="0015539B">
              <w:rPr>
                <w:b/>
                <w:bCs/>
                <w:color w:val="0000FF"/>
                <w:sz w:val="24"/>
                <w:szCs w:val="24"/>
              </w:rPr>
              <w:t>2016</w:t>
            </w:r>
          </w:p>
        </w:tc>
        <w:tc>
          <w:tcPr>
            <w:tcW w:w="1355" w:type="dxa"/>
            <w:shd w:val="clear" w:color="auto" w:fill="C6D9F1" w:themeFill="text2" w:themeFillTint="33"/>
            <w:vAlign w:val="center"/>
          </w:tcPr>
          <w:p w:rsidR="004F4374" w:rsidRPr="0015539B" w:rsidRDefault="004F4374" w:rsidP="00BC6D26">
            <w:pPr>
              <w:rPr>
                <w:b/>
                <w:bCs/>
                <w:color w:val="0000FF"/>
                <w:sz w:val="24"/>
                <w:szCs w:val="24"/>
              </w:rPr>
            </w:pPr>
            <w:r w:rsidRPr="0015539B">
              <w:rPr>
                <w:b/>
                <w:bCs/>
                <w:color w:val="0000FF"/>
                <w:sz w:val="24"/>
                <w:szCs w:val="24"/>
              </w:rPr>
              <w:t>2017*</w:t>
            </w:r>
          </w:p>
        </w:tc>
        <w:tc>
          <w:tcPr>
            <w:tcW w:w="1423" w:type="dxa"/>
            <w:shd w:val="clear" w:color="auto" w:fill="C6D9F1" w:themeFill="text2" w:themeFillTint="33"/>
            <w:vAlign w:val="center"/>
          </w:tcPr>
          <w:p w:rsidR="004F4374" w:rsidRPr="0015539B" w:rsidRDefault="004F4374" w:rsidP="00BC6D26">
            <w:pPr>
              <w:rPr>
                <w:b/>
                <w:bCs/>
                <w:color w:val="0000FF"/>
                <w:sz w:val="24"/>
                <w:szCs w:val="24"/>
              </w:rPr>
            </w:pPr>
            <w:r w:rsidRPr="0015539B">
              <w:rPr>
                <w:b/>
                <w:bCs/>
                <w:color w:val="0000FF"/>
                <w:sz w:val="24"/>
                <w:szCs w:val="24"/>
              </w:rPr>
              <w:t>2018**</w:t>
            </w:r>
          </w:p>
        </w:tc>
      </w:tr>
      <w:tr w:rsidR="004F4374" w:rsidRPr="00BC6D26" w:rsidTr="008F6F33">
        <w:trPr>
          <w:trHeight w:val="606"/>
          <w:jc w:val="center"/>
        </w:trPr>
        <w:tc>
          <w:tcPr>
            <w:tcW w:w="4498" w:type="dxa"/>
            <w:tcBorders>
              <w:bottom w:val="nil"/>
            </w:tcBorders>
            <w:vAlign w:val="center"/>
          </w:tcPr>
          <w:p w:rsidR="004F4374" w:rsidRPr="00BC6D26" w:rsidRDefault="004F4374" w:rsidP="00BC6D26">
            <w:pPr>
              <w:rPr>
                <w:b/>
                <w:sz w:val="24"/>
                <w:szCs w:val="24"/>
                <w:lang w:bidi="ar-MA"/>
              </w:rPr>
            </w:pPr>
            <w:r w:rsidRPr="00BC6D26">
              <w:rPr>
                <w:sz w:val="24"/>
                <w:szCs w:val="24"/>
                <w:lang w:bidi="ar-MA"/>
              </w:rPr>
              <w:t>PIB……………………………….…</w:t>
            </w:r>
            <w:r w:rsidR="002619A0" w:rsidRPr="00BC6D26">
              <w:rPr>
                <w:sz w:val="24"/>
                <w:szCs w:val="24"/>
                <w:lang w:bidi="ar-MA"/>
              </w:rPr>
              <w:t>…………</w:t>
            </w:r>
          </w:p>
        </w:tc>
        <w:tc>
          <w:tcPr>
            <w:tcW w:w="1318" w:type="dxa"/>
            <w:tcBorders>
              <w:bottom w:val="nil"/>
            </w:tcBorders>
            <w:vAlign w:val="center"/>
          </w:tcPr>
          <w:p w:rsidR="004F4374" w:rsidRPr="00BC6D26" w:rsidRDefault="004F4374" w:rsidP="00BC6D26">
            <w:pPr>
              <w:rPr>
                <w:b/>
                <w:sz w:val="24"/>
                <w:szCs w:val="24"/>
                <w:lang w:bidi="ar-MA"/>
              </w:rPr>
            </w:pPr>
            <w:r w:rsidRPr="00BC6D26">
              <w:rPr>
                <w:sz w:val="24"/>
                <w:szCs w:val="24"/>
                <w:lang w:bidi="ar-MA"/>
              </w:rPr>
              <w:t>4,5</w:t>
            </w:r>
          </w:p>
        </w:tc>
        <w:tc>
          <w:tcPr>
            <w:tcW w:w="1394" w:type="dxa"/>
            <w:tcBorders>
              <w:bottom w:val="nil"/>
            </w:tcBorders>
            <w:vAlign w:val="center"/>
          </w:tcPr>
          <w:p w:rsidR="004F4374" w:rsidRPr="00BC6D26" w:rsidRDefault="004F4374" w:rsidP="00BC6D26">
            <w:pPr>
              <w:rPr>
                <w:b/>
                <w:sz w:val="24"/>
                <w:szCs w:val="24"/>
                <w:lang w:bidi="ar-MA"/>
              </w:rPr>
            </w:pPr>
            <w:r w:rsidRPr="00BC6D26">
              <w:rPr>
                <w:sz w:val="24"/>
                <w:szCs w:val="24"/>
                <w:lang w:bidi="ar-MA"/>
              </w:rPr>
              <w:t>1,2</w:t>
            </w:r>
          </w:p>
        </w:tc>
        <w:tc>
          <w:tcPr>
            <w:tcW w:w="1355" w:type="dxa"/>
            <w:tcBorders>
              <w:bottom w:val="nil"/>
            </w:tcBorders>
            <w:shd w:val="clear" w:color="auto" w:fill="C6D9F1" w:themeFill="text2" w:themeFillTint="33"/>
            <w:vAlign w:val="center"/>
          </w:tcPr>
          <w:p w:rsidR="004F4374" w:rsidRPr="00BC6D26" w:rsidRDefault="004F4374" w:rsidP="00BC6D26">
            <w:pPr>
              <w:rPr>
                <w:b/>
                <w:sz w:val="24"/>
                <w:szCs w:val="24"/>
                <w:lang w:bidi="ar-MA"/>
              </w:rPr>
            </w:pPr>
            <w:r w:rsidRPr="00BC6D26">
              <w:rPr>
                <w:sz w:val="24"/>
                <w:szCs w:val="24"/>
                <w:lang w:bidi="ar-MA"/>
              </w:rPr>
              <w:t>4,0</w:t>
            </w:r>
          </w:p>
        </w:tc>
        <w:tc>
          <w:tcPr>
            <w:tcW w:w="1423" w:type="dxa"/>
            <w:tcBorders>
              <w:bottom w:val="nil"/>
            </w:tcBorders>
            <w:shd w:val="clear" w:color="auto" w:fill="C6D9F1" w:themeFill="text2" w:themeFillTint="33"/>
            <w:vAlign w:val="center"/>
          </w:tcPr>
          <w:p w:rsidR="004F4374" w:rsidRPr="00BC6D26" w:rsidRDefault="004F4374" w:rsidP="00BC6D26">
            <w:pPr>
              <w:rPr>
                <w:b/>
                <w:sz w:val="24"/>
                <w:szCs w:val="24"/>
                <w:lang w:bidi="ar-MA"/>
              </w:rPr>
            </w:pPr>
            <w:r w:rsidRPr="00BC6D26">
              <w:rPr>
                <w:sz w:val="24"/>
                <w:szCs w:val="24"/>
                <w:lang w:bidi="ar-MA"/>
              </w:rPr>
              <w:t>2,8</w:t>
            </w:r>
          </w:p>
        </w:tc>
      </w:tr>
      <w:tr w:rsidR="004F4374" w:rsidRPr="00BC6D26" w:rsidTr="008F6F33">
        <w:trPr>
          <w:trHeight w:val="606"/>
          <w:jc w:val="center"/>
        </w:trPr>
        <w:tc>
          <w:tcPr>
            <w:tcW w:w="449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Consommation finale, dont:…….…</w:t>
            </w:r>
          </w:p>
        </w:tc>
        <w:tc>
          <w:tcPr>
            <w:tcW w:w="131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2,3</w:t>
            </w:r>
          </w:p>
        </w:tc>
        <w:tc>
          <w:tcPr>
            <w:tcW w:w="1394"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3,1</w:t>
            </w:r>
          </w:p>
        </w:tc>
        <w:tc>
          <w:tcPr>
            <w:tcW w:w="1355" w:type="dxa"/>
            <w:tcBorders>
              <w:top w:val="nil"/>
              <w:bottom w:val="nil"/>
            </w:tcBorders>
            <w:shd w:val="clear" w:color="auto" w:fill="C6D9F1" w:themeFill="text2" w:themeFillTint="33"/>
            <w:vAlign w:val="center"/>
          </w:tcPr>
          <w:p w:rsidR="004F4374" w:rsidRPr="00BC6D26" w:rsidRDefault="004F4374" w:rsidP="00BC6D26">
            <w:pPr>
              <w:rPr>
                <w:b/>
                <w:sz w:val="24"/>
                <w:szCs w:val="24"/>
                <w:lang w:bidi="ar-MA"/>
              </w:rPr>
            </w:pPr>
            <w:r w:rsidRPr="00BC6D26">
              <w:rPr>
                <w:sz w:val="24"/>
                <w:szCs w:val="24"/>
                <w:lang w:bidi="ar-MA"/>
              </w:rPr>
              <w:t>3,</w:t>
            </w:r>
            <w:r w:rsidR="00C54F75" w:rsidRPr="00BC6D26">
              <w:rPr>
                <w:sz w:val="24"/>
                <w:szCs w:val="24"/>
                <w:lang w:bidi="ar-MA"/>
              </w:rPr>
              <w:t>2</w:t>
            </w:r>
          </w:p>
        </w:tc>
        <w:tc>
          <w:tcPr>
            <w:tcW w:w="1423" w:type="dxa"/>
            <w:tcBorders>
              <w:top w:val="nil"/>
              <w:bottom w:val="nil"/>
            </w:tcBorders>
            <w:shd w:val="clear" w:color="auto" w:fill="C6D9F1" w:themeFill="text2" w:themeFillTint="33"/>
            <w:vAlign w:val="center"/>
          </w:tcPr>
          <w:p w:rsidR="004F4374" w:rsidRPr="00BC6D26" w:rsidRDefault="004F4374" w:rsidP="00BC6D26">
            <w:pPr>
              <w:rPr>
                <w:b/>
                <w:sz w:val="24"/>
                <w:szCs w:val="24"/>
                <w:lang w:bidi="ar-MA"/>
              </w:rPr>
            </w:pPr>
            <w:r w:rsidRPr="00BC6D26">
              <w:rPr>
                <w:sz w:val="24"/>
                <w:szCs w:val="24"/>
                <w:lang w:bidi="ar-MA"/>
              </w:rPr>
              <w:t>2,</w:t>
            </w:r>
            <w:r w:rsidR="00C54F75" w:rsidRPr="00BC6D26">
              <w:rPr>
                <w:sz w:val="24"/>
                <w:szCs w:val="24"/>
                <w:lang w:bidi="ar-MA"/>
              </w:rPr>
              <w:t>8</w:t>
            </w:r>
          </w:p>
        </w:tc>
      </w:tr>
      <w:tr w:rsidR="004F4374" w:rsidRPr="00BC6D26" w:rsidTr="008F6F33">
        <w:trPr>
          <w:trHeight w:val="725"/>
          <w:jc w:val="center"/>
        </w:trPr>
        <w:tc>
          <w:tcPr>
            <w:tcW w:w="449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-Ménages résidents………………</w:t>
            </w:r>
            <w:r w:rsidR="002619A0" w:rsidRPr="00BC6D26">
              <w:rPr>
                <w:sz w:val="24"/>
                <w:szCs w:val="24"/>
                <w:lang w:bidi="ar-MA"/>
              </w:rPr>
              <w:t>…….</w:t>
            </w:r>
          </w:p>
        </w:tc>
        <w:tc>
          <w:tcPr>
            <w:tcW w:w="131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2,2</w:t>
            </w:r>
          </w:p>
        </w:tc>
        <w:tc>
          <w:tcPr>
            <w:tcW w:w="1394"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3,4</w:t>
            </w:r>
          </w:p>
        </w:tc>
        <w:tc>
          <w:tcPr>
            <w:tcW w:w="1355" w:type="dxa"/>
            <w:tcBorders>
              <w:top w:val="nil"/>
              <w:bottom w:val="nil"/>
            </w:tcBorders>
            <w:shd w:val="clear" w:color="auto" w:fill="C6D9F1" w:themeFill="text2" w:themeFillTint="33"/>
            <w:vAlign w:val="center"/>
          </w:tcPr>
          <w:p w:rsidR="004F4374" w:rsidRPr="00BC6D26" w:rsidRDefault="008B397D" w:rsidP="00BC6D26">
            <w:pPr>
              <w:rPr>
                <w:b/>
                <w:sz w:val="24"/>
                <w:szCs w:val="24"/>
                <w:lang w:bidi="ar-MA"/>
              </w:rPr>
            </w:pPr>
            <w:r>
              <w:rPr>
                <w:sz w:val="24"/>
                <w:szCs w:val="24"/>
                <w:lang w:bidi="ar-MA"/>
              </w:rPr>
              <w:t xml:space="preserve"> 4</w:t>
            </w:r>
          </w:p>
        </w:tc>
        <w:tc>
          <w:tcPr>
            <w:tcW w:w="1423" w:type="dxa"/>
            <w:tcBorders>
              <w:top w:val="nil"/>
              <w:bottom w:val="nil"/>
            </w:tcBorders>
            <w:shd w:val="clear" w:color="auto" w:fill="C6D9F1" w:themeFill="text2" w:themeFillTint="33"/>
            <w:vAlign w:val="center"/>
          </w:tcPr>
          <w:p w:rsidR="004F4374" w:rsidRPr="00BC6D26" w:rsidRDefault="004F4374" w:rsidP="008B397D">
            <w:pPr>
              <w:rPr>
                <w:b/>
                <w:sz w:val="24"/>
                <w:szCs w:val="24"/>
                <w:lang w:bidi="ar-MA"/>
              </w:rPr>
            </w:pPr>
            <w:r w:rsidRPr="00BC6D26">
              <w:rPr>
                <w:sz w:val="24"/>
                <w:szCs w:val="24"/>
                <w:lang w:bidi="ar-MA"/>
              </w:rPr>
              <w:t>3,</w:t>
            </w:r>
            <w:r w:rsidR="008B397D">
              <w:rPr>
                <w:sz w:val="24"/>
                <w:szCs w:val="24"/>
                <w:lang w:bidi="ar-MA"/>
              </w:rPr>
              <w:t>3</w:t>
            </w:r>
          </w:p>
        </w:tc>
      </w:tr>
      <w:tr w:rsidR="004F4374" w:rsidRPr="00BC6D26" w:rsidTr="008F6F33">
        <w:trPr>
          <w:trHeight w:val="606"/>
          <w:jc w:val="center"/>
        </w:trPr>
        <w:tc>
          <w:tcPr>
            <w:tcW w:w="449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-Administrations publiques................</w:t>
            </w:r>
          </w:p>
        </w:tc>
        <w:tc>
          <w:tcPr>
            <w:tcW w:w="1318" w:type="dxa"/>
            <w:tcBorders>
              <w:top w:val="nil"/>
              <w:bottom w:val="nil"/>
            </w:tcBorders>
            <w:vAlign w:val="center"/>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2,4</w:t>
            </w:r>
          </w:p>
          <w:p w:rsidR="004F4374" w:rsidRPr="00BC6D26" w:rsidRDefault="004F4374" w:rsidP="00BC6D26">
            <w:pPr>
              <w:rPr>
                <w:b/>
                <w:sz w:val="24"/>
                <w:szCs w:val="24"/>
                <w:lang w:bidi="ar-MA"/>
              </w:rPr>
            </w:pPr>
          </w:p>
        </w:tc>
        <w:tc>
          <w:tcPr>
            <w:tcW w:w="1394" w:type="dxa"/>
            <w:tcBorders>
              <w:top w:val="nil"/>
              <w:bottom w:val="nil"/>
            </w:tcBorders>
            <w:vAlign w:val="center"/>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2,1</w:t>
            </w:r>
          </w:p>
          <w:p w:rsidR="004F4374" w:rsidRPr="00BC6D26" w:rsidRDefault="004F4374" w:rsidP="00BC6D26">
            <w:pPr>
              <w:rPr>
                <w:b/>
                <w:sz w:val="24"/>
                <w:szCs w:val="24"/>
                <w:lang w:bidi="ar-MA"/>
              </w:rPr>
            </w:pPr>
          </w:p>
        </w:tc>
        <w:tc>
          <w:tcPr>
            <w:tcW w:w="1355" w:type="dxa"/>
            <w:tcBorders>
              <w:top w:val="nil"/>
              <w:bottom w:val="nil"/>
            </w:tcBorders>
            <w:shd w:val="clear" w:color="auto" w:fill="C6D9F1" w:themeFill="text2" w:themeFillTint="33"/>
            <w:vAlign w:val="center"/>
          </w:tcPr>
          <w:p w:rsidR="004F4374" w:rsidRPr="00BC6D26" w:rsidRDefault="00C54F75" w:rsidP="00BC6D26">
            <w:pPr>
              <w:rPr>
                <w:b/>
                <w:sz w:val="24"/>
                <w:szCs w:val="24"/>
                <w:lang w:bidi="ar-MA"/>
              </w:rPr>
            </w:pPr>
            <w:r w:rsidRPr="00BC6D26">
              <w:rPr>
                <w:sz w:val="24"/>
                <w:szCs w:val="24"/>
                <w:lang w:bidi="ar-MA"/>
              </w:rPr>
              <w:t>0,8</w:t>
            </w:r>
          </w:p>
        </w:tc>
        <w:tc>
          <w:tcPr>
            <w:tcW w:w="1423" w:type="dxa"/>
            <w:tcBorders>
              <w:top w:val="nil"/>
              <w:bottom w:val="nil"/>
            </w:tcBorders>
            <w:shd w:val="clear" w:color="auto" w:fill="C6D9F1" w:themeFill="text2" w:themeFillTint="33"/>
            <w:vAlign w:val="center"/>
          </w:tcPr>
          <w:p w:rsidR="004F4374" w:rsidRPr="00BC6D26" w:rsidRDefault="004F4374" w:rsidP="008B397D">
            <w:pPr>
              <w:rPr>
                <w:b/>
                <w:sz w:val="24"/>
                <w:szCs w:val="24"/>
                <w:lang w:bidi="ar-MA"/>
              </w:rPr>
            </w:pPr>
            <w:r w:rsidRPr="00BC6D26">
              <w:rPr>
                <w:sz w:val="24"/>
                <w:szCs w:val="24"/>
                <w:lang w:bidi="ar-MA"/>
              </w:rPr>
              <w:t>1,</w:t>
            </w:r>
            <w:r w:rsidR="008B397D">
              <w:rPr>
                <w:sz w:val="24"/>
                <w:szCs w:val="24"/>
                <w:lang w:bidi="ar-MA"/>
              </w:rPr>
              <w:t>2</w:t>
            </w:r>
          </w:p>
        </w:tc>
      </w:tr>
      <w:tr w:rsidR="004F4374" w:rsidRPr="00BC6D26" w:rsidTr="008F6F33">
        <w:trPr>
          <w:trHeight w:val="606"/>
          <w:jc w:val="center"/>
        </w:trPr>
        <w:tc>
          <w:tcPr>
            <w:tcW w:w="449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FBCF………………………………</w:t>
            </w:r>
            <w:r w:rsidR="002619A0" w:rsidRPr="00BC6D26">
              <w:rPr>
                <w:sz w:val="24"/>
                <w:szCs w:val="24"/>
                <w:lang w:bidi="ar-MA"/>
              </w:rPr>
              <w:t>…………</w:t>
            </w:r>
          </w:p>
        </w:tc>
        <w:tc>
          <w:tcPr>
            <w:tcW w:w="131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0,2</w:t>
            </w:r>
          </w:p>
        </w:tc>
        <w:tc>
          <w:tcPr>
            <w:tcW w:w="1394"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9,3</w:t>
            </w:r>
          </w:p>
        </w:tc>
        <w:tc>
          <w:tcPr>
            <w:tcW w:w="1355" w:type="dxa"/>
            <w:tcBorders>
              <w:top w:val="nil"/>
              <w:bottom w:val="nil"/>
            </w:tcBorders>
            <w:shd w:val="clear" w:color="auto" w:fill="C6D9F1" w:themeFill="text2" w:themeFillTint="33"/>
            <w:vAlign w:val="center"/>
          </w:tcPr>
          <w:p w:rsidR="004F4374" w:rsidRPr="00BC6D26" w:rsidRDefault="004F4374" w:rsidP="007A7EC6">
            <w:pPr>
              <w:rPr>
                <w:b/>
                <w:sz w:val="24"/>
                <w:szCs w:val="24"/>
                <w:lang w:bidi="ar-MA"/>
              </w:rPr>
            </w:pPr>
            <w:r w:rsidRPr="00BC6D26">
              <w:rPr>
                <w:sz w:val="24"/>
                <w:szCs w:val="24"/>
                <w:lang w:bidi="ar-MA"/>
              </w:rPr>
              <w:t>3,</w:t>
            </w:r>
            <w:r w:rsidR="007A7EC6">
              <w:rPr>
                <w:sz w:val="24"/>
                <w:szCs w:val="24"/>
                <w:lang w:bidi="ar-MA"/>
              </w:rPr>
              <w:t>4</w:t>
            </w:r>
          </w:p>
        </w:tc>
        <w:tc>
          <w:tcPr>
            <w:tcW w:w="1423" w:type="dxa"/>
            <w:tcBorders>
              <w:top w:val="nil"/>
              <w:bottom w:val="nil"/>
            </w:tcBorders>
            <w:shd w:val="clear" w:color="auto" w:fill="C6D9F1" w:themeFill="text2" w:themeFillTint="33"/>
            <w:vAlign w:val="center"/>
          </w:tcPr>
          <w:p w:rsidR="004F4374" w:rsidRPr="00BC6D26" w:rsidRDefault="004F4374" w:rsidP="00BC6D26">
            <w:pPr>
              <w:rPr>
                <w:b/>
                <w:sz w:val="24"/>
                <w:szCs w:val="24"/>
                <w:lang w:bidi="ar-MA"/>
              </w:rPr>
            </w:pPr>
            <w:r w:rsidRPr="00BC6D26">
              <w:rPr>
                <w:sz w:val="24"/>
                <w:szCs w:val="24"/>
                <w:lang w:bidi="ar-MA"/>
              </w:rPr>
              <w:t>4,</w:t>
            </w:r>
            <w:r w:rsidR="00C54F75" w:rsidRPr="00BC6D26">
              <w:rPr>
                <w:sz w:val="24"/>
                <w:szCs w:val="24"/>
                <w:lang w:bidi="ar-MA"/>
              </w:rPr>
              <w:t>1</w:t>
            </w:r>
          </w:p>
        </w:tc>
      </w:tr>
      <w:tr w:rsidR="004F4374" w:rsidRPr="00BC6D26" w:rsidTr="008F6F33">
        <w:trPr>
          <w:trHeight w:val="708"/>
          <w:jc w:val="center"/>
        </w:trPr>
        <w:tc>
          <w:tcPr>
            <w:tcW w:w="449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Exportations de biens et services…</w:t>
            </w:r>
            <w:r w:rsidR="002619A0" w:rsidRPr="00BC6D26">
              <w:rPr>
                <w:sz w:val="24"/>
                <w:szCs w:val="24"/>
                <w:lang w:bidi="ar-MA"/>
              </w:rPr>
              <w:t>…………………………………</w:t>
            </w:r>
            <w:r w:rsidRPr="00BC6D26">
              <w:rPr>
                <w:sz w:val="24"/>
                <w:szCs w:val="24"/>
                <w:lang w:bidi="ar-MA"/>
              </w:rPr>
              <w:t>.</w:t>
            </w:r>
          </w:p>
        </w:tc>
        <w:tc>
          <w:tcPr>
            <w:tcW w:w="131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5,5</w:t>
            </w:r>
          </w:p>
        </w:tc>
        <w:tc>
          <w:tcPr>
            <w:tcW w:w="1394"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5,1</w:t>
            </w:r>
          </w:p>
        </w:tc>
        <w:tc>
          <w:tcPr>
            <w:tcW w:w="1355" w:type="dxa"/>
            <w:tcBorders>
              <w:top w:val="nil"/>
              <w:bottom w:val="nil"/>
            </w:tcBorders>
            <w:shd w:val="clear" w:color="auto" w:fill="C6D9F1" w:themeFill="text2" w:themeFillTint="33"/>
            <w:vAlign w:val="center"/>
          </w:tcPr>
          <w:p w:rsidR="004F4374" w:rsidRPr="00BC6D26" w:rsidRDefault="004F4374" w:rsidP="00E16BB3">
            <w:pPr>
              <w:rPr>
                <w:b/>
                <w:sz w:val="24"/>
                <w:szCs w:val="24"/>
                <w:lang w:bidi="ar-MA"/>
              </w:rPr>
            </w:pPr>
            <w:r w:rsidRPr="00BC6D26">
              <w:rPr>
                <w:sz w:val="24"/>
                <w:szCs w:val="24"/>
                <w:lang w:bidi="ar-MA"/>
              </w:rPr>
              <w:t>8,</w:t>
            </w:r>
            <w:r w:rsidR="00E16BB3">
              <w:rPr>
                <w:sz w:val="24"/>
                <w:szCs w:val="24"/>
                <w:lang w:bidi="ar-MA"/>
              </w:rPr>
              <w:t>8</w:t>
            </w:r>
          </w:p>
        </w:tc>
        <w:tc>
          <w:tcPr>
            <w:tcW w:w="1423" w:type="dxa"/>
            <w:tcBorders>
              <w:top w:val="nil"/>
              <w:bottom w:val="nil"/>
            </w:tcBorders>
            <w:shd w:val="clear" w:color="auto" w:fill="C6D9F1" w:themeFill="text2" w:themeFillTint="33"/>
            <w:vAlign w:val="center"/>
          </w:tcPr>
          <w:p w:rsidR="004F4374" w:rsidRPr="00BC6D26" w:rsidRDefault="004F4374" w:rsidP="00E16BB3">
            <w:pPr>
              <w:rPr>
                <w:b/>
                <w:sz w:val="24"/>
                <w:szCs w:val="24"/>
                <w:lang w:bidi="ar-MA"/>
              </w:rPr>
            </w:pPr>
            <w:r w:rsidRPr="00BC6D26">
              <w:rPr>
                <w:sz w:val="24"/>
                <w:szCs w:val="24"/>
                <w:lang w:bidi="ar-MA"/>
              </w:rPr>
              <w:t>6,</w:t>
            </w:r>
            <w:r w:rsidR="00E16BB3">
              <w:rPr>
                <w:sz w:val="24"/>
                <w:szCs w:val="24"/>
                <w:lang w:bidi="ar-MA"/>
              </w:rPr>
              <w:t>8</w:t>
            </w:r>
          </w:p>
        </w:tc>
      </w:tr>
      <w:tr w:rsidR="004F4374" w:rsidRPr="00BC6D26" w:rsidTr="008F6F33">
        <w:trPr>
          <w:trHeight w:val="480"/>
          <w:jc w:val="center"/>
        </w:trPr>
        <w:tc>
          <w:tcPr>
            <w:tcW w:w="449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Importations de biens et services.…</w:t>
            </w:r>
            <w:r w:rsidR="002619A0" w:rsidRPr="00BC6D26">
              <w:rPr>
                <w:sz w:val="24"/>
                <w:szCs w:val="24"/>
                <w:lang w:bidi="ar-MA"/>
              </w:rPr>
              <w:t>……………………………………</w:t>
            </w:r>
          </w:p>
        </w:tc>
        <w:tc>
          <w:tcPr>
            <w:tcW w:w="1318"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-1,1</w:t>
            </w:r>
          </w:p>
        </w:tc>
        <w:tc>
          <w:tcPr>
            <w:tcW w:w="1394" w:type="dxa"/>
            <w:tcBorders>
              <w:top w:val="nil"/>
              <w:bottom w:val="nil"/>
            </w:tcBorders>
            <w:vAlign w:val="center"/>
          </w:tcPr>
          <w:p w:rsidR="004F4374" w:rsidRPr="00BC6D26" w:rsidRDefault="004F4374" w:rsidP="00BC6D26">
            <w:pPr>
              <w:rPr>
                <w:b/>
                <w:sz w:val="24"/>
                <w:szCs w:val="24"/>
                <w:lang w:bidi="ar-MA"/>
              </w:rPr>
            </w:pPr>
            <w:r w:rsidRPr="00BC6D26">
              <w:rPr>
                <w:sz w:val="24"/>
                <w:szCs w:val="24"/>
                <w:lang w:bidi="ar-MA"/>
              </w:rPr>
              <w:t>15,4</w:t>
            </w:r>
          </w:p>
        </w:tc>
        <w:tc>
          <w:tcPr>
            <w:tcW w:w="1355" w:type="dxa"/>
            <w:tcBorders>
              <w:top w:val="nil"/>
              <w:bottom w:val="nil"/>
            </w:tcBorders>
            <w:shd w:val="clear" w:color="auto" w:fill="C6D9F1" w:themeFill="text2" w:themeFillTint="33"/>
            <w:vAlign w:val="center"/>
          </w:tcPr>
          <w:p w:rsidR="004F4374" w:rsidRPr="00BC6D26" w:rsidRDefault="004F4374" w:rsidP="00E16BB3">
            <w:pPr>
              <w:rPr>
                <w:b/>
                <w:sz w:val="24"/>
                <w:szCs w:val="24"/>
                <w:lang w:bidi="ar-MA"/>
              </w:rPr>
            </w:pPr>
            <w:r w:rsidRPr="00BC6D26">
              <w:rPr>
                <w:sz w:val="24"/>
                <w:szCs w:val="24"/>
                <w:lang w:bidi="ar-MA"/>
              </w:rPr>
              <w:t>5,</w:t>
            </w:r>
            <w:r w:rsidR="00E16BB3">
              <w:rPr>
                <w:sz w:val="24"/>
                <w:szCs w:val="24"/>
                <w:lang w:bidi="ar-MA"/>
              </w:rPr>
              <w:t>9</w:t>
            </w:r>
          </w:p>
        </w:tc>
        <w:tc>
          <w:tcPr>
            <w:tcW w:w="1423" w:type="dxa"/>
            <w:tcBorders>
              <w:top w:val="nil"/>
              <w:bottom w:val="nil"/>
            </w:tcBorders>
            <w:shd w:val="clear" w:color="auto" w:fill="C6D9F1" w:themeFill="text2" w:themeFillTint="33"/>
            <w:vAlign w:val="center"/>
          </w:tcPr>
          <w:p w:rsidR="004F4374" w:rsidRPr="00BC6D26" w:rsidRDefault="004F4374" w:rsidP="00E16BB3">
            <w:pPr>
              <w:rPr>
                <w:b/>
                <w:sz w:val="24"/>
                <w:szCs w:val="24"/>
                <w:lang w:bidi="ar-MA"/>
              </w:rPr>
            </w:pPr>
            <w:r w:rsidRPr="00BC6D26">
              <w:rPr>
                <w:sz w:val="24"/>
                <w:szCs w:val="24"/>
                <w:lang w:bidi="ar-MA"/>
              </w:rPr>
              <w:t>5,</w:t>
            </w:r>
            <w:r w:rsidR="00E16BB3">
              <w:rPr>
                <w:sz w:val="24"/>
                <w:szCs w:val="24"/>
                <w:lang w:bidi="ar-MA"/>
              </w:rPr>
              <w:t>8</w:t>
            </w:r>
          </w:p>
        </w:tc>
      </w:tr>
      <w:tr w:rsidR="004F4374" w:rsidRPr="00BC6D26" w:rsidTr="008F6F33">
        <w:trPr>
          <w:trHeight w:val="80"/>
          <w:jc w:val="center"/>
        </w:trPr>
        <w:tc>
          <w:tcPr>
            <w:tcW w:w="4498" w:type="dxa"/>
            <w:tcBorders>
              <w:top w:val="nil"/>
              <w:bottom w:val="nil"/>
            </w:tcBorders>
          </w:tcPr>
          <w:p w:rsidR="004F4374" w:rsidRPr="00BC6D26" w:rsidRDefault="004F4374" w:rsidP="00BC6D26">
            <w:pPr>
              <w:rPr>
                <w:b/>
                <w:sz w:val="24"/>
                <w:szCs w:val="24"/>
                <w:lang w:bidi="ar-MA"/>
              </w:rPr>
            </w:pPr>
            <w:r w:rsidRPr="00BC6D26">
              <w:rPr>
                <w:sz w:val="24"/>
                <w:szCs w:val="24"/>
                <w:rtl/>
                <w:lang w:bidi="ar-MA"/>
              </w:rPr>
              <w:tab/>
            </w:r>
          </w:p>
        </w:tc>
        <w:tc>
          <w:tcPr>
            <w:tcW w:w="1318" w:type="dxa"/>
            <w:tcBorders>
              <w:top w:val="nil"/>
              <w:bottom w:val="nil"/>
            </w:tcBorders>
            <w:vAlign w:val="center"/>
          </w:tcPr>
          <w:p w:rsidR="004F4374" w:rsidRPr="00BC6D26" w:rsidRDefault="004F4374" w:rsidP="00BC6D26">
            <w:pPr>
              <w:rPr>
                <w:b/>
                <w:sz w:val="24"/>
                <w:szCs w:val="24"/>
                <w:lang w:bidi="ar-MA"/>
              </w:rPr>
            </w:pPr>
          </w:p>
        </w:tc>
        <w:tc>
          <w:tcPr>
            <w:tcW w:w="1394" w:type="dxa"/>
            <w:tcBorders>
              <w:top w:val="nil"/>
              <w:bottom w:val="nil"/>
            </w:tcBorders>
            <w:vAlign w:val="center"/>
          </w:tcPr>
          <w:p w:rsidR="004F4374" w:rsidRPr="00BC6D26" w:rsidRDefault="004F4374" w:rsidP="00BC6D26">
            <w:pPr>
              <w:rPr>
                <w:b/>
                <w:sz w:val="24"/>
                <w:szCs w:val="24"/>
                <w:lang w:bidi="ar-MA"/>
              </w:rPr>
            </w:pPr>
          </w:p>
        </w:tc>
        <w:tc>
          <w:tcPr>
            <w:tcW w:w="1355" w:type="dxa"/>
            <w:tcBorders>
              <w:top w:val="nil"/>
              <w:bottom w:val="nil"/>
            </w:tcBorders>
            <w:shd w:val="clear" w:color="auto" w:fill="C6D9F1" w:themeFill="text2" w:themeFillTint="33"/>
            <w:vAlign w:val="center"/>
          </w:tcPr>
          <w:p w:rsidR="004F4374" w:rsidRPr="00BC6D26" w:rsidRDefault="004F4374" w:rsidP="00BC6D26">
            <w:pPr>
              <w:rPr>
                <w:b/>
                <w:sz w:val="24"/>
                <w:szCs w:val="24"/>
                <w:lang w:bidi="ar-MA"/>
              </w:rPr>
            </w:pPr>
          </w:p>
        </w:tc>
        <w:tc>
          <w:tcPr>
            <w:tcW w:w="1423" w:type="dxa"/>
            <w:tcBorders>
              <w:top w:val="nil"/>
              <w:bottom w:val="nil"/>
            </w:tcBorders>
            <w:shd w:val="clear" w:color="auto" w:fill="C6D9F1" w:themeFill="text2" w:themeFillTint="33"/>
            <w:vAlign w:val="center"/>
          </w:tcPr>
          <w:p w:rsidR="004F4374" w:rsidRPr="00BC6D26" w:rsidRDefault="004F4374" w:rsidP="00BC6D26">
            <w:pPr>
              <w:rPr>
                <w:b/>
                <w:sz w:val="24"/>
                <w:szCs w:val="24"/>
                <w:lang w:bidi="ar-MA"/>
              </w:rPr>
            </w:pPr>
          </w:p>
        </w:tc>
      </w:tr>
      <w:tr w:rsidR="004F4374" w:rsidRPr="00BC6D26" w:rsidTr="008F6F33">
        <w:trPr>
          <w:trHeight w:val="80"/>
          <w:jc w:val="center"/>
        </w:trPr>
        <w:tc>
          <w:tcPr>
            <w:tcW w:w="4498" w:type="dxa"/>
            <w:tcBorders>
              <w:top w:val="nil"/>
            </w:tcBorders>
          </w:tcPr>
          <w:p w:rsidR="004F4374" w:rsidRPr="00BC6D26" w:rsidRDefault="004F4374" w:rsidP="00BC6D26">
            <w:pPr>
              <w:rPr>
                <w:b/>
                <w:sz w:val="24"/>
                <w:szCs w:val="24"/>
                <w:lang w:bidi="ar-MA"/>
              </w:rPr>
            </w:pPr>
          </w:p>
        </w:tc>
        <w:tc>
          <w:tcPr>
            <w:tcW w:w="1318" w:type="dxa"/>
            <w:tcBorders>
              <w:top w:val="nil"/>
            </w:tcBorders>
          </w:tcPr>
          <w:p w:rsidR="004F4374" w:rsidRPr="00BC6D26" w:rsidRDefault="004F4374" w:rsidP="00BC6D26">
            <w:pPr>
              <w:rPr>
                <w:b/>
                <w:sz w:val="24"/>
                <w:szCs w:val="24"/>
                <w:lang w:bidi="ar-MA"/>
              </w:rPr>
            </w:pPr>
          </w:p>
        </w:tc>
        <w:tc>
          <w:tcPr>
            <w:tcW w:w="1394" w:type="dxa"/>
            <w:tcBorders>
              <w:top w:val="nil"/>
            </w:tcBorders>
          </w:tcPr>
          <w:p w:rsidR="004F4374" w:rsidRPr="00BC6D26" w:rsidRDefault="004F4374" w:rsidP="00BC6D26">
            <w:pPr>
              <w:rPr>
                <w:b/>
                <w:sz w:val="24"/>
                <w:szCs w:val="24"/>
                <w:lang w:bidi="ar-MA"/>
              </w:rPr>
            </w:pPr>
          </w:p>
        </w:tc>
        <w:tc>
          <w:tcPr>
            <w:tcW w:w="1355" w:type="dxa"/>
            <w:tcBorders>
              <w:top w:val="nil"/>
            </w:tcBorders>
            <w:shd w:val="clear" w:color="auto" w:fill="C6D9F1" w:themeFill="text2" w:themeFillTint="33"/>
          </w:tcPr>
          <w:p w:rsidR="004F4374" w:rsidRPr="00BC6D26" w:rsidRDefault="004F4374" w:rsidP="00BC6D26">
            <w:pPr>
              <w:rPr>
                <w:b/>
                <w:sz w:val="24"/>
                <w:szCs w:val="24"/>
                <w:lang w:bidi="ar-MA"/>
              </w:rPr>
            </w:pPr>
          </w:p>
        </w:tc>
        <w:tc>
          <w:tcPr>
            <w:tcW w:w="1423" w:type="dxa"/>
            <w:tcBorders>
              <w:top w:val="nil"/>
            </w:tcBorders>
            <w:shd w:val="clear" w:color="auto" w:fill="C6D9F1" w:themeFill="text2" w:themeFillTint="33"/>
          </w:tcPr>
          <w:p w:rsidR="004F4374" w:rsidRPr="00BC6D26" w:rsidRDefault="004F4374" w:rsidP="00BC6D26">
            <w:pPr>
              <w:rPr>
                <w:b/>
                <w:sz w:val="24"/>
                <w:szCs w:val="24"/>
                <w:lang w:bidi="ar-MA"/>
              </w:rPr>
            </w:pPr>
          </w:p>
        </w:tc>
      </w:tr>
    </w:tbl>
    <w:p w:rsidR="004F4374" w:rsidRPr="00BC6D26" w:rsidRDefault="004F4374" w:rsidP="00BC6D26">
      <w:pPr>
        <w:rPr>
          <w:b/>
          <w:sz w:val="24"/>
          <w:szCs w:val="24"/>
        </w:rPr>
      </w:pPr>
      <w:r w:rsidRPr="00BC6D26">
        <w:rPr>
          <w:b/>
          <w:sz w:val="24"/>
          <w:szCs w:val="24"/>
        </w:rPr>
        <w:t>NB : -Variations en % aux prix de l’année précédente.  - (*) : Estimations (**) : Prévisions  établies par le Haut Commissariat au Plan</w:t>
      </w:r>
    </w:p>
    <w:p w:rsidR="004F4374" w:rsidRPr="00BC6D26" w:rsidRDefault="004F4374" w:rsidP="00BC6D26">
      <w:pPr>
        <w:rPr>
          <w:b/>
          <w:sz w:val="24"/>
          <w:szCs w:val="24"/>
          <w:lang w:bidi="ar-MA"/>
        </w:rPr>
      </w:pPr>
      <w:r w:rsidRPr="00BC6D26">
        <w:rPr>
          <w:b/>
          <w:sz w:val="24"/>
          <w:szCs w:val="24"/>
          <w:lang w:bidi="ar-MA"/>
        </w:rPr>
        <w:br w:type="page"/>
      </w:r>
    </w:p>
    <w:p w:rsidR="004F4374" w:rsidRPr="00CC31AA" w:rsidRDefault="004F4374" w:rsidP="00BC6D26">
      <w:pPr>
        <w:rPr>
          <w:rFonts w:eastAsiaTheme="majorEastAsia"/>
          <w:b/>
          <w:color w:val="0070C0"/>
          <w:sz w:val="30"/>
          <w:szCs w:val="30"/>
          <w:u w:val="single"/>
        </w:rPr>
      </w:pPr>
    </w:p>
    <w:p w:rsidR="004F4374" w:rsidRPr="00CC31AA" w:rsidRDefault="004F4374" w:rsidP="00CC31AA">
      <w:pPr>
        <w:ind w:firstLine="0"/>
        <w:jc w:val="center"/>
        <w:rPr>
          <w:rFonts w:eastAsiaTheme="majorEastAsia"/>
          <w:b/>
          <w:color w:val="0070C0"/>
          <w:sz w:val="30"/>
          <w:szCs w:val="30"/>
          <w:u w:val="single"/>
        </w:rPr>
      </w:pPr>
      <w:r w:rsidRPr="00CC31AA">
        <w:rPr>
          <w:rFonts w:eastAsiaTheme="majorEastAsia"/>
          <w:b/>
          <w:color w:val="0070C0"/>
          <w:sz w:val="30"/>
          <w:szCs w:val="30"/>
          <w:u w:val="single"/>
        </w:rPr>
        <w:t>Ratios des autres indicateurs macroéconomiques</w:t>
      </w:r>
      <w:r w:rsidR="00CC31AA" w:rsidRPr="00CC31AA">
        <w:rPr>
          <w:rFonts w:eastAsiaTheme="majorEastAsia"/>
          <w:b/>
          <w:color w:val="0070C0"/>
          <w:sz w:val="30"/>
          <w:szCs w:val="30"/>
          <w:u w:val="single"/>
        </w:rPr>
        <w:t xml:space="preserve"> </w:t>
      </w:r>
      <w:r w:rsidRPr="00CC31AA">
        <w:rPr>
          <w:rFonts w:eastAsiaTheme="majorEastAsia"/>
          <w:b/>
          <w:color w:val="0070C0"/>
          <w:sz w:val="30"/>
          <w:szCs w:val="30"/>
          <w:u w:val="single"/>
        </w:rPr>
        <w:t>en % du PIB</w:t>
      </w:r>
    </w:p>
    <w:p w:rsidR="00CC31AA" w:rsidRPr="00BC6D26" w:rsidRDefault="00CC31AA" w:rsidP="00CC31AA">
      <w:pPr>
        <w:rPr>
          <w:b/>
          <w:color w:val="0070C0"/>
          <w:sz w:val="24"/>
          <w:szCs w:val="24"/>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3"/>
        <w:gridCol w:w="1461"/>
        <w:gridCol w:w="1133"/>
        <w:gridCol w:w="1357"/>
        <w:gridCol w:w="1337"/>
      </w:tblGrid>
      <w:tr w:rsidR="004F4374" w:rsidRPr="00BC6D26" w:rsidTr="00301C88">
        <w:trPr>
          <w:trHeight w:val="124"/>
          <w:jc w:val="center"/>
        </w:trPr>
        <w:tc>
          <w:tcPr>
            <w:tcW w:w="5143" w:type="dxa"/>
          </w:tcPr>
          <w:p w:rsidR="004F4374" w:rsidRPr="00BC6D26" w:rsidRDefault="004F4374" w:rsidP="00BC6D26">
            <w:pPr>
              <w:rPr>
                <w:b/>
                <w:sz w:val="24"/>
                <w:szCs w:val="24"/>
                <w:lang w:bidi="ar-MA"/>
              </w:rPr>
            </w:pPr>
            <w:r w:rsidRPr="00BC6D26">
              <w:rPr>
                <w:b/>
                <w:color w:val="0000FF"/>
                <w:sz w:val="24"/>
                <w:szCs w:val="24"/>
              </w:rPr>
              <w:t>Rubriques</w:t>
            </w:r>
          </w:p>
        </w:tc>
        <w:tc>
          <w:tcPr>
            <w:tcW w:w="1461" w:type="dxa"/>
            <w:vAlign w:val="center"/>
          </w:tcPr>
          <w:p w:rsidR="004F4374" w:rsidRPr="00BC6D26" w:rsidRDefault="004F4374" w:rsidP="00BC6D26">
            <w:pPr>
              <w:rPr>
                <w:b/>
                <w:color w:val="0000FF"/>
                <w:sz w:val="24"/>
                <w:szCs w:val="24"/>
              </w:rPr>
            </w:pPr>
            <w:r w:rsidRPr="00BC6D26">
              <w:rPr>
                <w:b/>
                <w:color w:val="0000FF"/>
                <w:sz w:val="24"/>
                <w:szCs w:val="24"/>
              </w:rPr>
              <w:t>2015</w:t>
            </w:r>
          </w:p>
        </w:tc>
        <w:tc>
          <w:tcPr>
            <w:tcW w:w="1133" w:type="dxa"/>
            <w:vAlign w:val="center"/>
          </w:tcPr>
          <w:p w:rsidR="004F4374" w:rsidRPr="00BC6D26" w:rsidRDefault="004F4374" w:rsidP="00BC6D26">
            <w:pPr>
              <w:rPr>
                <w:b/>
                <w:color w:val="0000FF"/>
                <w:sz w:val="24"/>
                <w:szCs w:val="24"/>
              </w:rPr>
            </w:pPr>
            <w:r w:rsidRPr="00BC6D26">
              <w:rPr>
                <w:b/>
                <w:color w:val="0000FF"/>
                <w:sz w:val="24"/>
                <w:szCs w:val="24"/>
              </w:rPr>
              <w:t>2016</w:t>
            </w:r>
          </w:p>
        </w:tc>
        <w:tc>
          <w:tcPr>
            <w:tcW w:w="1357" w:type="dxa"/>
            <w:vAlign w:val="center"/>
          </w:tcPr>
          <w:p w:rsidR="004F4374" w:rsidRPr="00BC6D26" w:rsidRDefault="004F4374" w:rsidP="00BC6D26">
            <w:pPr>
              <w:rPr>
                <w:b/>
                <w:color w:val="0000FF"/>
                <w:sz w:val="24"/>
                <w:szCs w:val="24"/>
              </w:rPr>
            </w:pPr>
            <w:r w:rsidRPr="00BC6D26">
              <w:rPr>
                <w:b/>
                <w:color w:val="0000FF"/>
                <w:sz w:val="24"/>
                <w:szCs w:val="24"/>
              </w:rPr>
              <w:t>2017*</w:t>
            </w:r>
          </w:p>
        </w:tc>
        <w:tc>
          <w:tcPr>
            <w:tcW w:w="1337" w:type="dxa"/>
            <w:shd w:val="clear" w:color="auto" w:fill="auto"/>
            <w:vAlign w:val="center"/>
          </w:tcPr>
          <w:p w:rsidR="004F4374" w:rsidRPr="00BC6D26" w:rsidRDefault="004F4374" w:rsidP="00BC6D26">
            <w:pPr>
              <w:rPr>
                <w:b/>
                <w:color w:val="0000FF"/>
                <w:sz w:val="24"/>
                <w:szCs w:val="24"/>
              </w:rPr>
            </w:pPr>
            <w:r w:rsidRPr="00BC6D26">
              <w:rPr>
                <w:b/>
                <w:color w:val="0000FF"/>
                <w:sz w:val="24"/>
                <w:szCs w:val="24"/>
              </w:rPr>
              <w:t>2018**</w:t>
            </w:r>
          </w:p>
        </w:tc>
      </w:tr>
      <w:tr w:rsidR="004F4374" w:rsidRPr="00BC6D26" w:rsidTr="00301C88">
        <w:trPr>
          <w:trHeight w:val="1160"/>
          <w:jc w:val="center"/>
        </w:trPr>
        <w:tc>
          <w:tcPr>
            <w:tcW w:w="5143"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Epargne Intérieure…………………………..…..</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Epargne Nationale ….………………..……….…</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Investissement Brut………………….…..………</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Solde de financement. ………………………….</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Déficit budgétaire ….…………………..…………</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Dette Publique globale…………….……………</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Dette de Trésor…….………………………………</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Réserves en mois d’importations …………</w:t>
            </w:r>
          </w:p>
        </w:tc>
        <w:tc>
          <w:tcPr>
            <w:tcW w:w="1461"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23,2</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28,66</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30,8</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-2,1</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-4,1</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79,9</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63,7</w:t>
            </w:r>
          </w:p>
          <w:p w:rsidR="004F4374" w:rsidRPr="00BC6D26" w:rsidRDefault="004F4374" w:rsidP="00BC6D26">
            <w:pPr>
              <w:rPr>
                <w:b/>
                <w:sz w:val="24"/>
                <w:szCs w:val="24"/>
                <w:lang w:bidi="ar-MA"/>
              </w:rPr>
            </w:pPr>
          </w:p>
          <w:p w:rsidR="004F4374" w:rsidRPr="00BC6D26" w:rsidRDefault="00A757FD" w:rsidP="00BC6D26">
            <w:pPr>
              <w:rPr>
                <w:b/>
                <w:sz w:val="24"/>
                <w:szCs w:val="24"/>
                <w:lang w:bidi="ar-MA"/>
              </w:rPr>
            </w:pPr>
            <w:r w:rsidRPr="00BC6D26">
              <w:rPr>
                <w:sz w:val="24"/>
                <w:szCs w:val="24"/>
                <w:lang w:bidi="ar-MA"/>
              </w:rPr>
              <w:t>5,9</w:t>
            </w:r>
          </w:p>
        </w:tc>
        <w:tc>
          <w:tcPr>
            <w:tcW w:w="1133"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22,8</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28,7</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33,1</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-4,4</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-4,0</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80,9</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64,6</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6,</w:t>
            </w:r>
            <w:r w:rsidR="00A757FD" w:rsidRPr="00BC6D26">
              <w:rPr>
                <w:sz w:val="24"/>
                <w:szCs w:val="24"/>
                <w:lang w:bidi="ar-MA"/>
              </w:rPr>
              <w:t>1</w:t>
            </w:r>
          </w:p>
        </w:tc>
        <w:tc>
          <w:tcPr>
            <w:tcW w:w="1357"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23,</w:t>
            </w:r>
            <w:r w:rsidR="00C54F75" w:rsidRPr="00BC6D26">
              <w:rPr>
                <w:sz w:val="24"/>
                <w:szCs w:val="24"/>
                <w:lang w:bidi="ar-MA"/>
              </w:rPr>
              <w:t>1</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28,9</w:t>
            </w:r>
          </w:p>
          <w:p w:rsidR="004F4374" w:rsidRPr="00BC6D26" w:rsidRDefault="004F4374" w:rsidP="00BC6D26">
            <w:pPr>
              <w:rPr>
                <w:b/>
                <w:sz w:val="24"/>
                <w:szCs w:val="24"/>
                <w:lang w:bidi="ar-MA"/>
              </w:rPr>
            </w:pPr>
          </w:p>
          <w:p w:rsidR="004F4374" w:rsidRPr="00BC6D26" w:rsidRDefault="004F4374" w:rsidP="00454F1C">
            <w:pPr>
              <w:rPr>
                <w:b/>
                <w:sz w:val="24"/>
                <w:szCs w:val="24"/>
                <w:lang w:bidi="ar-MA"/>
              </w:rPr>
            </w:pPr>
            <w:r w:rsidRPr="00BC6D26">
              <w:rPr>
                <w:sz w:val="24"/>
                <w:szCs w:val="24"/>
                <w:lang w:bidi="ar-MA"/>
              </w:rPr>
              <w:t>33,</w:t>
            </w:r>
            <w:r w:rsidR="00454F1C">
              <w:rPr>
                <w:sz w:val="24"/>
                <w:szCs w:val="24"/>
                <w:lang w:bidi="ar-MA"/>
              </w:rPr>
              <w:t>3</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-4,</w:t>
            </w:r>
            <w:r w:rsidR="00C54F75" w:rsidRPr="00BC6D26">
              <w:rPr>
                <w:sz w:val="24"/>
                <w:szCs w:val="24"/>
                <w:lang w:bidi="ar-MA"/>
              </w:rPr>
              <w:t>4</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-3,</w:t>
            </w:r>
            <w:r w:rsidR="00A757FD" w:rsidRPr="00BC6D26">
              <w:rPr>
                <w:sz w:val="24"/>
                <w:szCs w:val="24"/>
                <w:lang w:bidi="ar-MA"/>
              </w:rPr>
              <w:t>5</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81,</w:t>
            </w:r>
            <w:r w:rsidR="00A757FD" w:rsidRPr="00BC6D26">
              <w:rPr>
                <w:sz w:val="24"/>
                <w:szCs w:val="24"/>
                <w:lang w:bidi="ar-MA"/>
              </w:rPr>
              <w:t>6</w:t>
            </w:r>
          </w:p>
          <w:p w:rsidR="004F4374" w:rsidRPr="00BC6D26" w:rsidRDefault="004F4374" w:rsidP="00BC6D26">
            <w:pPr>
              <w:rPr>
                <w:b/>
                <w:sz w:val="24"/>
                <w:szCs w:val="24"/>
                <w:lang w:bidi="ar-MA"/>
              </w:rPr>
            </w:pPr>
          </w:p>
          <w:p w:rsidR="004F4374" w:rsidRPr="00BC6D26" w:rsidRDefault="00A757FD" w:rsidP="00BC6D26">
            <w:pPr>
              <w:rPr>
                <w:b/>
                <w:sz w:val="24"/>
                <w:szCs w:val="24"/>
                <w:lang w:bidi="ar-MA"/>
              </w:rPr>
            </w:pPr>
            <w:r w:rsidRPr="00BC6D26">
              <w:rPr>
                <w:sz w:val="24"/>
                <w:szCs w:val="24"/>
                <w:lang w:bidi="ar-MA"/>
              </w:rPr>
              <w:t>65,1</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5,</w:t>
            </w:r>
            <w:r w:rsidR="00A757FD" w:rsidRPr="00BC6D26">
              <w:rPr>
                <w:sz w:val="24"/>
                <w:szCs w:val="24"/>
                <w:lang w:bidi="ar-MA"/>
              </w:rPr>
              <w:t>5</w:t>
            </w:r>
          </w:p>
        </w:tc>
        <w:tc>
          <w:tcPr>
            <w:tcW w:w="1337" w:type="dxa"/>
          </w:tcPr>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22,7</w:t>
            </w:r>
          </w:p>
          <w:p w:rsidR="004F4374" w:rsidRPr="00BC6D26" w:rsidRDefault="004F4374" w:rsidP="00BC6D26">
            <w:pPr>
              <w:rPr>
                <w:b/>
                <w:sz w:val="24"/>
                <w:szCs w:val="24"/>
                <w:lang w:bidi="ar-MA"/>
              </w:rPr>
            </w:pPr>
          </w:p>
          <w:p w:rsidR="004F4374" w:rsidRPr="00BC6D26" w:rsidRDefault="004F4374" w:rsidP="00102B18">
            <w:pPr>
              <w:rPr>
                <w:b/>
                <w:sz w:val="24"/>
                <w:szCs w:val="24"/>
                <w:lang w:bidi="ar-MA"/>
              </w:rPr>
            </w:pPr>
            <w:r w:rsidRPr="00BC6D26">
              <w:rPr>
                <w:sz w:val="24"/>
                <w:szCs w:val="24"/>
                <w:lang w:bidi="ar-MA"/>
              </w:rPr>
              <w:t>28,</w:t>
            </w:r>
            <w:r w:rsidR="00102B18">
              <w:rPr>
                <w:sz w:val="24"/>
                <w:szCs w:val="24"/>
                <w:lang w:bidi="ar-MA"/>
              </w:rPr>
              <w:t>4</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33,</w:t>
            </w:r>
            <w:r w:rsidR="00C54F75" w:rsidRPr="00BC6D26">
              <w:rPr>
                <w:sz w:val="24"/>
                <w:szCs w:val="24"/>
                <w:lang w:bidi="ar-MA"/>
              </w:rPr>
              <w:t>2</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-4,</w:t>
            </w:r>
            <w:r w:rsidR="00C54F75" w:rsidRPr="00BC6D26">
              <w:rPr>
                <w:sz w:val="24"/>
                <w:szCs w:val="24"/>
                <w:lang w:bidi="ar-MA"/>
              </w:rPr>
              <w:t>8</w:t>
            </w:r>
          </w:p>
          <w:p w:rsidR="004F4374" w:rsidRPr="00BC6D26" w:rsidRDefault="004F4374" w:rsidP="00BC6D26">
            <w:pPr>
              <w:rPr>
                <w:b/>
                <w:sz w:val="24"/>
                <w:szCs w:val="24"/>
                <w:lang w:bidi="ar-MA"/>
              </w:rPr>
            </w:pPr>
          </w:p>
          <w:p w:rsidR="004F4374" w:rsidRPr="00BC6D26" w:rsidRDefault="004F4374" w:rsidP="00BC6D26">
            <w:pPr>
              <w:rPr>
                <w:b/>
                <w:sz w:val="24"/>
                <w:szCs w:val="24"/>
                <w:lang w:bidi="ar-MA"/>
              </w:rPr>
            </w:pPr>
            <w:r w:rsidRPr="00BC6D26">
              <w:rPr>
                <w:sz w:val="24"/>
                <w:szCs w:val="24"/>
                <w:lang w:bidi="ar-MA"/>
              </w:rPr>
              <w:t>-3,5</w:t>
            </w:r>
          </w:p>
          <w:p w:rsidR="004F4374" w:rsidRPr="00BC6D26" w:rsidRDefault="004F4374" w:rsidP="00BC6D26">
            <w:pPr>
              <w:rPr>
                <w:b/>
                <w:sz w:val="24"/>
                <w:szCs w:val="24"/>
                <w:lang w:bidi="ar-MA"/>
              </w:rPr>
            </w:pPr>
          </w:p>
          <w:p w:rsidR="004F4374" w:rsidRPr="00BC6D26" w:rsidRDefault="00A757FD" w:rsidP="00102B18">
            <w:pPr>
              <w:rPr>
                <w:b/>
                <w:sz w:val="24"/>
                <w:szCs w:val="24"/>
                <w:lang w:bidi="ar-MA"/>
              </w:rPr>
            </w:pPr>
            <w:r w:rsidRPr="00BC6D26">
              <w:rPr>
                <w:sz w:val="24"/>
                <w:szCs w:val="24"/>
                <w:lang w:bidi="ar-MA"/>
              </w:rPr>
              <w:t>82,</w:t>
            </w:r>
            <w:r w:rsidR="00102B18">
              <w:rPr>
                <w:sz w:val="24"/>
                <w:szCs w:val="24"/>
                <w:lang w:bidi="ar-MA"/>
              </w:rPr>
              <w:t>3</w:t>
            </w:r>
          </w:p>
          <w:p w:rsidR="004F4374" w:rsidRPr="00BC6D26" w:rsidRDefault="004F4374" w:rsidP="00BC6D26">
            <w:pPr>
              <w:rPr>
                <w:b/>
                <w:sz w:val="24"/>
                <w:szCs w:val="24"/>
                <w:lang w:bidi="ar-MA"/>
              </w:rPr>
            </w:pPr>
          </w:p>
          <w:p w:rsidR="004F4374" w:rsidRPr="00BC6D26" w:rsidRDefault="00A757FD" w:rsidP="00BC6D26">
            <w:pPr>
              <w:rPr>
                <w:b/>
                <w:sz w:val="24"/>
                <w:szCs w:val="24"/>
                <w:lang w:bidi="ar-MA"/>
              </w:rPr>
            </w:pPr>
            <w:r w:rsidRPr="00BC6D26">
              <w:rPr>
                <w:sz w:val="24"/>
                <w:szCs w:val="24"/>
                <w:lang w:bidi="ar-MA"/>
              </w:rPr>
              <w:t>65</w:t>
            </w:r>
            <w:r w:rsidR="002907E9" w:rsidRPr="00BC6D26">
              <w:rPr>
                <w:sz w:val="24"/>
                <w:szCs w:val="24"/>
                <w:lang w:bidi="ar-MA"/>
              </w:rPr>
              <w:t>,0</w:t>
            </w:r>
          </w:p>
          <w:p w:rsidR="004F4374" w:rsidRPr="00BC6D26" w:rsidRDefault="004F4374" w:rsidP="00BC6D26">
            <w:pPr>
              <w:rPr>
                <w:b/>
                <w:sz w:val="24"/>
                <w:szCs w:val="24"/>
                <w:lang w:bidi="ar-MA"/>
              </w:rPr>
            </w:pPr>
          </w:p>
          <w:p w:rsidR="004F4374" w:rsidRPr="00BC6D26" w:rsidRDefault="00A757FD" w:rsidP="00BC6D26">
            <w:pPr>
              <w:rPr>
                <w:b/>
                <w:sz w:val="24"/>
                <w:szCs w:val="24"/>
                <w:lang w:bidi="ar-MA"/>
              </w:rPr>
            </w:pPr>
            <w:r w:rsidRPr="00BC6D26">
              <w:rPr>
                <w:sz w:val="24"/>
                <w:szCs w:val="24"/>
                <w:lang w:bidi="ar-MA"/>
              </w:rPr>
              <w:t>4,9</w:t>
            </w:r>
          </w:p>
        </w:tc>
      </w:tr>
    </w:tbl>
    <w:p w:rsidR="004F4374" w:rsidRPr="00BC6D26" w:rsidRDefault="004F4374" w:rsidP="00BC6D26">
      <w:pPr>
        <w:rPr>
          <w:b/>
          <w:sz w:val="24"/>
          <w:szCs w:val="24"/>
        </w:rPr>
      </w:pPr>
      <w:r w:rsidRPr="00BC6D26">
        <w:rPr>
          <w:b/>
          <w:sz w:val="24"/>
          <w:szCs w:val="24"/>
        </w:rPr>
        <w:t>(*) : Estimation pour 2017    (**) : Prévisions</w:t>
      </w:r>
      <w:r w:rsidRPr="00BC6D26">
        <w:rPr>
          <w:b/>
          <w:sz w:val="24"/>
          <w:szCs w:val="24"/>
          <w:lang w:bidi="ar-MA"/>
        </w:rPr>
        <w:t xml:space="preserve"> établies par le Haut Commissariat au Plan pour 2018. </w:t>
      </w:r>
    </w:p>
    <w:p w:rsidR="004F4374" w:rsidRPr="00BC6D26" w:rsidRDefault="004F4374" w:rsidP="00BC6D26">
      <w:pPr>
        <w:rPr>
          <w:b/>
          <w:sz w:val="24"/>
          <w:szCs w:val="24"/>
        </w:rPr>
      </w:pPr>
      <w:r w:rsidRPr="00BC6D26">
        <w:rPr>
          <w:sz w:val="24"/>
          <w:szCs w:val="24"/>
        </w:rPr>
        <w:tab/>
      </w:r>
    </w:p>
    <w:p w:rsidR="004F4374" w:rsidRPr="00BC6D26" w:rsidRDefault="004F4374" w:rsidP="00BC6D26">
      <w:pPr>
        <w:rPr>
          <w:b/>
          <w:sz w:val="24"/>
          <w:szCs w:val="24"/>
        </w:rPr>
      </w:pPr>
    </w:p>
    <w:p w:rsidR="004F4374" w:rsidRPr="00BC6D26" w:rsidRDefault="004F4374" w:rsidP="00BC6D26">
      <w:pPr>
        <w:rPr>
          <w:sz w:val="24"/>
          <w:szCs w:val="24"/>
          <w:u w:val="single"/>
        </w:rPr>
      </w:pPr>
    </w:p>
    <w:p w:rsidR="004F4374" w:rsidRPr="00BC6D26" w:rsidRDefault="004F4374" w:rsidP="00BC6D26">
      <w:pPr>
        <w:rPr>
          <w:sz w:val="24"/>
          <w:szCs w:val="24"/>
        </w:rPr>
      </w:pPr>
    </w:p>
    <w:sectPr w:rsidR="004F4374" w:rsidRPr="00BC6D26" w:rsidSect="0017547C">
      <w:footerReference w:type="default" r:id="rId9"/>
      <w:headerReference w:type="first" r:id="rId10"/>
      <w:pgSz w:w="11906" w:h="16838" w:code="9"/>
      <w:pgMar w:top="993" w:right="1274" w:bottom="1418" w:left="993"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FB8" w:rsidRDefault="001E5FB8" w:rsidP="00D179CC">
      <w:r>
        <w:separator/>
      </w:r>
    </w:p>
  </w:endnote>
  <w:endnote w:type="continuationSeparator" w:id="1">
    <w:p w:rsidR="001E5FB8" w:rsidRDefault="001E5FB8" w:rsidP="00D179C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B8" w:rsidRDefault="00AD098F" w:rsidP="00F419C4">
    <w:pPr>
      <w:pStyle w:val="Pieddepage"/>
      <w:jc w:val="right"/>
    </w:pPr>
    <w:fldSimple w:instr=" PAGE   \* MERGEFORMAT ">
      <w:r w:rsidR="00B14939">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FB8" w:rsidRDefault="001E5FB8" w:rsidP="00D179CC">
      <w:r>
        <w:separator/>
      </w:r>
    </w:p>
  </w:footnote>
  <w:footnote w:type="continuationSeparator" w:id="1">
    <w:p w:rsidR="001E5FB8" w:rsidRDefault="001E5FB8" w:rsidP="00D17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B8" w:rsidRDefault="001E5FB8">
    <w:pPr>
      <w:pStyle w:val="En-tte"/>
    </w:pPr>
    <w:r>
      <w:rPr>
        <w:noProof/>
        <w:lang w:eastAsia="fr-FR" w:bidi="ar-SA"/>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2D76"/>
      </v:shape>
    </w:pict>
  </w:numPicBullet>
  <w:abstractNum w:abstractNumId="0">
    <w:nsid w:val="05111823"/>
    <w:multiLevelType w:val="hybridMultilevel"/>
    <w:tmpl w:val="77742E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F46624"/>
    <w:multiLevelType w:val="hybridMultilevel"/>
    <w:tmpl w:val="7ED8971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DF66D5B"/>
    <w:multiLevelType w:val="hybridMultilevel"/>
    <w:tmpl w:val="CEECE774"/>
    <w:lvl w:ilvl="0" w:tplc="3CC0DF5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36EA76AE"/>
    <w:multiLevelType w:val="hybridMultilevel"/>
    <w:tmpl w:val="CA4E9A86"/>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396755CC"/>
    <w:multiLevelType w:val="multilevel"/>
    <w:tmpl w:val="683E8B0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A371135"/>
    <w:multiLevelType w:val="hybridMultilevel"/>
    <w:tmpl w:val="1C8EE3B4"/>
    <w:lvl w:ilvl="0" w:tplc="D93A160C">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C44FC9"/>
    <w:multiLevelType w:val="hybridMultilevel"/>
    <w:tmpl w:val="FD8EFA56"/>
    <w:lvl w:ilvl="0" w:tplc="70F871C0">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D2663E8"/>
    <w:multiLevelType w:val="hybridMultilevel"/>
    <w:tmpl w:val="ED38FEEA"/>
    <w:lvl w:ilvl="0" w:tplc="E62CB20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2A47723"/>
    <w:multiLevelType w:val="hybridMultilevel"/>
    <w:tmpl w:val="AF804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B7721B"/>
    <w:multiLevelType w:val="hybridMultilevel"/>
    <w:tmpl w:val="A0C64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950729A"/>
    <w:multiLevelType w:val="hybridMultilevel"/>
    <w:tmpl w:val="7B9A3E54"/>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A9062F5"/>
    <w:multiLevelType w:val="hybridMultilevel"/>
    <w:tmpl w:val="5B72A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AFD38BE"/>
    <w:multiLevelType w:val="hybridMultilevel"/>
    <w:tmpl w:val="04D4AA7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74D97EB0"/>
    <w:multiLevelType w:val="hybridMultilevel"/>
    <w:tmpl w:val="1A0ECF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13"/>
  </w:num>
  <w:num w:numId="6">
    <w:abstractNumId w:val="12"/>
  </w:num>
  <w:num w:numId="7">
    <w:abstractNumId w:val="11"/>
  </w:num>
  <w:num w:numId="8">
    <w:abstractNumId w:val="2"/>
  </w:num>
  <w:num w:numId="9">
    <w:abstractNumId w:val="5"/>
  </w:num>
  <w:num w:numId="10">
    <w:abstractNumId w:val="15"/>
  </w:num>
  <w:num w:numId="11">
    <w:abstractNumId w:val="14"/>
  </w:num>
  <w:num w:numId="12">
    <w:abstractNumId w:val="4"/>
  </w:num>
  <w:num w:numId="13">
    <w:abstractNumId w:val="10"/>
  </w:num>
  <w:num w:numId="14">
    <w:abstractNumId w:val="9"/>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mailMerge>
    <w:mainDocumentType w:val="formLetters"/>
    <w:dataType w:val="textFile"/>
    <w:activeRecord w:val="-1"/>
    <w:odso/>
  </w:mailMerge>
  <w:defaultTabStop w:val="708"/>
  <w:hyphenationZone w:val="425"/>
  <w:characterSpacingControl w:val="doNotCompress"/>
  <w:hdrShapeDefaults>
    <o:shapedefaults v:ext="edit" spidmax="2049">
      <o:colormenu v:ext="edit" fillcolor="none [671]"/>
    </o:shapedefaults>
  </w:hdrShapeDefaults>
  <w:footnotePr>
    <w:footnote w:id="0"/>
    <w:footnote w:id="1"/>
  </w:footnotePr>
  <w:endnotePr>
    <w:endnote w:id="0"/>
    <w:endnote w:id="1"/>
  </w:endnotePr>
  <w:compat>
    <w:useFELayout/>
  </w:compat>
  <w:rsids>
    <w:rsidRoot w:val="005E5224"/>
    <w:rsid w:val="000003FE"/>
    <w:rsid w:val="00000FE5"/>
    <w:rsid w:val="000011F0"/>
    <w:rsid w:val="0001139F"/>
    <w:rsid w:val="000119DD"/>
    <w:rsid w:val="00013827"/>
    <w:rsid w:val="00016407"/>
    <w:rsid w:val="00022512"/>
    <w:rsid w:val="00023817"/>
    <w:rsid w:val="00023AD4"/>
    <w:rsid w:val="00025302"/>
    <w:rsid w:val="00027AE9"/>
    <w:rsid w:val="00035F1C"/>
    <w:rsid w:val="0004078D"/>
    <w:rsid w:val="00041C46"/>
    <w:rsid w:val="000444F4"/>
    <w:rsid w:val="000452FF"/>
    <w:rsid w:val="00045CBF"/>
    <w:rsid w:val="00046678"/>
    <w:rsid w:val="000466C8"/>
    <w:rsid w:val="00053744"/>
    <w:rsid w:val="000557BC"/>
    <w:rsid w:val="000568DC"/>
    <w:rsid w:val="00061E4C"/>
    <w:rsid w:val="00061F02"/>
    <w:rsid w:val="00064C57"/>
    <w:rsid w:val="00064E5D"/>
    <w:rsid w:val="000671FC"/>
    <w:rsid w:val="00074628"/>
    <w:rsid w:val="00076FEB"/>
    <w:rsid w:val="00080290"/>
    <w:rsid w:val="00080377"/>
    <w:rsid w:val="00081576"/>
    <w:rsid w:val="00082204"/>
    <w:rsid w:val="00083DBB"/>
    <w:rsid w:val="00084ABE"/>
    <w:rsid w:val="0008746F"/>
    <w:rsid w:val="000906F2"/>
    <w:rsid w:val="00096464"/>
    <w:rsid w:val="0009677F"/>
    <w:rsid w:val="00096867"/>
    <w:rsid w:val="000A76FF"/>
    <w:rsid w:val="000B08F5"/>
    <w:rsid w:val="000B3A4F"/>
    <w:rsid w:val="000B4A0B"/>
    <w:rsid w:val="000B5D7E"/>
    <w:rsid w:val="000C26C2"/>
    <w:rsid w:val="000C2767"/>
    <w:rsid w:val="000C2962"/>
    <w:rsid w:val="000C2E79"/>
    <w:rsid w:val="000E38B5"/>
    <w:rsid w:val="000E7E05"/>
    <w:rsid w:val="000F1652"/>
    <w:rsid w:val="000F2B94"/>
    <w:rsid w:val="000F5BD9"/>
    <w:rsid w:val="000F6675"/>
    <w:rsid w:val="00101965"/>
    <w:rsid w:val="0010229F"/>
    <w:rsid w:val="00102B18"/>
    <w:rsid w:val="00105593"/>
    <w:rsid w:val="0011094C"/>
    <w:rsid w:val="00113366"/>
    <w:rsid w:val="001214B2"/>
    <w:rsid w:val="001216D5"/>
    <w:rsid w:val="001235DF"/>
    <w:rsid w:val="00124FC2"/>
    <w:rsid w:val="001255F0"/>
    <w:rsid w:val="00126E31"/>
    <w:rsid w:val="00127ED7"/>
    <w:rsid w:val="0013022B"/>
    <w:rsid w:val="001347A2"/>
    <w:rsid w:val="00142CC6"/>
    <w:rsid w:val="001472FB"/>
    <w:rsid w:val="00147412"/>
    <w:rsid w:val="001531A9"/>
    <w:rsid w:val="001541F6"/>
    <w:rsid w:val="00154D20"/>
    <w:rsid w:val="0015539B"/>
    <w:rsid w:val="00155C78"/>
    <w:rsid w:val="001611BD"/>
    <w:rsid w:val="00164531"/>
    <w:rsid w:val="00165E18"/>
    <w:rsid w:val="00167FA7"/>
    <w:rsid w:val="001727E2"/>
    <w:rsid w:val="00172F55"/>
    <w:rsid w:val="0017453B"/>
    <w:rsid w:val="00174BC7"/>
    <w:rsid w:val="00174C7F"/>
    <w:rsid w:val="0017547C"/>
    <w:rsid w:val="00180257"/>
    <w:rsid w:val="0018092F"/>
    <w:rsid w:val="00181D60"/>
    <w:rsid w:val="00182E5D"/>
    <w:rsid w:val="001842CA"/>
    <w:rsid w:val="00186D40"/>
    <w:rsid w:val="00187F99"/>
    <w:rsid w:val="001904C8"/>
    <w:rsid w:val="00191140"/>
    <w:rsid w:val="00194195"/>
    <w:rsid w:val="001A29AC"/>
    <w:rsid w:val="001A2D5F"/>
    <w:rsid w:val="001A321E"/>
    <w:rsid w:val="001B690C"/>
    <w:rsid w:val="001B7A2E"/>
    <w:rsid w:val="001B7CF8"/>
    <w:rsid w:val="001C0BF5"/>
    <w:rsid w:val="001C2E7B"/>
    <w:rsid w:val="001C3296"/>
    <w:rsid w:val="001C52AB"/>
    <w:rsid w:val="001D0D52"/>
    <w:rsid w:val="001D1898"/>
    <w:rsid w:val="001D3104"/>
    <w:rsid w:val="001D4B25"/>
    <w:rsid w:val="001D51B4"/>
    <w:rsid w:val="001E5B50"/>
    <w:rsid w:val="001E5D66"/>
    <w:rsid w:val="001E5FB8"/>
    <w:rsid w:val="001F24D5"/>
    <w:rsid w:val="001F3F1E"/>
    <w:rsid w:val="001F4DEF"/>
    <w:rsid w:val="001F5EC1"/>
    <w:rsid w:val="001F62FA"/>
    <w:rsid w:val="001F7406"/>
    <w:rsid w:val="002007E8"/>
    <w:rsid w:val="00201158"/>
    <w:rsid w:val="002018ED"/>
    <w:rsid w:val="00206F93"/>
    <w:rsid w:val="00213339"/>
    <w:rsid w:val="00215EAE"/>
    <w:rsid w:val="00217B4E"/>
    <w:rsid w:val="00221D4D"/>
    <w:rsid w:val="0022246D"/>
    <w:rsid w:val="002243F2"/>
    <w:rsid w:val="002260E7"/>
    <w:rsid w:val="00226E32"/>
    <w:rsid w:val="00226E7A"/>
    <w:rsid w:val="00230239"/>
    <w:rsid w:val="002306BD"/>
    <w:rsid w:val="00232B32"/>
    <w:rsid w:val="00232FBE"/>
    <w:rsid w:val="00235AE6"/>
    <w:rsid w:val="0023651D"/>
    <w:rsid w:val="00243A52"/>
    <w:rsid w:val="00243DD7"/>
    <w:rsid w:val="00247171"/>
    <w:rsid w:val="002518D2"/>
    <w:rsid w:val="00255839"/>
    <w:rsid w:val="002619A0"/>
    <w:rsid w:val="00270137"/>
    <w:rsid w:val="002707F2"/>
    <w:rsid w:val="00271B17"/>
    <w:rsid w:val="00272949"/>
    <w:rsid w:val="0027323A"/>
    <w:rsid w:val="002907E9"/>
    <w:rsid w:val="00290BDD"/>
    <w:rsid w:val="0029317B"/>
    <w:rsid w:val="002936DF"/>
    <w:rsid w:val="00294450"/>
    <w:rsid w:val="002A31A6"/>
    <w:rsid w:val="002A34D8"/>
    <w:rsid w:val="002A57A2"/>
    <w:rsid w:val="002A6343"/>
    <w:rsid w:val="002A64A0"/>
    <w:rsid w:val="002B19E1"/>
    <w:rsid w:val="002B4941"/>
    <w:rsid w:val="002B6D90"/>
    <w:rsid w:val="002C0BC5"/>
    <w:rsid w:val="002C24A2"/>
    <w:rsid w:val="002C2570"/>
    <w:rsid w:val="002C53C8"/>
    <w:rsid w:val="002C58D2"/>
    <w:rsid w:val="002D134E"/>
    <w:rsid w:val="002E433D"/>
    <w:rsid w:val="002E4655"/>
    <w:rsid w:val="002F4C6B"/>
    <w:rsid w:val="002F7AC7"/>
    <w:rsid w:val="003013BD"/>
    <w:rsid w:val="00301C88"/>
    <w:rsid w:val="00302394"/>
    <w:rsid w:val="00303A34"/>
    <w:rsid w:val="00306603"/>
    <w:rsid w:val="00306824"/>
    <w:rsid w:val="003069DB"/>
    <w:rsid w:val="00313D3C"/>
    <w:rsid w:val="00315186"/>
    <w:rsid w:val="003151C3"/>
    <w:rsid w:val="00324210"/>
    <w:rsid w:val="00324F2D"/>
    <w:rsid w:val="003265A4"/>
    <w:rsid w:val="003344DB"/>
    <w:rsid w:val="00335E5C"/>
    <w:rsid w:val="00342609"/>
    <w:rsid w:val="00357F3B"/>
    <w:rsid w:val="0036089D"/>
    <w:rsid w:val="003669D1"/>
    <w:rsid w:val="00373F31"/>
    <w:rsid w:val="00375C68"/>
    <w:rsid w:val="00381294"/>
    <w:rsid w:val="0038148D"/>
    <w:rsid w:val="00382C9B"/>
    <w:rsid w:val="00382E07"/>
    <w:rsid w:val="0039137B"/>
    <w:rsid w:val="00391EC4"/>
    <w:rsid w:val="00397785"/>
    <w:rsid w:val="00397AD0"/>
    <w:rsid w:val="003A6FEB"/>
    <w:rsid w:val="003B13C8"/>
    <w:rsid w:val="003B79FD"/>
    <w:rsid w:val="003C1F71"/>
    <w:rsid w:val="003D0B0B"/>
    <w:rsid w:val="003D2493"/>
    <w:rsid w:val="003D25A4"/>
    <w:rsid w:val="003D3413"/>
    <w:rsid w:val="003D4173"/>
    <w:rsid w:val="003E3A4F"/>
    <w:rsid w:val="003E5553"/>
    <w:rsid w:val="003E5F82"/>
    <w:rsid w:val="003E6D19"/>
    <w:rsid w:val="003E6F61"/>
    <w:rsid w:val="003F2A7C"/>
    <w:rsid w:val="003F35F7"/>
    <w:rsid w:val="003F5E7F"/>
    <w:rsid w:val="00400807"/>
    <w:rsid w:val="00405A09"/>
    <w:rsid w:val="00410514"/>
    <w:rsid w:val="004129A0"/>
    <w:rsid w:val="004145B7"/>
    <w:rsid w:val="00414E85"/>
    <w:rsid w:val="00416050"/>
    <w:rsid w:val="0042250A"/>
    <w:rsid w:val="004266A8"/>
    <w:rsid w:val="00437A03"/>
    <w:rsid w:val="00450132"/>
    <w:rsid w:val="00454F1C"/>
    <w:rsid w:val="0045501F"/>
    <w:rsid w:val="00457A08"/>
    <w:rsid w:val="00461900"/>
    <w:rsid w:val="0046342C"/>
    <w:rsid w:val="00471B2F"/>
    <w:rsid w:val="0047219B"/>
    <w:rsid w:val="00475297"/>
    <w:rsid w:val="004763BD"/>
    <w:rsid w:val="00477293"/>
    <w:rsid w:val="00480B75"/>
    <w:rsid w:val="00481E0C"/>
    <w:rsid w:val="00487120"/>
    <w:rsid w:val="00490B84"/>
    <w:rsid w:val="0049213F"/>
    <w:rsid w:val="00494298"/>
    <w:rsid w:val="004A0E75"/>
    <w:rsid w:val="004A33F5"/>
    <w:rsid w:val="004A5A61"/>
    <w:rsid w:val="004A61E3"/>
    <w:rsid w:val="004A687A"/>
    <w:rsid w:val="004A6F7B"/>
    <w:rsid w:val="004B0C4C"/>
    <w:rsid w:val="004B153E"/>
    <w:rsid w:val="004B318C"/>
    <w:rsid w:val="004B39B1"/>
    <w:rsid w:val="004B581B"/>
    <w:rsid w:val="004B7211"/>
    <w:rsid w:val="004B72AF"/>
    <w:rsid w:val="004B73FF"/>
    <w:rsid w:val="004B7905"/>
    <w:rsid w:val="004B7D7F"/>
    <w:rsid w:val="004C1C5D"/>
    <w:rsid w:val="004C3540"/>
    <w:rsid w:val="004C484E"/>
    <w:rsid w:val="004C557B"/>
    <w:rsid w:val="004D0ADE"/>
    <w:rsid w:val="004D3625"/>
    <w:rsid w:val="004D51D0"/>
    <w:rsid w:val="004D5718"/>
    <w:rsid w:val="004D61AF"/>
    <w:rsid w:val="004E3EFD"/>
    <w:rsid w:val="004E6480"/>
    <w:rsid w:val="004F15AC"/>
    <w:rsid w:val="004F2A0B"/>
    <w:rsid w:val="004F2BAF"/>
    <w:rsid w:val="004F436D"/>
    <w:rsid w:val="004F4374"/>
    <w:rsid w:val="004F645E"/>
    <w:rsid w:val="00500B11"/>
    <w:rsid w:val="00501661"/>
    <w:rsid w:val="00502B51"/>
    <w:rsid w:val="005030FC"/>
    <w:rsid w:val="00503124"/>
    <w:rsid w:val="0050385F"/>
    <w:rsid w:val="00505B16"/>
    <w:rsid w:val="005102DC"/>
    <w:rsid w:val="005105DB"/>
    <w:rsid w:val="00512677"/>
    <w:rsid w:val="00514452"/>
    <w:rsid w:val="0052295D"/>
    <w:rsid w:val="005320D0"/>
    <w:rsid w:val="00532C50"/>
    <w:rsid w:val="00533EDE"/>
    <w:rsid w:val="00536869"/>
    <w:rsid w:val="00536B7E"/>
    <w:rsid w:val="0054028C"/>
    <w:rsid w:val="00546AE1"/>
    <w:rsid w:val="00550F35"/>
    <w:rsid w:val="005515D5"/>
    <w:rsid w:val="00551E2E"/>
    <w:rsid w:val="00557CB6"/>
    <w:rsid w:val="005607C0"/>
    <w:rsid w:val="005610D6"/>
    <w:rsid w:val="00564A0E"/>
    <w:rsid w:val="00566A44"/>
    <w:rsid w:val="00573795"/>
    <w:rsid w:val="0058280B"/>
    <w:rsid w:val="00582A2D"/>
    <w:rsid w:val="00583637"/>
    <w:rsid w:val="00584D7B"/>
    <w:rsid w:val="00584DDF"/>
    <w:rsid w:val="00585327"/>
    <w:rsid w:val="00585562"/>
    <w:rsid w:val="00590D2B"/>
    <w:rsid w:val="00590F98"/>
    <w:rsid w:val="0059199D"/>
    <w:rsid w:val="0059241A"/>
    <w:rsid w:val="00593A17"/>
    <w:rsid w:val="00597992"/>
    <w:rsid w:val="005A4717"/>
    <w:rsid w:val="005B0ACE"/>
    <w:rsid w:val="005B2676"/>
    <w:rsid w:val="005B5324"/>
    <w:rsid w:val="005B536D"/>
    <w:rsid w:val="005B5D20"/>
    <w:rsid w:val="005D0481"/>
    <w:rsid w:val="005D5C3A"/>
    <w:rsid w:val="005D7376"/>
    <w:rsid w:val="005E0E17"/>
    <w:rsid w:val="005E2993"/>
    <w:rsid w:val="005E3A25"/>
    <w:rsid w:val="005E5224"/>
    <w:rsid w:val="005E6273"/>
    <w:rsid w:val="005E772C"/>
    <w:rsid w:val="005E7823"/>
    <w:rsid w:val="005F046B"/>
    <w:rsid w:val="005F2487"/>
    <w:rsid w:val="006068D3"/>
    <w:rsid w:val="00612639"/>
    <w:rsid w:val="006130BF"/>
    <w:rsid w:val="006132D3"/>
    <w:rsid w:val="0061494B"/>
    <w:rsid w:val="0061511F"/>
    <w:rsid w:val="0061666B"/>
    <w:rsid w:val="00617F8E"/>
    <w:rsid w:val="00620960"/>
    <w:rsid w:val="006213AA"/>
    <w:rsid w:val="00622EA1"/>
    <w:rsid w:val="0062529A"/>
    <w:rsid w:val="00626284"/>
    <w:rsid w:val="006263AF"/>
    <w:rsid w:val="0062642C"/>
    <w:rsid w:val="00631B3A"/>
    <w:rsid w:val="0063255C"/>
    <w:rsid w:val="00633681"/>
    <w:rsid w:val="00634709"/>
    <w:rsid w:val="00635426"/>
    <w:rsid w:val="00635A35"/>
    <w:rsid w:val="006374A1"/>
    <w:rsid w:val="0064520B"/>
    <w:rsid w:val="00653CD4"/>
    <w:rsid w:val="0066402A"/>
    <w:rsid w:val="00664037"/>
    <w:rsid w:val="00665A58"/>
    <w:rsid w:val="0067017A"/>
    <w:rsid w:val="006744C1"/>
    <w:rsid w:val="00674670"/>
    <w:rsid w:val="00674936"/>
    <w:rsid w:val="00683C0E"/>
    <w:rsid w:val="00685350"/>
    <w:rsid w:val="0068590E"/>
    <w:rsid w:val="006875E7"/>
    <w:rsid w:val="00691785"/>
    <w:rsid w:val="00694714"/>
    <w:rsid w:val="006A0023"/>
    <w:rsid w:val="006A5BC1"/>
    <w:rsid w:val="006B12C3"/>
    <w:rsid w:val="006B31BB"/>
    <w:rsid w:val="006B547F"/>
    <w:rsid w:val="006C14B5"/>
    <w:rsid w:val="006C1F41"/>
    <w:rsid w:val="006C471B"/>
    <w:rsid w:val="006D3875"/>
    <w:rsid w:val="006D4079"/>
    <w:rsid w:val="006D499A"/>
    <w:rsid w:val="006E07B4"/>
    <w:rsid w:val="006E599D"/>
    <w:rsid w:val="006F3798"/>
    <w:rsid w:val="006F50A6"/>
    <w:rsid w:val="006F767D"/>
    <w:rsid w:val="00706B65"/>
    <w:rsid w:val="007110E0"/>
    <w:rsid w:val="00712839"/>
    <w:rsid w:val="00716716"/>
    <w:rsid w:val="00717B84"/>
    <w:rsid w:val="00720DA6"/>
    <w:rsid w:val="0072408F"/>
    <w:rsid w:val="0072525D"/>
    <w:rsid w:val="007264AA"/>
    <w:rsid w:val="0073147B"/>
    <w:rsid w:val="007367C6"/>
    <w:rsid w:val="00744B7D"/>
    <w:rsid w:val="007501A2"/>
    <w:rsid w:val="00753AD6"/>
    <w:rsid w:val="00756BF7"/>
    <w:rsid w:val="00757101"/>
    <w:rsid w:val="00760453"/>
    <w:rsid w:val="007625F8"/>
    <w:rsid w:val="007626CE"/>
    <w:rsid w:val="00762A02"/>
    <w:rsid w:val="00763553"/>
    <w:rsid w:val="00763B7B"/>
    <w:rsid w:val="00764BBA"/>
    <w:rsid w:val="00767505"/>
    <w:rsid w:val="00770952"/>
    <w:rsid w:val="0077252E"/>
    <w:rsid w:val="00774368"/>
    <w:rsid w:val="00781B3F"/>
    <w:rsid w:val="0078263E"/>
    <w:rsid w:val="00783878"/>
    <w:rsid w:val="00787388"/>
    <w:rsid w:val="00791842"/>
    <w:rsid w:val="0079597C"/>
    <w:rsid w:val="00795FBB"/>
    <w:rsid w:val="007A08D6"/>
    <w:rsid w:val="007A13A8"/>
    <w:rsid w:val="007A1486"/>
    <w:rsid w:val="007A3CD2"/>
    <w:rsid w:val="007A4FBE"/>
    <w:rsid w:val="007A5F7C"/>
    <w:rsid w:val="007A65F4"/>
    <w:rsid w:val="007A7EC6"/>
    <w:rsid w:val="007A7F75"/>
    <w:rsid w:val="007B2E16"/>
    <w:rsid w:val="007B6018"/>
    <w:rsid w:val="007C2758"/>
    <w:rsid w:val="007C50BE"/>
    <w:rsid w:val="007C5DA5"/>
    <w:rsid w:val="007C72EB"/>
    <w:rsid w:val="007D2166"/>
    <w:rsid w:val="007D3C70"/>
    <w:rsid w:val="007D6BE2"/>
    <w:rsid w:val="007E2FBD"/>
    <w:rsid w:val="007E309D"/>
    <w:rsid w:val="007E4C8D"/>
    <w:rsid w:val="007E6DAC"/>
    <w:rsid w:val="007F20E6"/>
    <w:rsid w:val="007F2128"/>
    <w:rsid w:val="007F24A1"/>
    <w:rsid w:val="007F5CBF"/>
    <w:rsid w:val="007F632D"/>
    <w:rsid w:val="007F7082"/>
    <w:rsid w:val="007F7800"/>
    <w:rsid w:val="008005F7"/>
    <w:rsid w:val="00800DF5"/>
    <w:rsid w:val="00800F01"/>
    <w:rsid w:val="0080226F"/>
    <w:rsid w:val="008031F6"/>
    <w:rsid w:val="0080528F"/>
    <w:rsid w:val="008177D6"/>
    <w:rsid w:val="00821BFD"/>
    <w:rsid w:val="00832FED"/>
    <w:rsid w:val="008345A2"/>
    <w:rsid w:val="008414B4"/>
    <w:rsid w:val="008429CA"/>
    <w:rsid w:val="008442F2"/>
    <w:rsid w:val="008461EB"/>
    <w:rsid w:val="0085108C"/>
    <w:rsid w:val="00853737"/>
    <w:rsid w:val="00856BB9"/>
    <w:rsid w:val="0085741A"/>
    <w:rsid w:val="008621F9"/>
    <w:rsid w:val="0086298C"/>
    <w:rsid w:val="00865BEF"/>
    <w:rsid w:val="00867139"/>
    <w:rsid w:val="008677B1"/>
    <w:rsid w:val="0087334D"/>
    <w:rsid w:val="00874495"/>
    <w:rsid w:val="00880357"/>
    <w:rsid w:val="00882401"/>
    <w:rsid w:val="00884F0C"/>
    <w:rsid w:val="008851C9"/>
    <w:rsid w:val="00885237"/>
    <w:rsid w:val="00887FD4"/>
    <w:rsid w:val="00890961"/>
    <w:rsid w:val="00891F0F"/>
    <w:rsid w:val="00897AFA"/>
    <w:rsid w:val="008A526D"/>
    <w:rsid w:val="008A61E7"/>
    <w:rsid w:val="008A6356"/>
    <w:rsid w:val="008B397D"/>
    <w:rsid w:val="008B78C5"/>
    <w:rsid w:val="008C1DB3"/>
    <w:rsid w:val="008C24F1"/>
    <w:rsid w:val="008C4EC0"/>
    <w:rsid w:val="008C744D"/>
    <w:rsid w:val="008D2A03"/>
    <w:rsid w:val="008D3EF3"/>
    <w:rsid w:val="008D58E9"/>
    <w:rsid w:val="008D788C"/>
    <w:rsid w:val="008E3364"/>
    <w:rsid w:val="008E4E2C"/>
    <w:rsid w:val="008E7772"/>
    <w:rsid w:val="008F228B"/>
    <w:rsid w:val="008F2CDE"/>
    <w:rsid w:val="008F3254"/>
    <w:rsid w:val="008F40D3"/>
    <w:rsid w:val="008F4CDC"/>
    <w:rsid w:val="008F6F33"/>
    <w:rsid w:val="009030DE"/>
    <w:rsid w:val="00910865"/>
    <w:rsid w:val="00912CAD"/>
    <w:rsid w:val="009208C2"/>
    <w:rsid w:val="0092296A"/>
    <w:rsid w:val="0092312A"/>
    <w:rsid w:val="009278DE"/>
    <w:rsid w:val="00930F83"/>
    <w:rsid w:val="0093157B"/>
    <w:rsid w:val="00935C2B"/>
    <w:rsid w:val="009415D6"/>
    <w:rsid w:val="00943E6F"/>
    <w:rsid w:val="009440C8"/>
    <w:rsid w:val="00945762"/>
    <w:rsid w:val="00947192"/>
    <w:rsid w:val="00955718"/>
    <w:rsid w:val="00962C14"/>
    <w:rsid w:val="009631B3"/>
    <w:rsid w:val="0096753D"/>
    <w:rsid w:val="00971AB6"/>
    <w:rsid w:val="00971AF0"/>
    <w:rsid w:val="00972290"/>
    <w:rsid w:val="009754AD"/>
    <w:rsid w:val="009764DB"/>
    <w:rsid w:val="00976799"/>
    <w:rsid w:val="00981942"/>
    <w:rsid w:val="00991AE4"/>
    <w:rsid w:val="00992E66"/>
    <w:rsid w:val="00997078"/>
    <w:rsid w:val="009A03A4"/>
    <w:rsid w:val="009A37D4"/>
    <w:rsid w:val="009A661F"/>
    <w:rsid w:val="009C158F"/>
    <w:rsid w:val="009C25F6"/>
    <w:rsid w:val="009C37BF"/>
    <w:rsid w:val="009C453E"/>
    <w:rsid w:val="009C63E8"/>
    <w:rsid w:val="009C744E"/>
    <w:rsid w:val="009D1ACC"/>
    <w:rsid w:val="009D25A2"/>
    <w:rsid w:val="009D3A36"/>
    <w:rsid w:val="009D4B02"/>
    <w:rsid w:val="009D79D1"/>
    <w:rsid w:val="009E0F24"/>
    <w:rsid w:val="009E1E59"/>
    <w:rsid w:val="009E1F94"/>
    <w:rsid w:val="009E785D"/>
    <w:rsid w:val="009F25AB"/>
    <w:rsid w:val="009F3820"/>
    <w:rsid w:val="009F39A3"/>
    <w:rsid w:val="009F4826"/>
    <w:rsid w:val="009F5D4B"/>
    <w:rsid w:val="009F6B36"/>
    <w:rsid w:val="009F6BD2"/>
    <w:rsid w:val="00A019A9"/>
    <w:rsid w:val="00A0236F"/>
    <w:rsid w:val="00A05E3D"/>
    <w:rsid w:val="00A07792"/>
    <w:rsid w:val="00A1029C"/>
    <w:rsid w:val="00A11D0F"/>
    <w:rsid w:val="00A12739"/>
    <w:rsid w:val="00A169B9"/>
    <w:rsid w:val="00A176C1"/>
    <w:rsid w:val="00A21377"/>
    <w:rsid w:val="00A242D4"/>
    <w:rsid w:val="00A25815"/>
    <w:rsid w:val="00A26971"/>
    <w:rsid w:val="00A305C5"/>
    <w:rsid w:val="00A31324"/>
    <w:rsid w:val="00A33D77"/>
    <w:rsid w:val="00A342AA"/>
    <w:rsid w:val="00A44EB1"/>
    <w:rsid w:val="00A459BE"/>
    <w:rsid w:val="00A51758"/>
    <w:rsid w:val="00A646F9"/>
    <w:rsid w:val="00A6658A"/>
    <w:rsid w:val="00A7262F"/>
    <w:rsid w:val="00A757FD"/>
    <w:rsid w:val="00A76D1C"/>
    <w:rsid w:val="00A806F5"/>
    <w:rsid w:val="00A82CB9"/>
    <w:rsid w:val="00A90310"/>
    <w:rsid w:val="00A90BF5"/>
    <w:rsid w:val="00A91A22"/>
    <w:rsid w:val="00A9213C"/>
    <w:rsid w:val="00A92DAF"/>
    <w:rsid w:val="00A937D3"/>
    <w:rsid w:val="00A955DA"/>
    <w:rsid w:val="00A97300"/>
    <w:rsid w:val="00AA0118"/>
    <w:rsid w:val="00AA0E9E"/>
    <w:rsid w:val="00AA1856"/>
    <w:rsid w:val="00AA2038"/>
    <w:rsid w:val="00AA20EF"/>
    <w:rsid w:val="00AA4023"/>
    <w:rsid w:val="00AA462D"/>
    <w:rsid w:val="00AA4D1A"/>
    <w:rsid w:val="00AB4008"/>
    <w:rsid w:val="00AB5AB5"/>
    <w:rsid w:val="00AC0A01"/>
    <w:rsid w:val="00AC21C7"/>
    <w:rsid w:val="00AC503B"/>
    <w:rsid w:val="00AC52F5"/>
    <w:rsid w:val="00AD098F"/>
    <w:rsid w:val="00AD3062"/>
    <w:rsid w:val="00AD74BE"/>
    <w:rsid w:val="00AD7B3B"/>
    <w:rsid w:val="00AE0A03"/>
    <w:rsid w:val="00AE2A2A"/>
    <w:rsid w:val="00AE2BCF"/>
    <w:rsid w:val="00AE33DF"/>
    <w:rsid w:val="00AE47C7"/>
    <w:rsid w:val="00AE4DB7"/>
    <w:rsid w:val="00AE5469"/>
    <w:rsid w:val="00AE5D1C"/>
    <w:rsid w:val="00AE7034"/>
    <w:rsid w:val="00AE77D3"/>
    <w:rsid w:val="00AF283E"/>
    <w:rsid w:val="00AF526D"/>
    <w:rsid w:val="00AF5BEE"/>
    <w:rsid w:val="00AF653D"/>
    <w:rsid w:val="00B02016"/>
    <w:rsid w:val="00B0351E"/>
    <w:rsid w:val="00B045BB"/>
    <w:rsid w:val="00B11D3B"/>
    <w:rsid w:val="00B14939"/>
    <w:rsid w:val="00B24C5B"/>
    <w:rsid w:val="00B27A83"/>
    <w:rsid w:val="00B30A98"/>
    <w:rsid w:val="00B30FE9"/>
    <w:rsid w:val="00B34531"/>
    <w:rsid w:val="00B35165"/>
    <w:rsid w:val="00B35B92"/>
    <w:rsid w:val="00B364E4"/>
    <w:rsid w:val="00B43AEE"/>
    <w:rsid w:val="00B46B1F"/>
    <w:rsid w:val="00B50017"/>
    <w:rsid w:val="00B52667"/>
    <w:rsid w:val="00B5312E"/>
    <w:rsid w:val="00B5364B"/>
    <w:rsid w:val="00B53C94"/>
    <w:rsid w:val="00B560FE"/>
    <w:rsid w:val="00B57C9E"/>
    <w:rsid w:val="00B609A0"/>
    <w:rsid w:val="00B71A47"/>
    <w:rsid w:val="00B721ED"/>
    <w:rsid w:val="00B7591C"/>
    <w:rsid w:val="00B80068"/>
    <w:rsid w:val="00B80E14"/>
    <w:rsid w:val="00B8111F"/>
    <w:rsid w:val="00B827CA"/>
    <w:rsid w:val="00B944CC"/>
    <w:rsid w:val="00BA0D7A"/>
    <w:rsid w:val="00BA2566"/>
    <w:rsid w:val="00BA37FC"/>
    <w:rsid w:val="00BA478C"/>
    <w:rsid w:val="00BA4A15"/>
    <w:rsid w:val="00BB4E56"/>
    <w:rsid w:val="00BB5128"/>
    <w:rsid w:val="00BC030F"/>
    <w:rsid w:val="00BC1532"/>
    <w:rsid w:val="00BC186B"/>
    <w:rsid w:val="00BC5EBF"/>
    <w:rsid w:val="00BC6797"/>
    <w:rsid w:val="00BC6D26"/>
    <w:rsid w:val="00BD5827"/>
    <w:rsid w:val="00BD5F57"/>
    <w:rsid w:val="00BE00D8"/>
    <w:rsid w:val="00BE23C0"/>
    <w:rsid w:val="00BE3106"/>
    <w:rsid w:val="00BE4D97"/>
    <w:rsid w:val="00BE6417"/>
    <w:rsid w:val="00BE7AE4"/>
    <w:rsid w:val="00BF1561"/>
    <w:rsid w:val="00BF28B4"/>
    <w:rsid w:val="00BF32F7"/>
    <w:rsid w:val="00BF427F"/>
    <w:rsid w:val="00BF4B4D"/>
    <w:rsid w:val="00BF63E6"/>
    <w:rsid w:val="00BF6603"/>
    <w:rsid w:val="00C046BE"/>
    <w:rsid w:val="00C10632"/>
    <w:rsid w:val="00C13098"/>
    <w:rsid w:val="00C16515"/>
    <w:rsid w:val="00C1714B"/>
    <w:rsid w:val="00C31FE0"/>
    <w:rsid w:val="00C321C7"/>
    <w:rsid w:val="00C33EDF"/>
    <w:rsid w:val="00C3412C"/>
    <w:rsid w:val="00C3621B"/>
    <w:rsid w:val="00C43EE6"/>
    <w:rsid w:val="00C45F66"/>
    <w:rsid w:val="00C46334"/>
    <w:rsid w:val="00C466A2"/>
    <w:rsid w:val="00C4675E"/>
    <w:rsid w:val="00C51331"/>
    <w:rsid w:val="00C51FAD"/>
    <w:rsid w:val="00C54F75"/>
    <w:rsid w:val="00C565DD"/>
    <w:rsid w:val="00C5772E"/>
    <w:rsid w:val="00C6081F"/>
    <w:rsid w:val="00C678C4"/>
    <w:rsid w:val="00C70513"/>
    <w:rsid w:val="00C7116B"/>
    <w:rsid w:val="00C71A42"/>
    <w:rsid w:val="00C75C9B"/>
    <w:rsid w:val="00C7647A"/>
    <w:rsid w:val="00C76F37"/>
    <w:rsid w:val="00C773D7"/>
    <w:rsid w:val="00C8250E"/>
    <w:rsid w:val="00CA3321"/>
    <w:rsid w:val="00CA6C74"/>
    <w:rsid w:val="00CA787D"/>
    <w:rsid w:val="00CB13AA"/>
    <w:rsid w:val="00CB4777"/>
    <w:rsid w:val="00CB7BB2"/>
    <w:rsid w:val="00CC1494"/>
    <w:rsid w:val="00CC2061"/>
    <w:rsid w:val="00CC31AA"/>
    <w:rsid w:val="00CC4182"/>
    <w:rsid w:val="00CC5B7C"/>
    <w:rsid w:val="00CC708A"/>
    <w:rsid w:val="00CD0A24"/>
    <w:rsid w:val="00CD7BDF"/>
    <w:rsid w:val="00CE09C1"/>
    <w:rsid w:val="00CE0A27"/>
    <w:rsid w:val="00CF1F0F"/>
    <w:rsid w:val="00CF22F2"/>
    <w:rsid w:val="00CF4564"/>
    <w:rsid w:val="00CF64BC"/>
    <w:rsid w:val="00CF74D3"/>
    <w:rsid w:val="00D0369D"/>
    <w:rsid w:val="00D07674"/>
    <w:rsid w:val="00D07D16"/>
    <w:rsid w:val="00D1130A"/>
    <w:rsid w:val="00D179CC"/>
    <w:rsid w:val="00D21AF4"/>
    <w:rsid w:val="00D26BAC"/>
    <w:rsid w:val="00D27558"/>
    <w:rsid w:val="00D30A7E"/>
    <w:rsid w:val="00D30E58"/>
    <w:rsid w:val="00D31036"/>
    <w:rsid w:val="00D40DF4"/>
    <w:rsid w:val="00D4167E"/>
    <w:rsid w:val="00D4393F"/>
    <w:rsid w:val="00D44385"/>
    <w:rsid w:val="00D50588"/>
    <w:rsid w:val="00D50AB7"/>
    <w:rsid w:val="00D52D8D"/>
    <w:rsid w:val="00D53769"/>
    <w:rsid w:val="00D53B43"/>
    <w:rsid w:val="00D54FA9"/>
    <w:rsid w:val="00D55FD7"/>
    <w:rsid w:val="00D607D4"/>
    <w:rsid w:val="00D6635A"/>
    <w:rsid w:val="00D7209B"/>
    <w:rsid w:val="00D7295E"/>
    <w:rsid w:val="00D749A2"/>
    <w:rsid w:val="00D75A46"/>
    <w:rsid w:val="00D762C8"/>
    <w:rsid w:val="00D76FFC"/>
    <w:rsid w:val="00D8045A"/>
    <w:rsid w:val="00D837E4"/>
    <w:rsid w:val="00D85D46"/>
    <w:rsid w:val="00D860D6"/>
    <w:rsid w:val="00D86F99"/>
    <w:rsid w:val="00D91565"/>
    <w:rsid w:val="00D91AAD"/>
    <w:rsid w:val="00D91F54"/>
    <w:rsid w:val="00D975CA"/>
    <w:rsid w:val="00D97955"/>
    <w:rsid w:val="00DA147A"/>
    <w:rsid w:val="00DA185A"/>
    <w:rsid w:val="00DB2A2E"/>
    <w:rsid w:val="00DB402D"/>
    <w:rsid w:val="00DB4C6D"/>
    <w:rsid w:val="00DB5C38"/>
    <w:rsid w:val="00DB63AF"/>
    <w:rsid w:val="00DB7C39"/>
    <w:rsid w:val="00DC6661"/>
    <w:rsid w:val="00DD13FE"/>
    <w:rsid w:val="00DD20EE"/>
    <w:rsid w:val="00DD5B4E"/>
    <w:rsid w:val="00DE4322"/>
    <w:rsid w:val="00DE4490"/>
    <w:rsid w:val="00DE546A"/>
    <w:rsid w:val="00DE6DA1"/>
    <w:rsid w:val="00E01308"/>
    <w:rsid w:val="00E05794"/>
    <w:rsid w:val="00E05CA6"/>
    <w:rsid w:val="00E05F09"/>
    <w:rsid w:val="00E12CEB"/>
    <w:rsid w:val="00E12D14"/>
    <w:rsid w:val="00E14BE9"/>
    <w:rsid w:val="00E16BB3"/>
    <w:rsid w:val="00E17804"/>
    <w:rsid w:val="00E214CE"/>
    <w:rsid w:val="00E216B8"/>
    <w:rsid w:val="00E3039B"/>
    <w:rsid w:val="00E31138"/>
    <w:rsid w:val="00E32AD7"/>
    <w:rsid w:val="00E339EB"/>
    <w:rsid w:val="00E354A1"/>
    <w:rsid w:val="00E363FD"/>
    <w:rsid w:val="00E36C3E"/>
    <w:rsid w:val="00E4077B"/>
    <w:rsid w:val="00E412D0"/>
    <w:rsid w:val="00E41D82"/>
    <w:rsid w:val="00E46423"/>
    <w:rsid w:val="00E477B9"/>
    <w:rsid w:val="00E50596"/>
    <w:rsid w:val="00E51406"/>
    <w:rsid w:val="00E525AA"/>
    <w:rsid w:val="00E53DF0"/>
    <w:rsid w:val="00E55DDE"/>
    <w:rsid w:val="00E600AB"/>
    <w:rsid w:val="00E61139"/>
    <w:rsid w:val="00E63EB7"/>
    <w:rsid w:val="00E71A62"/>
    <w:rsid w:val="00E76B83"/>
    <w:rsid w:val="00E80D9D"/>
    <w:rsid w:val="00E8358B"/>
    <w:rsid w:val="00E859A4"/>
    <w:rsid w:val="00E87A11"/>
    <w:rsid w:val="00E9099C"/>
    <w:rsid w:val="00E92985"/>
    <w:rsid w:val="00E9415E"/>
    <w:rsid w:val="00E95C79"/>
    <w:rsid w:val="00E9752C"/>
    <w:rsid w:val="00E97FF5"/>
    <w:rsid w:val="00EA15D0"/>
    <w:rsid w:val="00EA408A"/>
    <w:rsid w:val="00EA452B"/>
    <w:rsid w:val="00EA6BC5"/>
    <w:rsid w:val="00EB0051"/>
    <w:rsid w:val="00EB1004"/>
    <w:rsid w:val="00EB28BA"/>
    <w:rsid w:val="00EB2ED3"/>
    <w:rsid w:val="00EB4907"/>
    <w:rsid w:val="00EB56AA"/>
    <w:rsid w:val="00EB6DB0"/>
    <w:rsid w:val="00EC075A"/>
    <w:rsid w:val="00EC1CD1"/>
    <w:rsid w:val="00EC28E0"/>
    <w:rsid w:val="00EC4DA0"/>
    <w:rsid w:val="00EC5023"/>
    <w:rsid w:val="00EC6B66"/>
    <w:rsid w:val="00EC6E3D"/>
    <w:rsid w:val="00EE17C6"/>
    <w:rsid w:val="00EE1FC2"/>
    <w:rsid w:val="00EE281F"/>
    <w:rsid w:val="00EE4DB6"/>
    <w:rsid w:val="00EE645C"/>
    <w:rsid w:val="00EE7298"/>
    <w:rsid w:val="00EF0C9A"/>
    <w:rsid w:val="00EF3EB5"/>
    <w:rsid w:val="00EF7F87"/>
    <w:rsid w:val="00F02BEF"/>
    <w:rsid w:val="00F02D0B"/>
    <w:rsid w:val="00F037AA"/>
    <w:rsid w:val="00F04553"/>
    <w:rsid w:val="00F05649"/>
    <w:rsid w:val="00F058C4"/>
    <w:rsid w:val="00F06F35"/>
    <w:rsid w:val="00F06FE7"/>
    <w:rsid w:val="00F11A4F"/>
    <w:rsid w:val="00F1441E"/>
    <w:rsid w:val="00F207E2"/>
    <w:rsid w:val="00F21E5B"/>
    <w:rsid w:val="00F223A1"/>
    <w:rsid w:val="00F263EE"/>
    <w:rsid w:val="00F31766"/>
    <w:rsid w:val="00F334CB"/>
    <w:rsid w:val="00F34844"/>
    <w:rsid w:val="00F419C4"/>
    <w:rsid w:val="00F442FF"/>
    <w:rsid w:val="00F44994"/>
    <w:rsid w:val="00F44B03"/>
    <w:rsid w:val="00F450D5"/>
    <w:rsid w:val="00F452EE"/>
    <w:rsid w:val="00F52060"/>
    <w:rsid w:val="00F62398"/>
    <w:rsid w:val="00F7001E"/>
    <w:rsid w:val="00F709EC"/>
    <w:rsid w:val="00F71F1B"/>
    <w:rsid w:val="00F821CE"/>
    <w:rsid w:val="00F829C8"/>
    <w:rsid w:val="00F829E1"/>
    <w:rsid w:val="00F85179"/>
    <w:rsid w:val="00F865A3"/>
    <w:rsid w:val="00F933AD"/>
    <w:rsid w:val="00F950B3"/>
    <w:rsid w:val="00FA0D3D"/>
    <w:rsid w:val="00FA257C"/>
    <w:rsid w:val="00FA2C4B"/>
    <w:rsid w:val="00FA61AD"/>
    <w:rsid w:val="00FA7DB4"/>
    <w:rsid w:val="00FB0EF7"/>
    <w:rsid w:val="00FB3860"/>
    <w:rsid w:val="00FB49FC"/>
    <w:rsid w:val="00FB7287"/>
    <w:rsid w:val="00FC001F"/>
    <w:rsid w:val="00FC2BC2"/>
    <w:rsid w:val="00FC35C5"/>
    <w:rsid w:val="00FC63C9"/>
    <w:rsid w:val="00FD2EA5"/>
    <w:rsid w:val="00FD3171"/>
    <w:rsid w:val="00FD6742"/>
    <w:rsid w:val="00FE1392"/>
    <w:rsid w:val="00FE5442"/>
    <w:rsid w:val="00FE5DBF"/>
    <w:rsid w:val="00FE7D03"/>
    <w:rsid w:val="00FE7D92"/>
    <w:rsid w:val="00FF0FCF"/>
    <w:rsid w:val="00FF20FA"/>
    <w:rsid w:val="00FF5F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A0"/>
    <w:rPr>
      <w:lang w:val="fr-FR"/>
    </w:rPr>
  </w:style>
  <w:style w:type="paragraph" w:styleId="Titre1">
    <w:name w:val="heading 1"/>
    <w:basedOn w:val="Normal"/>
    <w:next w:val="Normal"/>
    <w:link w:val="Titre1Car"/>
    <w:uiPriority w:val="9"/>
    <w:qFormat/>
    <w:rsid w:val="002A64A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unhideWhenUsed/>
    <w:qFormat/>
    <w:rsid w:val="002A64A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2A64A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2A64A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2A64A0"/>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2A64A0"/>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2A64A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2A64A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2A64A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79CC"/>
    <w:pPr>
      <w:tabs>
        <w:tab w:val="center" w:pos="4536"/>
        <w:tab w:val="right" w:pos="9072"/>
      </w:tabs>
    </w:pPr>
  </w:style>
  <w:style w:type="character" w:customStyle="1" w:styleId="En-tteCar">
    <w:name w:val="En-tête Car"/>
    <w:basedOn w:val="Policepardfaut"/>
    <w:link w:val="En-tte"/>
    <w:uiPriority w:val="99"/>
    <w:rsid w:val="00D179CC"/>
    <w:rPr>
      <w:sz w:val="22"/>
      <w:szCs w:val="22"/>
      <w:lang w:eastAsia="en-US"/>
    </w:rPr>
  </w:style>
  <w:style w:type="paragraph" w:styleId="Pieddepage">
    <w:name w:val="footer"/>
    <w:basedOn w:val="Normal"/>
    <w:link w:val="PieddepageCar"/>
    <w:uiPriority w:val="99"/>
    <w:unhideWhenUsed/>
    <w:rsid w:val="00D179CC"/>
    <w:pPr>
      <w:tabs>
        <w:tab w:val="center" w:pos="4536"/>
        <w:tab w:val="right" w:pos="9072"/>
      </w:tabs>
    </w:pPr>
  </w:style>
  <w:style w:type="character" w:customStyle="1" w:styleId="PieddepageCar">
    <w:name w:val="Pied de page Car"/>
    <w:basedOn w:val="Policepardfaut"/>
    <w:link w:val="Pieddepage"/>
    <w:uiPriority w:val="99"/>
    <w:rsid w:val="00D179CC"/>
    <w:rPr>
      <w:sz w:val="22"/>
      <w:szCs w:val="22"/>
      <w:lang w:eastAsia="en-US"/>
    </w:rPr>
  </w:style>
  <w:style w:type="paragraph" w:styleId="Notedebasdepage">
    <w:name w:val="footnote text"/>
    <w:basedOn w:val="Normal"/>
    <w:link w:val="NotedebasdepageCar"/>
    <w:uiPriority w:val="99"/>
    <w:semiHidden/>
    <w:unhideWhenUsed/>
    <w:rsid w:val="00000FE5"/>
    <w:rPr>
      <w:sz w:val="20"/>
      <w:szCs w:val="20"/>
    </w:rPr>
  </w:style>
  <w:style w:type="character" w:customStyle="1" w:styleId="NotedebasdepageCar">
    <w:name w:val="Note de bas de page Car"/>
    <w:basedOn w:val="Policepardfaut"/>
    <w:link w:val="Notedebasdepage"/>
    <w:uiPriority w:val="99"/>
    <w:semiHidden/>
    <w:rsid w:val="00000FE5"/>
    <w:rPr>
      <w:lang w:eastAsia="en-US"/>
    </w:rPr>
  </w:style>
  <w:style w:type="character" w:styleId="Appelnotedebasdep">
    <w:name w:val="footnote reference"/>
    <w:basedOn w:val="Policepardfaut"/>
    <w:uiPriority w:val="99"/>
    <w:semiHidden/>
    <w:unhideWhenUsed/>
    <w:rsid w:val="00000FE5"/>
    <w:rPr>
      <w:vertAlign w:val="superscript"/>
    </w:rPr>
  </w:style>
  <w:style w:type="character" w:customStyle="1" w:styleId="Titre2Car">
    <w:name w:val="Titre 2 Car"/>
    <w:basedOn w:val="Policepardfaut"/>
    <w:link w:val="Titre2"/>
    <w:uiPriority w:val="9"/>
    <w:rsid w:val="002A64A0"/>
    <w:rPr>
      <w:rFonts w:asciiTheme="majorHAnsi" w:eastAsiaTheme="majorEastAsia" w:hAnsiTheme="majorHAnsi" w:cstheme="majorBidi"/>
      <w:color w:val="365F91" w:themeColor="accent1" w:themeShade="BF"/>
      <w:sz w:val="24"/>
      <w:szCs w:val="24"/>
    </w:rPr>
  </w:style>
  <w:style w:type="paragraph" w:styleId="Textedebulles">
    <w:name w:val="Balloon Text"/>
    <w:basedOn w:val="Normal"/>
    <w:link w:val="TextedebullesCar"/>
    <w:uiPriority w:val="99"/>
    <w:semiHidden/>
    <w:unhideWhenUsed/>
    <w:rsid w:val="00230239"/>
    <w:rPr>
      <w:rFonts w:ascii="Tahoma" w:hAnsi="Tahoma" w:cs="Tahoma"/>
      <w:sz w:val="16"/>
      <w:szCs w:val="16"/>
    </w:rPr>
  </w:style>
  <w:style w:type="character" w:customStyle="1" w:styleId="TextedebullesCar">
    <w:name w:val="Texte de bulles Car"/>
    <w:basedOn w:val="Policepardfaut"/>
    <w:link w:val="Textedebulles"/>
    <w:uiPriority w:val="99"/>
    <w:semiHidden/>
    <w:rsid w:val="00230239"/>
    <w:rPr>
      <w:rFonts w:ascii="Tahoma" w:hAnsi="Tahoma" w:cs="Tahoma"/>
      <w:sz w:val="16"/>
      <w:szCs w:val="16"/>
      <w:lang w:eastAsia="en-US"/>
    </w:rPr>
  </w:style>
  <w:style w:type="paragraph" w:styleId="Paragraphedeliste">
    <w:name w:val="List Paragraph"/>
    <w:basedOn w:val="Normal"/>
    <w:uiPriority w:val="34"/>
    <w:qFormat/>
    <w:rsid w:val="002A64A0"/>
    <w:pPr>
      <w:ind w:left="720"/>
      <w:contextualSpacing/>
    </w:pPr>
  </w:style>
  <w:style w:type="paragraph" w:styleId="Citationintense">
    <w:name w:val="Intense Quote"/>
    <w:basedOn w:val="Normal"/>
    <w:next w:val="Normal"/>
    <w:link w:val="CitationintenseCar"/>
    <w:uiPriority w:val="30"/>
    <w:qFormat/>
    <w:rsid w:val="002A64A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2A64A0"/>
    <w:rPr>
      <w:rFonts w:asciiTheme="majorHAnsi" w:eastAsiaTheme="majorEastAsia" w:hAnsiTheme="majorHAnsi" w:cstheme="majorBidi"/>
      <w:i/>
      <w:iCs/>
      <w:color w:val="FFFFFF" w:themeColor="background1"/>
      <w:sz w:val="24"/>
      <w:szCs w:val="24"/>
      <w:shd w:val="clear" w:color="auto" w:fill="4F81BD" w:themeFill="accent1"/>
    </w:rPr>
  </w:style>
  <w:style w:type="character" w:styleId="lev">
    <w:name w:val="Strong"/>
    <w:basedOn w:val="Policepardfaut"/>
    <w:uiPriority w:val="22"/>
    <w:qFormat/>
    <w:rsid w:val="002A64A0"/>
    <w:rPr>
      <w:b/>
      <w:bCs/>
      <w:spacing w:val="0"/>
    </w:rPr>
  </w:style>
  <w:style w:type="character" w:customStyle="1" w:styleId="Titre1Car">
    <w:name w:val="Titre 1 Car"/>
    <w:basedOn w:val="Policepardfaut"/>
    <w:link w:val="Titre1"/>
    <w:uiPriority w:val="9"/>
    <w:rsid w:val="002A64A0"/>
    <w:rPr>
      <w:rFonts w:asciiTheme="majorHAnsi" w:eastAsiaTheme="majorEastAsia" w:hAnsiTheme="majorHAnsi" w:cstheme="majorBidi"/>
      <w:b/>
      <w:bCs/>
      <w:color w:val="365F91" w:themeColor="accent1" w:themeShade="BF"/>
      <w:sz w:val="24"/>
      <w:szCs w:val="24"/>
    </w:rPr>
  </w:style>
  <w:style w:type="paragraph" w:styleId="Titre">
    <w:name w:val="Title"/>
    <w:basedOn w:val="Normal"/>
    <w:next w:val="Normal"/>
    <w:link w:val="TitreCar"/>
    <w:uiPriority w:val="10"/>
    <w:qFormat/>
    <w:rsid w:val="002A64A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2A64A0"/>
    <w:rPr>
      <w:rFonts w:asciiTheme="majorHAnsi" w:eastAsiaTheme="majorEastAsia" w:hAnsiTheme="majorHAnsi" w:cstheme="majorBidi"/>
      <w:i/>
      <w:iCs/>
      <w:color w:val="243F60" w:themeColor="accent1" w:themeShade="7F"/>
      <w:sz w:val="60"/>
      <w:szCs w:val="60"/>
    </w:rPr>
  </w:style>
  <w:style w:type="character" w:styleId="Emphaseintense">
    <w:name w:val="Intense Emphasis"/>
    <w:uiPriority w:val="21"/>
    <w:qFormat/>
    <w:rsid w:val="002A64A0"/>
    <w:rPr>
      <w:b/>
      <w:bCs/>
      <w:i/>
      <w:iCs/>
      <w:color w:val="4F81BD" w:themeColor="accent1"/>
      <w:sz w:val="22"/>
      <w:szCs w:val="22"/>
    </w:rPr>
  </w:style>
  <w:style w:type="character" w:customStyle="1" w:styleId="Titre3Car">
    <w:name w:val="Titre 3 Car"/>
    <w:basedOn w:val="Policepardfaut"/>
    <w:link w:val="Titre3"/>
    <w:uiPriority w:val="9"/>
    <w:semiHidden/>
    <w:rsid w:val="002A64A0"/>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2A64A0"/>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2A64A0"/>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2A64A0"/>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2A64A0"/>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2A64A0"/>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2A64A0"/>
    <w:rPr>
      <w:rFonts w:asciiTheme="majorHAnsi" w:eastAsiaTheme="majorEastAsia" w:hAnsiTheme="majorHAnsi" w:cstheme="majorBidi"/>
      <w:i/>
      <w:iCs/>
      <w:color w:val="9BBB59" w:themeColor="accent3"/>
      <w:sz w:val="20"/>
      <w:szCs w:val="20"/>
    </w:rPr>
  </w:style>
  <w:style w:type="paragraph" w:styleId="Sous-titre">
    <w:name w:val="Subtitle"/>
    <w:basedOn w:val="Normal"/>
    <w:next w:val="Normal"/>
    <w:link w:val="Sous-titreCar"/>
    <w:uiPriority w:val="11"/>
    <w:qFormat/>
    <w:rsid w:val="002A64A0"/>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2A64A0"/>
    <w:rPr>
      <w:rFonts w:asciiTheme="minorHAnsi"/>
      <w:i/>
      <w:iCs/>
      <w:sz w:val="24"/>
      <w:szCs w:val="24"/>
    </w:rPr>
  </w:style>
  <w:style w:type="character" w:styleId="Accentuation">
    <w:name w:val="Emphasis"/>
    <w:uiPriority w:val="20"/>
    <w:qFormat/>
    <w:rsid w:val="002A64A0"/>
    <w:rPr>
      <w:b/>
      <w:bCs/>
      <w:i/>
      <w:iCs/>
      <w:color w:val="5A5A5A" w:themeColor="text1" w:themeTint="A5"/>
    </w:rPr>
  </w:style>
  <w:style w:type="paragraph" w:styleId="Sansinterligne">
    <w:name w:val="No Spacing"/>
    <w:basedOn w:val="Normal"/>
    <w:link w:val="SansinterligneCar"/>
    <w:uiPriority w:val="1"/>
    <w:qFormat/>
    <w:rsid w:val="002A64A0"/>
    <w:pPr>
      <w:ind w:firstLine="0"/>
    </w:pPr>
  </w:style>
  <w:style w:type="paragraph" w:styleId="Citation">
    <w:name w:val="Quote"/>
    <w:basedOn w:val="Normal"/>
    <w:next w:val="Normal"/>
    <w:link w:val="CitationCar"/>
    <w:uiPriority w:val="29"/>
    <w:qFormat/>
    <w:rsid w:val="002A64A0"/>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2A64A0"/>
    <w:rPr>
      <w:rFonts w:asciiTheme="majorHAnsi" w:eastAsiaTheme="majorEastAsia" w:hAnsiTheme="majorHAnsi" w:cstheme="majorBidi"/>
      <w:i/>
      <w:iCs/>
      <w:color w:val="5A5A5A" w:themeColor="text1" w:themeTint="A5"/>
    </w:rPr>
  </w:style>
  <w:style w:type="character" w:styleId="Emphaseple">
    <w:name w:val="Subtle Emphasis"/>
    <w:uiPriority w:val="19"/>
    <w:qFormat/>
    <w:rsid w:val="002A64A0"/>
    <w:rPr>
      <w:i/>
      <w:iCs/>
      <w:color w:val="5A5A5A" w:themeColor="text1" w:themeTint="A5"/>
    </w:rPr>
  </w:style>
  <w:style w:type="character" w:styleId="Rfrenceple">
    <w:name w:val="Subtle Reference"/>
    <w:uiPriority w:val="31"/>
    <w:qFormat/>
    <w:rsid w:val="002A64A0"/>
    <w:rPr>
      <w:color w:val="auto"/>
      <w:u w:val="single" w:color="9BBB59" w:themeColor="accent3"/>
    </w:rPr>
  </w:style>
  <w:style w:type="character" w:styleId="Rfrenceintense">
    <w:name w:val="Intense Reference"/>
    <w:basedOn w:val="Policepardfaut"/>
    <w:uiPriority w:val="32"/>
    <w:qFormat/>
    <w:rsid w:val="002A64A0"/>
    <w:rPr>
      <w:b/>
      <w:bCs/>
      <w:color w:val="76923C" w:themeColor="accent3" w:themeShade="BF"/>
      <w:u w:val="single" w:color="9BBB59" w:themeColor="accent3"/>
    </w:rPr>
  </w:style>
  <w:style w:type="character" w:styleId="Titredulivre">
    <w:name w:val="Book Title"/>
    <w:basedOn w:val="Policepardfaut"/>
    <w:uiPriority w:val="33"/>
    <w:qFormat/>
    <w:rsid w:val="002A64A0"/>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2A64A0"/>
    <w:pPr>
      <w:outlineLvl w:val="9"/>
    </w:pPr>
  </w:style>
  <w:style w:type="paragraph" w:styleId="Lgende">
    <w:name w:val="caption"/>
    <w:basedOn w:val="Normal"/>
    <w:next w:val="Normal"/>
    <w:uiPriority w:val="35"/>
    <w:semiHidden/>
    <w:unhideWhenUsed/>
    <w:qFormat/>
    <w:rsid w:val="002A64A0"/>
    <w:rPr>
      <w:b/>
      <w:bCs/>
      <w:sz w:val="18"/>
      <w:szCs w:val="18"/>
    </w:rPr>
  </w:style>
  <w:style w:type="character" w:customStyle="1" w:styleId="SansinterligneCar">
    <w:name w:val="Sans interligne Car"/>
    <w:basedOn w:val="Policepardfaut"/>
    <w:link w:val="Sansinterligne"/>
    <w:uiPriority w:val="1"/>
    <w:rsid w:val="002A64A0"/>
  </w:style>
  <w:style w:type="paragraph" w:customStyle="1" w:styleId="marker">
    <w:name w:val="marker"/>
    <w:basedOn w:val="Normal"/>
    <w:autoRedefine/>
    <w:rsid w:val="007F2128"/>
    <w:pPr>
      <w:spacing w:before="100" w:beforeAutospacing="1" w:after="100" w:afterAutospacing="1"/>
      <w:ind w:firstLine="0"/>
    </w:pPr>
    <w:rPr>
      <w:rFonts w:ascii="Times New Roman" w:eastAsia="Times New Roman" w:hAnsi="Times New Roman" w:cs="Times New Roman"/>
      <w:sz w:val="24"/>
      <w:szCs w:val="24"/>
      <w:lang w:eastAsia="fr-FR" w:bidi="ar-SA"/>
    </w:rPr>
  </w:style>
  <w:style w:type="paragraph" w:styleId="NormalWeb">
    <w:name w:val="Normal (Web)"/>
    <w:basedOn w:val="Normal"/>
    <w:uiPriority w:val="99"/>
    <w:unhideWhenUsed/>
    <w:rsid w:val="00FE1392"/>
    <w:pPr>
      <w:spacing w:before="100" w:beforeAutospacing="1" w:after="100" w:afterAutospacing="1"/>
      <w:ind w:firstLine="0"/>
    </w:pPr>
    <w:rPr>
      <w:rFonts w:ascii="Times New Roman" w:eastAsia="Times New Roman" w:hAnsi="Times New Roman" w:cs="Times New Roman"/>
      <w:sz w:val="24"/>
      <w:szCs w:val="24"/>
      <w:lang w:eastAsia="fr-FR" w:bidi="ar-SA"/>
    </w:rPr>
  </w:style>
  <w:style w:type="character" w:customStyle="1" w:styleId="Bodytext">
    <w:name w:val="Body text_"/>
    <w:basedOn w:val="Policepardfaut"/>
    <w:link w:val="Bodytext0"/>
    <w:rsid w:val="0092312A"/>
    <w:rPr>
      <w:rFonts w:ascii="Arial" w:eastAsia="Arial" w:hAnsi="Arial" w:cs="Arial"/>
      <w:sz w:val="21"/>
      <w:szCs w:val="21"/>
      <w:shd w:val="clear" w:color="auto" w:fill="FFFFFF"/>
    </w:rPr>
  </w:style>
  <w:style w:type="paragraph" w:customStyle="1" w:styleId="Bodytext0">
    <w:name w:val="Body text"/>
    <w:basedOn w:val="Normal"/>
    <w:link w:val="Bodytext"/>
    <w:rsid w:val="0092312A"/>
    <w:pPr>
      <w:widowControl w:val="0"/>
      <w:shd w:val="clear" w:color="auto" w:fill="FFFFFF"/>
      <w:spacing w:line="240" w:lineRule="exact"/>
      <w:ind w:hanging="460"/>
    </w:pPr>
    <w:rPr>
      <w:rFonts w:ascii="Arial" w:eastAsia="Arial" w:hAnsi="Arial" w:cs="Arial"/>
      <w:sz w:val="21"/>
      <w:szCs w:val="21"/>
      <w:lang w:val="en-US"/>
    </w:rPr>
  </w:style>
</w:styles>
</file>

<file path=word/webSettings.xml><?xml version="1.0" encoding="utf-8"?>
<w:webSettings xmlns:r="http://schemas.openxmlformats.org/officeDocument/2006/relationships" xmlns:w="http://schemas.openxmlformats.org/wordprocessingml/2006/main">
  <w:divs>
    <w:div w:id="1202748839">
      <w:bodyDiv w:val="1"/>
      <w:marLeft w:val="0"/>
      <w:marRight w:val="0"/>
      <w:marTop w:val="0"/>
      <w:marBottom w:val="0"/>
      <w:divBdr>
        <w:top w:val="none" w:sz="0" w:space="0" w:color="auto"/>
        <w:left w:val="none" w:sz="0" w:space="0" w:color="auto"/>
        <w:bottom w:val="none" w:sz="0" w:space="0" w:color="auto"/>
        <w:right w:val="none" w:sz="0" w:space="0" w:color="auto"/>
      </w:divBdr>
    </w:div>
    <w:div w:id="17007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monde.fr/developp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11CF7-06EB-44F2-A35A-668ADA73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3935</Words>
  <Characters>21645</Characters>
  <Application>Microsoft Office Word</Application>
  <DocSecurity>4</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2018-01-10T13:01:00Z</cp:lastPrinted>
  <dcterms:created xsi:type="dcterms:W3CDTF">2018-02-05T10:11:00Z</dcterms:created>
  <dcterms:modified xsi:type="dcterms:W3CDTF">2018-02-05T10:11:00Z</dcterms:modified>
</cp:coreProperties>
</file>