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99" w:rsidRDefault="000F4999" w:rsidP="00F51F24">
      <w:pPr>
        <w:spacing w:before="240" w:line="312" w:lineRule="auto"/>
        <w:ind w:left="-181"/>
        <w:jc w:val="center"/>
        <w:rPr>
          <w:rFonts w:ascii="Book Antiqua" w:eastAsia="Book Antiqua" w:hAnsi="Book Antiqua" w:cs="Book Antiqua"/>
          <w:b/>
          <w:color w:val="323E4F" w:themeColor="text2" w:themeShade="BF"/>
          <w:sz w:val="26"/>
          <w:szCs w:val="26"/>
        </w:rPr>
      </w:pPr>
    </w:p>
    <w:p w:rsidR="00F51F24" w:rsidRPr="00DE167A" w:rsidRDefault="00F51F24" w:rsidP="00F51F24">
      <w:pPr>
        <w:spacing w:before="240" w:line="312" w:lineRule="auto"/>
        <w:ind w:left="-181"/>
        <w:jc w:val="center"/>
        <w:rPr>
          <w:rFonts w:ascii="Book Antiqua" w:eastAsia="Book Antiqua" w:hAnsi="Book Antiqua" w:cs="Book Antiqua"/>
          <w:b/>
          <w:color w:val="ED7D31" w:themeColor="accent2"/>
          <w:sz w:val="26"/>
          <w:szCs w:val="26"/>
        </w:rPr>
      </w:pPr>
      <w:r w:rsidRPr="00DE167A">
        <w:rPr>
          <w:rFonts w:ascii="Book Antiqua" w:eastAsia="Book Antiqua" w:hAnsi="Book Antiqua" w:cs="Book Antiqua"/>
          <w:b/>
          <w:color w:val="ED7D31" w:themeColor="accent2"/>
          <w:sz w:val="26"/>
          <w:szCs w:val="26"/>
        </w:rPr>
        <w:t>NOTE D’INFORMATION DU HAUT-COMMISSARIAT AU PLAN RELATIVE A LA SITUATION DU MARCHÉ DU TRAVAIL EN 2021</w:t>
      </w:r>
    </w:p>
    <w:p w:rsidR="000D15FF" w:rsidRPr="0033732A" w:rsidRDefault="000D15FF" w:rsidP="00157DEC">
      <w:pPr>
        <w:spacing w:before="240" w:after="240" w:line="288" w:lineRule="auto"/>
        <w:jc w:val="both"/>
        <w:rPr>
          <w:rFonts w:ascii="Book Antiqua" w:eastAsia="Book Antiqua" w:hAnsi="Book Antiqua" w:cs="Book Antiqua"/>
          <w:b/>
          <w:bCs/>
          <w:color w:val="4472C4" w:themeColor="accent1"/>
          <w:sz w:val="26"/>
          <w:szCs w:val="26"/>
        </w:rPr>
      </w:pPr>
      <w:r w:rsidRPr="0033732A">
        <w:rPr>
          <w:rFonts w:ascii="Book Antiqua" w:eastAsia="Book Antiqua" w:hAnsi="Book Antiqua" w:cs="Book Antiqua"/>
          <w:b/>
          <w:bCs/>
          <w:color w:val="4472C4" w:themeColor="accent1"/>
          <w:sz w:val="26"/>
          <w:szCs w:val="26"/>
        </w:rPr>
        <w:t xml:space="preserve">Entre 2020 et 2021, l’économie nationale a créé </w:t>
      </w:r>
      <w:r w:rsidR="009232A8" w:rsidRPr="0033732A">
        <w:rPr>
          <w:rFonts w:ascii="Book Antiqua" w:eastAsia="Book Antiqua" w:hAnsi="Book Antiqua" w:cs="Book Antiqua"/>
          <w:b/>
          <w:bCs/>
          <w:color w:val="4472C4" w:themeColor="accent1"/>
          <w:sz w:val="26"/>
          <w:szCs w:val="26"/>
        </w:rPr>
        <w:t>230</w:t>
      </w:r>
      <w:r w:rsidRPr="0033732A">
        <w:rPr>
          <w:rFonts w:ascii="Book Antiqua" w:eastAsia="Book Antiqua" w:hAnsi="Book Antiqua" w:cs="Book Antiqua"/>
          <w:b/>
          <w:bCs/>
          <w:color w:val="4472C4" w:themeColor="accent1"/>
          <w:sz w:val="26"/>
          <w:szCs w:val="26"/>
        </w:rPr>
        <w:t xml:space="preserve">.000 postes d’emploi, résultant d’une création de </w:t>
      </w:r>
      <w:r w:rsidR="009232A8" w:rsidRPr="0033732A">
        <w:rPr>
          <w:rFonts w:ascii="Book Antiqua" w:eastAsia="Book Antiqua" w:hAnsi="Book Antiqua" w:cs="Book Antiqua"/>
          <w:b/>
          <w:bCs/>
          <w:color w:val="4472C4" w:themeColor="accent1"/>
          <w:sz w:val="26"/>
          <w:szCs w:val="26"/>
        </w:rPr>
        <w:t>130</w:t>
      </w:r>
      <w:r w:rsidRPr="0033732A">
        <w:rPr>
          <w:rFonts w:ascii="Book Antiqua" w:eastAsia="Book Antiqua" w:hAnsi="Book Antiqua" w:cs="Book Antiqua"/>
          <w:b/>
          <w:bCs/>
          <w:color w:val="4472C4" w:themeColor="accent1"/>
          <w:sz w:val="26"/>
          <w:szCs w:val="26"/>
        </w:rPr>
        <w:t xml:space="preserve">.000 en milieu rural et de </w:t>
      </w:r>
      <w:r w:rsidR="009232A8" w:rsidRPr="0033732A">
        <w:rPr>
          <w:rFonts w:ascii="Book Antiqua" w:eastAsia="Book Antiqua" w:hAnsi="Book Antiqua" w:cs="Book Antiqua"/>
          <w:b/>
          <w:bCs/>
          <w:color w:val="4472C4" w:themeColor="accent1"/>
          <w:sz w:val="26"/>
          <w:szCs w:val="26"/>
        </w:rPr>
        <w:t>100</w:t>
      </w:r>
      <w:r w:rsidRPr="0033732A">
        <w:rPr>
          <w:rFonts w:ascii="Book Antiqua" w:eastAsia="Book Antiqua" w:hAnsi="Book Antiqua" w:cs="Book Antiqua"/>
          <w:b/>
          <w:bCs/>
          <w:color w:val="4472C4" w:themeColor="accent1"/>
          <w:sz w:val="26"/>
          <w:szCs w:val="26"/>
        </w:rPr>
        <w:t xml:space="preserve">.000 postes en milieu urbain, contre une perte de </w:t>
      </w:r>
      <w:r w:rsidR="009232A8" w:rsidRPr="0033732A">
        <w:rPr>
          <w:rFonts w:ascii="Book Antiqua" w:eastAsia="Book Antiqua" w:hAnsi="Book Antiqua" w:cs="Book Antiqua"/>
          <w:b/>
          <w:bCs/>
          <w:color w:val="4472C4" w:themeColor="accent1"/>
          <w:sz w:val="26"/>
          <w:szCs w:val="26"/>
        </w:rPr>
        <w:t>432</w:t>
      </w:r>
      <w:r w:rsidRPr="0033732A">
        <w:rPr>
          <w:rFonts w:ascii="Book Antiqua" w:eastAsia="Book Antiqua" w:hAnsi="Book Antiqua" w:cs="Book Antiqua"/>
          <w:b/>
          <w:bCs/>
          <w:color w:val="4472C4" w:themeColor="accent1"/>
          <w:sz w:val="26"/>
          <w:szCs w:val="26"/>
        </w:rPr>
        <w:t>.000 postes d’emploi une année auparavant</w:t>
      </w:r>
      <w:r w:rsidR="006D22D2">
        <w:rPr>
          <w:rFonts w:ascii="Book Antiqua" w:eastAsia="Book Antiqua" w:hAnsi="Book Antiqua" w:cs="Book Antiqua"/>
          <w:b/>
          <w:bCs/>
          <w:color w:val="4472C4" w:themeColor="accent1"/>
          <w:sz w:val="26"/>
          <w:szCs w:val="26"/>
        </w:rPr>
        <w:t xml:space="preserve">, une création </w:t>
      </w:r>
      <w:r w:rsidR="00833D9B">
        <w:rPr>
          <w:rFonts w:ascii="Book Antiqua" w:eastAsia="Book Antiqua" w:hAnsi="Book Antiqua" w:cs="Book Antiqua"/>
          <w:b/>
          <w:bCs/>
          <w:color w:val="4472C4" w:themeColor="accent1"/>
          <w:sz w:val="26"/>
          <w:szCs w:val="26"/>
        </w:rPr>
        <w:t xml:space="preserve">de </w:t>
      </w:r>
      <w:r w:rsidR="00833D9B" w:rsidRPr="0033732A">
        <w:rPr>
          <w:rFonts w:ascii="Book Antiqua" w:eastAsia="Book Antiqua" w:hAnsi="Book Antiqua" w:cs="Book Antiqua"/>
          <w:b/>
          <w:bCs/>
          <w:color w:val="4472C4" w:themeColor="accent1"/>
          <w:sz w:val="26"/>
          <w:szCs w:val="26"/>
        </w:rPr>
        <w:t>165.000</w:t>
      </w:r>
      <w:r w:rsidR="00833D9B">
        <w:rPr>
          <w:rFonts w:ascii="Book Antiqua" w:eastAsia="Book Antiqua" w:hAnsi="Book Antiqua" w:cs="Book Antiqua"/>
          <w:b/>
          <w:bCs/>
          <w:color w:val="4472C4" w:themeColor="accent1"/>
          <w:sz w:val="26"/>
          <w:szCs w:val="26"/>
        </w:rPr>
        <w:t xml:space="preserve"> en </w:t>
      </w:r>
      <w:r w:rsidR="00157DEC" w:rsidRPr="00833D9B">
        <w:rPr>
          <w:rFonts w:ascii="Book Antiqua" w:eastAsia="Book Antiqua" w:hAnsi="Book Antiqua" w:cs="Book Antiqua"/>
          <w:b/>
          <w:bCs/>
          <w:color w:val="4472C4" w:themeColor="accent1"/>
          <w:sz w:val="26"/>
          <w:szCs w:val="26"/>
        </w:rPr>
        <w:t>2019</w:t>
      </w:r>
      <w:r w:rsidR="00833D9B">
        <w:rPr>
          <w:rFonts w:ascii="Book Antiqua" w:eastAsia="Book Antiqua" w:hAnsi="Book Antiqua" w:cs="Book Antiqua"/>
          <w:b/>
          <w:bCs/>
          <w:color w:val="4472C4" w:themeColor="accent1"/>
          <w:sz w:val="26"/>
          <w:szCs w:val="26"/>
        </w:rPr>
        <w:t xml:space="preserve"> </w:t>
      </w:r>
      <w:r w:rsidR="006D22D2">
        <w:rPr>
          <w:rFonts w:ascii="Book Antiqua" w:eastAsia="Book Antiqua" w:hAnsi="Book Antiqua" w:cs="Book Antiqua"/>
          <w:b/>
          <w:bCs/>
          <w:color w:val="4472C4" w:themeColor="accent1"/>
          <w:sz w:val="26"/>
          <w:szCs w:val="26"/>
        </w:rPr>
        <w:t xml:space="preserve">et </w:t>
      </w:r>
      <w:r w:rsidR="006D22D2" w:rsidRPr="0023300C">
        <w:rPr>
          <w:rFonts w:ascii="Book Antiqua" w:eastAsia="Book Antiqua" w:hAnsi="Book Antiqua" w:cs="Book Antiqua"/>
          <w:b/>
          <w:bCs/>
          <w:color w:val="4472C4" w:themeColor="accent1"/>
          <w:sz w:val="26"/>
          <w:szCs w:val="26"/>
        </w:rPr>
        <w:t>une création</w:t>
      </w:r>
      <w:r w:rsidR="00157DEC" w:rsidRPr="0023300C">
        <w:rPr>
          <w:rFonts w:ascii="Book Antiqua" w:eastAsia="Book Antiqua" w:hAnsi="Book Antiqua" w:cs="Book Antiqua"/>
          <w:b/>
          <w:bCs/>
          <w:color w:val="4472C4" w:themeColor="accent1"/>
          <w:sz w:val="26"/>
          <w:szCs w:val="26"/>
        </w:rPr>
        <w:t xml:space="preserve"> </w:t>
      </w:r>
      <w:r w:rsidRPr="0023300C">
        <w:rPr>
          <w:rFonts w:ascii="Book Antiqua" w:eastAsia="Book Antiqua" w:hAnsi="Book Antiqua" w:cs="Book Antiqua"/>
          <w:b/>
          <w:bCs/>
          <w:color w:val="4472C4" w:themeColor="accent1"/>
          <w:sz w:val="26"/>
          <w:szCs w:val="26"/>
        </w:rPr>
        <w:t>annuelle moyenne de 1</w:t>
      </w:r>
      <w:r w:rsidR="008349FD" w:rsidRPr="0023300C">
        <w:rPr>
          <w:rFonts w:ascii="Book Antiqua" w:eastAsia="Book Antiqua" w:hAnsi="Book Antiqua" w:cs="Book Antiqua"/>
          <w:b/>
          <w:bCs/>
          <w:color w:val="4472C4" w:themeColor="accent1"/>
          <w:sz w:val="26"/>
          <w:szCs w:val="26"/>
        </w:rPr>
        <w:t>21</w:t>
      </w:r>
      <w:r w:rsidRPr="0023300C">
        <w:rPr>
          <w:rFonts w:ascii="Book Antiqua" w:eastAsia="Book Antiqua" w:hAnsi="Book Antiqua" w:cs="Book Antiqua"/>
          <w:b/>
          <w:bCs/>
          <w:color w:val="4472C4" w:themeColor="accent1"/>
          <w:sz w:val="26"/>
          <w:szCs w:val="26"/>
        </w:rPr>
        <w:t>.000 au cours des trois années prépandémie.</w:t>
      </w:r>
      <w:r w:rsidR="00157DEC">
        <w:rPr>
          <w:rFonts w:ascii="Book Antiqua" w:eastAsia="Book Antiqua" w:hAnsi="Book Antiqua" w:cs="Book Antiqua"/>
          <w:b/>
          <w:bCs/>
          <w:color w:val="4472C4" w:themeColor="accent1"/>
          <w:sz w:val="26"/>
          <w:szCs w:val="26"/>
        </w:rPr>
        <w:t xml:space="preserve"> </w:t>
      </w:r>
    </w:p>
    <w:p w:rsidR="000D15FF" w:rsidRPr="0033732A" w:rsidRDefault="000D15FF" w:rsidP="003F5612">
      <w:pPr>
        <w:spacing w:before="240" w:after="240" w:line="288" w:lineRule="auto"/>
        <w:jc w:val="both"/>
        <w:rPr>
          <w:rFonts w:ascii="Book Antiqua" w:eastAsia="Book Antiqua" w:hAnsi="Book Antiqua" w:cs="Book Antiqua"/>
          <w:b/>
          <w:bCs/>
          <w:color w:val="4472C4" w:themeColor="accent1"/>
          <w:sz w:val="26"/>
          <w:szCs w:val="26"/>
        </w:rPr>
      </w:pPr>
      <w:r w:rsidRPr="0033732A">
        <w:rPr>
          <w:rFonts w:ascii="Book Antiqua" w:eastAsia="Book Antiqua" w:hAnsi="Book Antiqua" w:cs="Book Antiqua"/>
          <w:b/>
          <w:bCs/>
          <w:color w:val="4472C4" w:themeColor="accent1"/>
          <w:sz w:val="26"/>
          <w:szCs w:val="26"/>
        </w:rPr>
        <w:t xml:space="preserve">Le </w:t>
      </w:r>
      <w:r w:rsidR="009107AD" w:rsidRPr="0033732A">
        <w:rPr>
          <w:rFonts w:ascii="Book Antiqua" w:eastAsia="Book Antiqua" w:hAnsi="Book Antiqua" w:cs="Book Antiqua"/>
          <w:b/>
          <w:bCs/>
          <w:color w:val="4472C4" w:themeColor="accent1"/>
          <w:sz w:val="26"/>
          <w:szCs w:val="26"/>
        </w:rPr>
        <w:t>secteur des</w:t>
      </w:r>
      <w:r w:rsidRPr="0033732A">
        <w:rPr>
          <w:rFonts w:ascii="Book Antiqua" w:eastAsia="Book Antiqua" w:hAnsi="Book Antiqua" w:cs="Book Antiqua"/>
          <w:b/>
          <w:bCs/>
          <w:color w:val="4472C4" w:themeColor="accent1"/>
          <w:sz w:val="26"/>
          <w:szCs w:val="26"/>
        </w:rPr>
        <w:t xml:space="preserve"> services a créé </w:t>
      </w:r>
      <w:r w:rsidR="002F4D68" w:rsidRPr="0033732A">
        <w:rPr>
          <w:rFonts w:ascii="Book Antiqua" w:eastAsia="Book Antiqua" w:hAnsi="Book Antiqua" w:cs="Book Antiqua"/>
          <w:b/>
          <w:bCs/>
          <w:color w:val="4472C4" w:themeColor="accent1"/>
          <w:sz w:val="26"/>
          <w:szCs w:val="26"/>
        </w:rPr>
        <w:t>115</w:t>
      </w:r>
      <w:r w:rsidRPr="0033732A">
        <w:rPr>
          <w:rFonts w:ascii="Book Antiqua" w:eastAsia="Book Antiqua" w:hAnsi="Book Antiqua" w:cs="Book Antiqua"/>
          <w:b/>
          <w:bCs/>
          <w:color w:val="4472C4" w:themeColor="accent1"/>
          <w:sz w:val="26"/>
          <w:szCs w:val="26"/>
        </w:rPr>
        <w:t xml:space="preserve">.000 postes, les BTP </w:t>
      </w:r>
      <w:r w:rsidR="002F4D68" w:rsidRPr="0033732A">
        <w:rPr>
          <w:rFonts w:ascii="Book Antiqua" w:eastAsia="Book Antiqua" w:hAnsi="Book Antiqua" w:cs="Book Antiqua"/>
          <w:b/>
          <w:bCs/>
          <w:color w:val="4472C4" w:themeColor="accent1"/>
          <w:sz w:val="26"/>
          <w:szCs w:val="26"/>
        </w:rPr>
        <w:t>71</w:t>
      </w:r>
      <w:r w:rsidRPr="0033732A">
        <w:rPr>
          <w:rFonts w:ascii="Book Antiqua" w:eastAsia="Book Antiqua" w:hAnsi="Book Antiqua" w:cs="Book Antiqua"/>
          <w:b/>
          <w:bCs/>
          <w:color w:val="4472C4" w:themeColor="accent1"/>
          <w:sz w:val="26"/>
          <w:szCs w:val="26"/>
        </w:rPr>
        <w:t>.000 postes</w:t>
      </w:r>
      <w:r w:rsidR="002F4D68" w:rsidRPr="0033732A">
        <w:rPr>
          <w:rFonts w:ascii="Book Antiqua" w:eastAsia="Book Antiqua" w:hAnsi="Book Antiqua" w:cs="Book Antiqua"/>
          <w:b/>
          <w:bCs/>
          <w:color w:val="4472C4" w:themeColor="accent1"/>
          <w:sz w:val="26"/>
          <w:szCs w:val="26"/>
        </w:rPr>
        <w:t>, celui de l’"agriculture, forêt et pêche" 68.000</w:t>
      </w:r>
      <w:r w:rsidR="00960906">
        <w:rPr>
          <w:rFonts w:ascii="Book Antiqua" w:eastAsia="Book Antiqua" w:hAnsi="Book Antiqua" w:cs="Book Antiqua"/>
          <w:b/>
          <w:bCs/>
          <w:color w:val="4472C4" w:themeColor="accent1"/>
          <w:sz w:val="26"/>
          <w:szCs w:val="26"/>
        </w:rPr>
        <w:t xml:space="preserve"> et </w:t>
      </w:r>
      <w:r w:rsidRPr="0033732A">
        <w:rPr>
          <w:rFonts w:ascii="Book Antiqua" w:eastAsia="Book Antiqua" w:hAnsi="Book Antiqua" w:cs="Book Antiqua"/>
          <w:b/>
          <w:bCs/>
          <w:color w:val="4472C4" w:themeColor="accent1"/>
          <w:sz w:val="26"/>
          <w:szCs w:val="26"/>
        </w:rPr>
        <w:t xml:space="preserve">l’"industrie y compris </w:t>
      </w:r>
      <w:r w:rsidR="009107AD" w:rsidRPr="0033732A">
        <w:rPr>
          <w:rFonts w:ascii="Book Antiqua" w:eastAsia="Book Antiqua" w:hAnsi="Book Antiqua" w:cs="Book Antiqua"/>
          <w:b/>
          <w:bCs/>
          <w:color w:val="4472C4" w:themeColor="accent1"/>
          <w:sz w:val="26"/>
          <w:szCs w:val="26"/>
        </w:rPr>
        <w:t>l’artisanat » en</w:t>
      </w:r>
      <w:r w:rsidRPr="0033732A">
        <w:rPr>
          <w:rFonts w:ascii="Book Antiqua" w:eastAsia="Book Antiqua" w:hAnsi="Book Antiqua" w:cs="Book Antiqua"/>
          <w:b/>
          <w:bCs/>
          <w:color w:val="4472C4" w:themeColor="accent1"/>
          <w:sz w:val="26"/>
          <w:szCs w:val="26"/>
        </w:rPr>
        <w:t xml:space="preserve"> a </w:t>
      </w:r>
      <w:r w:rsidR="009107AD" w:rsidRPr="0033732A">
        <w:rPr>
          <w:rFonts w:ascii="Book Antiqua" w:eastAsia="Book Antiqua" w:hAnsi="Book Antiqua" w:cs="Book Antiqua"/>
          <w:b/>
          <w:bCs/>
          <w:color w:val="4472C4" w:themeColor="accent1"/>
          <w:sz w:val="26"/>
          <w:szCs w:val="26"/>
        </w:rPr>
        <w:t xml:space="preserve">perdu </w:t>
      </w:r>
      <w:r w:rsidR="00537A06">
        <w:rPr>
          <w:rFonts w:ascii="Book Antiqua" w:eastAsia="Book Antiqua" w:hAnsi="Book Antiqua" w:cs="Book Antiqua"/>
          <w:b/>
          <w:bCs/>
          <w:color w:val="4472C4" w:themeColor="accent1"/>
          <w:sz w:val="26"/>
          <w:szCs w:val="26"/>
        </w:rPr>
        <w:t>19</w:t>
      </w:r>
      <w:r w:rsidR="009107AD" w:rsidRPr="0033732A">
        <w:rPr>
          <w:rFonts w:ascii="Book Antiqua" w:eastAsia="Book Antiqua" w:hAnsi="Book Antiqua" w:cs="Book Antiqua"/>
          <w:b/>
          <w:bCs/>
          <w:color w:val="4472C4" w:themeColor="accent1"/>
          <w:sz w:val="26"/>
          <w:szCs w:val="26"/>
        </w:rPr>
        <w:t>.000.</w:t>
      </w:r>
    </w:p>
    <w:p w:rsidR="00DE167A" w:rsidRDefault="000D15FF" w:rsidP="003F5612">
      <w:pPr>
        <w:spacing w:before="240" w:after="240" w:line="288" w:lineRule="auto"/>
        <w:jc w:val="both"/>
        <w:rPr>
          <w:rFonts w:ascii="Book Antiqua" w:eastAsia="Book Antiqua" w:hAnsi="Book Antiqua" w:cs="Book Antiqua"/>
          <w:b/>
          <w:bCs/>
          <w:color w:val="4472C4" w:themeColor="accent1"/>
          <w:sz w:val="26"/>
          <w:szCs w:val="26"/>
        </w:rPr>
      </w:pPr>
      <w:r w:rsidRPr="0033732A">
        <w:rPr>
          <w:rFonts w:ascii="Book Antiqua" w:eastAsia="Book Antiqua" w:hAnsi="Book Antiqua" w:cs="Book Antiqua"/>
          <w:b/>
          <w:bCs/>
          <w:color w:val="4472C4" w:themeColor="accent1"/>
          <w:sz w:val="26"/>
          <w:szCs w:val="26"/>
        </w:rPr>
        <w:t>Le nombre total d’heures travaillées par semaine a augmenté de 394 millions heures en 2020 à 470 millions en 2021</w:t>
      </w:r>
      <w:r w:rsidR="005B2A65" w:rsidRPr="0033732A">
        <w:rPr>
          <w:rFonts w:ascii="Book Antiqua" w:eastAsia="Book Antiqua" w:hAnsi="Book Antiqua" w:cs="Book Antiqua"/>
          <w:b/>
          <w:bCs/>
          <w:color w:val="4472C4" w:themeColor="accent1"/>
          <w:sz w:val="26"/>
          <w:szCs w:val="26"/>
        </w:rPr>
        <w:t>,</w:t>
      </w:r>
      <w:r w:rsidRPr="0033732A">
        <w:rPr>
          <w:rFonts w:ascii="Book Antiqua" w:eastAsia="Book Antiqua" w:hAnsi="Book Antiqua" w:cs="Book Antiqua"/>
          <w:b/>
          <w:bCs/>
          <w:color w:val="4472C4" w:themeColor="accent1"/>
          <w:sz w:val="26"/>
          <w:szCs w:val="26"/>
        </w:rPr>
        <w:t xml:space="preserve"> ce qui correspond à une hausse de 19% des heures de travail. </w:t>
      </w:r>
    </w:p>
    <w:p w:rsidR="00AC2D21" w:rsidRPr="00AC2D21" w:rsidRDefault="00BD71D9" w:rsidP="00F47144">
      <w:pPr>
        <w:autoSpaceDE w:val="0"/>
        <w:autoSpaceDN w:val="0"/>
        <w:adjustRightInd w:val="0"/>
        <w:spacing w:before="120" w:after="120" w:line="288" w:lineRule="auto"/>
        <w:jc w:val="both"/>
        <w:rPr>
          <w:rFonts w:ascii="Book Antiqua" w:eastAsia="Book Antiqua" w:hAnsi="Book Antiqua" w:cs="Book Antiqua"/>
          <w:b/>
          <w:bCs/>
          <w:color w:val="4472C4" w:themeColor="accent1"/>
          <w:sz w:val="26"/>
          <w:szCs w:val="26"/>
        </w:rPr>
      </w:pPr>
      <w:r>
        <w:rPr>
          <w:rFonts w:ascii="Book Antiqua" w:eastAsia="Book Antiqua" w:hAnsi="Book Antiqua" w:cs="Book Antiqua"/>
          <w:b/>
          <w:bCs/>
          <w:color w:val="4472C4" w:themeColor="accent1"/>
          <w:sz w:val="26"/>
          <w:szCs w:val="26"/>
        </w:rPr>
        <w:t>Dans ces conditions</w:t>
      </w:r>
      <w:r w:rsidR="00AC2D21" w:rsidRPr="004C6552">
        <w:rPr>
          <w:rFonts w:ascii="Book Antiqua" w:eastAsia="Book Antiqua" w:hAnsi="Book Antiqua" w:cs="Book Antiqua"/>
          <w:b/>
          <w:bCs/>
          <w:color w:val="4472C4" w:themeColor="accent1"/>
          <w:sz w:val="26"/>
          <w:szCs w:val="26"/>
        </w:rPr>
        <w:t>,</w:t>
      </w:r>
      <w:r w:rsidR="00F47144" w:rsidRPr="004C6552">
        <w:rPr>
          <w:rFonts w:ascii="Book Antiqua" w:eastAsia="Book Antiqua" w:hAnsi="Book Antiqua" w:cs="Book Antiqua"/>
          <w:b/>
          <w:bCs/>
          <w:color w:val="4472C4" w:themeColor="accent1"/>
          <w:sz w:val="26"/>
          <w:szCs w:val="26"/>
        </w:rPr>
        <w:t xml:space="preserve"> </w:t>
      </w:r>
      <w:r w:rsidR="004C6552" w:rsidRPr="004C6552">
        <w:rPr>
          <w:rFonts w:ascii="Book Antiqua" w:eastAsia="Book Antiqua" w:hAnsi="Book Antiqua" w:cs="Book Antiqua"/>
          <w:b/>
          <w:bCs/>
          <w:color w:val="4472C4" w:themeColor="accent1"/>
          <w:sz w:val="26"/>
          <w:szCs w:val="26"/>
        </w:rPr>
        <w:t xml:space="preserve">avec une hausse de 79.000 chômeurs, </w:t>
      </w:r>
      <w:r w:rsidR="00AC2D21" w:rsidRPr="004C6552">
        <w:rPr>
          <w:rFonts w:ascii="Book Antiqua" w:eastAsia="Book Antiqua" w:hAnsi="Book Antiqua" w:cs="Book Antiqua"/>
          <w:b/>
          <w:bCs/>
          <w:color w:val="4472C4" w:themeColor="accent1"/>
          <w:sz w:val="26"/>
          <w:szCs w:val="26"/>
        </w:rPr>
        <w:t>résultant d’une réduction de 41.000 chômeurs en milieu rural et d’une augmentation de 120.000 en milieu urbain</w:t>
      </w:r>
      <w:r w:rsidR="004C6552">
        <w:rPr>
          <w:rFonts w:ascii="Book Antiqua" w:eastAsia="Book Antiqua" w:hAnsi="Book Antiqua" w:cs="Book Antiqua"/>
          <w:b/>
          <w:bCs/>
          <w:color w:val="4472C4" w:themeColor="accent1"/>
          <w:sz w:val="26"/>
          <w:szCs w:val="26"/>
        </w:rPr>
        <w:t xml:space="preserve">, </w:t>
      </w:r>
      <w:r w:rsidR="004C6552" w:rsidRPr="004C6552">
        <w:rPr>
          <w:rFonts w:ascii="Book Antiqua" w:eastAsia="Book Antiqua" w:hAnsi="Book Antiqua" w:cs="Book Antiqua"/>
          <w:b/>
          <w:bCs/>
          <w:color w:val="4472C4" w:themeColor="accent1"/>
          <w:sz w:val="26"/>
          <w:szCs w:val="26"/>
        </w:rPr>
        <w:t xml:space="preserve">le volume </w:t>
      </w:r>
      <w:r w:rsidR="00142207">
        <w:rPr>
          <w:rFonts w:ascii="Book Antiqua" w:eastAsia="Book Antiqua" w:hAnsi="Book Antiqua" w:cs="Book Antiqua"/>
          <w:b/>
          <w:bCs/>
          <w:color w:val="4472C4" w:themeColor="accent1"/>
          <w:sz w:val="26"/>
          <w:szCs w:val="26"/>
        </w:rPr>
        <w:t xml:space="preserve">globale </w:t>
      </w:r>
      <w:r w:rsidR="004C6552" w:rsidRPr="004C6552">
        <w:rPr>
          <w:rFonts w:ascii="Book Antiqua" w:eastAsia="Book Antiqua" w:hAnsi="Book Antiqua" w:cs="Book Antiqua"/>
          <w:b/>
          <w:bCs/>
          <w:color w:val="4472C4" w:themeColor="accent1"/>
          <w:sz w:val="26"/>
          <w:szCs w:val="26"/>
        </w:rPr>
        <w:t>de chômage a atteint 1.508.000 personnes au niveau national</w:t>
      </w:r>
      <w:r w:rsidR="004C6552">
        <w:rPr>
          <w:rFonts w:ascii="Book Antiqua" w:eastAsia="Book Antiqua" w:hAnsi="Book Antiqua" w:cs="Book Antiqua"/>
          <w:b/>
          <w:bCs/>
          <w:color w:val="4472C4" w:themeColor="accent1"/>
          <w:sz w:val="26"/>
          <w:szCs w:val="26"/>
        </w:rPr>
        <w:t>.</w:t>
      </w:r>
    </w:p>
    <w:p w:rsidR="003F5612" w:rsidRDefault="00AC2D21" w:rsidP="003F5612">
      <w:pPr>
        <w:autoSpaceDE w:val="0"/>
        <w:autoSpaceDN w:val="0"/>
        <w:adjustRightInd w:val="0"/>
        <w:spacing w:before="120" w:after="120" w:line="288" w:lineRule="auto"/>
        <w:jc w:val="both"/>
        <w:rPr>
          <w:rFonts w:ascii="Book Antiqua" w:eastAsia="Book Antiqua" w:hAnsi="Book Antiqua" w:cs="Book Antiqua"/>
          <w:b/>
          <w:bCs/>
          <w:color w:val="4472C4" w:themeColor="accent1"/>
          <w:sz w:val="26"/>
          <w:szCs w:val="26"/>
        </w:rPr>
      </w:pPr>
      <w:r w:rsidRPr="00AC2D21">
        <w:rPr>
          <w:rFonts w:ascii="Book Antiqua" w:eastAsia="Book Antiqua" w:hAnsi="Book Antiqua" w:cs="Book Antiqua"/>
          <w:b/>
          <w:bCs/>
          <w:color w:val="4472C4" w:themeColor="accent1"/>
          <w:sz w:val="26"/>
          <w:szCs w:val="26"/>
        </w:rPr>
        <w:t>Le taux de chômage est ainsi passé de 1</w:t>
      </w:r>
      <w:r>
        <w:rPr>
          <w:rFonts w:ascii="Book Antiqua" w:eastAsia="Book Antiqua" w:hAnsi="Book Antiqua" w:cs="Book Antiqua"/>
          <w:b/>
          <w:bCs/>
          <w:color w:val="4472C4" w:themeColor="accent1"/>
          <w:sz w:val="26"/>
          <w:szCs w:val="26"/>
        </w:rPr>
        <w:t>1</w:t>
      </w:r>
      <w:r w:rsidRPr="00AC2D21">
        <w:rPr>
          <w:rFonts w:ascii="Book Antiqua" w:eastAsia="Book Antiqua" w:hAnsi="Book Antiqua" w:cs="Book Antiqua"/>
          <w:b/>
          <w:bCs/>
          <w:color w:val="4472C4" w:themeColor="accent1"/>
          <w:sz w:val="26"/>
          <w:szCs w:val="26"/>
        </w:rPr>
        <w:t>,</w:t>
      </w:r>
      <w:r>
        <w:rPr>
          <w:rFonts w:ascii="Book Antiqua" w:eastAsia="Book Antiqua" w:hAnsi="Book Antiqua" w:cs="Book Antiqua"/>
          <w:b/>
          <w:bCs/>
          <w:color w:val="4472C4" w:themeColor="accent1"/>
          <w:sz w:val="26"/>
          <w:szCs w:val="26"/>
        </w:rPr>
        <w:t>9</w:t>
      </w:r>
      <w:r w:rsidRPr="00AC2D21">
        <w:rPr>
          <w:rFonts w:ascii="Book Antiqua" w:eastAsia="Book Antiqua" w:hAnsi="Book Antiqua" w:cs="Book Antiqua"/>
          <w:b/>
          <w:bCs/>
          <w:color w:val="4472C4" w:themeColor="accent1"/>
          <w:sz w:val="26"/>
          <w:szCs w:val="26"/>
        </w:rPr>
        <w:t>% à 12,</w:t>
      </w:r>
      <w:r>
        <w:rPr>
          <w:rFonts w:ascii="Book Antiqua" w:eastAsia="Book Antiqua" w:hAnsi="Book Antiqua" w:cs="Book Antiqua"/>
          <w:b/>
          <w:bCs/>
          <w:color w:val="4472C4" w:themeColor="accent1"/>
          <w:sz w:val="26"/>
          <w:szCs w:val="26"/>
        </w:rPr>
        <w:t>3</w:t>
      </w:r>
      <w:r w:rsidRPr="00AC2D21">
        <w:rPr>
          <w:rFonts w:ascii="Book Antiqua" w:eastAsia="Book Antiqua" w:hAnsi="Book Antiqua" w:cs="Book Antiqua"/>
          <w:b/>
          <w:bCs/>
          <w:color w:val="4472C4" w:themeColor="accent1"/>
          <w:sz w:val="26"/>
          <w:szCs w:val="26"/>
        </w:rPr>
        <w:t>% au niveau national, de 15,</w:t>
      </w:r>
      <w:r>
        <w:rPr>
          <w:rFonts w:ascii="Book Antiqua" w:eastAsia="Book Antiqua" w:hAnsi="Book Antiqua" w:cs="Book Antiqua"/>
          <w:b/>
          <w:bCs/>
          <w:color w:val="4472C4" w:themeColor="accent1"/>
          <w:sz w:val="26"/>
          <w:szCs w:val="26"/>
        </w:rPr>
        <w:t>8</w:t>
      </w:r>
      <w:r w:rsidRPr="00AC2D21">
        <w:rPr>
          <w:rFonts w:ascii="Book Antiqua" w:eastAsia="Book Antiqua" w:hAnsi="Book Antiqua" w:cs="Book Antiqua"/>
          <w:b/>
          <w:bCs/>
          <w:color w:val="4472C4" w:themeColor="accent1"/>
          <w:sz w:val="26"/>
          <w:szCs w:val="26"/>
        </w:rPr>
        <w:t>% à 1</w:t>
      </w:r>
      <w:r>
        <w:rPr>
          <w:rFonts w:ascii="Book Antiqua" w:eastAsia="Book Antiqua" w:hAnsi="Book Antiqua" w:cs="Book Antiqua"/>
          <w:b/>
          <w:bCs/>
          <w:color w:val="4472C4" w:themeColor="accent1"/>
          <w:sz w:val="26"/>
          <w:szCs w:val="26"/>
        </w:rPr>
        <w:t>6</w:t>
      </w:r>
      <w:r w:rsidRPr="00AC2D21">
        <w:rPr>
          <w:rFonts w:ascii="Book Antiqua" w:eastAsia="Book Antiqua" w:hAnsi="Book Antiqua" w:cs="Book Antiqua"/>
          <w:b/>
          <w:bCs/>
          <w:color w:val="4472C4" w:themeColor="accent1"/>
          <w:sz w:val="26"/>
          <w:szCs w:val="26"/>
        </w:rPr>
        <w:t>,</w:t>
      </w:r>
      <w:r>
        <w:rPr>
          <w:rFonts w:ascii="Book Antiqua" w:eastAsia="Book Antiqua" w:hAnsi="Book Antiqua" w:cs="Book Antiqua"/>
          <w:b/>
          <w:bCs/>
          <w:color w:val="4472C4" w:themeColor="accent1"/>
          <w:sz w:val="26"/>
          <w:szCs w:val="26"/>
        </w:rPr>
        <w:t>9</w:t>
      </w:r>
      <w:r w:rsidRPr="00AC2D21">
        <w:rPr>
          <w:rFonts w:ascii="Book Antiqua" w:eastAsia="Book Antiqua" w:hAnsi="Book Antiqua" w:cs="Book Antiqua"/>
          <w:b/>
          <w:bCs/>
          <w:color w:val="4472C4" w:themeColor="accent1"/>
          <w:sz w:val="26"/>
          <w:szCs w:val="26"/>
        </w:rPr>
        <w:t xml:space="preserve">% en milieu urbain et de </w:t>
      </w:r>
      <w:r>
        <w:rPr>
          <w:rFonts w:ascii="Book Antiqua" w:eastAsia="Book Antiqua" w:hAnsi="Book Antiqua" w:cs="Book Antiqua"/>
          <w:b/>
          <w:bCs/>
          <w:color w:val="4472C4" w:themeColor="accent1"/>
          <w:sz w:val="26"/>
          <w:szCs w:val="26"/>
        </w:rPr>
        <w:t>5,9</w:t>
      </w:r>
      <w:r w:rsidRPr="00AC2D21">
        <w:rPr>
          <w:rFonts w:ascii="Book Antiqua" w:eastAsia="Book Antiqua" w:hAnsi="Book Antiqua" w:cs="Book Antiqua"/>
          <w:b/>
          <w:bCs/>
          <w:color w:val="4472C4" w:themeColor="accent1"/>
          <w:sz w:val="26"/>
          <w:szCs w:val="26"/>
        </w:rPr>
        <w:t xml:space="preserve">% à </w:t>
      </w:r>
      <w:r>
        <w:rPr>
          <w:rFonts w:ascii="Book Antiqua" w:eastAsia="Book Antiqua" w:hAnsi="Book Antiqua" w:cs="Book Antiqua"/>
          <w:b/>
          <w:bCs/>
          <w:color w:val="4472C4" w:themeColor="accent1"/>
          <w:sz w:val="26"/>
          <w:szCs w:val="26"/>
        </w:rPr>
        <w:t>5</w:t>
      </w:r>
      <w:r w:rsidRPr="00AC2D21">
        <w:rPr>
          <w:rFonts w:ascii="Book Antiqua" w:eastAsia="Book Antiqua" w:hAnsi="Book Antiqua" w:cs="Book Antiqua"/>
          <w:b/>
          <w:bCs/>
          <w:color w:val="4472C4" w:themeColor="accent1"/>
          <w:sz w:val="26"/>
          <w:szCs w:val="26"/>
        </w:rPr>
        <w:t>% en milieu rural. Il est plus élevé parmi les jeunes âgés de 15 à 24 ans (3</w:t>
      </w:r>
      <w:r>
        <w:rPr>
          <w:rFonts w:ascii="Book Antiqua" w:eastAsia="Book Antiqua" w:hAnsi="Book Antiqua" w:cs="Book Antiqua"/>
          <w:b/>
          <w:bCs/>
          <w:color w:val="4472C4" w:themeColor="accent1"/>
          <w:sz w:val="26"/>
          <w:szCs w:val="26"/>
        </w:rPr>
        <w:t>1</w:t>
      </w:r>
      <w:r w:rsidRPr="00AC2D21">
        <w:rPr>
          <w:rFonts w:ascii="Book Antiqua" w:eastAsia="Book Antiqua" w:hAnsi="Book Antiqua" w:cs="Book Antiqua"/>
          <w:b/>
          <w:bCs/>
          <w:color w:val="4472C4" w:themeColor="accent1"/>
          <w:sz w:val="26"/>
          <w:szCs w:val="26"/>
        </w:rPr>
        <w:t>,8%), les diplômés (</w:t>
      </w:r>
      <w:r>
        <w:rPr>
          <w:rFonts w:ascii="Book Antiqua" w:eastAsia="Book Antiqua" w:hAnsi="Book Antiqua" w:cs="Book Antiqua"/>
          <w:b/>
          <w:bCs/>
          <w:color w:val="4472C4" w:themeColor="accent1"/>
          <w:sz w:val="26"/>
          <w:szCs w:val="26"/>
        </w:rPr>
        <w:t>19,</w:t>
      </w:r>
      <w:r w:rsidR="003F5612">
        <w:rPr>
          <w:rFonts w:ascii="Book Antiqua" w:eastAsia="Book Antiqua" w:hAnsi="Book Antiqua" w:cs="Book Antiqua"/>
          <w:b/>
          <w:bCs/>
          <w:color w:val="4472C4" w:themeColor="accent1"/>
          <w:sz w:val="26"/>
          <w:szCs w:val="26"/>
        </w:rPr>
        <w:t>6</w:t>
      </w:r>
      <w:r w:rsidRPr="00AC2D21">
        <w:rPr>
          <w:rFonts w:ascii="Book Antiqua" w:eastAsia="Book Antiqua" w:hAnsi="Book Antiqua" w:cs="Book Antiqua"/>
          <w:b/>
          <w:bCs/>
          <w:color w:val="4472C4" w:themeColor="accent1"/>
          <w:sz w:val="26"/>
          <w:szCs w:val="26"/>
        </w:rPr>
        <w:t>%) et les femmes (1</w:t>
      </w:r>
      <w:r w:rsidR="003F5612">
        <w:rPr>
          <w:rFonts w:ascii="Book Antiqua" w:eastAsia="Book Antiqua" w:hAnsi="Book Antiqua" w:cs="Book Antiqua"/>
          <w:b/>
          <w:bCs/>
          <w:color w:val="4472C4" w:themeColor="accent1"/>
          <w:sz w:val="26"/>
          <w:szCs w:val="26"/>
        </w:rPr>
        <w:t>6,8</w:t>
      </w:r>
      <w:r w:rsidRPr="00AC2D21">
        <w:rPr>
          <w:rFonts w:ascii="Book Antiqua" w:eastAsia="Book Antiqua" w:hAnsi="Book Antiqua" w:cs="Book Antiqua"/>
          <w:b/>
          <w:bCs/>
          <w:color w:val="4472C4" w:themeColor="accent1"/>
          <w:sz w:val="26"/>
          <w:szCs w:val="26"/>
        </w:rPr>
        <w:t>%).</w:t>
      </w:r>
    </w:p>
    <w:p w:rsidR="000C22AC" w:rsidRPr="003F5612" w:rsidRDefault="00134746" w:rsidP="003F5612">
      <w:pPr>
        <w:autoSpaceDE w:val="0"/>
        <w:autoSpaceDN w:val="0"/>
        <w:adjustRightInd w:val="0"/>
        <w:spacing w:before="120" w:after="120" w:line="288" w:lineRule="auto"/>
        <w:jc w:val="both"/>
        <w:rPr>
          <w:rFonts w:ascii="Book Antiqua" w:eastAsia="Book Antiqua" w:hAnsi="Book Antiqua" w:cs="Book Antiqua"/>
          <w:b/>
          <w:bCs/>
          <w:color w:val="4472C4" w:themeColor="accent1"/>
          <w:sz w:val="26"/>
          <w:szCs w:val="26"/>
        </w:rPr>
      </w:pPr>
      <w:r w:rsidRPr="0033732A">
        <w:rPr>
          <w:rFonts w:ascii="Book Antiqua" w:eastAsia="Book Antiqua" w:hAnsi="Book Antiqua" w:cs="Book Antiqua"/>
          <w:b/>
          <w:bCs/>
          <w:color w:val="4472C4" w:themeColor="accent1"/>
          <w:sz w:val="26"/>
          <w:szCs w:val="26"/>
        </w:rPr>
        <w:t>Le volume du sous-emploi est passé, durant la même période, de 1.127.000 à 1.003.000 personnes, de 619.000 à 550.000 dans les villes et de 508.000 à 453.000</w:t>
      </w:r>
      <w:r w:rsidR="009107AD" w:rsidRPr="0033732A">
        <w:rPr>
          <w:rFonts w:ascii="Book Antiqua" w:eastAsia="Book Antiqua" w:hAnsi="Book Antiqua" w:cs="Book Antiqua"/>
          <w:b/>
          <w:bCs/>
          <w:color w:val="4472C4" w:themeColor="accent1"/>
          <w:sz w:val="26"/>
          <w:szCs w:val="26"/>
        </w:rPr>
        <w:t xml:space="preserve"> </w:t>
      </w:r>
      <w:r w:rsidRPr="0033732A">
        <w:rPr>
          <w:rFonts w:ascii="Book Antiqua" w:eastAsia="Book Antiqua" w:hAnsi="Book Antiqua" w:cs="Book Antiqua"/>
          <w:b/>
          <w:bCs/>
          <w:color w:val="4472C4" w:themeColor="accent1"/>
          <w:sz w:val="26"/>
          <w:szCs w:val="26"/>
        </w:rPr>
        <w:t xml:space="preserve">à la campagne. Le taux de sous-emploi est ainsi passé, au niveau national, de 10,7% à 9,3%, de 10,1% à 8,8% en milieu urbain </w:t>
      </w:r>
      <w:r w:rsidRPr="003F5612">
        <w:rPr>
          <w:rFonts w:ascii="Book Antiqua" w:eastAsia="Book Antiqua" w:hAnsi="Book Antiqua" w:cs="Book Antiqua"/>
          <w:b/>
          <w:bCs/>
          <w:color w:val="4472C4" w:themeColor="accent1"/>
          <w:sz w:val="26"/>
          <w:szCs w:val="26"/>
        </w:rPr>
        <w:t>et de 11,6% à 10% en milieu rural.</w:t>
      </w:r>
      <w:r w:rsidR="000C22AC" w:rsidRPr="0033732A">
        <w:rPr>
          <w:rFonts w:ascii="Book Antiqua" w:eastAsia="Book Antiqua" w:hAnsi="Book Antiqua" w:cs="Book Antiqua"/>
          <w:b/>
          <w:bCs/>
          <w:color w:val="4472C4" w:themeColor="accent1"/>
          <w:sz w:val="28"/>
          <w:szCs w:val="28"/>
        </w:rPr>
        <w:br w:type="page"/>
      </w:r>
    </w:p>
    <w:p w:rsidR="004E2812" w:rsidRPr="000C22AC" w:rsidRDefault="000C22AC" w:rsidP="000C22AC">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lang w:val="fr-FR"/>
        </w:rPr>
      </w:pPr>
      <w:r w:rsidRPr="000C22AC">
        <w:rPr>
          <w:rFonts w:ascii="Book Antiqua" w:hAnsi="Book Antiqua" w:cstheme="majorHAnsi"/>
          <w:b/>
          <w:bCs/>
          <w:color w:val="1F3864" w:themeColor="accent1" w:themeShade="80"/>
          <w:spacing w:val="-10"/>
          <w:kern w:val="28"/>
          <w:sz w:val="28"/>
          <w:szCs w:val="28"/>
          <w:lang w:val="fr-FR"/>
        </w:rPr>
        <w:lastRenderedPageBreak/>
        <w:t>I. Activité et emploi</w:t>
      </w:r>
    </w:p>
    <w:p w:rsidR="00840D94" w:rsidRPr="00DE167A" w:rsidRDefault="004E2812" w:rsidP="00840D94">
      <w:pPr>
        <w:rPr>
          <w:rFonts w:ascii="Book Antiqua" w:eastAsia="Book Antiqua" w:hAnsi="Book Antiqua" w:cs="Book Antiqua"/>
          <w:b/>
          <w:bCs/>
          <w:color w:val="4472C4" w:themeColor="accent1"/>
          <w:sz w:val="26"/>
          <w:szCs w:val="26"/>
        </w:rPr>
      </w:pPr>
      <w:r w:rsidRPr="00DE167A">
        <w:rPr>
          <w:rFonts w:ascii="Book Antiqua" w:eastAsia="Book Antiqua" w:hAnsi="Book Antiqua" w:cs="Book Antiqua"/>
          <w:b/>
          <w:bCs/>
          <w:color w:val="4472C4" w:themeColor="accent1"/>
          <w:sz w:val="26"/>
          <w:szCs w:val="26"/>
        </w:rPr>
        <w:t xml:space="preserve">Hausse </w:t>
      </w:r>
      <w:r w:rsidR="003A75D9" w:rsidRPr="00DE167A">
        <w:rPr>
          <w:rFonts w:ascii="Book Antiqua" w:eastAsia="Book Antiqua" w:hAnsi="Book Antiqua" w:cs="Book Antiqua"/>
          <w:b/>
          <w:bCs/>
          <w:color w:val="4472C4" w:themeColor="accent1"/>
          <w:sz w:val="26"/>
          <w:szCs w:val="26"/>
        </w:rPr>
        <w:t>de l’activité</w:t>
      </w:r>
      <w:r w:rsidRPr="00DE167A">
        <w:rPr>
          <w:rFonts w:ascii="Book Antiqua" w:eastAsia="Book Antiqua" w:hAnsi="Book Antiqua" w:cs="Book Antiqua"/>
          <w:b/>
          <w:bCs/>
          <w:color w:val="4472C4" w:themeColor="accent1"/>
          <w:sz w:val="26"/>
          <w:szCs w:val="26"/>
        </w:rPr>
        <w:t xml:space="preserve"> </w:t>
      </w:r>
      <w:r w:rsidR="00840D94" w:rsidRPr="00DE167A">
        <w:rPr>
          <w:rFonts w:ascii="Book Antiqua" w:eastAsia="Book Antiqua" w:hAnsi="Book Antiqua" w:cs="Book Antiqua"/>
          <w:b/>
          <w:bCs/>
          <w:color w:val="4472C4" w:themeColor="accent1"/>
          <w:sz w:val="26"/>
          <w:szCs w:val="26"/>
        </w:rPr>
        <w:t>et retour au niveau d’avant la pandémie</w:t>
      </w:r>
    </w:p>
    <w:p w:rsidR="00DB1A94" w:rsidRDefault="004E2812" w:rsidP="00DE167A">
      <w:pPr>
        <w:spacing w:before="100" w:beforeAutospacing="1" w:after="100" w:afterAutospacing="1"/>
        <w:jc w:val="both"/>
        <w:rPr>
          <w:rFonts w:ascii="Book Antiqua" w:hAnsi="Book Antiqua" w:cs="Times New Roman"/>
          <w:sz w:val="24"/>
          <w:szCs w:val="24"/>
        </w:rPr>
      </w:pPr>
      <w:r>
        <w:rPr>
          <w:rFonts w:ascii="Book Antiqua" w:hAnsi="Book Antiqua" w:cstheme="majorBidi"/>
          <w:sz w:val="24"/>
          <w:szCs w:val="24"/>
        </w:rPr>
        <w:t>Le taux d’activité a augmenté de 0,5 point pour s’établir à 45,3%.</w:t>
      </w:r>
      <w:r w:rsidR="00DB1A94" w:rsidRPr="00DB1A94">
        <w:rPr>
          <w:rFonts w:ascii="Book Antiqua" w:hAnsi="Book Antiqua" w:cs="Times New Roman"/>
          <w:sz w:val="24"/>
          <w:szCs w:val="24"/>
        </w:rPr>
        <w:t xml:space="preserve"> </w:t>
      </w:r>
      <w:r w:rsidR="00DB1A94">
        <w:rPr>
          <w:rFonts w:ascii="Book Antiqua" w:hAnsi="Book Antiqua" w:cs="Times New Roman"/>
          <w:sz w:val="24"/>
          <w:szCs w:val="24"/>
        </w:rPr>
        <w:t xml:space="preserve">Avec cette augmentation, le taux d’activité </w:t>
      </w:r>
      <w:r w:rsidR="00DB1A94" w:rsidRPr="00452E2B">
        <w:rPr>
          <w:rFonts w:ascii="Book Antiqua" w:hAnsi="Book Antiqua" w:cs="Times New Roman"/>
          <w:sz w:val="24"/>
          <w:szCs w:val="24"/>
        </w:rPr>
        <w:t>a</w:t>
      </w:r>
      <w:r w:rsidR="00DB1A94">
        <w:rPr>
          <w:rFonts w:ascii="Book Antiqua" w:hAnsi="Book Antiqua" w:cs="Times New Roman"/>
          <w:sz w:val="24"/>
          <w:szCs w:val="24"/>
        </w:rPr>
        <w:t xml:space="preserve"> atteint un</w:t>
      </w:r>
      <w:r w:rsidR="00DB1A94" w:rsidRPr="00452E2B">
        <w:rPr>
          <w:rFonts w:ascii="Book Antiqua" w:hAnsi="Book Antiqua" w:cs="Times New Roman"/>
          <w:sz w:val="24"/>
          <w:szCs w:val="24"/>
        </w:rPr>
        <w:t xml:space="preserve"> niveau </w:t>
      </w:r>
      <w:r w:rsidR="00DB1A94">
        <w:rPr>
          <w:rFonts w:ascii="Book Antiqua" w:hAnsi="Book Antiqua" w:cs="Times New Roman"/>
          <w:sz w:val="24"/>
          <w:szCs w:val="24"/>
        </w:rPr>
        <w:t>avoisinant</w:t>
      </w:r>
      <w:r>
        <w:rPr>
          <w:rFonts w:ascii="Book Antiqua" w:hAnsi="Book Antiqua" w:cstheme="majorBidi"/>
          <w:sz w:val="24"/>
          <w:szCs w:val="24"/>
        </w:rPr>
        <w:t xml:space="preserve"> </w:t>
      </w:r>
      <w:r w:rsidR="00DB1A94">
        <w:rPr>
          <w:rFonts w:ascii="Book Antiqua" w:hAnsi="Book Antiqua" w:cs="Times New Roman"/>
          <w:sz w:val="24"/>
          <w:szCs w:val="24"/>
        </w:rPr>
        <w:t>celui enregistré avant la pandémie (</w:t>
      </w:r>
      <w:r w:rsidR="007D7E59">
        <w:rPr>
          <w:rFonts w:ascii="Book Antiqua" w:hAnsi="Book Antiqua" w:cs="Times New Roman"/>
          <w:sz w:val="24"/>
          <w:szCs w:val="24"/>
        </w:rPr>
        <w:t>45,8</w:t>
      </w:r>
      <w:r w:rsidR="00DB1A94" w:rsidRPr="00452E2B">
        <w:rPr>
          <w:rFonts w:ascii="Book Antiqua" w:hAnsi="Book Antiqua" w:cs="Times New Roman"/>
          <w:sz w:val="24"/>
          <w:szCs w:val="24"/>
        </w:rPr>
        <w:t>%</w:t>
      </w:r>
      <w:r w:rsidR="00DB1A94">
        <w:rPr>
          <w:rFonts w:ascii="Book Antiqua" w:hAnsi="Book Antiqua" w:cs="Times New Roman"/>
          <w:sz w:val="24"/>
          <w:szCs w:val="24"/>
        </w:rPr>
        <w:t xml:space="preserve"> </w:t>
      </w:r>
      <w:r w:rsidR="007D7E59">
        <w:rPr>
          <w:rFonts w:ascii="Book Antiqua" w:hAnsi="Book Antiqua" w:cs="Times New Roman"/>
          <w:sz w:val="24"/>
          <w:szCs w:val="24"/>
        </w:rPr>
        <w:t>en</w:t>
      </w:r>
      <w:r w:rsidR="00DB1A94">
        <w:rPr>
          <w:rFonts w:ascii="Book Antiqua" w:hAnsi="Book Antiqua" w:cs="Times New Roman"/>
          <w:sz w:val="24"/>
          <w:szCs w:val="24"/>
        </w:rPr>
        <w:t xml:space="preserve"> 2019</w:t>
      </w:r>
      <w:r w:rsidR="00DB1A94" w:rsidRPr="00452E2B">
        <w:rPr>
          <w:rFonts w:ascii="Book Antiqua" w:hAnsi="Book Antiqua" w:cs="Times New Roman"/>
          <w:sz w:val="24"/>
          <w:szCs w:val="24"/>
        </w:rPr>
        <w:t>)</w:t>
      </w:r>
      <w:r w:rsidR="00DB1A94">
        <w:rPr>
          <w:rFonts w:ascii="Book Antiqua" w:hAnsi="Book Antiqua" w:cs="Times New Roman"/>
          <w:sz w:val="24"/>
          <w:szCs w:val="24"/>
        </w:rPr>
        <w:t>.</w:t>
      </w:r>
    </w:p>
    <w:p w:rsidR="004E2812" w:rsidRDefault="004E2812" w:rsidP="00DE167A">
      <w:pPr>
        <w:spacing w:before="240" w:line="312" w:lineRule="auto"/>
        <w:jc w:val="both"/>
        <w:rPr>
          <w:rFonts w:ascii="Book Antiqua" w:hAnsi="Book Antiqua" w:cstheme="majorBidi"/>
          <w:sz w:val="24"/>
          <w:szCs w:val="24"/>
        </w:rPr>
      </w:pPr>
      <w:r>
        <w:rPr>
          <w:rFonts w:ascii="Book Antiqua" w:hAnsi="Book Antiqua" w:cstheme="majorBidi"/>
          <w:sz w:val="24"/>
          <w:szCs w:val="24"/>
        </w:rPr>
        <w:t xml:space="preserve">Cette hausse est plus prononcée en milieu rural (+0,9 point), passant de </w:t>
      </w:r>
      <w:r>
        <w:rPr>
          <w:rFonts w:ascii="Book Antiqua" w:hAnsi="Book Antiqua" w:cs="Browallia New"/>
          <w:sz w:val="24"/>
          <w:szCs w:val="24"/>
        </w:rPr>
        <w:t xml:space="preserve">50,0% </w:t>
      </w:r>
      <w:r>
        <w:rPr>
          <w:rFonts w:ascii="Book Antiqua" w:hAnsi="Book Antiqua" w:cstheme="majorBidi"/>
          <w:sz w:val="24"/>
          <w:szCs w:val="24"/>
        </w:rPr>
        <w:t>à 50,9% qu’en milieu urbain (+0,4</w:t>
      </w:r>
      <w:r w:rsidR="00DE167A">
        <w:rPr>
          <w:rFonts w:ascii="Book Antiqua" w:hAnsi="Book Antiqua" w:cstheme="majorBidi"/>
          <w:sz w:val="24"/>
          <w:szCs w:val="24"/>
        </w:rPr>
        <w:t xml:space="preserve"> point</w:t>
      </w:r>
      <w:r>
        <w:rPr>
          <w:rFonts w:ascii="Book Antiqua" w:hAnsi="Book Antiqua" w:cstheme="majorBidi"/>
          <w:sz w:val="24"/>
          <w:szCs w:val="24"/>
        </w:rPr>
        <w:t xml:space="preserve">), passant de </w:t>
      </w:r>
      <w:r>
        <w:rPr>
          <w:rFonts w:ascii="Book Antiqua" w:hAnsi="Book Antiqua" w:cs="Browallia New"/>
          <w:sz w:val="24"/>
          <w:szCs w:val="24"/>
        </w:rPr>
        <w:t>41,9%</w:t>
      </w:r>
      <w:r>
        <w:rPr>
          <w:rFonts w:ascii="Book Antiqua" w:hAnsi="Book Antiqua" w:cstheme="majorBidi"/>
          <w:sz w:val="24"/>
          <w:szCs w:val="24"/>
        </w:rPr>
        <w:t>à 42,3%.</w:t>
      </w:r>
    </w:p>
    <w:p w:rsidR="004E2812" w:rsidRDefault="004E2812" w:rsidP="00DE167A">
      <w:pPr>
        <w:spacing w:before="240" w:line="312" w:lineRule="auto"/>
        <w:jc w:val="both"/>
        <w:rPr>
          <w:rFonts w:ascii="Book Antiqua" w:hAnsi="Book Antiqua" w:cstheme="majorBidi"/>
          <w:sz w:val="24"/>
          <w:szCs w:val="24"/>
        </w:rPr>
      </w:pPr>
      <w:r>
        <w:rPr>
          <w:rFonts w:ascii="Book Antiqua" w:hAnsi="Book Antiqua" w:cstheme="majorBidi"/>
          <w:sz w:val="24"/>
          <w:szCs w:val="24"/>
        </w:rPr>
        <w:t>La hausse de taux d’activité résulte</w:t>
      </w:r>
      <w:r w:rsidR="003A75D9">
        <w:rPr>
          <w:rFonts w:ascii="Book Antiqua" w:hAnsi="Book Antiqua" w:cstheme="majorBidi"/>
          <w:sz w:val="24"/>
          <w:szCs w:val="24"/>
        </w:rPr>
        <w:t xml:space="preserve"> </w:t>
      </w:r>
      <w:r>
        <w:rPr>
          <w:rFonts w:ascii="Book Antiqua" w:hAnsi="Book Antiqua" w:cstheme="majorBidi"/>
          <w:sz w:val="24"/>
          <w:szCs w:val="24"/>
        </w:rPr>
        <w:t xml:space="preserve">de l’accroissement de la population en âge d'activité (15 ans et plus) de 1,4%, par rapport à 2020, et de l’accroissement de la population active de 3%. Le taux d’activité des femmes a augmenté de </w:t>
      </w:r>
      <w:r w:rsidR="0008730C">
        <w:rPr>
          <w:rFonts w:ascii="Book Antiqua" w:hAnsi="Book Antiqua" w:cstheme="majorBidi"/>
          <w:sz w:val="24"/>
          <w:szCs w:val="24"/>
        </w:rPr>
        <w:t xml:space="preserve">1 </w:t>
      </w:r>
      <w:r w:rsidR="009107AD">
        <w:rPr>
          <w:rFonts w:ascii="Book Antiqua" w:hAnsi="Book Antiqua" w:cstheme="majorBidi"/>
          <w:sz w:val="24"/>
          <w:szCs w:val="24"/>
        </w:rPr>
        <w:t>point</w:t>
      </w:r>
      <w:r>
        <w:rPr>
          <w:rFonts w:ascii="Book Antiqua" w:hAnsi="Book Antiqua" w:cstheme="majorBidi"/>
          <w:sz w:val="24"/>
          <w:szCs w:val="24"/>
        </w:rPr>
        <w:t xml:space="preserve"> pour s’établir à 20,9% contre 70,4% pour les hommes.</w:t>
      </w:r>
    </w:p>
    <w:p w:rsidR="004E2812" w:rsidRPr="006A1AEF" w:rsidRDefault="004E2812" w:rsidP="00E945AB">
      <w:pPr>
        <w:spacing w:before="240" w:line="312" w:lineRule="auto"/>
        <w:jc w:val="center"/>
        <w:rPr>
          <w:rFonts w:ascii="Book Antiqua" w:eastAsia="Book Antiqua" w:hAnsi="Book Antiqua" w:cs="Book Antiqua"/>
          <w:b/>
          <w:sz w:val="20"/>
          <w:szCs w:val="20"/>
        </w:rPr>
      </w:pPr>
      <w:r w:rsidRPr="006A1AEF">
        <w:rPr>
          <w:rFonts w:ascii="Book Antiqua" w:eastAsia="Book Antiqua" w:hAnsi="Book Antiqua" w:cs="Book Antiqua"/>
          <w:b/>
          <w:sz w:val="20"/>
          <w:szCs w:val="20"/>
        </w:rPr>
        <w:t xml:space="preserve">Graphique 1 : Evolution du taux d’activité </w:t>
      </w:r>
      <w:r w:rsidR="00E945AB" w:rsidRPr="006A1AEF">
        <w:rPr>
          <w:rFonts w:ascii="Book Antiqua" w:eastAsia="Book Antiqua" w:hAnsi="Book Antiqua" w:cs="Book Antiqua"/>
          <w:b/>
          <w:sz w:val="20"/>
          <w:szCs w:val="20"/>
        </w:rPr>
        <w:t>depuis l’année 2017 (en %)</w:t>
      </w:r>
      <w:r w:rsidR="003A173D">
        <w:rPr>
          <w:rFonts w:ascii="Book Antiqua" w:eastAsia="Book Antiqua" w:hAnsi="Book Antiqua" w:cs="Book Antiqua"/>
          <w:b/>
          <w:sz w:val="20"/>
          <w:szCs w:val="20"/>
        </w:rPr>
        <w:t>.</w:t>
      </w:r>
    </w:p>
    <w:p w:rsidR="004E2812" w:rsidRDefault="00DB1A94" w:rsidP="00E945AB">
      <w:pPr>
        <w:spacing w:before="240" w:after="240" w:line="312" w:lineRule="auto"/>
        <w:jc w:val="center"/>
        <w:rPr>
          <w:rFonts w:ascii="Book Antiqua" w:eastAsia="Book Antiqua" w:hAnsi="Book Antiqua" w:cs="Book Antiqua"/>
          <w:b/>
          <w:bCs/>
          <w:color w:val="8496B0" w:themeColor="text2" w:themeTint="99"/>
          <w:sz w:val="26"/>
          <w:szCs w:val="26"/>
        </w:rPr>
      </w:pPr>
      <w:r w:rsidRPr="00DB1A94">
        <w:rPr>
          <w:noProof/>
        </w:rPr>
        <w:drawing>
          <wp:inline distT="0" distB="0" distL="0" distR="0">
            <wp:extent cx="5186045" cy="2219325"/>
            <wp:effectExtent l="0" t="0" r="0" b="0"/>
            <wp:docPr id="17" name="Graphique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0642F22E-6BE2-4F8F-89DF-EEAA4C178A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2812" w:rsidRPr="00DE167A" w:rsidRDefault="00CF7E2A" w:rsidP="00CF7E2A">
      <w:pPr>
        <w:pStyle w:val="Titre3"/>
        <w:spacing w:before="480" w:after="173"/>
        <w:rPr>
          <w:rFonts w:ascii="Book Antiqua" w:eastAsia="Book Antiqua" w:hAnsi="Book Antiqua" w:cs="Book Antiqua"/>
          <w:b/>
          <w:bCs/>
          <w:color w:val="4472C4" w:themeColor="accent1"/>
          <w:sz w:val="26"/>
          <w:szCs w:val="26"/>
        </w:rPr>
      </w:pPr>
      <w:r w:rsidRPr="00DE167A">
        <w:rPr>
          <w:rFonts w:ascii="Book Antiqua" w:eastAsia="Book Antiqua" w:hAnsi="Book Antiqua" w:cs="Book Antiqua"/>
          <w:b/>
          <w:bCs/>
          <w:color w:val="4472C4" w:themeColor="accent1"/>
          <w:sz w:val="26"/>
          <w:szCs w:val="26"/>
        </w:rPr>
        <w:t>Le taux d’emploi se rapproche de son niveau prépandémique</w:t>
      </w:r>
    </w:p>
    <w:p w:rsidR="00F00485" w:rsidRDefault="004E2812" w:rsidP="00F00485">
      <w:pPr>
        <w:spacing w:before="100" w:beforeAutospacing="1" w:after="100" w:afterAutospacing="1"/>
        <w:jc w:val="both"/>
        <w:rPr>
          <w:rFonts w:ascii="Book Antiqua" w:hAnsi="Book Antiqua" w:cs="Times New Roman"/>
          <w:sz w:val="24"/>
          <w:szCs w:val="24"/>
        </w:rPr>
      </w:pPr>
      <w:r w:rsidRPr="0008730C">
        <w:rPr>
          <w:rFonts w:ascii="Book Antiqua" w:hAnsi="Book Antiqua" w:cstheme="majorBidi"/>
          <w:sz w:val="24"/>
          <w:szCs w:val="24"/>
        </w:rPr>
        <w:t>Le taux d’emploi a augmenté de 39,4% à 39,7% au niveau national (+0,3 point), il a</w:t>
      </w:r>
      <w:r>
        <w:rPr>
          <w:rFonts w:ascii="Book Antiqua" w:hAnsi="Book Antiqua" w:cstheme="majorBidi"/>
          <w:sz w:val="24"/>
          <w:szCs w:val="24"/>
        </w:rPr>
        <w:t xml:space="preserve"> baissé de 0,2 point en milieu urbain (de 35,3% à 35,1%) et a augmenté de 1,</w:t>
      </w:r>
      <w:r w:rsidR="00155A28">
        <w:rPr>
          <w:rFonts w:ascii="Book Antiqua" w:hAnsi="Book Antiqua" w:cstheme="majorBidi"/>
          <w:sz w:val="24"/>
          <w:szCs w:val="24"/>
        </w:rPr>
        <w:t>4</w:t>
      </w:r>
      <w:r>
        <w:rPr>
          <w:rFonts w:ascii="Book Antiqua" w:hAnsi="Book Antiqua" w:cstheme="majorBidi"/>
          <w:sz w:val="24"/>
          <w:szCs w:val="24"/>
        </w:rPr>
        <w:t xml:space="preserve"> point en milieu rural (de 47,0 à 48,4%). En outre, ce taux a baissé parmi les hommes (-0,2 point) et augmenté parmi les femmes (+0,7 point). </w:t>
      </w:r>
      <w:r w:rsidR="00F00485" w:rsidRPr="00452E2B">
        <w:rPr>
          <w:rFonts w:ascii="Book Antiqua" w:hAnsi="Book Antiqua" w:cs="Times New Roman"/>
          <w:sz w:val="24"/>
          <w:szCs w:val="24"/>
        </w:rPr>
        <w:t xml:space="preserve">Toutefois, </w:t>
      </w:r>
      <w:r w:rsidR="00F00485">
        <w:rPr>
          <w:rFonts w:ascii="Book Antiqua" w:hAnsi="Book Antiqua" w:cs="Times New Roman"/>
          <w:sz w:val="24"/>
          <w:szCs w:val="24"/>
        </w:rPr>
        <w:t>le taux d’emploi</w:t>
      </w:r>
      <w:r w:rsidR="00F00485" w:rsidRPr="00452E2B">
        <w:rPr>
          <w:rFonts w:ascii="Book Antiqua" w:hAnsi="Book Antiqua" w:cs="Times New Roman"/>
          <w:sz w:val="24"/>
          <w:szCs w:val="24"/>
        </w:rPr>
        <w:t xml:space="preserve"> demeure inférieur au niveau enregistré </w:t>
      </w:r>
      <w:r w:rsidR="00F00485">
        <w:rPr>
          <w:rFonts w:ascii="Book Antiqua" w:hAnsi="Book Antiqua" w:cs="Times New Roman"/>
          <w:sz w:val="24"/>
          <w:szCs w:val="24"/>
        </w:rPr>
        <w:t>avant la pandémie (41</w:t>
      </w:r>
      <w:r w:rsidR="00F00485" w:rsidRPr="00452E2B">
        <w:rPr>
          <w:rFonts w:ascii="Book Antiqua" w:hAnsi="Book Antiqua" w:cs="Times New Roman"/>
          <w:sz w:val="24"/>
          <w:szCs w:val="24"/>
        </w:rPr>
        <w:t>,</w:t>
      </w:r>
      <w:r w:rsidR="00F00485">
        <w:rPr>
          <w:rFonts w:ascii="Book Antiqua" w:hAnsi="Book Antiqua" w:cs="Times New Roman"/>
          <w:sz w:val="24"/>
          <w:szCs w:val="24"/>
        </w:rPr>
        <w:t>6</w:t>
      </w:r>
      <w:r w:rsidR="00F00485" w:rsidRPr="00452E2B">
        <w:rPr>
          <w:rFonts w:ascii="Book Antiqua" w:hAnsi="Book Antiqua" w:cs="Times New Roman"/>
          <w:sz w:val="24"/>
          <w:szCs w:val="24"/>
        </w:rPr>
        <w:t>%</w:t>
      </w:r>
      <w:r w:rsidR="00F00485">
        <w:rPr>
          <w:rFonts w:ascii="Book Antiqua" w:hAnsi="Book Antiqua" w:cs="Times New Roman"/>
          <w:sz w:val="24"/>
          <w:szCs w:val="24"/>
        </w:rPr>
        <w:t xml:space="preserve"> en 2019</w:t>
      </w:r>
      <w:r w:rsidR="00F00485" w:rsidRPr="00452E2B">
        <w:rPr>
          <w:rFonts w:ascii="Book Antiqua" w:hAnsi="Book Antiqua" w:cs="Times New Roman"/>
          <w:sz w:val="24"/>
          <w:szCs w:val="24"/>
        </w:rPr>
        <w:t>).</w:t>
      </w:r>
    </w:p>
    <w:p w:rsidR="00DE167A" w:rsidRDefault="00DE167A">
      <w:pPr>
        <w:spacing w:after="160" w:line="259" w:lineRule="auto"/>
        <w:rPr>
          <w:rFonts w:ascii="Book Antiqua" w:eastAsia="Book Antiqua" w:hAnsi="Book Antiqua" w:cs="Book Antiqua"/>
          <w:b/>
          <w:sz w:val="20"/>
          <w:szCs w:val="20"/>
        </w:rPr>
      </w:pPr>
      <w:r>
        <w:rPr>
          <w:rFonts w:ascii="Book Antiqua" w:eastAsia="Book Antiqua" w:hAnsi="Book Antiqua" w:cs="Book Antiqua"/>
          <w:b/>
          <w:sz w:val="20"/>
          <w:szCs w:val="20"/>
        </w:rPr>
        <w:br w:type="page"/>
      </w:r>
    </w:p>
    <w:p w:rsidR="004E2812" w:rsidRPr="00757469" w:rsidRDefault="004E2812" w:rsidP="00757469">
      <w:pPr>
        <w:spacing w:line="259" w:lineRule="auto"/>
        <w:jc w:val="center"/>
        <w:rPr>
          <w:rFonts w:ascii="Book Antiqua" w:hAnsi="Book Antiqua" w:cs="Times New Roman"/>
          <w:b/>
          <w:bCs/>
          <w:sz w:val="20"/>
          <w:szCs w:val="20"/>
          <w:highlight w:val="yellow"/>
        </w:rPr>
      </w:pPr>
      <w:r>
        <w:rPr>
          <w:rFonts w:ascii="Book Antiqua" w:eastAsia="Book Antiqua" w:hAnsi="Book Antiqua" w:cs="Book Antiqua"/>
          <w:b/>
          <w:sz w:val="20"/>
          <w:szCs w:val="20"/>
        </w:rPr>
        <w:lastRenderedPageBreak/>
        <w:t xml:space="preserve">Graphique 2 : Evolution du taux d’emploi depuis </w:t>
      </w:r>
      <w:r w:rsidRPr="007D7E59">
        <w:rPr>
          <w:rFonts w:ascii="Book Antiqua" w:eastAsia="Book Antiqua" w:hAnsi="Book Antiqua" w:cs="Book Antiqua"/>
          <w:b/>
          <w:sz w:val="20"/>
          <w:szCs w:val="20"/>
        </w:rPr>
        <w:t>l’année 2017</w:t>
      </w:r>
      <w:r>
        <w:rPr>
          <w:rFonts w:ascii="Book Antiqua" w:eastAsia="Book Antiqua" w:hAnsi="Book Antiqua" w:cs="Book Antiqua"/>
          <w:b/>
          <w:sz w:val="20"/>
          <w:szCs w:val="20"/>
        </w:rPr>
        <w:t xml:space="preserve"> </w:t>
      </w:r>
      <w:r w:rsidR="007D7E59">
        <w:rPr>
          <w:rFonts w:ascii="Book Antiqua" w:eastAsia="Book Antiqua" w:hAnsi="Book Antiqua" w:cs="Book Antiqua"/>
          <w:b/>
          <w:sz w:val="20"/>
          <w:szCs w:val="20"/>
        </w:rPr>
        <w:t>(en %)</w:t>
      </w:r>
      <w:r w:rsidR="003A173D">
        <w:rPr>
          <w:rFonts w:ascii="Book Antiqua" w:eastAsia="Book Antiqua" w:hAnsi="Book Antiqua" w:cs="Book Antiqua"/>
          <w:b/>
          <w:sz w:val="20"/>
          <w:szCs w:val="20"/>
        </w:rPr>
        <w:t>.</w:t>
      </w:r>
    </w:p>
    <w:p w:rsidR="004E2812" w:rsidRDefault="00E945AB" w:rsidP="00E945AB">
      <w:pPr>
        <w:spacing w:before="240" w:line="312" w:lineRule="auto"/>
        <w:jc w:val="center"/>
        <w:rPr>
          <w:rFonts w:ascii="Book Antiqua" w:hAnsi="Book Antiqua"/>
        </w:rPr>
      </w:pPr>
      <w:r>
        <w:rPr>
          <w:noProof/>
        </w:rPr>
        <w:drawing>
          <wp:inline distT="0" distB="0" distL="0" distR="0">
            <wp:extent cx="5186363" cy="2143125"/>
            <wp:effectExtent l="0" t="0" r="0" b="0"/>
            <wp:docPr id="18" name="Graphique 1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5DD8B8E8-4CC5-4672-BE94-9CC9413206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0151" w:rsidRPr="00CE37DF" w:rsidRDefault="00CE37DF" w:rsidP="007D7E59">
      <w:pPr>
        <w:spacing w:before="240" w:after="240" w:line="312" w:lineRule="auto"/>
        <w:jc w:val="both"/>
        <w:rPr>
          <w:rFonts w:ascii="Book Antiqua" w:eastAsia="Book Antiqua" w:hAnsi="Book Antiqua" w:cs="Book Antiqua"/>
          <w:b/>
          <w:bCs/>
          <w:color w:val="8496B0" w:themeColor="text2" w:themeTint="99"/>
          <w:sz w:val="26"/>
          <w:szCs w:val="26"/>
        </w:rPr>
      </w:pPr>
      <w:r w:rsidRPr="00182BF6">
        <w:rPr>
          <w:rFonts w:ascii="Book Antiqua" w:eastAsia="Book Antiqua" w:hAnsi="Book Antiqua" w:cs="Book Antiqua"/>
          <w:b/>
          <w:bCs/>
          <w:color w:val="8496B0" w:themeColor="text2" w:themeTint="99"/>
          <w:sz w:val="26"/>
          <w:szCs w:val="26"/>
        </w:rPr>
        <w:t>Les emplois créés, principalement rémunérés</w:t>
      </w:r>
    </w:p>
    <w:p w:rsidR="004E2812" w:rsidRDefault="004E2812" w:rsidP="007D7E59">
      <w:pPr>
        <w:spacing w:before="240" w:after="240" w:line="312" w:lineRule="auto"/>
        <w:jc w:val="both"/>
        <w:rPr>
          <w:rFonts w:ascii="Book Antiqua" w:hAnsi="Book Antiqua" w:cstheme="majorBidi"/>
          <w:sz w:val="24"/>
          <w:szCs w:val="24"/>
        </w:rPr>
      </w:pPr>
      <w:r w:rsidRPr="00E45A13">
        <w:rPr>
          <w:rFonts w:ascii="Book Antiqua" w:hAnsi="Book Antiqua" w:cstheme="majorBidi"/>
          <w:sz w:val="24"/>
          <w:szCs w:val="24"/>
        </w:rPr>
        <w:t xml:space="preserve">Après avoir </w:t>
      </w:r>
      <w:r w:rsidR="00F65F53" w:rsidRPr="00E45A13">
        <w:rPr>
          <w:rFonts w:ascii="Book Antiqua" w:hAnsi="Book Antiqua" w:cstheme="majorBidi"/>
          <w:sz w:val="24"/>
          <w:szCs w:val="24"/>
        </w:rPr>
        <w:t>perdue</w:t>
      </w:r>
      <w:r w:rsidRPr="00E45A13">
        <w:rPr>
          <w:rFonts w:ascii="Book Antiqua" w:hAnsi="Book Antiqua" w:cstheme="majorBidi"/>
          <w:sz w:val="24"/>
          <w:szCs w:val="24"/>
        </w:rPr>
        <w:t xml:space="preserve"> </w:t>
      </w:r>
      <w:r w:rsidR="00F65F53" w:rsidRPr="00E45A13">
        <w:rPr>
          <w:rFonts w:ascii="Book Antiqua" w:hAnsi="Book Antiqua" w:cstheme="majorBidi"/>
          <w:sz w:val="24"/>
          <w:szCs w:val="24"/>
        </w:rPr>
        <w:t>432.000 postes d’emploi une année auparavant</w:t>
      </w:r>
      <w:r>
        <w:rPr>
          <w:rFonts w:ascii="Book Antiqua" w:hAnsi="Book Antiqua" w:cstheme="majorBidi"/>
          <w:sz w:val="24"/>
          <w:szCs w:val="24"/>
        </w:rPr>
        <w:t xml:space="preserve">, l’économie nationale a </w:t>
      </w:r>
      <w:r w:rsidR="000A0E50">
        <w:rPr>
          <w:rFonts w:ascii="Book Antiqua" w:hAnsi="Book Antiqua" w:cstheme="majorBidi"/>
          <w:sz w:val="24"/>
          <w:szCs w:val="24"/>
        </w:rPr>
        <w:t>créé 230.000</w:t>
      </w:r>
      <w:r>
        <w:rPr>
          <w:rFonts w:ascii="Book Antiqua" w:hAnsi="Book Antiqua" w:cstheme="majorBidi"/>
          <w:sz w:val="24"/>
          <w:szCs w:val="24"/>
        </w:rPr>
        <w:t xml:space="preserve"> postes </w:t>
      </w:r>
      <w:r w:rsidR="009107AD">
        <w:rPr>
          <w:rFonts w:ascii="Book Antiqua" w:hAnsi="Book Antiqua" w:cstheme="majorBidi"/>
          <w:sz w:val="24"/>
          <w:szCs w:val="24"/>
        </w:rPr>
        <w:t>d’emploi</w:t>
      </w:r>
      <w:r w:rsidR="0008730C" w:rsidRPr="0008730C">
        <w:rPr>
          <w:rFonts w:ascii="Book Antiqua" w:hAnsi="Book Antiqua" w:cstheme="majorBidi"/>
          <w:sz w:val="24"/>
          <w:szCs w:val="24"/>
        </w:rPr>
        <w:t xml:space="preserve"> </w:t>
      </w:r>
      <w:r w:rsidR="0008730C">
        <w:rPr>
          <w:rFonts w:ascii="Book Antiqua" w:hAnsi="Book Antiqua" w:cstheme="majorBidi"/>
          <w:sz w:val="24"/>
          <w:szCs w:val="24"/>
        </w:rPr>
        <w:t>en 2021</w:t>
      </w:r>
      <w:r w:rsidR="009107AD">
        <w:rPr>
          <w:rFonts w:ascii="Book Antiqua" w:hAnsi="Book Antiqua" w:cstheme="majorBidi"/>
          <w:sz w:val="24"/>
          <w:szCs w:val="24"/>
        </w:rPr>
        <w:t>, ce</w:t>
      </w:r>
      <w:r>
        <w:rPr>
          <w:rFonts w:ascii="Book Antiqua" w:hAnsi="Book Antiqua" w:cstheme="majorBidi"/>
          <w:sz w:val="24"/>
          <w:szCs w:val="24"/>
        </w:rPr>
        <w:t xml:space="preserve"> qui correspond à une hausse de 2%, 100.000 postes en milieu urbain (+2%) et 130.000 en milieu rural (+3%).</w:t>
      </w:r>
    </w:p>
    <w:p w:rsidR="004E2812" w:rsidRDefault="004E2812" w:rsidP="004E2812">
      <w:pPr>
        <w:spacing w:before="240" w:after="240" w:line="312" w:lineRule="auto"/>
        <w:jc w:val="both"/>
        <w:rPr>
          <w:rFonts w:ascii="Book Antiqua" w:hAnsi="Book Antiqua" w:cstheme="majorBidi"/>
          <w:sz w:val="24"/>
          <w:szCs w:val="24"/>
        </w:rPr>
      </w:pPr>
      <w:r>
        <w:rPr>
          <w:rFonts w:ascii="Book Antiqua" w:hAnsi="Book Antiqua" w:cstheme="majorBidi"/>
          <w:sz w:val="24"/>
          <w:szCs w:val="24"/>
        </w:rPr>
        <w:t xml:space="preserve">Par type d’emploi, 197.000 postes d’emplois rémunérés ont été </w:t>
      </w:r>
      <w:r w:rsidR="009107AD">
        <w:rPr>
          <w:rFonts w:ascii="Book Antiqua" w:hAnsi="Book Antiqua" w:cstheme="majorBidi"/>
          <w:sz w:val="24"/>
          <w:szCs w:val="24"/>
        </w:rPr>
        <w:t>créés</w:t>
      </w:r>
      <w:r>
        <w:rPr>
          <w:rFonts w:ascii="Book Antiqua" w:hAnsi="Book Antiqua" w:cstheme="majorBidi"/>
          <w:sz w:val="24"/>
          <w:szCs w:val="24"/>
        </w:rPr>
        <w:t>, 112.000 en milieu urbain et 85.000 en milieu rural. L’emploi non rémunéré a</w:t>
      </w:r>
      <w:r w:rsidR="00F65F53">
        <w:rPr>
          <w:rFonts w:ascii="Book Antiqua" w:hAnsi="Book Antiqua" w:cstheme="majorBidi"/>
          <w:sz w:val="24"/>
          <w:szCs w:val="24"/>
        </w:rPr>
        <w:t xml:space="preserve"> </w:t>
      </w:r>
      <w:r w:rsidR="009107AD">
        <w:rPr>
          <w:rFonts w:ascii="Book Antiqua" w:hAnsi="Book Antiqua" w:cstheme="majorBidi"/>
          <w:sz w:val="24"/>
          <w:szCs w:val="24"/>
        </w:rPr>
        <w:t>augmenté de</w:t>
      </w:r>
      <w:r>
        <w:rPr>
          <w:rFonts w:ascii="Book Antiqua" w:hAnsi="Book Antiqua" w:cstheme="majorBidi"/>
          <w:sz w:val="24"/>
          <w:szCs w:val="24"/>
        </w:rPr>
        <w:t xml:space="preserve"> 33.000 postes, </w:t>
      </w:r>
      <w:r w:rsidR="00155A28">
        <w:rPr>
          <w:rFonts w:ascii="Book Antiqua" w:hAnsi="Book Antiqua" w:cstheme="majorBidi"/>
          <w:sz w:val="24"/>
          <w:szCs w:val="24"/>
          <w:lang w:bidi="tzm-Arab-MA"/>
        </w:rPr>
        <w:t xml:space="preserve">création de </w:t>
      </w:r>
      <w:r>
        <w:rPr>
          <w:rFonts w:ascii="Book Antiqua" w:hAnsi="Book Antiqua" w:cstheme="majorBidi"/>
          <w:sz w:val="24"/>
          <w:szCs w:val="24"/>
        </w:rPr>
        <w:t>45.000</w:t>
      </w:r>
      <w:r w:rsidR="00155A28">
        <w:rPr>
          <w:rFonts w:ascii="Book Antiqua" w:hAnsi="Book Antiqua" w:cstheme="majorBidi"/>
          <w:sz w:val="24"/>
          <w:szCs w:val="24"/>
        </w:rPr>
        <w:t xml:space="preserve"> </w:t>
      </w:r>
      <w:r>
        <w:rPr>
          <w:rFonts w:ascii="Book Antiqua" w:hAnsi="Book Antiqua" w:cstheme="majorBidi"/>
          <w:sz w:val="24"/>
          <w:szCs w:val="24"/>
        </w:rPr>
        <w:t xml:space="preserve">en zones rurales </w:t>
      </w:r>
      <w:r w:rsidR="00BF456F">
        <w:rPr>
          <w:rFonts w:ascii="Book Antiqua" w:hAnsi="Book Antiqua" w:cstheme="majorBidi"/>
          <w:sz w:val="24"/>
          <w:szCs w:val="24"/>
        </w:rPr>
        <w:t>et perte</w:t>
      </w:r>
      <w:r w:rsidR="00155A28">
        <w:rPr>
          <w:rFonts w:ascii="Book Antiqua" w:hAnsi="Book Antiqua" w:cstheme="majorBidi"/>
          <w:sz w:val="24"/>
          <w:szCs w:val="24"/>
        </w:rPr>
        <w:t xml:space="preserve"> de </w:t>
      </w:r>
      <w:r>
        <w:rPr>
          <w:rFonts w:ascii="Book Antiqua" w:hAnsi="Book Antiqua" w:cstheme="majorBidi"/>
          <w:sz w:val="24"/>
          <w:szCs w:val="24"/>
        </w:rPr>
        <w:t>12.000 en zones urbaines.</w:t>
      </w:r>
    </w:p>
    <w:p w:rsidR="004E2812" w:rsidRDefault="00C24A63" w:rsidP="004E2812">
      <w:pPr>
        <w:rPr>
          <w:rFonts w:ascii="Book Antiqua" w:eastAsia="Book Antiqua" w:hAnsi="Book Antiqua" w:cs="Book Antiqua"/>
          <w:color w:val="0070C0"/>
          <w:sz w:val="24"/>
          <w:szCs w:val="24"/>
        </w:rPr>
      </w:pPr>
      <w:r>
        <w:rPr>
          <w:rFonts w:ascii="Book Antiqua" w:eastAsia="Book Antiqua" w:hAnsi="Book Antiqua" w:cs="Book Antiqua"/>
          <w:b/>
          <w:color w:val="0D0D0D" w:themeColor="text1" w:themeTint="F2"/>
          <w:sz w:val="20"/>
          <w:szCs w:val="20"/>
        </w:rPr>
        <w:t>Graphique 3 : Variation nette d’emploi entre 2020 et 2021 selon le type d’emploi et le milieu de résidence</w:t>
      </w:r>
      <w:r w:rsidR="003A173D">
        <w:rPr>
          <w:rFonts w:ascii="Book Antiqua" w:eastAsia="Book Antiqua" w:hAnsi="Book Antiqua" w:cs="Book Antiqua"/>
          <w:b/>
          <w:color w:val="0D0D0D" w:themeColor="text1" w:themeTint="F2"/>
          <w:sz w:val="20"/>
          <w:szCs w:val="20"/>
        </w:rPr>
        <w:t>.</w:t>
      </w:r>
      <w:r w:rsidR="004E2812" w:rsidRPr="000A0E50">
        <w:rPr>
          <w:rFonts w:ascii="Book Antiqua" w:eastAsia="Book Antiqua" w:hAnsi="Book Antiqua" w:cs="Book Antiqua"/>
          <w:noProof/>
          <w:color w:val="0070C0"/>
          <w:sz w:val="24"/>
          <w:szCs w:val="24"/>
          <w:shd w:val="clear" w:color="auto" w:fill="FFE599" w:themeFill="accent4" w:themeFillTint="66"/>
        </w:rPr>
        <w:drawing>
          <wp:inline distT="0" distB="0" distL="0" distR="0">
            <wp:extent cx="5753100" cy="2952750"/>
            <wp:effectExtent l="0" t="0" r="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7001" w:rsidRDefault="002A7001">
      <w:pPr>
        <w:spacing w:after="160" w:line="259" w:lineRule="auto"/>
        <w:rPr>
          <w:rFonts w:ascii="Book Antiqua" w:eastAsia="Book Antiqua" w:hAnsi="Book Antiqua" w:cs="Book Antiqua"/>
          <w:b/>
          <w:bCs/>
          <w:color w:val="8496B0" w:themeColor="text2" w:themeTint="99"/>
          <w:sz w:val="26"/>
          <w:szCs w:val="26"/>
        </w:rPr>
      </w:pPr>
      <w:r>
        <w:rPr>
          <w:rFonts w:ascii="Book Antiqua" w:eastAsia="Book Antiqua" w:hAnsi="Book Antiqua" w:cs="Book Antiqua"/>
          <w:b/>
          <w:bCs/>
          <w:color w:val="8496B0" w:themeColor="text2" w:themeTint="99"/>
          <w:sz w:val="26"/>
          <w:szCs w:val="26"/>
        </w:rPr>
        <w:br w:type="page"/>
      </w:r>
    </w:p>
    <w:p w:rsidR="00F955FD" w:rsidRPr="00F955FD" w:rsidRDefault="00F955FD" w:rsidP="00F955FD">
      <w:pPr>
        <w:spacing w:after="240" w:line="312" w:lineRule="auto"/>
        <w:jc w:val="both"/>
        <w:rPr>
          <w:rFonts w:ascii="Book Antiqua" w:eastAsia="Book Antiqua" w:hAnsi="Book Antiqua" w:cs="Book Antiqua"/>
          <w:b/>
          <w:bCs/>
          <w:color w:val="8496B0" w:themeColor="text2" w:themeTint="99"/>
          <w:sz w:val="26"/>
          <w:szCs w:val="26"/>
        </w:rPr>
      </w:pPr>
      <w:r w:rsidRPr="00F955FD">
        <w:rPr>
          <w:rFonts w:ascii="Book Antiqua" w:eastAsia="Book Antiqua" w:hAnsi="Book Antiqua" w:cs="Book Antiqua"/>
          <w:b/>
          <w:bCs/>
          <w:color w:val="8496B0" w:themeColor="text2" w:themeTint="99"/>
          <w:sz w:val="26"/>
          <w:szCs w:val="26"/>
        </w:rPr>
        <w:lastRenderedPageBreak/>
        <w:t>Les secteurs des services et de l’"agriculture, forêt et pêche" demeurent les premiers pourvoyeurs d'emploi</w:t>
      </w:r>
    </w:p>
    <w:p w:rsidR="00F955FD" w:rsidRDefault="00F955FD" w:rsidP="00F955FD">
      <w:pPr>
        <w:spacing w:after="200"/>
        <w:jc w:val="both"/>
        <w:rPr>
          <w:rFonts w:ascii="Book Antiqua" w:hAnsi="Book Antiqua" w:cs="Times New Roman"/>
          <w:sz w:val="24"/>
          <w:szCs w:val="24"/>
        </w:rPr>
      </w:pPr>
      <w:r>
        <w:rPr>
          <w:rFonts w:ascii="Book Antiqua" w:hAnsi="Book Antiqua" w:cs="Times New Roman"/>
          <w:sz w:val="24"/>
          <w:szCs w:val="24"/>
        </w:rPr>
        <w:t>Parmi les 10.772.000 actifs occupés estimés en 2021, le secteur des "</w:t>
      </w:r>
      <w:r w:rsidR="00C95867">
        <w:rPr>
          <w:rFonts w:ascii="Book Antiqua" w:hAnsi="Book Antiqua" w:cs="Times New Roman"/>
          <w:sz w:val="24"/>
          <w:szCs w:val="24"/>
        </w:rPr>
        <w:t>s</w:t>
      </w:r>
      <w:r>
        <w:rPr>
          <w:rFonts w:ascii="Book Antiqua" w:hAnsi="Book Antiqua" w:cs="Times New Roman"/>
          <w:sz w:val="24"/>
          <w:szCs w:val="24"/>
        </w:rPr>
        <w:t>ervices" emploie 45,</w:t>
      </w:r>
      <w:r w:rsidR="00D73191">
        <w:rPr>
          <w:rFonts w:ascii="Book Antiqua" w:hAnsi="Book Antiqua" w:cs="Times New Roman"/>
          <w:sz w:val="24"/>
          <w:szCs w:val="24"/>
        </w:rPr>
        <w:t>8</w:t>
      </w:r>
      <w:r>
        <w:rPr>
          <w:rFonts w:ascii="Book Antiqua" w:hAnsi="Book Antiqua" w:cs="Times New Roman"/>
          <w:sz w:val="24"/>
          <w:szCs w:val="24"/>
        </w:rPr>
        <w:t>%, suivi de l’"agriculture, forêt et pêche" avec 3</w:t>
      </w:r>
      <w:r w:rsidR="00D73191">
        <w:rPr>
          <w:rFonts w:ascii="Book Antiqua" w:hAnsi="Book Antiqua" w:cs="Times New Roman"/>
          <w:sz w:val="24"/>
          <w:szCs w:val="24"/>
        </w:rPr>
        <w:t>1</w:t>
      </w:r>
      <w:r>
        <w:rPr>
          <w:rFonts w:ascii="Book Antiqua" w:hAnsi="Book Antiqua" w:cs="Times New Roman"/>
          <w:sz w:val="24"/>
          <w:szCs w:val="24"/>
        </w:rPr>
        <w:t>,</w:t>
      </w:r>
      <w:r w:rsidR="00D73191">
        <w:rPr>
          <w:rFonts w:ascii="Book Antiqua" w:hAnsi="Book Antiqua" w:cs="Times New Roman"/>
          <w:sz w:val="24"/>
          <w:szCs w:val="24"/>
        </w:rPr>
        <w:t>2</w:t>
      </w:r>
      <w:r>
        <w:rPr>
          <w:rFonts w:ascii="Book Antiqua" w:hAnsi="Book Antiqua" w:cs="Times New Roman"/>
          <w:sz w:val="24"/>
          <w:szCs w:val="24"/>
        </w:rPr>
        <w:t xml:space="preserve">%, de </w:t>
      </w:r>
      <w:r w:rsidR="00D73191">
        <w:rPr>
          <w:rFonts w:ascii="Book Antiqua" w:hAnsi="Book Antiqua" w:cs="Times New Roman"/>
          <w:sz w:val="24"/>
          <w:szCs w:val="24"/>
        </w:rPr>
        <w:t>l’"industrie</w:t>
      </w:r>
      <w:r>
        <w:rPr>
          <w:rFonts w:ascii="Book Antiqua" w:hAnsi="Book Antiqua" w:cs="Times New Roman"/>
          <w:sz w:val="24"/>
          <w:szCs w:val="24"/>
        </w:rPr>
        <w:t xml:space="preserve"> y compris l'artisanat" avec 11,</w:t>
      </w:r>
      <w:r w:rsidR="00D73191">
        <w:rPr>
          <w:rFonts w:ascii="Book Antiqua" w:hAnsi="Book Antiqua" w:cs="Times New Roman"/>
          <w:sz w:val="24"/>
          <w:szCs w:val="24"/>
        </w:rPr>
        <w:t>7</w:t>
      </w:r>
      <w:r>
        <w:rPr>
          <w:rFonts w:ascii="Book Antiqua" w:hAnsi="Book Antiqua" w:cs="Times New Roman"/>
          <w:sz w:val="24"/>
          <w:szCs w:val="24"/>
        </w:rPr>
        <w:t>% (</w:t>
      </w:r>
      <w:r w:rsidRPr="003D16EA">
        <w:rPr>
          <w:rFonts w:ascii="Book Antiqua" w:hAnsi="Book Antiqua" w:cs="Times New Roman"/>
          <w:sz w:val="24"/>
          <w:szCs w:val="24"/>
        </w:rPr>
        <w:t>dont 44 ,6%</w:t>
      </w:r>
      <w:r w:rsidRPr="003D16EA">
        <w:rPr>
          <w:rFonts w:ascii="Book Antiqua" w:hAnsi="Book Antiqua" w:cs="Times New Roman"/>
          <w:sz w:val="24"/>
          <w:szCs w:val="24"/>
          <w:vertAlign w:val="superscript"/>
        </w:rPr>
        <w:footnoteReference w:id="1"/>
      </w:r>
      <w:r w:rsidR="00E977BD">
        <w:rPr>
          <w:rFonts w:ascii="Book Antiqua" w:hAnsi="Book Antiqua" w:cs="Times New Roman"/>
          <w:sz w:val="24"/>
          <w:szCs w:val="24"/>
        </w:rPr>
        <w:t xml:space="preserve"> sont des </w:t>
      </w:r>
      <w:r w:rsidR="00E977BD" w:rsidRPr="003D16EA">
        <w:rPr>
          <w:rFonts w:ascii="Book Antiqua" w:hAnsi="Book Antiqua" w:cs="Times New Roman"/>
          <w:sz w:val="24"/>
          <w:szCs w:val="24"/>
        </w:rPr>
        <w:t>activités artisanales</w:t>
      </w:r>
      <w:r w:rsidRPr="003D16EA">
        <w:rPr>
          <w:rFonts w:ascii="Book Antiqua" w:hAnsi="Book Antiqua" w:cs="Times New Roman"/>
          <w:sz w:val="24"/>
          <w:szCs w:val="24"/>
          <w:vertAlign w:val="superscript"/>
        </w:rPr>
        <w:t xml:space="preserve"> </w:t>
      </w:r>
      <w:r w:rsidRPr="003D16EA">
        <w:rPr>
          <w:rFonts w:ascii="Book Antiqua" w:hAnsi="Book Antiqua" w:cs="Times New Roman"/>
          <w:sz w:val="24"/>
          <w:szCs w:val="24"/>
        </w:rPr>
        <w:t>) et</w:t>
      </w:r>
      <w:r>
        <w:rPr>
          <w:rFonts w:ascii="Book Antiqua" w:hAnsi="Book Antiqua" w:cs="Times New Roman"/>
          <w:sz w:val="24"/>
          <w:szCs w:val="24"/>
        </w:rPr>
        <w:t xml:space="preserve"> des "BTP" 1</w:t>
      </w:r>
      <w:r w:rsidR="00D73191">
        <w:rPr>
          <w:rFonts w:ascii="Book Antiqua" w:hAnsi="Book Antiqua" w:cs="Times New Roman"/>
          <w:sz w:val="24"/>
          <w:szCs w:val="24"/>
        </w:rPr>
        <w:t>1</w:t>
      </w:r>
      <w:r>
        <w:rPr>
          <w:rFonts w:ascii="Book Antiqua" w:hAnsi="Book Antiqua" w:cs="Times New Roman"/>
          <w:sz w:val="24"/>
          <w:szCs w:val="24"/>
        </w:rPr>
        <w:t>,</w:t>
      </w:r>
      <w:r w:rsidR="00D73191">
        <w:rPr>
          <w:rFonts w:ascii="Book Antiqua" w:hAnsi="Book Antiqua" w:cs="Times New Roman"/>
          <w:sz w:val="24"/>
          <w:szCs w:val="24"/>
        </w:rPr>
        <w:t>2</w:t>
      </w:r>
      <w:r>
        <w:rPr>
          <w:rFonts w:ascii="Book Antiqua" w:hAnsi="Book Antiqua" w:cs="Times New Roman"/>
          <w:sz w:val="24"/>
          <w:szCs w:val="24"/>
        </w:rPr>
        <w:t xml:space="preserve">%. </w:t>
      </w:r>
    </w:p>
    <w:p w:rsidR="00F955FD" w:rsidRDefault="00F955FD" w:rsidP="00F955FD">
      <w:pPr>
        <w:spacing w:after="240" w:line="312" w:lineRule="auto"/>
        <w:jc w:val="both"/>
        <w:rPr>
          <w:rFonts w:ascii="Book Antiqua" w:hAnsi="Book Antiqua" w:cs="Times New Roman"/>
          <w:sz w:val="24"/>
          <w:szCs w:val="24"/>
        </w:rPr>
      </w:pPr>
      <w:r>
        <w:rPr>
          <w:rFonts w:ascii="Book Antiqua" w:hAnsi="Book Antiqua" w:cs="Times New Roman"/>
          <w:sz w:val="24"/>
          <w:szCs w:val="24"/>
        </w:rPr>
        <w:t>Près de 7 actifs occupés ruraux sur 10 (</w:t>
      </w:r>
      <w:r w:rsidR="00D73191">
        <w:rPr>
          <w:rFonts w:ascii="Book Antiqua" w:hAnsi="Book Antiqua" w:cs="Times New Roman"/>
          <w:sz w:val="24"/>
          <w:szCs w:val="24"/>
        </w:rPr>
        <w:t>67</w:t>
      </w:r>
      <w:r>
        <w:rPr>
          <w:rFonts w:ascii="Book Antiqua" w:hAnsi="Book Antiqua" w:cs="Times New Roman"/>
          <w:sz w:val="24"/>
          <w:szCs w:val="24"/>
        </w:rPr>
        <w:t>,</w:t>
      </w:r>
      <w:r w:rsidR="00D73191">
        <w:rPr>
          <w:rFonts w:ascii="Book Antiqua" w:hAnsi="Book Antiqua" w:cs="Times New Roman"/>
          <w:sz w:val="24"/>
          <w:szCs w:val="24"/>
        </w:rPr>
        <w:t>8</w:t>
      </w:r>
      <w:r>
        <w:rPr>
          <w:rFonts w:ascii="Book Antiqua" w:hAnsi="Book Antiqua" w:cs="Times New Roman"/>
          <w:sz w:val="24"/>
          <w:szCs w:val="24"/>
        </w:rPr>
        <w:t>%) exercent dans le secteur de l’agriculture, forêt et pêche, et près de deux tiers des actifs occupés citadins (6</w:t>
      </w:r>
      <w:r w:rsidR="00D73191">
        <w:rPr>
          <w:rFonts w:ascii="Book Antiqua" w:hAnsi="Book Antiqua" w:cs="Times New Roman"/>
          <w:sz w:val="24"/>
          <w:szCs w:val="24"/>
        </w:rPr>
        <w:t>5</w:t>
      </w:r>
      <w:r>
        <w:rPr>
          <w:rFonts w:ascii="Book Antiqua" w:hAnsi="Book Antiqua" w:cs="Times New Roman"/>
          <w:sz w:val="24"/>
          <w:szCs w:val="24"/>
        </w:rPr>
        <w:t>,</w:t>
      </w:r>
      <w:r w:rsidR="00D73191">
        <w:rPr>
          <w:rFonts w:ascii="Book Antiqua" w:hAnsi="Book Antiqua" w:cs="Times New Roman"/>
          <w:sz w:val="24"/>
          <w:szCs w:val="24"/>
        </w:rPr>
        <w:t>8</w:t>
      </w:r>
      <w:r>
        <w:rPr>
          <w:rFonts w:ascii="Book Antiqua" w:hAnsi="Book Antiqua" w:cs="Times New Roman"/>
          <w:sz w:val="24"/>
          <w:szCs w:val="24"/>
        </w:rPr>
        <w:t xml:space="preserve">%) travaillent dans le secteur des services. </w:t>
      </w:r>
    </w:p>
    <w:p w:rsidR="004E2812" w:rsidRDefault="004E2812" w:rsidP="004E2812">
      <w:pPr>
        <w:spacing w:before="240" w:after="240" w:line="312" w:lineRule="auto"/>
        <w:rPr>
          <w:rFonts w:ascii="Book Antiqua" w:eastAsia="Book Antiqua" w:hAnsi="Book Antiqua" w:cs="Book Antiqua"/>
          <w:b/>
          <w:bCs/>
          <w:color w:val="8496B0" w:themeColor="text2" w:themeTint="99"/>
          <w:sz w:val="26"/>
          <w:szCs w:val="26"/>
        </w:rPr>
      </w:pPr>
      <w:r>
        <w:rPr>
          <w:rFonts w:ascii="Book Antiqua" w:eastAsia="Book Antiqua" w:hAnsi="Book Antiqua" w:cs="Book Antiqua"/>
          <w:b/>
          <w:bCs/>
          <w:color w:val="8496B0" w:themeColor="text2" w:themeTint="99"/>
          <w:sz w:val="26"/>
          <w:szCs w:val="26"/>
        </w:rPr>
        <w:t>Création</w:t>
      </w:r>
      <w:r w:rsidR="0008730C">
        <w:rPr>
          <w:rFonts w:ascii="Book Antiqua" w:eastAsia="Book Antiqua" w:hAnsi="Book Antiqua" w:cs="Book Antiqua"/>
          <w:b/>
          <w:bCs/>
          <w:color w:val="8496B0" w:themeColor="text2" w:themeTint="99"/>
          <w:sz w:val="26"/>
          <w:szCs w:val="26"/>
        </w:rPr>
        <w:t xml:space="preserve"> sectorielle de l’emploi </w:t>
      </w:r>
    </w:p>
    <w:p w:rsidR="00651D1E" w:rsidRDefault="004E2812" w:rsidP="004E2812">
      <w:pPr>
        <w:spacing w:before="240" w:after="240" w:line="312" w:lineRule="auto"/>
        <w:jc w:val="both"/>
        <w:rPr>
          <w:rFonts w:ascii="Book Antiqua" w:eastAsia="Book Antiqua" w:hAnsi="Book Antiqua" w:cs="Book Antiqua"/>
          <w:sz w:val="24"/>
          <w:szCs w:val="24"/>
        </w:rPr>
      </w:pPr>
      <w:r>
        <w:rPr>
          <w:rFonts w:ascii="Book Antiqua" w:eastAsia="Book Antiqua" w:hAnsi="Book Antiqua" w:cs="Book Antiqua"/>
          <w:sz w:val="24"/>
          <w:szCs w:val="24"/>
        </w:rPr>
        <w:t>Le secteur de l’"</w:t>
      </w:r>
      <w:r w:rsidR="00C95867">
        <w:rPr>
          <w:rFonts w:ascii="Book Antiqua" w:eastAsia="Book Antiqua" w:hAnsi="Book Antiqua" w:cs="Book Antiqua"/>
          <w:sz w:val="24"/>
          <w:szCs w:val="24"/>
        </w:rPr>
        <w:t>a</w:t>
      </w:r>
      <w:r>
        <w:rPr>
          <w:rFonts w:ascii="Book Antiqua" w:eastAsia="Book Antiqua" w:hAnsi="Book Antiqua" w:cs="Book Antiqua"/>
          <w:sz w:val="24"/>
          <w:szCs w:val="24"/>
        </w:rPr>
        <w:t>griculture</w:t>
      </w:r>
      <w:r w:rsidR="00C95867">
        <w:rPr>
          <w:rFonts w:ascii="Book Antiqua" w:eastAsia="Book Antiqua" w:hAnsi="Book Antiqua" w:cs="Book Antiqua"/>
          <w:sz w:val="24"/>
          <w:szCs w:val="24"/>
        </w:rPr>
        <w:t xml:space="preserve">, </w:t>
      </w:r>
      <w:r>
        <w:rPr>
          <w:rFonts w:ascii="Book Antiqua" w:eastAsia="Book Antiqua" w:hAnsi="Book Antiqua" w:cs="Book Antiqua"/>
          <w:sz w:val="24"/>
          <w:szCs w:val="24"/>
        </w:rPr>
        <w:t>forêt et pêche" a cré</w:t>
      </w:r>
      <w:r w:rsidR="002A7001">
        <w:rPr>
          <w:rFonts w:ascii="Book Antiqua" w:eastAsia="Book Antiqua" w:hAnsi="Book Antiqua" w:cs="Book Antiqua"/>
          <w:sz w:val="24"/>
          <w:szCs w:val="24"/>
        </w:rPr>
        <w:t>é</w:t>
      </w:r>
      <w:r>
        <w:rPr>
          <w:rFonts w:ascii="Book Antiqua" w:eastAsia="Book Antiqua" w:hAnsi="Book Antiqua" w:cs="Book Antiqua"/>
          <w:sz w:val="24"/>
          <w:szCs w:val="24"/>
        </w:rPr>
        <w:t xml:space="preserve"> 68.000 postes d'emploi</w:t>
      </w:r>
      <w:r w:rsidR="00C24A63">
        <w:rPr>
          <w:rFonts w:ascii="Book Antiqua" w:eastAsia="Book Antiqua" w:hAnsi="Book Antiqua" w:cs="Book Antiqua"/>
          <w:sz w:val="24"/>
          <w:szCs w:val="24"/>
        </w:rPr>
        <w:t xml:space="preserve"> </w:t>
      </w:r>
      <w:r>
        <w:rPr>
          <w:rFonts w:ascii="Book Antiqua" w:eastAsia="Book Antiqua" w:hAnsi="Book Antiqua" w:cs="Book Antiqua"/>
          <w:sz w:val="24"/>
          <w:szCs w:val="24"/>
        </w:rPr>
        <w:t>au niveau national, 79.000 en milieu rural et a perdu 11.000 en milieu urbain.</w:t>
      </w:r>
      <w:r w:rsidR="00C24A63">
        <w:rPr>
          <w:rFonts w:ascii="Book Antiqua" w:eastAsia="Book Antiqua" w:hAnsi="Book Antiqua" w:cs="Book Antiqua"/>
          <w:sz w:val="24"/>
          <w:szCs w:val="24"/>
        </w:rPr>
        <w:t xml:space="preserve"> </w:t>
      </w:r>
    </w:p>
    <w:p w:rsidR="00D075E4" w:rsidRDefault="00C24A63" w:rsidP="004E2812">
      <w:pPr>
        <w:spacing w:before="240" w:after="240" w:line="312" w:lineRule="auto"/>
        <w:jc w:val="both"/>
        <w:rPr>
          <w:rFonts w:ascii="Book Antiqua" w:eastAsia="Book Antiqua" w:hAnsi="Book Antiqua" w:cs="Book Antiqua"/>
          <w:sz w:val="24"/>
          <w:szCs w:val="24"/>
        </w:rPr>
      </w:pPr>
      <w:r>
        <w:rPr>
          <w:rFonts w:ascii="Book Antiqua" w:eastAsia="Book Antiqua" w:hAnsi="Book Antiqua" w:cs="Book Antiqua"/>
          <w:sz w:val="24"/>
          <w:szCs w:val="24"/>
        </w:rPr>
        <w:t>Le</w:t>
      </w:r>
      <w:r w:rsidR="004E2812">
        <w:rPr>
          <w:rFonts w:ascii="Book Antiqua" w:eastAsia="Book Antiqua" w:hAnsi="Book Antiqua" w:cs="Book Antiqua"/>
          <w:sz w:val="24"/>
          <w:szCs w:val="24"/>
        </w:rPr>
        <w:t xml:space="preserve"> secteur des "</w:t>
      </w:r>
      <w:r w:rsidR="00C95867">
        <w:rPr>
          <w:rFonts w:ascii="Book Antiqua" w:eastAsia="Book Antiqua" w:hAnsi="Book Antiqua" w:cs="Book Antiqua"/>
          <w:sz w:val="24"/>
          <w:szCs w:val="24"/>
        </w:rPr>
        <w:t>s</w:t>
      </w:r>
      <w:r w:rsidR="004E2812">
        <w:rPr>
          <w:rFonts w:ascii="Book Antiqua" w:eastAsia="Book Antiqua" w:hAnsi="Book Antiqua" w:cs="Book Antiqua"/>
          <w:sz w:val="24"/>
          <w:szCs w:val="24"/>
        </w:rPr>
        <w:t>ervices</w:t>
      </w:r>
      <w:r w:rsidR="004E2812" w:rsidRPr="00182BF6">
        <w:rPr>
          <w:rFonts w:ascii="Book Antiqua" w:eastAsia="Book Antiqua" w:hAnsi="Book Antiqua" w:cs="Book Antiqua"/>
          <w:sz w:val="24"/>
          <w:szCs w:val="24"/>
        </w:rPr>
        <w:t>"</w:t>
      </w:r>
      <w:r w:rsidR="00500151" w:rsidRPr="00182BF6">
        <w:rPr>
          <w:rFonts w:ascii="Book Antiqua" w:eastAsia="Book Antiqua" w:hAnsi="Book Antiqua" w:cs="Book Antiqua"/>
          <w:sz w:val="24"/>
          <w:szCs w:val="24"/>
        </w:rPr>
        <w:t xml:space="preserve">, </w:t>
      </w:r>
      <w:r w:rsidR="004E2812" w:rsidRPr="00182BF6">
        <w:rPr>
          <w:rFonts w:ascii="Book Antiqua" w:eastAsia="Book Antiqua" w:hAnsi="Book Antiqua" w:cs="Book Antiqua"/>
          <w:sz w:val="24"/>
          <w:szCs w:val="24"/>
        </w:rPr>
        <w:t>quant à lui</w:t>
      </w:r>
      <w:r w:rsidR="00500151" w:rsidRPr="00182BF6">
        <w:rPr>
          <w:rFonts w:ascii="Book Antiqua" w:eastAsia="Book Antiqua" w:hAnsi="Book Antiqua" w:cs="Book Antiqua"/>
          <w:sz w:val="24"/>
          <w:szCs w:val="24"/>
        </w:rPr>
        <w:t>,</w:t>
      </w:r>
      <w:r w:rsidR="004E2812" w:rsidRPr="00182BF6">
        <w:rPr>
          <w:rFonts w:ascii="Book Antiqua" w:eastAsia="Book Antiqua" w:hAnsi="Book Antiqua" w:cs="Book Antiqua"/>
          <w:sz w:val="24"/>
          <w:szCs w:val="24"/>
        </w:rPr>
        <w:t xml:space="preserve"> a</w:t>
      </w:r>
      <w:r w:rsidR="004E2812">
        <w:rPr>
          <w:rFonts w:ascii="Book Antiqua" w:eastAsia="Book Antiqua" w:hAnsi="Book Antiqua" w:cs="Book Antiqua"/>
          <w:sz w:val="24"/>
          <w:szCs w:val="24"/>
        </w:rPr>
        <w:t xml:space="preserve"> </w:t>
      </w:r>
      <w:r w:rsidR="009107AD">
        <w:rPr>
          <w:rFonts w:ascii="Book Antiqua" w:eastAsia="Book Antiqua" w:hAnsi="Book Antiqua" w:cs="Book Antiqua"/>
          <w:sz w:val="24"/>
          <w:szCs w:val="24"/>
        </w:rPr>
        <w:t>créé</w:t>
      </w:r>
      <w:r w:rsidR="004E2812">
        <w:rPr>
          <w:rFonts w:ascii="Book Antiqua" w:eastAsia="Book Antiqua" w:hAnsi="Book Antiqua" w:cs="Book Antiqua"/>
          <w:sz w:val="24"/>
          <w:szCs w:val="24"/>
        </w:rPr>
        <w:t xml:space="preserve"> 115.000 postes d’emploi au niveau national (74.000 en milieu urbain et 41.000 en milieu rural), enregistrant une hausse de 2,4% de l’emploi dans ce secteur.</w:t>
      </w:r>
    </w:p>
    <w:p w:rsidR="00D075E4" w:rsidRDefault="004E2812" w:rsidP="005F50C4">
      <w:pPr>
        <w:spacing w:line="240" w:lineRule="auto"/>
        <w:jc w:val="both"/>
        <w:rPr>
          <w:rFonts w:ascii="Times New Roman" w:eastAsiaTheme="minorHAnsi" w:hAnsi="Times New Roman" w:cs="Times New Roman"/>
          <w:sz w:val="24"/>
          <w:szCs w:val="24"/>
        </w:rPr>
      </w:pPr>
      <w:r>
        <w:rPr>
          <w:rFonts w:ascii="Book Antiqua" w:eastAsia="Book Antiqua" w:hAnsi="Book Antiqua" w:cs="Book Antiqua"/>
          <w:sz w:val="24"/>
          <w:szCs w:val="24"/>
        </w:rPr>
        <w:t>Le secteur de</w:t>
      </w:r>
      <w:r w:rsidR="00C24A63">
        <w:rPr>
          <w:rFonts w:ascii="Book Antiqua" w:eastAsia="Book Antiqua" w:hAnsi="Book Antiqua" w:cs="Book Antiqua"/>
          <w:sz w:val="24"/>
          <w:szCs w:val="24"/>
        </w:rPr>
        <w:t xml:space="preserve"> </w:t>
      </w:r>
      <w:r>
        <w:rPr>
          <w:rFonts w:ascii="Book Antiqua" w:eastAsia="Book Antiqua" w:hAnsi="Book Antiqua" w:cs="Book Antiqua"/>
          <w:sz w:val="24"/>
          <w:szCs w:val="24"/>
        </w:rPr>
        <w:t>l’"</w:t>
      </w:r>
      <w:r w:rsidR="00C95867">
        <w:rPr>
          <w:rFonts w:ascii="Book Antiqua" w:eastAsia="Book Antiqua" w:hAnsi="Book Antiqua" w:cs="Book Antiqua"/>
          <w:sz w:val="24"/>
          <w:szCs w:val="24"/>
        </w:rPr>
        <w:t>I</w:t>
      </w:r>
      <w:r>
        <w:rPr>
          <w:rFonts w:ascii="Book Antiqua" w:eastAsia="Book Antiqua" w:hAnsi="Book Antiqua" w:cs="Book Antiqua"/>
          <w:sz w:val="24"/>
          <w:szCs w:val="24"/>
        </w:rPr>
        <w:t xml:space="preserve">ndustrie y compris </w:t>
      </w:r>
      <w:r w:rsidR="005F50C4">
        <w:rPr>
          <w:rFonts w:ascii="Book Antiqua" w:eastAsia="Book Antiqua" w:hAnsi="Book Antiqua" w:cs="Book Antiqua"/>
          <w:sz w:val="24"/>
          <w:szCs w:val="24"/>
        </w:rPr>
        <w:t>l’artisanat</w:t>
      </w:r>
      <w:r w:rsidR="005F50C4" w:rsidRPr="00D149CE">
        <w:rPr>
          <w:rFonts w:ascii="Book Antiqua" w:eastAsia="Book Antiqua" w:hAnsi="Book Antiqua" w:cs="Book Antiqua"/>
          <w:sz w:val="24"/>
          <w:szCs w:val="24"/>
        </w:rPr>
        <w:t>,</w:t>
      </w:r>
      <w:r w:rsidR="005F50C4">
        <w:rPr>
          <w:rFonts w:ascii="Book Antiqua" w:eastAsia="Book Antiqua" w:hAnsi="Book Antiqua" w:cs="Book Antiqua"/>
          <w:sz w:val="24"/>
          <w:szCs w:val="24"/>
        </w:rPr>
        <w:t xml:space="preserve"> a</w:t>
      </w:r>
      <w:r>
        <w:rPr>
          <w:rFonts w:ascii="Book Antiqua" w:eastAsia="Book Antiqua" w:hAnsi="Book Antiqua" w:cs="Book Antiqua"/>
          <w:sz w:val="24"/>
          <w:szCs w:val="24"/>
        </w:rPr>
        <w:t xml:space="preserve"> perdu 19.000 postes, 12.000 en milieu urbain et 7.000 en milieu rural</w:t>
      </w:r>
      <w:r w:rsidR="00651D1E">
        <w:rPr>
          <w:rFonts w:ascii="Book Antiqua" w:eastAsia="Book Antiqua" w:hAnsi="Book Antiqua" w:cs="Book Antiqua"/>
          <w:sz w:val="24"/>
          <w:szCs w:val="24"/>
        </w:rPr>
        <w:t>.</w:t>
      </w:r>
      <w:r w:rsidR="00D075E4">
        <w:rPr>
          <w:rFonts w:ascii="Book Antiqua" w:eastAsia="Book Antiqua" w:hAnsi="Book Antiqua" w:cs="Book Antiqua"/>
          <w:sz w:val="24"/>
          <w:szCs w:val="24"/>
        </w:rPr>
        <w:t xml:space="preserve"> </w:t>
      </w:r>
    </w:p>
    <w:p w:rsidR="004E2812" w:rsidRDefault="004E2812" w:rsidP="004E2812">
      <w:pPr>
        <w:spacing w:before="240" w:after="240" w:line="312" w:lineRule="auto"/>
        <w:jc w:val="both"/>
        <w:rPr>
          <w:rFonts w:ascii="Book Antiqua" w:eastAsia="Book Antiqua" w:hAnsi="Book Antiqua" w:cs="Book Antiqua"/>
          <w:b/>
          <w:color w:val="000000" w:themeColor="text1"/>
          <w:sz w:val="20"/>
          <w:szCs w:val="20"/>
        </w:rPr>
      </w:pPr>
      <w:r>
        <w:rPr>
          <w:rFonts w:ascii="Book Antiqua" w:eastAsia="Book Antiqua" w:hAnsi="Book Antiqua" w:cs="Book Antiqua"/>
          <w:sz w:val="24"/>
          <w:szCs w:val="24"/>
        </w:rPr>
        <w:t xml:space="preserve">Le secteur des BTP a </w:t>
      </w:r>
      <w:r w:rsidR="009107AD">
        <w:rPr>
          <w:rFonts w:ascii="Book Antiqua" w:eastAsia="Book Antiqua" w:hAnsi="Book Antiqua" w:cs="Book Antiqua"/>
          <w:sz w:val="24"/>
          <w:szCs w:val="24"/>
        </w:rPr>
        <w:t>créé</w:t>
      </w:r>
      <w:r>
        <w:rPr>
          <w:rFonts w:ascii="Book Antiqua" w:eastAsia="Book Antiqua" w:hAnsi="Book Antiqua" w:cs="Book Antiqua"/>
          <w:sz w:val="24"/>
          <w:szCs w:val="24"/>
        </w:rPr>
        <w:t xml:space="preserve"> 71.000 postes d’emploi, 53.000 postes en milieu urbain et 18.000 en milieu rural.</w:t>
      </w:r>
    </w:p>
    <w:p w:rsidR="004E2812" w:rsidRDefault="004E2812" w:rsidP="009107AD">
      <w:pPr>
        <w:rPr>
          <w:rFonts w:ascii="Book Antiqua" w:eastAsia="Book Antiqua" w:hAnsi="Book Antiqua" w:cs="Book Antiqua"/>
          <w:b/>
          <w:color w:val="0070C0"/>
          <w:sz w:val="24"/>
          <w:szCs w:val="24"/>
        </w:rPr>
      </w:pPr>
      <w:r>
        <w:rPr>
          <w:rFonts w:ascii="Book Antiqua" w:eastAsia="Book Antiqua" w:hAnsi="Book Antiqua" w:cs="Book Antiqua"/>
          <w:b/>
          <w:color w:val="000000" w:themeColor="text1"/>
          <w:sz w:val="20"/>
          <w:szCs w:val="20"/>
        </w:rPr>
        <w:t xml:space="preserve">Graphique </w:t>
      </w:r>
      <w:r w:rsidR="00C24A63">
        <w:rPr>
          <w:rFonts w:ascii="Book Antiqua" w:eastAsia="Book Antiqua" w:hAnsi="Book Antiqua" w:cs="Book Antiqua"/>
          <w:b/>
          <w:color w:val="000000" w:themeColor="text1"/>
          <w:sz w:val="20"/>
          <w:szCs w:val="20"/>
        </w:rPr>
        <w:t>4</w:t>
      </w:r>
      <w:r>
        <w:rPr>
          <w:rFonts w:ascii="Book Antiqua" w:eastAsia="Book Antiqua" w:hAnsi="Book Antiqua" w:cs="Book Antiqua"/>
          <w:b/>
          <w:color w:val="000000" w:themeColor="text1"/>
          <w:sz w:val="20"/>
          <w:szCs w:val="20"/>
        </w:rPr>
        <w:t> : Variation nette</w:t>
      </w:r>
      <w:r w:rsidR="00C24A63">
        <w:rPr>
          <w:rFonts w:ascii="Book Antiqua" w:eastAsia="Book Antiqua" w:hAnsi="Book Antiqua" w:cs="Book Antiqua"/>
          <w:b/>
          <w:color w:val="000000" w:themeColor="text1"/>
          <w:sz w:val="20"/>
          <w:szCs w:val="20"/>
        </w:rPr>
        <w:t xml:space="preserve"> </w:t>
      </w:r>
      <w:r>
        <w:rPr>
          <w:rFonts w:ascii="Book Antiqua" w:eastAsia="Book Antiqua" w:hAnsi="Book Antiqua" w:cs="Book Antiqua"/>
          <w:b/>
          <w:color w:val="000000" w:themeColor="text1"/>
          <w:sz w:val="20"/>
          <w:szCs w:val="20"/>
        </w:rPr>
        <w:t>du volume de l’emploi entre 2020 et 2021 par secteur d’activité économique et milieu de résidence</w:t>
      </w:r>
      <w:r>
        <w:rPr>
          <w:rStyle w:val="Appelnotedebasdep"/>
          <w:rFonts w:ascii="Book Antiqua" w:eastAsia="Book Antiqua" w:hAnsi="Book Antiqua" w:cs="Book Antiqua"/>
          <w:b/>
          <w:color w:val="000000" w:themeColor="text1"/>
          <w:sz w:val="20"/>
          <w:szCs w:val="20"/>
        </w:rPr>
        <w:footnoteReference w:id="2"/>
      </w:r>
      <w:r w:rsidRPr="003A173D">
        <w:rPr>
          <w:rFonts w:ascii="Book Antiqua" w:eastAsia="Book Antiqua" w:hAnsi="Book Antiqua" w:cs="Book Antiqua"/>
          <w:b/>
          <w:noProof/>
          <w:color w:val="0070C0"/>
          <w:sz w:val="24"/>
          <w:szCs w:val="24"/>
          <w:highlight w:val="darkGreen"/>
          <w:shd w:val="clear" w:color="auto" w:fill="4472C4" w:themeFill="accent1"/>
        </w:rPr>
        <w:drawing>
          <wp:inline distT="0" distB="0" distL="0" distR="0">
            <wp:extent cx="5753100" cy="24003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E2812" w:rsidRDefault="004E2812" w:rsidP="005F4E2E">
      <w:pPr>
        <w:spacing w:before="240" w:after="240" w:line="312" w:lineRule="auto"/>
        <w:jc w:val="both"/>
        <w:rPr>
          <w:rFonts w:ascii="Book Antiqua" w:eastAsia="Book Antiqua" w:hAnsi="Book Antiqua" w:cs="Book Antiqua"/>
          <w:b/>
          <w:bCs/>
          <w:color w:val="8496B0" w:themeColor="text2" w:themeTint="99"/>
          <w:sz w:val="26"/>
          <w:szCs w:val="26"/>
        </w:rPr>
      </w:pPr>
      <w:r>
        <w:rPr>
          <w:rFonts w:ascii="Book Antiqua" w:eastAsia="Book Antiqua" w:hAnsi="Book Antiqua" w:cs="Book Antiqua"/>
          <w:b/>
          <w:bCs/>
          <w:color w:val="8496B0" w:themeColor="text2" w:themeTint="99"/>
          <w:sz w:val="26"/>
          <w:szCs w:val="26"/>
        </w:rPr>
        <w:lastRenderedPageBreak/>
        <w:t xml:space="preserve">Hausse du volume horaire de travail </w:t>
      </w:r>
    </w:p>
    <w:p w:rsidR="004E2812" w:rsidRDefault="004E2812" w:rsidP="005F4E2E">
      <w:pPr>
        <w:spacing w:before="100" w:beforeAutospacing="1" w:after="100" w:afterAutospacing="1" w:line="312" w:lineRule="auto"/>
        <w:jc w:val="both"/>
        <w:rPr>
          <w:rFonts w:ascii="Book Antiqua" w:hAnsi="Book Antiqua"/>
          <w:sz w:val="24"/>
          <w:szCs w:val="24"/>
        </w:rPr>
      </w:pPr>
      <w:r>
        <w:rPr>
          <w:rFonts w:ascii="Book Antiqua" w:eastAsia="Book Antiqua" w:hAnsi="Book Antiqua" w:cs="Book Antiqua"/>
          <w:sz w:val="24"/>
          <w:szCs w:val="24"/>
        </w:rPr>
        <w:t xml:space="preserve">Le nombre total d’heures travaillées par semaine a augmenté de 394 millions heures en 2020 à 470 millions heures en 2021, ce qui correspond à une hausse de 19% des heures de travail. </w:t>
      </w:r>
    </w:p>
    <w:p w:rsidR="006F619D" w:rsidRDefault="004E2812" w:rsidP="006F619D">
      <w:pPr>
        <w:spacing w:before="100" w:beforeAutospacing="1" w:after="100" w:afterAutospacing="1" w:line="312" w:lineRule="auto"/>
        <w:jc w:val="both"/>
        <w:rPr>
          <w:rFonts w:ascii="Book Antiqua" w:eastAsia="Book Antiqua" w:hAnsi="Book Antiqua" w:cs="Book Antiqua"/>
          <w:sz w:val="24"/>
          <w:szCs w:val="24"/>
        </w:rPr>
      </w:pPr>
      <w:r>
        <w:rPr>
          <w:rFonts w:ascii="Book Antiqua" w:eastAsia="Book Antiqua" w:hAnsi="Book Antiqua" w:cs="Book Antiqua"/>
          <w:sz w:val="24"/>
          <w:szCs w:val="24"/>
        </w:rPr>
        <w:t>Le volume d’heures travaillées par semaine est passé, en milieu urbain, de 237 millions à 287 millions heures (+21%) et, en milieu rural, de 158 millions à 183 millions heures (+16%).</w:t>
      </w:r>
    </w:p>
    <w:p w:rsidR="0090530A" w:rsidRPr="0090530A" w:rsidRDefault="0090530A" w:rsidP="006F619D">
      <w:pPr>
        <w:spacing w:before="100" w:beforeAutospacing="1" w:after="100" w:afterAutospacing="1" w:line="312" w:lineRule="auto"/>
        <w:jc w:val="both"/>
        <w:rPr>
          <w:rFonts w:ascii="Book Antiqua" w:hAnsi="Book Antiqua" w:cstheme="majorHAnsi"/>
          <w:b/>
          <w:bCs/>
          <w:color w:val="1F3864" w:themeColor="accent1" w:themeShade="80"/>
          <w:spacing w:val="-10"/>
          <w:kern w:val="28"/>
          <w:sz w:val="28"/>
          <w:szCs w:val="28"/>
        </w:rPr>
      </w:pPr>
      <w:r w:rsidRPr="0090530A">
        <w:rPr>
          <w:rFonts w:ascii="Book Antiqua" w:hAnsi="Book Antiqua" w:cstheme="majorHAnsi"/>
          <w:b/>
          <w:bCs/>
          <w:color w:val="1F3864" w:themeColor="accent1" w:themeShade="80"/>
          <w:spacing w:val="-10"/>
          <w:kern w:val="28"/>
          <w:sz w:val="28"/>
          <w:szCs w:val="28"/>
        </w:rPr>
        <w:t>II. Chômage et sous-emploi</w:t>
      </w:r>
    </w:p>
    <w:p w:rsidR="001A3DDE" w:rsidRPr="001A3DDE" w:rsidRDefault="0023300C" w:rsidP="007745DE">
      <w:pPr>
        <w:spacing w:before="240" w:after="240" w:line="312" w:lineRule="auto"/>
        <w:jc w:val="both"/>
        <w:rPr>
          <w:rFonts w:ascii="Book Antiqua" w:eastAsia="Book Antiqua" w:hAnsi="Book Antiqua" w:cs="Book Antiqua"/>
          <w:b/>
          <w:bCs/>
          <w:color w:val="8496B0" w:themeColor="text2" w:themeTint="99"/>
          <w:sz w:val="26"/>
          <w:szCs w:val="26"/>
        </w:rPr>
      </w:pPr>
      <w:r>
        <w:rPr>
          <w:rFonts w:ascii="Book Antiqua" w:eastAsia="Book Antiqua" w:hAnsi="Book Antiqua" w:cs="Book Antiqua"/>
          <w:b/>
          <w:bCs/>
          <w:color w:val="8496B0" w:themeColor="text2" w:themeTint="99"/>
          <w:sz w:val="26"/>
          <w:szCs w:val="26"/>
        </w:rPr>
        <w:t>Hausse du chômage</w:t>
      </w:r>
    </w:p>
    <w:p w:rsidR="004E2812" w:rsidRDefault="004E2812" w:rsidP="007745DE">
      <w:pPr>
        <w:spacing w:before="240" w:after="240" w:line="312" w:lineRule="auto"/>
        <w:jc w:val="both"/>
        <w:rPr>
          <w:rFonts w:ascii="Book Antiqua" w:hAnsi="Book Antiqua" w:cs="Times New Roman"/>
          <w:sz w:val="24"/>
          <w:szCs w:val="24"/>
        </w:rPr>
      </w:pPr>
      <w:r w:rsidRPr="005F4E2E">
        <w:rPr>
          <w:rFonts w:ascii="Book Antiqua" w:hAnsi="Book Antiqua" w:cs="Times New Roman"/>
          <w:sz w:val="24"/>
          <w:szCs w:val="24"/>
        </w:rPr>
        <w:t>Entre 2020 et 2021, le nombre de chômeurs a augmenté de 79.000 personnes, passant de 1.429.000 à 1.508.000 chômeurs,</w:t>
      </w:r>
      <w:r>
        <w:rPr>
          <w:rFonts w:ascii="Book Antiqua" w:hAnsi="Book Antiqua" w:cs="Times New Roman"/>
          <w:sz w:val="24"/>
          <w:szCs w:val="24"/>
        </w:rPr>
        <w:t xml:space="preserve"> ce qui correspond à une augmentation de </w:t>
      </w:r>
      <w:r w:rsidR="008518BA" w:rsidRPr="00E45A13">
        <w:rPr>
          <w:rFonts w:ascii="Book Antiqua" w:hAnsi="Book Antiqua" w:cs="Times New Roman"/>
          <w:sz w:val="24"/>
          <w:szCs w:val="24"/>
        </w:rPr>
        <w:t>5,5</w:t>
      </w:r>
      <w:r w:rsidRPr="00E45A13">
        <w:rPr>
          <w:rFonts w:ascii="Book Antiqua" w:hAnsi="Book Antiqua" w:cs="Times New Roman"/>
          <w:sz w:val="24"/>
          <w:szCs w:val="24"/>
        </w:rPr>
        <w:t>%.</w:t>
      </w:r>
      <w:r>
        <w:rPr>
          <w:rFonts w:ascii="Book Antiqua" w:hAnsi="Book Antiqua" w:cs="Times New Roman"/>
          <w:sz w:val="24"/>
          <w:szCs w:val="24"/>
        </w:rPr>
        <w:t xml:space="preserve"> Cette hausse est la conséquence d’une augmentation de 120.000 chômeurs en milieu urbain et d’une </w:t>
      </w:r>
      <w:r w:rsidR="005F4E2E">
        <w:rPr>
          <w:rFonts w:ascii="Book Antiqua" w:hAnsi="Book Antiqua" w:cs="Times New Roman"/>
          <w:sz w:val="24"/>
          <w:szCs w:val="24"/>
        </w:rPr>
        <w:t>baisse</w:t>
      </w:r>
      <w:r>
        <w:rPr>
          <w:rFonts w:ascii="Book Antiqua" w:hAnsi="Book Antiqua" w:cs="Times New Roman"/>
          <w:sz w:val="24"/>
          <w:szCs w:val="24"/>
        </w:rPr>
        <w:t xml:space="preserve"> </w:t>
      </w:r>
      <w:r w:rsidR="007745DE">
        <w:rPr>
          <w:rFonts w:ascii="Book Antiqua" w:hAnsi="Book Antiqua" w:cs="Times New Roman"/>
          <w:sz w:val="24"/>
          <w:szCs w:val="24"/>
        </w:rPr>
        <w:t>de 41.000</w:t>
      </w:r>
      <w:r>
        <w:rPr>
          <w:rFonts w:ascii="Book Antiqua" w:hAnsi="Book Antiqua" w:cs="Times New Roman"/>
          <w:sz w:val="24"/>
          <w:szCs w:val="24"/>
        </w:rPr>
        <w:t xml:space="preserve"> en milieu rural </w:t>
      </w:r>
    </w:p>
    <w:p w:rsidR="0090530A" w:rsidRDefault="004E2812" w:rsidP="004E2812">
      <w:pPr>
        <w:spacing w:before="240" w:after="240" w:line="312" w:lineRule="auto"/>
        <w:jc w:val="both"/>
        <w:rPr>
          <w:rFonts w:ascii="Book Antiqua" w:hAnsi="Book Antiqua" w:cs="Times New Roman"/>
          <w:sz w:val="24"/>
          <w:szCs w:val="24"/>
        </w:rPr>
      </w:pPr>
      <w:r>
        <w:rPr>
          <w:rFonts w:ascii="Book Antiqua" w:hAnsi="Book Antiqua" w:cs="Times New Roman"/>
          <w:sz w:val="24"/>
          <w:szCs w:val="24"/>
        </w:rPr>
        <w:t>Le taux de chômage a passé, entre 2020 et 2021, de 11,9% à 12,3%. Par milieu de résidence, ce taux a passé de 5,9% à 5% (-</w:t>
      </w:r>
      <w:r w:rsidR="005F4E2E">
        <w:rPr>
          <w:rFonts w:ascii="Book Antiqua" w:hAnsi="Book Antiqua" w:cs="Times New Roman"/>
          <w:sz w:val="24"/>
          <w:szCs w:val="24"/>
        </w:rPr>
        <w:t xml:space="preserve">0,9 </w:t>
      </w:r>
      <w:r>
        <w:rPr>
          <w:rFonts w:ascii="Book Antiqua" w:hAnsi="Book Antiqua" w:cs="Times New Roman"/>
          <w:sz w:val="24"/>
          <w:szCs w:val="24"/>
        </w:rPr>
        <w:t>point) en milieu rural et de 15,8% à 16,9% en milieu urbain (+1,1 point).</w:t>
      </w:r>
      <w:bookmarkStart w:id="0" w:name="_Hlk94175934"/>
    </w:p>
    <w:p w:rsidR="009D1DC1" w:rsidRDefault="009D1DC1" w:rsidP="009D1DC1">
      <w:pPr>
        <w:spacing w:before="240" w:after="240" w:line="312" w:lineRule="auto"/>
        <w:jc w:val="center"/>
        <w:rPr>
          <w:rFonts w:ascii="Book Antiqua" w:hAnsi="Book Antiqua" w:cs="Times New Roman"/>
          <w:sz w:val="24"/>
          <w:szCs w:val="24"/>
        </w:rPr>
      </w:pPr>
      <w:r>
        <w:rPr>
          <w:rFonts w:ascii="Book Antiqua" w:eastAsia="Book Antiqua" w:hAnsi="Book Antiqua" w:cs="Book Antiqua"/>
          <w:b/>
          <w:sz w:val="20"/>
          <w:szCs w:val="20"/>
        </w:rPr>
        <w:t xml:space="preserve">Graphique 5 : Evolution du taux de chômage depuis </w:t>
      </w:r>
      <w:r w:rsidRPr="007D7E59">
        <w:rPr>
          <w:rFonts w:ascii="Book Antiqua" w:eastAsia="Book Antiqua" w:hAnsi="Book Antiqua" w:cs="Book Antiqua"/>
          <w:b/>
          <w:sz w:val="20"/>
          <w:szCs w:val="20"/>
        </w:rPr>
        <w:t>l’année 2017</w:t>
      </w:r>
      <w:r>
        <w:rPr>
          <w:rFonts w:ascii="Book Antiqua" w:eastAsia="Book Antiqua" w:hAnsi="Book Antiqua" w:cs="Book Antiqua"/>
          <w:b/>
          <w:sz w:val="20"/>
          <w:szCs w:val="20"/>
        </w:rPr>
        <w:t xml:space="preserve"> (en %)</w:t>
      </w:r>
    </w:p>
    <w:p w:rsidR="009D1DC1" w:rsidRDefault="009D1DC1" w:rsidP="009D1DC1">
      <w:pPr>
        <w:spacing w:before="240" w:after="240" w:line="312" w:lineRule="auto"/>
        <w:jc w:val="center"/>
        <w:rPr>
          <w:rFonts w:ascii="Book Antiqua" w:hAnsi="Book Antiqua" w:cs="Times New Roman"/>
          <w:sz w:val="24"/>
          <w:szCs w:val="24"/>
        </w:rPr>
      </w:pPr>
      <w:r>
        <w:rPr>
          <w:noProof/>
        </w:rPr>
        <w:drawing>
          <wp:inline distT="0" distB="0" distL="0" distR="0">
            <wp:extent cx="5157788" cy="2164556"/>
            <wp:effectExtent l="0" t="0" r="0" b="0"/>
            <wp:docPr id="2" name="Graphique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C1BC6EAE-7BB8-4BDA-8ED2-79EF23DD22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End w:id="0"/>
    <w:p w:rsidR="005F4E2E" w:rsidRDefault="004E2812" w:rsidP="004E2812">
      <w:pPr>
        <w:spacing w:before="240" w:after="240" w:line="312" w:lineRule="auto"/>
        <w:jc w:val="both"/>
        <w:rPr>
          <w:rFonts w:ascii="Book Antiqua" w:hAnsi="Book Antiqua" w:cs="Times New Roman"/>
          <w:sz w:val="24"/>
          <w:szCs w:val="24"/>
        </w:rPr>
      </w:pPr>
      <w:r>
        <w:rPr>
          <w:rFonts w:ascii="Book Antiqua" w:hAnsi="Book Antiqua" w:cs="Times New Roman"/>
          <w:sz w:val="24"/>
          <w:szCs w:val="24"/>
        </w:rPr>
        <w:t xml:space="preserve">Cette hausse du chômage cache des disparités au niveau de l’ensemble des catégories de la population. En effet, le taux de chômage s’est accru respectivement de 0,6 point pour les femmes, passant de 16,2% à 16,8% alors que ce taux a quasiment stagné pour les hommes </w:t>
      </w:r>
      <w:r w:rsidR="005F4E2E">
        <w:rPr>
          <w:rFonts w:ascii="Book Antiqua" w:hAnsi="Book Antiqua" w:cs="Times New Roman"/>
          <w:sz w:val="24"/>
          <w:szCs w:val="24"/>
        </w:rPr>
        <w:t xml:space="preserve">(de 10,7% à </w:t>
      </w:r>
      <w:r>
        <w:rPr>
          <w:rFonts w:ascii="Book Antiqua" w:hAnsi="Book Antiqua" w:cs="Times New Roman"/>
          <w:sz w:val="24"/>
          <w:szCs w:val="24"/>
        </w:rPr>
        <w:t xml:space="preserve">10,9%). </w:t>
      </w:r>
      <w:r w:rsidR="005F4E2E">
        <w:rPr>
          <w:rFonts w:ascii="Book Antiqua" w:hAnsi="Book Antiqua" w:cs="Times New Roman"/>
          <w:sz w:val="24"/>
          <w:szCs w:val="24"/>
        </w:rPr>
        <w:t>Selon le diplôme</w:t>
      </w:r>
      <w:r>
        <w:rPr>
          <w:rFonts w:ascii="Book Antiqua" w:hAnsi="Book Antiqua" w:cs="Times New Roman"/>
          <w:sz w:val="24"/>
          <w:szCs w:val="24"/>
        </w:rPr>
        <w:t xml:space="preserve">, le taux de chômage a enregistré </w:t>
      </w:r>
      <w:r>
        <w:rPr>
          <w:rFonts w:ascii="Book Antiqua" w:hAnsi="Book Antiqua" w:cs="Times New Roman"/>
          <w:sz w:val="24"/>
          <w:szCs w:val="24"/>
        </w:rPr>
        <w:lastRenderedPageBreak/>
        <w:t>une hausse de 1,1 point</w:t>
      </w:r>
      <w:r w:rsidR="005F4E2E">
        <w:rPr>
          <w:rFonts w:ascii="Book Antiqua" w:hAnsi="Book Antiqua" w:cs="Times New Roman"/>
          <w:sz w:val="24"/>
          <w:szCs w:val="24"/>
        </w:rPr>
        <w:t xml:space="preserve"> parmi les diplômés,</w:t>
      </w:r>
      <w:r>
        <w:rPr>
          <w:rFonts w:ascii="Book Antiqua" w:hAnsi="Book Antiqua" w:cs="Times New Roman"/>
          <w:sz w:val="24"/>
          <w:szCs w:val="24"/>
        </w:rPr>
        <w:t xml:space="preserve"> passant de 18,5% à 19,6%, </w:t>
      </w:r>
      <w:r w:rsidR="005F4E2E">
        <w:rPr>
          <w:rFonts w:ascii="Book Antiqua" w:hAnsi="Book Antiqua" w:cs="Times New Roman"/>
          <w:sz w:val="24"/>
          <w:szCs w:val="24"/>
        </w:rPr>
        <w:t>et une baisse</w:t>
      </w:r>
      <w:r>
        <w:rPr>
          <w:rFonts w:ascii="Book Antiqua" w:hAnsi="Book Antiqua" w:cs="Times New Roman"/>
          <w:sz w:val="24"/>
          <w:szCs w:val="24"/>
        </w:rPr>
        <w:t xml:space="preserve"> de 5,6% à 4,6%</w:t>
      </w:r>
      <w:r w:rsidR="005F4E2E">
        <w:rPr>
          <w:rFonts w:ascii="Book Antiqua" w:hAnsi="Book Antiqua" w:cs="Times New Roman"/>
          <w:sz w:val="24"/>
          <w:szCs w:val="24"/>
        </w:rPr>
        <w:t xml:space="preserve"> parmi les personnes sans aucun diplôme. </w:t>
      </w:r>
    </w:p>
    <w:p w:rsidR="004E2812" w:rsidRDefault="004E2812" w:rsidP="004E2812">
      <w:pPr>
        <w:spacing w:before="240" w:after="240" w:line="312" w:lineRule="auto"/>
        <w:jc w:val="both"/>
        <w:rPr>
          <w:rFonts w:ascii="Book Antiqua" w:hAnsi="Book Antiqua" w:cs="Times New Roman"/>
          <w:sz w:val="24"/>
          <w:szCs w:val="24"/>
        </w:rPr>
      </w:pPr>
      <w:r>
        <w:rPr>
          <w:rFonts w:ascii="Book Antiqua" w:hAnsi="Book Antiqua" w:cs="Times New Roman"/>
          <w:sz w:val="24"/>
          <w:szCs w:val="24"/>
        </w:rPr>
        <w:t xml:space="preserve">Selon l’âge, le taux de chômage a augmenté de 0,6 point pour les jeunes âgés de 15 à 24 ans, passant de 31,2% à 31,8% et </w:t>
      </w:r>
      <w:r w:rsidRPr="00182BF6">
        <w:rPr>
          <w:rFonts w:ascii="Book Antiqua" w:hAnsi="Book Antiqua" w:cs="Times New Roman"/>
          <w:sz w:val="24"/>
          <w:szCs w:val="24"/>
        </w:rPr>
        <w:t>de 1,1 point</w:t>
      </w:r>
      <w:r>
        <w:rPr>
          <w:rFonts w:ascii="Book Antiqua" w:hAnsi="Book Antiqua" w:cs="Times New Roman"/>
          <w:sz w:val="24"/>
          <w:szCs w:val="24"/>
        </w:rPr>
        <w:t xml:space="preserve"> pour les personnes âgées de 25 à 34 ans, passant de 18,5% à 19,6%.</w:t>
      </w:r>
    </w:p>
    <w:p w:rsidR="009D1DC1" w:rsidRDefault="009D1DC1" w:rsidP="009D1DC1">
      <w:pPr>
        <w:rPr>
          <w:rFonts w:ascii="Book Antiqua" w:eastAsia="Book Antiqua" w:hAnsi="Book Antiqua" w:cs="Book Antiqua"/>
          <w:b/>
          <w:color w:val="0D0D0D" w:themeColor="text1" w:themeTint="F2"/>
          <w:sz w:val="20"/>
          <w:szCs w:val="20"/>
        </w:rPr>
      </w:pPr>
      <w:bookmarkStart w:id="1" w:name="_Hlk94175903"/>
      <w:r>
        <w:rPr>
          <w:rFonts w:ascii="Book Antiqua" w:eastAsia="Book Antiqua" w:hAnsi="Book Antiqua" w:cs="Book Antiqua"/>
          <w:b/>
          <w:color w:val="0D0D0D" w:themeColor="text1" w:themeTint="F2"/>
          <w:sz w:val="20"/>
          <w:szCs w:val="20"/>
        </w:rPr>
        <w:t>Graphique 6</w:t>
      </w:r>
      <w:r w:rsidR="001722C9">
        <w:rPr>
          <w:rFonts w:ascii="Book Antiqua" w:eastAsia="Book Antiqua" w:hAnsi="Book Antiqua" w:cs="Book Antiqua"/>
          <w:b/>
          <w:color w:val="0D0D0D" w:themeColor="text1" w:themeTint="F2"/>
          <w:sz w:val="20"/>
          <w:szCs w:val="20"/>
        </w:rPr>
        <w:t xml:space="preserve"> </w:t>
      </w:r>
      <w:r>
        <w:rPr>
          <w:rFonts w:ascii="Book Antiqua" w:eastAsia="Book Antiqua" w:hAnsi="Book Antiqua" w:cs="Book Antiqua"/>
          <w:b/>
          <w:color w:val="0D0D0D" w:themeColor="text1" w:themeTint="F2"/>
          <w:sz w:val="20"/>
          <w:szCs w:val="20"/>
        </w:rPr>
        <w:t xml:space="preserve">: Evolution du taux de chômage entre 2020 et 2021 pour certaines </w:t>
      </w:r>
      <w:r w:rsidRPr="003268A4">
        <w:rPr>
          <w:rFonts w:ascii="Book Antiqua" w:eastAsia="Book Antiqua" w:hAnsi="Book Antiqua" w:cs="Book Antiqua"/>
          <w:b/>
          <w:color w:val="0D0D0D" w:themeColor="text1" w:themeTint="F2"/>
          <w:sz w:val="20"/>
          <w:szCs w:val="20"/>
        </w:rPr>
        <w:t>catégories</w:t>
      </w:r>
      <w:r>
        <w:rPr>
          <w:rFonts w:ascii="Book Antiqua" w:eastAsia="Book Antiqua" w:hAnsi="Book Antiqua" w:cs="Book Antiqua"/>
          <w:b/>
          <w:color w:val="0D0D0D" w:themeColor="text1" w:themeTint="F2"/>
          <w:sz w:val="20"/>
          <w:szCs w:val="20"/>
        </w:rPr>
        <w:t xml:space="preserve"> de la population (en %)</w:t>
      </w:r>
    </w:p>
    <w:p w:rsidR="009D1DC1" w:rsidRDefault="009D1DC1" w:rsidP="009D1DC1">
      <w:pPr>
        <w:spacing w:before="240" w:after="240" w:line="312" w:lineRule="auto"/>
        <w:jc w:val="center"/>
        <w:rPr>
          <w:rFonts w:ascii="Book Antiqua" w:eastAsia="Book Antiqua" w:hAnsi="Book Antiqua" w:cs="Book Antiqua"/>
          <w:sz w:val="24"/>
          <w:szCs w:val="24"/>
        </w:rPr>
      </w:pPr>
      <w:r w:rsidRPr="00C95867">
        <w:rPr>
          <w:noProof/>
          <w:shd w:val="clear" w:color="auto" w:fill="C00000"/>
        </w:rPr>
        <w:drawing>
          <wp:inline distT="0" distB="0" distL="0" distR="0">
            <wp:extent cx="5248275" cy="2085975"/>
            <wp:effectExtent l="0" t="0" r="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06FE5" w:rsidRPr="00E06FE5" w:rsidRDefault="00E06FE5" w:rsidP="001119A1">
      <w:pPr>
        <w:spacing w:before="240" w:after="240" w:line="312" w:lineRule="auto"/>
        <w:rPr>
          <w:rFonts w:ascii="Book Antiqua" w:eastAsia="Book Antiqua" w:hAnsi="Book Antiqua" w:cs="Book Antiqua"/>
          <w:b/>
          <w:bCs/>
          <w:color w:val="8496B0" w:themeColor="text2" w:themeTint="99"/>
          <w:sz w:val="26"/>
          <w:szCs w:val="26"/>
        </w:rPr>
      </w:pPr>
      <w:r w:rsidRPr="00E06FE5">
        <w:rPr>
          <w:rFonts w:ascii="Book Antiqua" w:eastAsia="Book Antiqua" w:hAnsi="Book Antiqua" w:cs="Book Antiqua"/>
          <w:b/>
          <w:bCs/>
          <w:color w:val="8496B0" w:themeColor="text2" w:themeTint="99"/>
          <w:sz w:val="26"/>
          <w:szCs w:val="26"/>
        </w:rPr>
        <w:t>Baisse du sous-emploi</w:t>
      </w:r>
    </w:p>
    <w:bookmarkEnd w:id="1"/>
    <w:p w:rsidR="001119A1" w:rsidRDefault="004E2812" w:rsidP="006D22D2">
      <w:pPr>
        <w:spacing w:before="240" w:after="240" w:line="312" w:lineRule="auto"/>
        <w:jc w:val="both"/>
        <w:rPr>
          <w:rFonts w:ascii="Book Antiqua" w:eastAsia="Book Antiqua" w:hAnsi="Book Antiqua" w:cs="Book Antiqua"/>
          <w:b/>
          <w:color w:val="0D0D0D" w:themeColor="text1" w:themeTint="F2"/>
          <w:sz w:val="20"/>
          <w:szCs w:val="20"/>
        </w:rPr>
      </w:pPr>
      <w:r>
        <w:rPr>
          <w:rFonts w:ascii="Book Antiqua" w:eastAsia="Book Antiqua" w:hAnsi="Book Antiqua" w:cs="Book Antiqua"/>
          <w:sz w:val="24"/>
          <w:szCs w:val="24"/>
        </w:rPr>
        <w:t>Le volume du sous-emploi est passé, durant la même période, de 1.127.000 à 1.003.000 personnes, de 619.000 à 550.000 dans les villes et de 508.000 à 453.000</w:t>
      </w:r>
      <w:r w:rsidR="000445F0">
        <w:rPr>
          <w:rFonts w:ascii="Book Antiqua" w:eastAsia="Book Antiqua" w:hAnsi="Book Antiqua" w:cstheme="minorBidi" w:hint="cs"/>
          <w:sz w:val="24"/>
          <w:szCs w:val="24"/>
          <w:rtl/>
          <w:lang w:bidi="tzm-Arab-MA"/>
        </w:rPr>
        <w:t xml:space="preserve"> </w:t>
      </w:r>
      <w:r>
        <w:rPr>
          <w:rFonts w:ascii="Book Antiqua" w:eastAsia="Book Antiqua" w:hAnsi="Book Antiqua" w:cs="Book Antiqua"/>
          <w:sz w:val="24"/>
          <w:szCs w:val="24"/>
        </w:rPr>
        <w:t>à la campagne. Le taux de sous-emploi est ainsi passé, au niveau national, de 10,7% à 9,3%, de 10,1% à 8,8% en milieu urbain et de 11,6% à 10% en milieu rural</w:t>
      </w:r>
      <w:r w:rsidR="001119A1">
        <w:rPr>
          <w:rFonts w:ascii="Book Antiqua" w:eastAsia="Book Antiqua" w:hAnsi="Book Antiqua" w:cs="Book Antiqua"/>
          <w:b/>
          <w:color w:val="0D0D0D" w:themeColor="text1" w:themeTint="F2"/>
          <w:sz w:val="20"/>
          <w:szCs w:val="20"/>
        </w:rPr>
        <w:t>.</w:t>
      </w:r>
    </w:p>
    <w:p w:rsidR="004E2812" w:rsidRDefault="004E2812" w:rsidP="00E06FE5">
      <w:pPr>
        <w:spacing w:after="160" w:line="259" w:lineRule="auto"/>
        <w:rPr>
          <w:rFonts w:ascii="Book Antiqua" w:eastAsia="Book Antiqua" w:hAnsi="Book Antiqua" w:cs="Book Antiqua"/>
          <w:b/>
          <w:color w:val="0D0D0D" w:themeColor="text1" w:themeTint="F2"/>
          <w:sz w:val="20"/>
          <w:szCs w:val="20"/>
        </w:rPr>
      </w:pPr>
      <w:r>
        <w:rPr>
          <w:rFonts w:ascii="Book Antiqua" w:eastAsia="Book Antiqua" w:hAnsi="Book Antiqua" w:cs="Book Antiqua"/>
          <w:b/>
          <w:color w:val="0D0D0D" w:themeColor="text1" w:themeTint="F2"/>
          <w:sz w:val="20"/>
          <w:szCs w:val="20"/>
        </w:rPr>
        <w:t xml:space="preserve">Graphique </w:t>
      </w:r>
      <w:r w:rsidR="00E06FE5">
        <w:rPr>
          <w:rFonts w:ascii="Book Antiqua" w:eastAsia="Book Antiqua" w:hAnsi="Book Antiqua" w:cs="Book Antiqua"/>
          <w:b/>
          <w:color w:val="0D0D0D" w:themeColor="text1" w:themeTint="F2"/>
          <w:sz w:val="20"/>
          <w:szCs w:val="20"/>
        </w:rPr>
        <w:t xml:space="preserve">7 </w:t>
      </w:r>
      <w:r>
        <w:rPr>
          <w:rFonts w:ascii="Book Antiqua" w:eastAsia="Book Antiqua" w:hAnsi="Book Antiqua" w:cs="Book Antiqua"/>
          <w:b/>
          <w:color w:val="0D0D0D" w:themeColor="text1" w:themeTint="F2"/>
          <w:sz w:val="20"/>
          <w:szCs w:val="20"/>
        </w:rPr>
        <w:t>: Evolution du taux de sous-emploi entre 2020 et 2021 par milieu de résidence (en %)</w:t>
      </w:r>
    </w:p>
    <w:p w:rsidR="003049D0" w:rsidRPr="001119A1" w:rsidRDefault="005A73B4" w:rsidP="003049D0">
      <w:pPr>
        <w:spacing w:after="160" w:line="259" w:lineRule="auto"/>
        <w:jc w:val="center"/>
        <w:rPr>
          <w:rFonts w:ascii="Book Antiqua" w:hAnsi="Book Antiqua" w:cs="Times New Roman"/>
          <w:b/>
          <w:bCs/>
          <w:sz w:val="20"/>
          <w:szCs w:val="20"/>
        </w:rPr>
      </w:pPr>
      <w:r>
        <w:rPr>
          <w:noProof/>
        </w:rPr>
        <w:drawing>
          <wp:inline distT="0" distB="0" distL="0" distR="0">
            <wp:extent cx="4581525" cy="2171700"/>
            <wp:effectExtent l="0" t="0" r="0" b="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E2812" w:rsidRDefault="004E2812" w:rsidP="001119A1">
      <w:pPr>
        <w:jc w:val="center"/>
        <w:rPr>
          <w:rFonts w:ascii="Book Antiqua" w:eastAsia="Book Antiqua" w:hAnsi="Book Antiqua" w:cs="Book Antiqua"/>
          <w:b/>
          <w:color w:val="0D0D0D" w:themeColor="text1" w:themeTint="F2"/>
          <w:sz w:val="20"/>
          <w:szCs w:val="20"/>
        </w:rPr>
      </w:pPr>
    </w:p>
    <w:p w:rsidR="003049D0" w:rsidRDefault="003049D0">
      <w:pPr>
        <w:spacing w:after="160" w:line="259" w:lineRule="auto"/>
        <w:rPr>
          <w:rFonts w:ascii="Book Antiqua" w:eastAsiaTheme="majorEastAsia" w:hAnsi="Book Antiqua" w:cstheme="majorHAnsi"/>
          <w:b/>
          <w:bCs/>
          <w:color w:val="1F3864" w:themeColor="accent1" w:themeShade="80"/>
          <w:spacing w:val="-10"/>
          <w:kern w:val="28"/>
          <w:sz w:val="28"/>
          <w:szCs w:val="28"/>
          <w:lang w:eastAsia="en-US"/>
        </w:rPr>
      </w:pPr>
      <w:r>
        <w:rPr>
          <w:rFonts w:ascii="Book Antiqua" w:hAnsi="Book Antiqua" w:cstheme="majorHAnsi"/>
          <w:b/>
          <w:bCs/>
          <w:color w:val="1F3864" w:themeColor="accent1" w:themeShade="80"/>
          <w:spacing w:val="-10"/>
          <w:kern w:val="28"/>
          <w:sz w:val="28"/>
          <w:szCs w:val="28"/>
        </w:rPr>
        <w:br w:type="page"/>
      </w:r>
    </w:p>
    <w:p w:rsidR="001119A1" w:rsidRPr="001119A1" w:rsidRDefault="001119A1" w:rsidP="001119A1">
      <w:pPr>
        <w:pStyle w:val="MMTopic2"/>
        <w:numPr>
          <w:ilvl w:val="0"/>
          <w:numId w:val="0"/>
        </w:numPr>
        <w:spacing w:line="360" w:lineRule="auto"/>
        <w:jc w:val="both"/>
        <w:rPr>
          <w:rFonts w:ascii="Book Antiqua" w:hAnsi="Book Antiqua" w:cstheme="majorHAnsi"/>
          <w:b/>
          <w:bCs/>
          <w:color w:val="1F3864" w:themeColor="accent1" w:themeShade="80"/>
          <w:spacing w:val="-10"/>
          <w:kern w:val="28"/>
          <w:sz w:val="28"/>
          <w:szCs w:val="28"/>
          <w:lang w:val="fr-FR"/>
        </w:rPr>
      </w:pPr>
      <w:r w:rsidRPr="001119A1">
        <w:rPr>
          <w:rFonts w:ascii="Book Antiqua" w:hAnsi="Book Antiqua" w:cstheme="majorHAnsi"/>
          <w:b/>
          <w:bCs/>
          <w:color w:val="1F3864" w:themeColor="accent1" w:themeShade="80"/>
          <w:spacing w:val="-10"/>
          <w:kern w:val="28"/>
          <w:sz w:val="28"/>
          <w:szCs w:val="28"/>
          <w:lang w:val="fr-FR"/>
        </w:rPr>
        <w:lastRenderedPageBreak/>
        <w:t>III. Situation régionale du marché du travail</w:t>
      </w:r>
    </w:p>
    <w:p w:rsidR="00BF58E1" w:rsidRDefault="00BF58E1" w:rsidP="004E2812">
      <w:pPr>
        <w:spacing w:line="360" w:lineRule="auto"/>
        <w:jc w:val="both"/>
        <w:rPr>
          <w:rFonts w:ascii="Book Antiqua" w:hAnsi="Book Antiqua" w:cs="Times New Roman"/>
          <w:sz w:val="24"/>
          <w:szCs w:val="24"/>
        </w:rPr>
      </w:pPr>
    </w:p>
    <w:p w:rsidR="004E2812" w:rsidRDefault="004E2812" w:rsidP="004E2812">
      <w:pPr>
        <w:spacing w:line="360" w:lineRule="auto"/>
        <w:jc w:val="both"/>
        <w:rPr>
          <w:rFonts w:ascii="Book Antiqua" w:eastAsiaTheme="minorEastAsia" w:hAnsi="Book Antiqua" w:cs="Times New Roman"/>
          <w:sz w:val="24"/>
          <w:szCs w:val="24"/>
        </w:rPr>
      </w:pPr>
      <w:r>
        <w:rPr>
          <w:rFonts w:ascii="Book Antiqua" w:hAnsi="Book Antiqua" w:cs="Times New Roman"/>
          <w:sz w:val="24"/>
          <w:szCs w:val="24"/>
        </w:rPr>
        <w:t>Cinq régions abritent 72% de l’ensemble des actifs âgés de 15 ans et plus. La région de Casablanca-Settat vient en première position avec 22,2% d’actifs, suivie de Rabat-Salé-Kénitra (13,4%), de Marrakech-Safi (13,3%), de Tanger-Tétouan-Al Hoceima (11,6%) et de Fès-Meknès (11,4%).</w:t>
      </w:r>
    </w:p>
    <w:p w:rsidR="004E2812" w:rsidRDefault="004E2812" w:rsidP="004E2812">
      <w:pPr>
        <w:spacing w:line="360" w:lineRule="auto"/>
        <w:jc w:val="both"/>
        <w:rPr>
          <w:rFonts w:ascii="Book Antiqua" w:hAnsi="Book Antiqua" w:cs="Times New Roman"/>
          <w:sz w:val="24"/>
          <w:szCs w:val="24"/>
        </w:rPr>
      </w:pPr>
      <w:r>
        <w:rPr>
          <w:rFonts w:ascii="Book Antiqua" w:hAnsi="Book Antiqua" w:cs="Times New Roman"/>
          <w:sz w:val="24"/>
          <w:szCs w:val="24"/>
        </w:rPr>
        <w:t xml:space="preserve">Trois régions enregistrent des taux d’activité supérieurs à la moyenne nationale (45,3%). Il s’agit </w:t>
      </w:r>
      <w:r w:rsidR="00BF58E1">
        <w:rPr>
          <w:rFonts w:ascii="Book Antiqua" w:hAnsi="Book Antiqua" w:cs="Times New Roman"/>
          <w:sz w:val="24"/>
          <w:szCs w:val="24"/>
        </w:rPr>
        <w:t>des</w:t>
      </w:r>
      <w:r w:rsidR="007D2FFA">
        <w:rPr>
          <w:rFonts w:ascii="Book Antiqua" w:hAnsi="Book Antiqua" w:cs="Times New Roman"/>
          <w:sz w:val="24"/>
          <w:szCs w:val="24"/>
        </w:rPr>
        <w:t xml:space="preserve"> régions de </w:t>
      </w:r>
      <w:r>
        <w:rPr>
          <w:rFonts w:ascii="Book Antiqua" w:hAnsi="Book Antiqua" w:cs="Times New Roman"/>
          <w:sz w:val="24"/>
          <w:szCs w:val="24"/>
        </w:rPr>
        <w:t>Tanger-Tétouan-Al Hoceima (49,8%),</w:t>
      </w:r>
      <w:r w:rsidR="00E06FE5">
        <w:rPr>
          <w:rFonts w:ascii="Book Antiqua" w:hAnsi="Book Antiqua" w:cs="Times New Roman"/>
          <w:sz w:val="24"/>
          <w:szCs w:val="24"/>
        </w:rPr>
        <w:t xml:space="preserve"> </w:t>
      </w:r>
      <w:r w:rsidR="00BF58E1">
        <w:rPr>
          <w:rFonts w:ascii="Book Antiqua" w:hAnsi="Book Antiqua" w:cs="Times New Roman"/>
          <w:sz w:val="24"/>
          <w:szCs w:val="24"/>
        </w:rPr>
        <w:t xml:space="preserve">de </w:t>
      </w:r>
      <w:r>
        <w:rPr>
          <w:rFonts w:ascii="Book Antiqua" w:hAnsi="Book Antiqua" w:cs="Times New Roman"/>
          <w:sz w:val="24"/>
          <w:szCs w:val="24"/>
        </w:rPr>
        <w:t xml:space="preserve">Casablanca-Settat (47,7%) et </w:t>
      </w:r>
      <w:r w:rsidR="00BF58E1">
        <w:rPr>
          <w:rFonts w:ascii="Book Antiqua" w:hAnsi="Book Antiqua" w:cs="Times New Roman"/>
          <w:sz w:val="24"/>
          <w:szCs w:val="24"/>
        </w:rPr>
        <w:t>de Marrakech</w:t>
      </w:r>
      <w:r>
        <w:rPr>
          <w:rFonts w:ascii="Book Antiqua" w:hAnsi="Book Antiqua" w:cs="Times New Roman"/>
          <w:sz w:val="24"/>
          <w:szCs w:val="24"/>
        </w:rPr>
        <w:t>-Safi (46,8%). En revanche, les taux les plus bas sont enregistrés dans les régions de Souss-Massa (41,3%) et de Fès-Meknès (42,3%)</w:t>
      </w:r>
      <w:r w:rsidR="00BF58E1">
        <w:rPr>
          <w:rFonts w:ascii="Book Antiqua" w:hAnsi="Book Antiqua" w:cs="Times New Roman"/>
          <w:sz w:val="24"/>
          <w:szCs w:val="24"/>
        </w:rPr>
        <w:t xml:space="preserve"> et de l’Oriental (42,5%)</w:t>
      </w:r>
    </w:p>
    <w:p w:rsidR="00BF58E1" w:rsidRDefault="00BF58E1" w:rsidP="004E2812">
      <w:pPr>
        <w:rPr>
          <w:rFonts w:ascii="Book Antiqua" w:hAnsi="Book Antiqua" w:cs="Times New Roman"/>
          <w:b/>
          <w:bCs/>
          <w:sz w:val="20"/>
          <w:szCs w:val="20"/>
        </w:rPr>
      </w:pPr>
    </w:p>
    <w:p w:rsidR="004E2812" w:rsidRDefault="004E2812" w:rsidP="004E2812">
      <w:pPr>
        <w:rPr>
          <w:rFonts w:ascii="Book Antiqua" w:hAnsi="Book Antiqua" w:cs="Times New Roman"/>
          <w:b/>
          <w:bCs/>
          <w:sz w:val="24"/>
          <w:szCs w:val="24"/>
        </w:rPr>
      </w:pPr>
      <w:r w:rsidRPr="00182BF6">
        <w:rPr>
          <w:rFonts w:ascii="Book Antiqua" w:hAnsi="Book Antiqua" w:cs="Times New Roman"/>
          <w:b/>
          <w:bCs/>
          <w:sz w:val="20"/>
          <w:szCs w:val="20"/>
        </w:rPr>
        <w:t xml:space="preserve">Graphique </w:t>
      </w:r>
      <w:r w:rsidR="001A5A8D" w:rsidRPr="00182BF6">
        <w:rPr>
          <w:rFonts w:ascii="Book Antiqua" w:hAnsi="Book Antiqua" w:cs="Times New Roman"/>
          <w:b/>
          <w:bCs/>
          <w:sz w:val="20"/>
          <w:szCs w:val="20"/>
        </w:rPr>
        <w:t>8</w:t>
      </w:r>
      <w:r w:rsidR="00BF58E1" w:rsidRPr="00182BF6">
        <w:rPr>
          <w:rFonts w:ascii="Book Antiqua" w:hAnsi="Book Antiqua" w:cs="Times New Roman"/>
          <w:b/>
          <w:bCs/>
          <w:sz w:val="20"/>
          <w:szCs w:val="20"/>
        </w:rPr>
        <w:t xml:space="preserve"> </w:t>
      </w:r>
      <w:r w:rsidRPr="00182BF6">
        <w:rPr>
          <w:rFonts w:ascii="Book Antiqua" w:hAnsi="Book Antiqua" w:cs="Times New Roman"/>
          <w:b/>
          <w:bCs/>
          <w:sz w:val="20"/>
          <w:szCs w:val="20"/>
        </w:rPr>
        <w:t>:</w:t>
      </w:r>
      <w:r>
        <w:rPr>
          <w:rFonts w:ascii="Book Antiqua" w:hAnsi="Book Antiqua" w:cs="Times New Roman"/>
          <w:b/>
          <w:bCs/>
          <w:sz w:val="20"/>
          <w:szCs w:val="20"/>
        </w:rPr>
        <w:t xml:space="preserve"> Taux d’activité selon les régions et le milieu de résidence en 2021 (en%)</w:t>
      </w:r>
    </w:p>
    <w:p w:rsidR="004E2812" w:rsidRDefault="004E2812" w:rsidP="004E2812">
      <w:pPr>
        <w:rPr>
          <w:rFonts w:ascii="Book Antiqua" w:hAnsi="Book Antiqua" w:cs="Times New Roman"/>
          <w:sz w:val="24"/>
          <w:szCs w:val="24"/>
        </w:rPr>
      </w:pPr>
      <w:r w:rsidRPr="00182BF6">
        <w:rPr>
          <w:rFonts w:ascii="Book Antiqua" w:hAnsi="Book Antiqua" w:cs="Times New Roman"/>
          <w:noProof/>
          <w:sz w:val="24"/>
          <w:szCs w:val="24"/>
        </w:rPr>
        <w:drawing>
          <wp:inline distT="0" distB="0" distL="0" distR="0">
            <wp:extent cx="5486400" cy="3962400"/>
            <wp:effectExtent l="0" t="0" r="0" b="0"/>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E2812" w:rsidRDefault="004E2812" w:rsidP="004E2812">
      <w:pPr>
        <w:rPr>
          <w:rFonts w:ascii="Book Antiqua" w:hAnsi="Book Antiqua" w:cs="Times New Roman"/>
          <w:sz w:val="24"/>
          <w:szCs w:val="24"/>
        </w:rPr>
      </w:pPr>
    </w:p>
    <w:p w:rsidR="004E2812" w:rsidRDefault="004E2812" w:rsidP="0033732A">
      <w:pPr>
        <w:spacing w:line="360" w:lineRule="auto"/>
        <w:jc w:val="both"/>
        <w:rPr>
          <w:rFonts w:ascii="Book Antiqua" w:hAnsi="Book Antiqua" w:cs="Times New Roman"/>
          <w:sz w:val="24"/>
          <w:szCs w:val="24"/>
        </w:rPr>
      </w:pPr>
      <w:r>
        <w:rPr>
          <w:rFonts w:ascii="Book Antiqua" w:hAnsi="Book Antiqua" w:cs="Times New Roman"/>
          <w:sz w:val="24"/>
          <w:szCs w:val="24"/>
        </w:rPr>
        <w:t>Par ailleurs, cinq régions concentrent près des trois quarts des chômeurs (71,6%) au niveau national. La région de Casablanca-Settat vient en première position avec 26,3%, suivie de Rabat-Salé-Kénitra (13,3%), de Marrakech-</w:t>
      </w:r>
      <w:r w:rsidR="0033732A">
        <w:rPr>
          <w:rFonts w:ascii="Book Antiqua" w:hAnsi="Book Antiqua" w:cs="Times New Roman"/>
          <w:sz w:val="24"/>
          <w:szCs w:val="24"/>
        </w:rPr>
        <w:t xml:space="preserve">Safi </w:t>
      </w:r>
      <w:r w:rsidR="00BF58E1">
        <w:rPr>
          <w:rFonts w:ascii="Book Antiqua" w:hAnsi="Book Antiqua" w:cs="Times New Roman"/>
          <w:sz w:val="24"/>
          <w:szCs w:val="24"/>
        </w:rPr>
        <w:t>(</w:t>
      </w:r>
      <w:r>
        <w:rPr>
          <w:rFonts w:ascii="Book Antiqua" w:hAnsi="Book Antiqua" w:cs="Times New Roman"/>
          <w:sz w:val="24"/>
          <w:szCs w:val="24"/>
        </w:rPr>
        <w:t>12,4%</w:t>
      </w:r>
      <w:r w:rsidR="00BF58E1">
        <w:rPr>
          <w:rFonts w:ascii="Book Antiqua" w:hAnsi="Book Antiqua" w:cs="Times New Roman"/>
          <w:sz w:val="24"/>
          <w:szCs w:val="24"/>
        </w:rPr>
        <w:t>)</w:t>
      </w:r>
      <w:r>
        <w:rPr>
          <w:rFonts w:ascii="Book Antiqua" w:hAnsi="Book Antiqua" w:cs="Times New Roman"/>
          <w:sz w:val="24"/>
          <w:szCs w:val="24"/>
        </w:rPr>
        <w:t xml:space="preserve">, de Tanger-Tétouan-Al Hoceima (9,8%) et de l’Oriental (9,7%). </w:t>
      </w:r>
    </w:p>
    <w:p w:rsidR="0033732A" w:rsidRDefault="0033732A" w:rsidP="004E2812">
      <w:pPr>
        <w:spacing w:line="360" w:lineRule="auto"/>
        <w:jc w:val="lowKashida"/>
        <w:rPr>
          <w:rFonts w:ascii="Book Antiqua" w:hAnsi="Book Antiqua" w:cs="Times New Roman"/>
          <w:sz w:val="24"/>
          <w:szCs w:val="24"/>
        </w:rPr>
      </w:pPr>
    </w:p>
    <w:p w:rsidR="004E2812" w:rsidRDefault="004E2812" w:rsidP="004E2812">
      <w:pPr>
        <w:spacing w:line="360" w:lineRule="auto"/>
        <w:jc w:val="lowKashida"/>
        <w:rPr>
          <w:rFonts w:ascii="Book Antiqua" w:hAnsi="Book Antiqua" w:cs="Times New Roman"/>
          <w:sz w:val="24"/>
          <w:szCs w:val="24"/>
        </w:rPr>
      </w:pPr>
      <w:r>
        <w:rPr>
          <w:rFonts w:ascii="Book Antiqua" w:hAnsi="Book Antiqua" w:cs="Times New Roman"/>
          <w:sz w:val="24"/>
          <w:szCs w:val="24"/>
        </w:rPr>
        <w:lastRenderedPageBreak/>
        <w:t xml:space="preserve">Les taux de chômage les plus élevés sont observés dans les régions du Sud (20,1%) et </w:t>
      </w:r>
      <w:r w:rsidR="00BF58E1">
        <w:rPr>
          <w:rFonts w:ascii="Book Antiqua" w:hAnsi="Book Antiqua" w:cs="Times New Roman"/>
          <w:sz w:val="24"/>
          <w:szCs w:val="24"/>
        </w:rPr>
        <w:t>dans la</w:t>
      </w:r>
      <w:r>
        <w:rPr>
          <w:rFonts w:ascii="Book Antiqua" w:hAnsi="Book Antiqua" w:cs="Times New Roman"/>
          <w:sz w:val="24"/>
          <w:szCs w:val="24"/>
        </w:rPr>
        <w:t xml:space="preserve"> région de l’Oriental (18,1%). Avec une acuité moindre, deux autres régions dépassent la moyenne nationale (12,3%) ; à savoir Casablanca-Settat (14,6%) et Fès-Meknès (13,4%). En revanche, les régions de Marrakech-Safi, de Drâa-Tafilalet et de Béni Mellal- Khénifra enregistrent les taux les plus bas, respectivement 7,6%, 9,6% et 9,6%.</w:t>
      </w:r>
    </w:p>
    <w:p w:rsidR="004E2812" w:rsidRDefault="004E2812" w:rsidP="004E2812">
      <w:pPr>
        <w:spacing w:line="360" w:lineRule="auto"/>
        <w:rPr>
          <w:rFonts w:ascii="Book Antiqua" w:hAnsi="Book Antiqua" w:cs="Times New Roman"/>
          <w:b/>
          <w:bCs/>
          <w:sz w:val="20"/>
          <w:szCs w:val="20"/>
        </w:rPr>
      </w:pPr>
      <w:r w:rsidRPr="00182BF6">
        <w:rPr>
          <w:rFonts w:ascii="Book Antiqua" w:hAnsi="Book Antiqua" w:cs="Times New Roman"/>
          <w:b/>
          <w:bCs/>
          <w:sz w:val="20"/>
          <w:szCs w:val="20"/>
        </w:rPr>
        <w:t xml:space="preserve">Graphique </w:t>
      </w:r>
      <w:r w:rsidR="001A5A8D" w:rsidRPr="00182BF6">
        <w:rPr>
          <w:rFonts w:ascii="Book Antiqua" w:hAnsi="Book Antiqua" w:cs="Times New Roman"/>
          <w:b/>
          <w:bCs/>
          <w:sz w:val="20"/>
          <w:szCs w:val="20"/>
        </w:rPr>
        <w:t>9</w:t>
      </w:r>
      <w:r w:rsidRPr="00182BF6">
        <w:rPr>
          <w:rFonts w:ascii="Book Antiqua" w:hAnsi="Book Antiqua" w:cs="Times New Roman"/>
          <w:b/>
          <w:bCs/>
          <w:sz w:val="20"/>
          <w:szCs w:val="20"/>
        </w:rPr>
        <w:t> : Taux</w:t>
      </w:r>
      <w:r>
        <w:rPr>
          <w:rFonts w:ascii="Book Antiqua" w:hAnsi="Book Antiqua" w:cs="Times New Roman"/>
          <w:b/>
          <w:bCs/>
          <w:sz w:val="20"/>
          <w:szCs w:val="20"/>
        </w:rPr>
        <w:t xml:space="preserve"> de chômage selon les régions et le milieu de résidence en 2021 (en%)</w:t>
      </w:r>
    </w:p>
    <w:p w:rsidR="004E2812" w:rsidRDefault="004E2812" w:rsidP="004E2812">
      <w:pPr>
        <w:rPr>
          <w:rFonts w:ascii="Book Antiqua" w:hAnsi="Book Antiqua" w:cs="Times New Roman"/>
          <w:sz w:val="24"/>
          <w:szCs w:val="24"/>
        </w:rPr>
      </w:pPr>
      <w:r>
        <w:rPr>
          <w:rFonts w:ascii="Book Antiqua" w:hAnsi="Book Antiqua" w:cs="Times New Roman"/>
          <w:noProof/>
          <w:sz w:val="24"/>
          <w:szCs w:val="24"/>
        </w:rPr>
        <w:drawing>
          <wp:inline distT="0" distB="0" distL="0" distR="0">
            <wp:extent cx="5734050" cy="4152900"/>
            <wp:effectExtent l="0" t="0" r="0" b="0"/>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E2812" w:rsidRDefault="004E2812" w:rsidP="004E2812">
      <w:pPr>
        <w:rPr>
          <w:rFonts w:ascii="Book Antiqua" w:hAnsi="Book Antiqua" w:cs="Times New Roman"/>
          <w:sz w:val="24"/>
          <w:szCs w:val="24"/>
        </w:rPr>
      </w:pPr>
    </w:p>
    <w:p w:rsidR="004E2812" w:rsidRDefault="004E2812" w:rsidP="004E2812">
      <w:pPr>
        <w:rPr>
          <w:rFonts w:ascii="Book Antiqua" w:hAnsi="Book Antiqua" w:cs="Times New Roman"/>
          <w:sz w:val="24"/>
          <w:szCs w:val="24"/>
        </w:rPr>
      </w:pPr>
    </w:p>
    <w:p w:rsidR="004E2812" w:rsidRDefault="004E2812" w:rsidP="004E2812">
      <w:pPr>
        <w:rPr>
          <w:rFonts w:ascii="Book Antiqua" w:hAnsi="Book Antiqua" w:cs="Times New Roman"/>
          <w:sz w:val="24"/>
          <w:szCs w:val="24"/>
        </w:rPr>
      </w:pPr>
    </w:p>
    <w:p w:rsidR="004E2812" w:rsidRDefault="004E2812" w:rsidP="004E2812">
      <w:pPr>
        <w:rPr>
          <w:rFonts w:ascii="Book Antiqua" w:hAnsi="Book Antiqua" w:cs="Times New Roman"/>
          <w:sz w:val="24"/>
          <w:szCs w:val="24"/>
          <w:vertAlign w:val="superscript"/>
        </w:rPr>
      </w:pPr>
      <w:r>
        <w:rPr>
          <w:rFonts w:ascii="Book Antiqua" w:hAnsi="Book Antiqua" w:cs="Times New Roman"/>
          <w:sz w:val="24"/>
          <w:szCs w:val="24"/>
        </w:rPr>
        <w:br w:type="page"/>
      </w:r>
      <w:r>
        <w:rPr>
          <w:rFonts w:ascii="Book Antiqua" w:eastAsia="Times New Roman" w:hAnsi="Book Antiqua" w:cs="Browallia New"/>
          <w:b/>
          <w:bCs/>
        </w:rPr>
        <w:lastRenderedPageBreak/>
        <w:t>Tableau</w:t>
      </w:r>
      <w:r w:rsidR="001A5A8D">
        <w:rPr>
          <w:rFonts w:ascii="Book Antiqua" w:eastAsia="Times New Roman" w:hAnsi="Book Antiqua" w:cs="Browallia New"/>
          <w:b/>
          <w:bCs/>
        </w:rPr>
        <w:t xml:space="preserve"> </w:t>
      </w:r>
      <w:r>
        <w:rPr>
          <w:rFonts w:ascii="Book Antiqua" w:eastAsia="Times New Roman" w:hAnsi="Book Antiqua" w:cs="Browallia New"/>
          <w:b/>
          <w:bCs/>
        </w:rPr>
        <w:t>1 : Indicateurs annuels d’activité, d’emploi et de chômage par milieu de résidence</w:t>
      </w:r>
    </w:p>
    <w:tbl>
      <w:tblPr>
        <w:tblStyle w:val="Grilledutableau"/>
        <w:tblW w:w="0" w:type="auto"/>
        <w:tblLook w:val="04A0" w:firstRow="1" w:lastRow="0" w:firstColumn="1" w:lastColumn="0" w:noHBand="0" w:noVBand="1"/>
      </w:tblPr>
      <w:tblGrid>
        <w:gridCol w:w="3235"/>
        <w:gridCol w:w="972"/>
        <w:gridCol w:w="971"/>
        <w:gridCol w:w="971"/>
        <w:gridCol w:w="971"/>
        <w:gridCol w:w="971"/>
        <w:gridCol w:w="971"/>
      </w:tblGrid>
      <w:tr w:rsidR="004E2812" w:rsidTr="00C95867">
        <w:trPr>
          <w:trHeight w:val="300"/>
        </w:trPr>
        <w:tc>
          <w:tcPr>
            <w:tcW w:w="32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tl/>
              </w:rPr>
              <w:t> </w:t>
            </w:r>
          </w:p>
        </w:tc>
        <w:tc>
          <w:tcPr>
            <w:tcW w:w="29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jc w:val="center"/>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2020</w:t>
            </w:r>
          </w:p>
        </w:tc>
        <w:tc>
          <w:tcPr>
            <w:tcW w:w="29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jc w:val="center"/>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2021</w:t>
            </w:r>
          </w:p>
        </w:tc>
      </w:tr>
      <w:tr w:rsidR="004E2812" w:rsidTr="00C95867">
        <w:trPr>
          <w:trHeight w:val="30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2812" w:rsidRDefault="004E2812">
            <w:pPr>
              <w:spacing w:line="240" w:lineRule="auto"/>
              <w:rPr>
                <w:rFonts w:asciiTheme="majorBidi" w:eastAsia="Times New Roman" w:hAnsiTheme="majorBidi" w:cstheme="majorBidi"/>
                <w:sz w:val="18"/>
                <w:szCs w:val="18"/>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Urbain</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Rural</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Ensemble</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Urbain</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Rural</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Ensemble</w:t>
            </w:r>
          </w:p>
        </w:tc>
      </w:tr>
      <w:tr w:rsidR="004E2812" w:rsidRPr="004E2812"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b/>
                <w:bCs/>
                <w:color w:val="2F5496" w:themeColor="accent1" w:themeShade="BF"/>
                <w:sz w:val="18"/>
                <w:szCs w:val="18"/>
              </w:rPr>
            </w:pPr>
            <w:r>
              <w:rPr>
                <w:rFonts w:asciiTheme="majorBidi" w:eastAsia="Times New Roman" w:hAnsiTheme="majorBidi" w:cstheme="majorBidi"/>
                <w:b/>
                <w:bCs/>
                <w:color w:val="2F5496" w:themeColor="accent1" w:themeShade="BF"/>
                <w:sz w:val="18"/>
                <w:szCs w:val="18"/>
              </w:rPr>
              <w:t>Activité (des 15 ans et plus)</w:t>
            </w:r>
          </w:p>
        </w:tc>
      </w:tr>
      <w:tr w:rsidR="004E2812" w:rsidRPr="00BF58E1"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pPr>
              <w:spacing w:line="240" w:lineRule="auto"/>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Population active</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7 291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4 680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11 971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7 511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4 770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12 280</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Taux de féminisation de la population active</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22,0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23,5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22,6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22,8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24,5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23,5</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Taux d'activité</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41,9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50,0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44,8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42,3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50,9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45,3</w:t>
            </w:r>
          </w:p>
        </w:tc>
      </w:tr>
      <w:tr w:rsidR="004E2812"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i/>
                <w:iCs/>
                <w:sz w:val="18"/>
                <w:szCs w:val="18"/>
              </w:rPr>
            </w:pPr>
            <w:r>
              <w:rPr>
                <w:rFonts w:asciiTheme="majorBidi" w:eastAsia="Times New Roman" w:hAnsiTheme="majorBidi" w:cstheme="majorBidi"/>
                <w:i/>
                <w:iCs/>
                <w:sz w:val="18"/>
                <w:szCs w:val="18"/>
              </w:rPr>
              <w:t>• Selon le sexe</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Hommes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67,4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75,9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70,4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67,3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76,0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70,4</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Femmes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17,9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23,7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19,9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18,7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25,2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20,9</w:t>
            </w:r>
          </w:p>
        </w:tc>
      </w:tr>
      <w:tr w:rsidR="004E2812"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i/>
                <w:iCs/>
                <w:sz w:val="18"/>
                <w:szCs w:val="18"/>
              </w:rPr>
            </w:pPr>
            <w:r>
              <w:rPr>
                <w:rFonts w:asciiTheme="majorBidi" w:eastAsia="Times New Roman" w:hAnsiTheme="majorBidi" w:cstheme="majorBidi"/>
                <w:i/>
                <w:iCs/>
                <w:sz w:val="18"/>
                <w:szCs w:val="18"/>
              </w:rPr>
              <w:t>• Selon l'âge</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15-24 ans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20,1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28,5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23,5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20,6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28,9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23,9</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25-34 ans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58,0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60,2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58,8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59,4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61,4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60,1</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35-44 ans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57,7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65,2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60,2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57,9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65,9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60,5</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45 ans et plus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36,3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52,0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41,6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36,0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53,2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41,8</w:t>
            </w:r>
          </w:p>
        </w:tc>
      </w:tr>
      <w:tr w:rsidR="004E2812"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i/>
                <w:iCs/>
                <w:sz w:val="18"/>
                <w:szCs w:val="18"/>
              </w:rPr>
            </w:pPr>
            <w:r>
              <w:rPr>
                <w:rFonts w:asciiTheme="majorBidi" w:eastAsia="Times New Roman" w:hAnsiTheme="majorBidi" w:cstheme="majorBidi"/>
                <w:i/>
                <w:iCs/>
                <w:sz w:val="18"/>
                <w:szCs w:val="18"/>
              </w:rPr>
              <w:t>• Selon le diplôme</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Non diplômés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35,5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52,5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43,5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35,2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53,6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43,8</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Diplômés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46,7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44,2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46,1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47,2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45,3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46,8</w:t>
            </w:r>
          </w:p>
        </w:tc>
      </w:tr>
      <w:tr w:rsidR="004E2812" w:rsidRPr="004E2812"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b/>
                <w:bCs/>
                <w:color w:val="2F5496" w:themeColor="accent1" w:themeShade="BF"/>
                <w:sz w:val="18"/>
                <w:szCs w:val="18"/>
              </w:rPr>
            </w:pPr>
            <w:r>
              <w:rPr>
                <w:rFonts w:asciiTheme="majorBidi" w:eastAsia="Times New Roman" w:hAnsiTheme="majorBidi" w:cstheme="majorBidi"/>
                <w:b/>
                <w:bCs/>
                <w:color w:val="2F5496" w:themeColor="accent1" w:themeShade="BF"/>
                <w:sz w:val="18"/>
                <w:szCs w:val="18"/>
              </w:rPr>
              <w:t>Emploi (des 15 ans et plus)</w:t>
            </w:r>
          </w:p>
        </w:tc>
      </w:tr>
      <w:tr w:rsidR="004E2812" w:rsidRPr="00BF58E1"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pPr>
              <w:spacing w:line="240" w:lineRule="auto"/>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Population active occupée</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6 140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4 403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10 542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6 239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4 533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eastAsia="Times New Roman" w:hAnsiTheme="majorBidi" w:cstheme="majorBidi"/>
                <w:b/>
                <w:bCs/>
                <w:sz w:val="18"/>
                <w:szCs w:val="18"/>
              </w:rPr>
            </w:pPr>
            <w:r w:rsidRPr="00BF58E1">
              <w:rPr>
                <w:rFonts w:asciiTheme="majorBidi" w:eastAsia="Times New Roman" w:hAnsiTheme="majorBidi" w:cstheme="majorBidi"/>
                <w:b/>
                <w:bCs/>
                <w:sz w:val="18"/>
                <w:szCs w:val="18"/>
              </w:rPr>
              <w:t>10 772</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Taux d'emploi</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35,3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47,0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39,4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35,1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48,4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39,7</w:t>
            </w:r>
          </w:p>
        </w:tc>
      </w:tr>
      <w:tr w:rsidR="004E2812"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i/>
                <w:iCs/>
                <w:sz w:val="18"/>
                <w:szCs w:val="18"/>
              </w:rPr>
            </w:pPr>
            <w:r>
              <w:rPr>
                <w:rFonts w:asciiTheme="majorBidi" w:eastAsia="Times New Roman" w:hAnsiTheme="majorBidi" w:cstheme="majorBidi"/>
                <w:i/>
                <w:iCs/>
                <w:sz w:val="18"/>
                <w:szCs w:val="18"/>
              </w:rPr>
              <w:t>• Selon le sexe</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Hommes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58,5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70,9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62,9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57,6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71,9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62,7</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Femmes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13,5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22,8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16,7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13,9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24,3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17,4</w:t>
            </w:r>
          </w:p>
        </w:tc>
      </w:tr>
      <w:tr w:rsidR="004E2812" w:rsidRPr="004E2812" w:rsidTr="00C95867">
        <w:trPr>
          <w:trHeight w:val="51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Structure de l'emploi selon les secteurs d'activité économique</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 xml:space="preserve">Agriculture, </w:t>
            </w:r>
            <w:r w:rsidR="00C95867">
              <w:rPr>
                <w:rFonts w:asciiTheme="majorBidi" w:eastAsia="Times New Roman" w:hAnsiTheme="majorBidi" w:cstheme="majorBidi"/>
                <w:sz w:val="18"/>
                <w:szCs w:val="18"/>
              </w:rPr>
              <w:t xml:space="preserve">forêt et </w:t>
            </w:r>
            <w:r>
              <w:rPr>
                <w:rFonts w:asciiTheme="majorBidi" w:eastAsia="Times New Roman" w:hAnsiTheme="majorBidi" w:cstheme="majorBidi"/>
                <w:sz w:val="18"/>
                <w:szCs w:val="18"/>
              </w:rPr>
              <w:t>pêche</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68,0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31,3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67,8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31,2</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Industrie (y compris artisanat)</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17,5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12,1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17,0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11,7</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BTP</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11,8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9,4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10,8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12,5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9,5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11,2</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Services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65,7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17,9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45,7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65,8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18,3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45,8</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Activités non déterminées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0,1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0,0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0,1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0,0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0,0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0,0</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Part de l'emploi rémunéré dans l'emploi total, dont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97,0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70,1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85,8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97,3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69,9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85,8</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Salariés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66,8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44,4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59,2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67,8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46,2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60,4</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Auto-employés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33,2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55,6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40,8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32,2</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53,8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39,6</w:t>
            </w:r>
          </w:p>
        </w:tc>
      </w:tr>
      <w:tr w:rsidR="004E2812" w:rsidTr="00C95867">
        <w:trPr>
          <w:trHeight w:val="51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Times New Roman" w:hAnsiTheme="majorBidi" w:cstheme="majorBidi"/>
                <w:b/>
                <w:bCs/>
                <w:sz w:val="18"/>
                <w:szCs w:val="18"/>
              </w:rPr>
            </w:pPr>
            <w:r>
              <w:rPr>
                <w:rFonts w:asciiTheme="majorBidi" w:eastAsia="Times New Roman" w:hAnsiTheme="majorBidi" w:cstheme="majorBidi"/>
                <w:b/>
                <w:bCs/>
                <w:sz w:val="18"/>
                <w:szCs w:val="18"/>
              </w:rPr>
              <w:t>Durée hebdomadaire moyenne de travail (en heures)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44</w:t>
            </w:r>
          </w:p>
        </w:tc>
      </w:tr>
      <w:tr w:rsidR="004E2812" w:rsidRPr="00B8236C" w:rsidTr="00C95867">
        <w:trPr>
          <w:trHeight w:val="300"/>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i/>
                <w:iCs/>
                <w:sz w:val="18"/>
                <w:szCs w:val="18"/>
              </w:rPr>
            </w:pPr>
            <w:r>
              <w:rPr>
                <w:rFonts w:asciiTheme="majorBidi" w:eastAsia="Times New Roman" w:hAnsiTheme="majorBidi" w:cstheme="majorBidi"/>
                <w:i/>
                <w:iCs/>
                <w:sz w:val="18"/>
                <w:szCs w:val="18"/>
              </w:rPr>
              <w:t>• Selon le secteur d'activité économique</w:t>
            </w:r>
          </w:p>
        </w:tc>
      </w:tr>
      <w:tr w:rsidR="00C95867"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95867" w:rsidRDefault="00C95867" w:rsidP="00C95867">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Agriculture, forêt et pêche</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95867" w:rsidRDefault="00C95867" w:rsidP="00C95867">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95867" w:rsidRDefault="00C95867" w:rsidP="00C95867">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95867" w:rsidRDefault="00C95867" w:rsidP="00C95867">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95867" w:rsidRDefault="00C95867" w:rsidP="00C95867">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95867" w:rsidRDefault="00C95867" w:rsidP="00C95867">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95867" w:rsidRDefault="00C95867" w:rsidP="00C95867">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38</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Industrie (y compris artisanat)</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47</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BTP</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43</w:t>
            </w:r>
          </w:p>
        </w:tc>
      </w:tr>
      <w:tr w:rsidR="004E2812" w:rsidTr="00C95867">
        <w:trPr>
          <w:trHeight w:val="300"/>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Services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39</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47</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eastAsia="Times New Roman" w:hAnsiTheme="majorBidi" w:cstheme="majorBidi"/>
                <w:sz w:val="18"/>
                <w:szCs w:val="18"/>
              </w:rPr>
            </w:pPr>
            <w:r>
              <w:rPr>
                <w:rFonts w:asciiTheme="majorBidi" w:eastAsia="Times New Roman" w:hAnsiTheme="majorBidi" w:cstheme="majorBidi"/>
                <w:sz w:val="18"/>
                <w:szCs w:val="18"/>
              </w:rPr>
              <w:t>47</w:t>
            </w:r>
          </w:p>
        </w:tc>
      </w:tr>
    </w:tbl>
    <w:p w:rsidR="004E2812" w:rsidRDefault="004E2812" w:rsidP="004E2812">
      <w:pPr>
        <w:rPr>
          <w:rFonts w:ascii="Book Antiqua" w:eastAsia="Times New Roman" w:hAnsi="Book Antiqua" w:cs="Browallia New"/>
          <w:b/>
          <w:bCs/>
        </w:rPr>
      </w:pPr>
    </w:p>
    <w:p w:rsidR="004E2812" w:rsidRDefault="004E2812" w:rsidP="004E2812">
      <w:pPr>
        <w:rPr>
          <w:rFonts w:ascii="Book Antiqua" w:eastAsia="Times New Roman" w:hAnsi="Book Antiqua" w:cs="Browallia New"/>
          <w:b/>
          <w:bCs/>
        </w:rPr>
      </w:pPr>
      <w:r>
        <w:rPr>
          <w:rFonts w:ascii="Book Antiqua" w:eastAsia="Times New Roman" w:hAnsi="Book Antiqua" w:cs="Browallia New"/>
          <w:b/>
          <w:bCs/>
        </w:rPr>
        <w:br w:type="page"/>
      </w:r>
    </w:p>
    <w:p w:rsidR="004E2812" w:rsidRDefault="004E2812" w:rsidP="004E2812">
      <w:pPr>
        <w:rPr>
          <w:rFonts w:ascii="Book Antiqua" w:eastAsiaTheme="minorEastAsia" w:hAnsi="Book Antiqua" w:cs="Times New Roman"/>
          <w:sz w:val="24"/>
          <w:szCs w:val="24"/>
        </w:rPr>
      </w:pPr>
      <w:r>
        <w:rPr>
          <w:rFonts w:ascii="Book Antiqua" w:eastAsia="Times New Roman" w:hAnsi="Book Antiqua" w:cs="Browallia New"/>
          <w:b/>
          <w:bCs/>
        </w:rPr>
        <w:lastRenderedPageBreak/>
        <w:t>Tableau1 (Suite) : Indicateurs annuels d’activité, d’emploi et de chômage par milieu de résidence</w:t>
      </w:r>
    </w:p>
    <w:p w:rsidR="004E2812" w:rsidRDefault="004E2812" w:rsidP="004E2812">
      <w:pPr>
        <w:rPr>
          <w:rFonts w:ascii="Book Antiqua" w:hAnsi="Book Antiqua" w:cs="Times New Roman"/>
        </w:rPr>
      </w:pPr>
    </w:p>
    <w:tbl>
      <w:tblPr>
        <w:tblStyle w:val="Grilledutableau"/>
        <w:tblW w:w="9547" w:type="dxa"/>
        <w:jc w:val="center"/>
        <w:tblLook w:val="04A0" w:firstRow="1" w:lastRow="0" w:firstColumn="1" w:lastColumn="0" w:noHBand="0" w:noVBand="1"/>
      </w:tblPr>
      <w:tblGrid>
        <w:gridCol w:w="3672"/>
        <w:gridCol w:w="980"/>
        <w:gridCol w:w="979"/>
        <w:gridCol w:w="979"/>
        <w:gridCol w:w="979"/>
        <w:gridCol w:w="979"/>
        <w:gridCol w:w="979"/>
      </w:tblGrid>
      <w:tr w:rsidR="004E2812" w:rsidTr="004E2812">
        <w:trPr>
          <w:trHeight w:val="309"/>
          <w:jc w:val="center"/>
        </w:trPr>
        <w:tc>
          <w:tcPr>
            <w:tcW w:w="36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b/>
                <w:bCs/>
                <w:sz w:val="18"/>
                <w:szCs w:val="18"/>
              </w:rPr>
            </w:pPr>
            <w:r>
              <w:rPr>
                <w:rFonts w:asciiTheme="majorBidi" w:hAnsiTheme="majorBidi" w:cstheme="majorBidi"/>
                <w:b/>
                <w:bCs/>
                <w:sz w:val="18"/>
                <w:szCs w:val="18"/>
                <w:rtl/>
              </w:rPr>
              <w:t> </w:t>
            </w:r>
          </w:p>
        </w:tc>
        <w:tc>
          <w:tcPr>
            <w:tcW w:w="2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jc w:val="center"/>
              <w:rPr>
                <w:rFonts w:asciiTheme="majorBidi" w:hAnsiTheme="majorBidi" w:cstheme="majorBidi"/>
                <w:b/>
                <w:bCs/>
                <w:sz w:val="18"/>
                <w:szCs w:val="18"/>
              </w:rPr>
            </w:pPr>
            <w:r>
              <w:rPr>
                <w:rFonts w:asciiTheme="majorBidi" w:hAnsiTheme="majorBidi" w:cstheme="majorBidi"/>
                <w:b/>
                <w:bCs/>
                <w:sz w:val="18"/>
                <w:szCs w:val="18"/>
              </w:rPr>
              <w:t>2020</w:t>
            </w:r>
          </w:p>
        </w:tc>
        <w:tc>
          <w:tcPr>
            <w:tcW w:w="29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jc w:val="center"/>
              <w:rPr>
                <w:rFonts w:asciiTheme="majorBidi" w:hAnsiTheme="majorBidi" w:cstheme="majorBidi"/>
                <w:b/>
                <w:bCs/>
                <w:sz w:val="18"/>
                <w:szCs w:val="18"/>
              </w:rPr>
            </w:pPr>
            <w:r>
              <w:rPr>
                <w:rFonts w:asciiTheme="majorBidi" w:hAnsiTheme="majorBidi" w:cstheme="majorBidi"/>
                <w:b/>
                <w:bCs/>
                <w:sz w:val="18"/>
                <w:szCs w:val="18"/>
              </w:rPr>
              <w:t>2021</w:t>
            </w:r>
          </w:p>
        </w:tc>
      </w:tr>
      <w:tr w:rsidR="004E2812" w:rsidTr="004E2812">
        <w:trPr>
          <w:trHeight w:val="309"/>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2812" w:rsidRDefault="004E2812">
            <w:pPr>
              <w:spacing w:line="240" w:lineRule="auto"/>
              <w:rPr>
                <w:rFonts w:asciiTheme="majorBidi" w:hAnsiTheme="majorBidi" w:cstheme="majorBidi"/>
                <w:b/>
                <w:bCs/>
                <w:sz w:val="18"/>
                <w:szCs w:val="18"/>
              </w:rPr>
            </w:pP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hAnsiTheme="majorBidi" w:cstheme="majorBidi"/>
                <w:b/>
                <w:bCs/>
                <w:sz w:val="18"/>
                <w:szCs w:val="18"/>
              </w:rPr>
            </w:pPr>
            <w:r>
              <w:rPr>
                <w:rFonts w:asciiTheme="majorBidi" w:hAnsiTheme="majorBidi" w:cstheme="majorBidi"/>
                <w:b/>
                <w:bCs/>
                <w:sz w:val="18"/>
                <w:szCs w:val="18"/>
              </w:rPr>
              <w:t>Urbain</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hAnsiTheme="majorBidi" w:cstheme="majorBidi"/>
                <w:b/>
                <w:bCs/>
                <w:sz w:val="18"/>
                <w:szCs w:val="18"/>
              </w:rPr>
            </w:pPr>
            <w:r>
              <w:rPr>
                <w:rFonts w:asciiTheme="majorBidi" w:hAnsiTheme="majorBidi" w:cstheme="majorBidi"/>
                <w:b/>
                <w:bCs/>
                <w:sz w:val="18"/>
                <w:szCs w:val="18"/>
              </w:rPr>
              <w:t>Rural</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hAnsiTheme="majorBidi" w:cstheme="majorBidi"/>
                <w:b/>
                <w:bCs/>
                <w:sz w:val="18"/>
                <w:szCs w:val="18"/>
              </w:rPr>
            </w:pPr>
            <w:r>
              <w:rPr>
                <w:rFonts w:asciiTheme="majorBidi" w:hAnsiTheme="majorBidi" w:cstheme="majorBidi"/>
                <w:b/>
                <w:bCs/>
                <w:sz w:val="18"/>
                <w:szCs w:val="18"/>
              </w:rPr>
              <w:t>Ensemble</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hAnsiTheme="majorBidi" w:cstheme="majorBidi"/>
                <w:b/>
                <w:bCs/>
                <w:sz w:val="18"/>
                <w:szCs w:val="18"/>
              </w:rPr>
            </w:pPr>
            <w:r>
              <w:rPr>
                <w:rFonts w:asciiTheme="majorBidi" w:hAnsiTheme="majorBidi" w:cstheme="majorBidi"/>
                <w:b/>
                <w:bCs/>
                <w:sz w:val="18"/>
                <w:szCs w:val="18"/>
              </w:rPr>
              <w:t>Urbain</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hAnsiTheme="majorBidi" w:cstheme="majorBidi"/>
                <w:b/>
                <w:bCs/>
                <w:sz w:val="18"/>
                <w:szCs w:val="18"/>
              </w:rPr>
            </w:pPr>
            <w:r>
              <w:rPr>
                <w:rFonts w:asciiTheme="majorBidi" w:hAnsiTheme="majorBidi" w:cstheme="majorBidi"/>
                <w:b/>
                <w:bCs/>
                <w:sz w:val="18"/>
                <w:szCs w:val="18"/>
              </w:rPr>
              <w:t>Rural</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hAnsiTheme="majorBidi" w:cstheme="majorBidi"/>
                <w:b/>
                <w:bCs/>
                <w:sz w:val="18"/>
                <w:szCs w:val="18"/>
              </w:rPr>
            </w:pPr>
            <w:r>
              <w:rPr>
                <w:rFonts w:asciiTheme="majorBidi" w:hAnsiTheme="majorBidi" w:cstheme="majorBidi"/>
                <w:b/>
                <w:bCs/>
                <w:sz w:val="18"/>
                <w:szCs w:val="18"/>
              </w:rPr>
              <w:t>Ensemble</w:t>
            </w:r>
          </w:p>
        </w:tc>
      </w:tr>
      <w:tr w:rsidR="004E2812" w:rsidRPr="00BF58E1" w:rsidTr="004E2812">
        <w:trPr>
          <w:trHeight w:val="614"/>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Pr="00BF58E1" w:rsidRDefault="004E2812">
            <w:pPr>
              <w:spacing w:line="240" w:lineRule="auto"/>
              <w:rPr>
                <w:rFonts w:asciiTheme="majorBidi" w:hAnsiTheme="majorBidi" w:cstheme="majorBidi"/>
                <w:b/>
                <w:bCs/>
                <w:sz w:val="18"/>
                <w:szCs w:val="18"/>
              </w:rPr>
            </w:pPr>
            <w:r w:rsidRPr="00BF58E1">
              <w:rPr>
                <w:rFonts w:asciiTheme="majorBidi" w:hAnsiTheme="majorBidi" w:cstheme="majorBidi"/>
                <w:b/>
                <w:bCs/>
                <w:sz w:val="18"/>
                <w:szCs w:val="18"/>
              </w:rPr>
              <w:t>Volume hebdomadaire total d'heures travaillées (en millions d'heures)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hAnsiTheme="majorBidi" w:cstheme="majorBidi"/>
                <w:b/>
                <w:bCs/>
                <w:sz w:val="18"/>
                <w:szCs w:val="18"/>
              </w:rPr>
            </w:pPr>
            <w:r w:rsidRPr="00BF58E1">
              <w:rPr>
                <w:rFonts w:asciiTheme="majorBidi" w:hAnsiTheme="majorBidi" w:cstheme="majorBidi"/>
                <w:b/>
                <w:bCs/>
                <w:sz w:val="18"/>
                <w:szCs w:val="18"/>
              </w:rPr>
              <w:t>237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hAnsiTheme="majorBidi" w:cstheme="majorBidi"/>
                <w:b/>
                <w:bCs/>
                <w:sz w:val="18"/>
                <w:szCs w:val="18"/>
              </w:rPr>
            </w:pPr>
            <w:r w:rsidRPr="00BF58E1">
              <w:rPr>
                <w:rFonts w:asciiTheme="majorBidi" w:hAnsiTheme="majorBidi" w:cstheme="majorBidi"/>
                <w:b/>
                <w:bCs/>
                <w:sz w:val="18"/>
                <w:szCs w:val="18"/>
              </w:rPr>
              <w:t>158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hAnsiTheme="majorBidi" w:cstheme="majorBidi"/>
                <w:b/>
                <w:bCs/>
                <w:sz w:val="18"/>
                <w:szCs w:val="18"/>
              </w:rPr>
            </w:pPr>
            <w:r w:rsidRPr="00BF58E1">
              <w:rPr>
                <w:rFonts w:asciiTheme="majorBidi" w:hAnsiTheme="majorBidi" w:cstheme="majorBidi"/>
                <w:b/>
                <w:bCs/>
                <w:sz w:val="18"/>
                <w:szCs w:val="18"/>
              </w:rPr>
              <w:t>394</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hAnsiTheme="majorBidi" w:cstheme="majorBidi"/>
                <w:b/>
                <w:bCs/>
                <w:sz w:val="18"/>
                <w:szCs w:val="18"/>
              </w:rPr>
            </w:pPr>
            <w:r w:rsidRPr="00BF58E1">
              <w:rPr>
                <w:rFonts w:asciiTheme="majorBidi" w:hAnsiTheme="majorBidi" w:cstheme="majorBidi"/>
                <w:b/>
                <w:bCs/>
                <w:sz w:val="18"/>
                <w:szCs w:val="18"/>
              </w:rPr>
              <w:t>287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hAnsiTheme="majorBidi" w:cstheme="majorBidi"/>
                <w:b/>
                <w:bCs/>
                <w:sz w:val="18"/>
                <w:szCs w:val="18"/>
              </w:rPr>
            </w:pPr>
            <w:r w:rsidRPr="00BF58E1">
              <w:rPr>
                <w:rFonts w:asciiTheme="majorBidi" w:hAnsiTheme="majorBidi" w:cstheme="majorBidi"/>
                <w:b/>
                <w:bCs/>
                <w:sz w:val="18"/>
                <w:szCs w:val="18"/>
              </w:rPr>
              <w:t>183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Pr="00BF58E1" w:rsidRDefault="004E2812" w:rsidP="0033732A">
            <w:pPr>
              <w:spacing w:line="240" w:lineRule="auto"/>
              <w:jc w:val="right"/>
              <w:rPr>
                <w:rFonts w:asciiTheme="majorBidi" w:hAnsiTheme="majorBidi" w:cstheme="majorBidi"/>
                <w:b/>
                <w:bCs/>
                <w:sz w:val="18"/>
                <w:szCs w:val="18"/>
              </w:rPr>
            </w:pPr>
            <w:r w:rsidRPr="00BF58E1">
              <w:rPr>
                <w:rFonts w:asciiTheme="majorBidi" w:hAnsiTheme="majorBidi" w:cstheme="majorBidi"/>
                <w:b/>
                <w:bCs/>
                <w:sz w:val="18"/>
                <w:szCs w:val="18"/>
              </w:rPr>
              <w:t>470</w:t>
            </w:r>
          </w:p>
        </w:tc>
      </w:tr>
      <w:tr w:rsidR="004E2812" w:rsidRPr="00B8236C" w:rsidTr="004E2812">
        <w:trPr>
          <w:trHeight w:val="309"/>
          <w:jc w:val="center"/>
        </w:trPr>
        <w:tc>
          <w:tcPr>
            <w:tcW w:w="95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i/>
                <w:iCs/>
                <w:sz w:val="18"/>
                <w:szCs w:val="18"/>
              </w:rPr>
            </w:pPr>
            <w:r>
              <w:rPr>
                <w:rFonts w:asciiTheme="majorBidi" w:hAnsiTheme="majorBidi" w:cstheme="majorBidi"/>
                <w:i/>
                <w:iCs/>
                <w:sz w:val="18"/>
                <w:szCs w:val="18"/>
              </w:rPr>
              <w:t>• Selon le secteur d'activité économique</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C95867">
            <w:pPr>
              <w:spacing w:line="240" w:lineRule="auto"/>
              <w:rPr>
                <w:rFonts w:asciiTheme="majorBidi" w:hAnsiTheme="majorBidi" w:cstheme="majorBidi"/>
                <w:sz w:val="18"/>
                <w:szCs w:val="18"/>
              </w:rPr>
            </w:pPr>
            <w:r>
              <w:rPr>
                <w:rFonts w:asciiTheme="majorBidi" w:eastAsia="Times New Roman" w:hAnsiTheme="majorBidi" w:cstheme="majorBidi"/>
                <w:sz w:val="18"/>
                <w:szCs w:val="18"/>
              </w:rPr>
              <w:t>Agriculture, forêt et pêche</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103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115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116</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129</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Industrie (y compris artisanat)</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59</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BTP</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26</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14</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34</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52</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Services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158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190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191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230</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b/>
                <w:bCs/>
                <w:sz w:val="18"/>
                <w:szCs w:val="18"/>
              </w:rPr>
            </w:pPr>
            <w:r>
              <w:rPr>
                <w:rFonts w:asciiTheme="majorBidi" w:hAnsiTheme="majorBidi" w:cstheme="majorBidi"/>
                <w:b/>
                <w:bCs/>
                <w:sz w:val="18"/>
                <w:szCs w:val="18"/>
              </w:rPr>
              <w:t>Population active occupée en sous-emploi</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619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508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1 127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550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453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1 003</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Taux de sous-emploi</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10,1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11,6</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10,7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8,8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10,0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9,3</w:t>
            </w:r>
          </w:p>
        </w:tc>
      </w:tr>
      <w:tr w:rsidR="004E2812" w:rsidRPr="00B8236C" w:rsidTr="004E2812">
        <w:trPr>
          <w:trHeight w:val="309"/>
          <w:jc w:val="center"/>
        </w:trPr>
        <w:tc>
          <w:tcPr>
            <w:tcW w:w="95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i/>
                <w:iCs/>
                <w:sz w:val="18"/>
                <w:szCs w:val="18"/>
              </w:rPr>
            </w:pPr>
            <w:r>
              <w:rPr>
                <w:rFonts w:asciiTheme="majorBidi" w:hAnsiTheme="majorBidi" w:cstheme="majorBidi"/>
                <w:i/>
                <w:iCs/>
                <w:sz w:val="18"/>
                <w:szCs w:val="18"/>
              </w:rPr>
              <w:t>• Selon la forme de sous-emploi</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Sous-emploi visible (lié à la durée de travail)</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6,7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6,2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4,3</w:t>
            </w:r>
          </w:p>
        </w:tc>
      </w:tr>
      <w:tr w:rsidR="004E2812" w:rsidTr="004E2812">
        <w:trPr>
          <w:trHeight w:val="474"/>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Sous-emploi invisible (lié aux revenus d'activité et à l'adéquation formation-emploi)</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5,0</w:t>
            </w:r>
          </w:p>
        </w:tc>
      </w:tr>
      <w:tr w:rsidR="004E2812" w:rsidTr="004E2812">
        <w:trPr>
          <w:trHeight w:val="309"/>
          <w:jc w:val="center"/>
        </w:trPr>
        <w:tc>
          <w:tcPr>
            <w:tcW w:w="95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b/>
                <w:bCs/>
                <w:color w:val="2F5496" w:themeColor="accent1" w:themeShade="BF"/>
                <w:sz w:val="18"/>
                <w:szCs w:val="18"/>
              </w:rPr>
            </w:pPr>
            <w:r>
              <w:rPr>
                <w:rFonts w:asciiTheme="majorBidi" w:hAnsiTheme="majorBidi" w:cstheme="majorBidi"/>
                <w:b/>
                <w:bCs/>
                <w:color w:val="2F5496" w:themeColor="accent1" w:themeShade="BF"/>
                <w:sz w:val="18"/>
                <w:szCs w:val="18"/>
              </w:rPr>
              <w:t>Chômage</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b/>
                <w:bCs/>
                <w:sz w:val="18"/>
                <w:szCs w:val="18"/>
              </w:rPr>
            </w:pPr>
            <w:r>
              <w:rPr>
                <w:rFonts w:asciiTheme="majorBidi" w:hAnsiTheme="majorBidi" w:cstheme="majorBidi"/>
                <w:b/>
                <w:bCs/>
                <w:sz w:val="18"/>
                <w:szCs w:val="18"/>
              </w:rPr>
              <w:t>Population active en chômage</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1 152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277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1 429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1 271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237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b/>
                <w:bCs/>
                <w:sz w:val="18"/>
                <w:szCs w:val="18"/>
              </w:rPr>
            </w:pPr>
            <w:r>
              <w:rPr>
                <w:rFonts w:asciiTheme="majorBidi" w:hAnsiTheme="majorBidi" w:cstheme="majorBidi"/>
                <w:b/>
                <w:bCs/>
                <w:sz w:val="18"/>
                <w:szCs w:val="18"/>
              </w:rPr>
              <w:t>1 508</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Taux de féminisation de la population active en chômage</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34,4</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15,3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30,7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34,6</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18,7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32,1</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Taux de chômage</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15,8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11,9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16,9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12,3</w:t>
            </w:r>
          </w:p>
        </w:tc>
      </w:tr>
      <w:tr w:rsidR="004E2812" w:rsidTr="004E2812">
        <w:trPr>
          <w:trHeight w:val="309"/>
          <w:jc w:val="center"/>
        </w:trPr>
        <w:tc>
          <w:tcPr>
            <w:tcW w:w="95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i/>
                <w:iCs/>
                <w:sz w:val="18"/>
                <w:szCs w:val="18"/>
              </w:rPr>
            </w:pPr>
            <w:r>
              <w:rPr>
                <w:rFonts w:asciiTheme="majorBidi" w:hAnsiTheme="majorBidi" w:cstheme="majorBidi"/>
                <w:i/>
                <w:iCs/>
                <w:sz w:val="18"/>
                <w:szCs w:val="18"/>
              </w:rPr>
              <w:t>• Selon le sexe</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Hommes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13,3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6,6</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10,7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14,4</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10,9</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Femmes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24,7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16,2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25,6</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16,8</w:t>
            </w:r>
          </w:p>
        </w:tc>
      </w:tr>
      <w:tr w:rsidR="004E2812" w:rsidTr="004E2812">
        <w:trPr>
          <w:trHeight w:val="309"/>
          <w:jc w:val="center"/>
        </w:trPr>
        <w:tc>
          <w:tcPr>
            <w:tcW w:w="95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i/>
                <w:iCs/>
                <w:sz w:val="18"/>
                <w:szCs w:val="18"/>
              </w:rPr>
            </w:pPr>
            <w:r>
              <w:rPr>
                <w:rFonts w:asciiTheme="majorBidi" w:hAnsiTheme="majorBidi" w:cstheme="majorBidi"/>
                <w:i/>
                <w:iCs/>
                <w:sz w:val="18"/>
                <w:szCs w:val="18"/>
              </w:rPr>
              <w:t>• Selon l'âge</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15-24 ans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45,3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16,3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31,2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46,7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15,9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31,8</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25-34 ans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23,9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8,0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18,5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25,9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6,9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19,6</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35-44 ans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8,7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6,9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9,5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2,4</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7,0</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45 ans et plus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5,4</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2,1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3,8</w:t>
            </w:r>
          </w:p>
        </w:tc>
      </w:tr>
      <w:tr w:rsidR="004E2812" w:rsidTr="004E2812">
        <w:trPr>
          <w:trHeight w:val="309"/>
          <w:jc w:val="center"/>
        </w:trPr>
        <w:tc>
          <w:tcPr>
            <w:tcW w:w="95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i/>
                <w:iCs/>
                <w:sz w:val="18"/>
                <w:szCs w:val="18"/>
              </w:rPr>
            </w:pPr>
            <w:r>
              <w:rPr>
                <w:rFonts w:asciiTheme="majorBidi" w:hAnsiTheme="majorBidi" w:cstheme="majorBidi"/>
                <w:i/>
                <w:iCs/>
                <w:sz w:val="18"/>
                <w:szCs w:val="18"/>
              </w:rPr>
              <w:t>• Selon le diplôme</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Non diplômés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8,5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3,3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5,6</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7,8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2,1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4,6</w:t>
            </w:r>
          </w:p>
        </w:tc>
      </w:tr>
      <w:tr w:rsidR="004E2812" w:rsidTr="004E2812">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hAnsiTheme="majorBidi" w:cstheme="majorBidi"/>
                <w:sz w:val="18"/>
                <w:szCs w:val="18"/>
              </w:rPr>
            </w:pPr>
            <w:r>
              <w:rPr>
                <w:rFonts w:asciiTheme="majorBidi" w:hAnsiTheme="majorBidi" w:cstheme="majorBidi"/>
                <w:sz w:val="18"/>
                <w:szCs w:val="18"/>
              </w:rPr>
              <w:t>Diplômés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19,9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13,2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18,5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21,7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12,0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right"/>
              <w:rPr>
                <w:rFonts w:asciiTheme="majorBidi" w:hAnsiTheme="majorBidi" w:cstheme="majorBidi"/>
                <w:sz w:val="18"/>
                <w:szCs w:val="18"/>
              </w:rPr>
            </w:pPr>
            <w:r>
              <w:rPr>
                <w:rFonts w:asciiTheme="majorBidi" w:hAnsiTheme="majorBidi" w:cstheme="majorBidi"/>
                <w:sz w:val="18"/>
                <w:szCs w:val="18"/>
              </w:rPr>
              <w:t>19,6</w:t>
            </w:r>
          </w:p>
        </w:tc>
      </w:tr>
    </w:tbl>
    <w:p w:rsidR="004E2812" w:rsidRDefault="004E2812" w:rsidP="004E2812">
      <w:pPr>
        <w:rPr>
          <w:rFonts w:ascii="Book Antiqua" w:hAnsi="Book Antiqua" w:cs="Times New Roman"/>
        </w:rPr>
      </w:pPr>
    </w:p>
    <w:p w:rsidR="004E2812" w:rsidRDefault="004E2812" w:rsidP="004E2812">
      <w:pPr>
        <w:numPr>
          <w:ilvl w:val="0"/>
          <w:numId w:val="4"/>
        </w:numPr>
        <w:tabs>
          <w:tab w:val="left" w:pos="-720"/>
        </w:tabs>
        <w:suppressAutoHyphens/>
        <w:spacing w:line="256" w:lineRule="auto"/>
        <w:contextualSpacing/>
        <w:jc w:val="both"/>
        <w:rPr>
          <w:rFonts w:ascii="Times New Roman" w:eastAsia="Calibri" w:hAnsi="Times New Roman" w:cs="Times New Roman"/>
          <w:color w:val="222222"/>
          <w:sz w:val="20"/>
          <w:szCs w:val="20"/>
          <w:shd w:val="clear" w:color="auto" w:fill="FFFFFF"/>
          <w:lang w:eastAsia="en-US"/>
        </w:rPr>
      </w:pPr>
      <w:r>
        <w:rPr>
          <w:rFonts w:ascii="Times New Roman" w:eastAsia="Calibri" w:hAnsi="Times New Roman" w:cs="Times New Roman"/>
          <w:color w:val="222222"/>
          <w:sz w:val="20"/>
          <w:szCs w:val="20"/>
          <w:shd w:val="clear" w:color="auto" w:fill="FFFFFF"/>
          <w:lang w:eastAsia="en-US"/>
        </w:rPr>
        <w:t xml:space="preserve">Source : Enquête nationale sur l'emploi, Haut-Commissariat au Plan </w:t>
      </w:r>
    </w:p>
    <w:p w:rsidR="004E2812" w:rsidRDefault="004E2812" w:rsidP="004E2812">
      <w:pPr>
        <w:numPr>
          <w:ilvl w:val="0"/>
          <w:numId w:val="4"/>
        </w:numPr>
        <w:tabs>
          <w:tab w:val="left" w:pos="-720"/>
        </w:tabs>
        <w:suppressAutoHyphens/>
        <w:spacing w:line="256" w:lineRule="auto"/>
        <w:contextualSpacing/>
        <w:jc w:val="both"/>
        <w:rPr>
          <w:rFonts w:ascii="Times New Roman" w:eastAsia="Calibri" w:hAnsi="Times New Roman" w:cs="Times New Roman"/>
          <w:color w:val="222222"/>
          <w:sz w:val="20"/>
          <w:szCs w:val="20"/>
          <w:shd w:val="clear" w:color="auto" w:fill="FFFFFF"/>
          <w:lang w:eastAsia="en-US"/>
        </w:rPr>
      </w:pPr>
      <w:r>
        <w:rPr>
          <w:rFonts w:ascii="Times New Roman" w:eastAsia="Calibri" w:hAnsi="Times New Roman" w:cs="Times New Roman"/>
          <w:color w:val="222222"/>
          <w:sz w:val="20"/>
          <w:szCs w:val="20"/>
          <w:shd w:val="clear" w:color="auto" w:fill="FFFFFF"/>
          <w:lang w:eastAsia="en-US"/>
        </w:rPr>
        <w:t>Pour les définitions des concepts et indicateurs utilisés, se référer au glossaire disponible sur le site web du HCP </w:t>
      </w:r>
      <w:r>
        <w:rPr>
          <w:rFonts w:ascii="Times New Roman" w:eastAsia="Calibri" w:hAnsi="Times New Roman" w:cs="Times New Roman"/>
          <w:b/>
          <w:bCs/>
          <w:color w:val="222222"/>
          <w:sz w:val="20"/>
          <w:szCs w:val="20"/>
          <w:shd w:val="clear" w:color="auto" w:fill="FFFFFF"/>
          <w:lang w:eastAsia="en-US"/>
        </w:rPr>
        <w:t xml:space="preserve">: </w:t>
      </w:r>
      <w:hyperlink r:id="rId18" w:history="1">
        <w:r>
          <w:rPr>
            <w:rStyle w:val="Lienhypertexte"/>
            <w:rFonts w:ascii="Times New Roman" w:eastAsia="Calibri" w:hAnsi="Times New Roman" w:cs="Times New Roman"/>
            <w:b/>
            <w:bCs/>
            <w:color w:val="222222"/>
            <w:sz w:val="20"/>
            <w:szCs w:val="20"/>
            <w:shd w:val="clear" w:color="auto" w:fill="FFFFFF"/>
            <w:lang w:eastAsia="en-US"/>
          </w:rPr>
          <w:t>http://www.hcp.ma</w:t>
        </w:r>
      </w:hyperlink>
      <w:r>
        <w:rPr>
          <w:rFonts w:ascii="Times New Roman" w:eastAsia="Calibri" w:hAnsi="Times New Roman" w:cs="Times New Roman"/>
          <w:color w:val="222222"/>
          <w:sz w:val="20"/>
          <w:szCs w:val="20"/>
          <w:shd w:val="clear" w:color="auto" w:fill="FFFFFF"/>
          <w:lang w:eastAsia="en-US"/>
        </w:rPr>
        <w:t>.</w:t>
      </w:r>
    </w:p>
    <w:p w:rsidR="004E2812" w:rsidRDefault="004E2812" w:rsidP="004E2812">
      <w:pPr>
        <w:numPr>
          <w:ilvl w:val="0"/>
          <w:numId w:val="4"/>
        </w:numPr>
        <w:tabs>
          <w:tab w:val="left" w:pos="-720"/>
        </w:tabs>
        <w:suppressAutoHyphens/>
        <w:spacing w:line="256" w:lineRule="auto"/>
        <w:contextualSpacing/>
        <w:jc w:val="both"/>
        <w:rPr>
          <w:rFonts w:ascii="Book Antiqua" w:eastAsiaTheme="minorEastAsia" w:hAnsi="Book Antiqua" w:cs="Times New Roman"/>
        </w:rPr>
      </w:pPr>
      <w:r>
        <w:rPr>
          <w:rFonts w:ascii="Times New Roman" w:eastAsia="Calibri" w:hAnsi="Times New Roman" w:cs="Times New Roman"/>
          <w:color w:val="222222"/>
          <w:sz w:val="20"/>
          <w:szCs w:val="20"/>
          <w:shd w:val="clear" w:color="auto" w:fill="FFFFFF"/>
          <w:lang w:eastAsia="en-US"/>
        </w:rPr>
        <w:t>Les données chiffrées sont arrondies. Le résultat arrondi d’une combinaison de données chiffrées (qui fait intervenir leurs valeurs réelles) peut se trouver légèrement différent de celui que donnerait la combinaison de leurs valeurs arrondies.</w:t>
      </w:r>
    </w:p>
    <w:p w:rsidR="004E2812" w:rsidRDefault="004E2812" w:rsidP="004E2812">
      <w:pPr>
        <w:rPr>
          <w:rFonts w:ascii="Book Antiqua" w:hAnsi="Book Antiqua" w:cs="Times New Roman"/>
        </w:rPr>
      </w:pPr>
    </w:p>
    <w:p w:rsidR="004E2812" w:rsidRDefault="004E2812" w:rsidP="004E2812">
      <w:pPr>
        <w:rPr>
          <w:rFonts w:ascii="Book Antiqua" w:hAnsi="Book Antiqua" w:cs="Times New Roman"/>
        </w:rPr>
      </w:pPr>
    </w:p>
    <w:p w:rsidR="004E2812" w:rsidRDefault="004E2812" w:rsidP="004E2812">
      <w:pPr>
        <w:pStyle w:val="Titre1"/>
        <w:keepLines w:val="0"/>
        <w:spacing w:before="240" w:after="0" w:line="240" w:lineRule="auto"/>
        <w:jc w:val="center"/>
        <w:rPr>
          <w:rFonts w:ascii="Book Antiqua" w:eastAsia="Times New Roman" w:hAnsi="Book Antiqua" w:cs="Browallia New"/>
          <w:b/>
          <w:bCs/>
          <w:sz w:val="22"/>
          <w:szCs w:val="22"/>
        </w:rPr>
      </w:pPr>
      <w:r>
        <w:rPr>
          <w:rFonts w:ascii="Book Antiqua" w:hAnsi="Book Antiqua" w:cs="Times New Roman"/>
        </w:rPr>
        <w:br w:type="page"/>
      </w:r>
      <w:r>
        <w:rPr>
          <w:rFonts w:ascii="Book Antiqua" w:eastAsia="Times New Roman" w:hAnsi="Book Antiqua" w:cs="Browallia New"/>
          <w:b/>
          <w:bCs/>
          <w:sz w:val="22"/>
          <w:szCs w:val="22"/>
        </w:rPr>
        <w:lastRenderedPageBreak/>
        <w:t>Tableau 2: Taux d'activité, d’emploi et de chômage par région et milieu de résidence (en%)</w:t>
      </w:r>
    </w:p>
    <w:tbl>
      <w:tblPr>
        <w:tblStyle w:val="Grilledutableau"/>
        <w:tblW w:w="0" w:type="auto"/>
        <w:tblLook w:val="04A0" w:firstRow="1" w:lastRow="0" w:firstColumn="1" w:lastColumn="0" w:noHBand="0" w:noVBand="1"/>
      </w:tblPr>
      <w:tblGrid>
        <w:gridCol w:w="2574"/>
        <w:gridCol w:w="1093"/>
        <w:gridCol w:w="1015"/>
        <w:gridCol w:w="1249"/>
        <w:gridCol w:w="1093"/>
        <w:gridCol w:w="1015"/>
        <w:gridCol w:w="1249"/>
      </w:tblGrid>
      <w:tr w:rsidR="004E2812" w:rsidTr="004E2812">
        <w:trPr>
          <w:trHeight w:val="315"/>
        </w:trPr>
        <w:tc>
          <w:tcPr>
            <w:tcW w:w="32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 </w:t>
            </w:r>
          </w:p>
        </w:tc>
        <w:tc>
          <w:tcPr>
            <w:tcW w:w="4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2020</w:t>
            </w:r>
          </w:p>
        </w:tc>
        <w:tc>
          <w:tcPr>
            <w:tcW w:w="4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2021</w:t>
            </w:r>
          </w:p>
        </w:tc>
      </w:tr>
      <w:tr w:rsidR="004E2812" w:rsidTr="004E2812">
        <w:trPr>
          <w:trHeight w:val="31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Urbain</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Rural</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Ensemble</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Urbain</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Rural</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812" w:rsidRDefault="004E2812">
            <w:pPr>
              <w:spacing w:line="240" w:lineRule="auto"/>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Ensemble</w:t>
            </w:r>
          </w:p>
        </w:tc>
      </w:tr>
      <w:tr w:rsidR="004E2812" w:rsidRPr="00EB0B34" w:rsidTr="004E2812">
        <w:trPr>
          <w:trHeight w:val="315"/>
        </w:trPr>
        <w:tc>
          <w:tcPr>
            <w:tcW w:w="1138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b/>
                <w:bCs/>
                <w:color w:val="2F5496" w:themeColor="accent1" w:themeShade="BF"/>
                <w:sz w:val="18"/>
                <w:szCs w:val="18"/>
                <w:shd w:val="clear" w:color="auto" w:fill="FFFFFF"/>
                <w:lang w:eastAsia="en-US"/>
              </w:rPr>
            </w:pPr>
            <w:r>
              <w:rPr>
                <w:rFonts w:asciiTheme="majorBidi" w:eastAsia="Calibri" w:hAnsiTheme="majorBidi" w:cstheme="majorBidi"/>
                <w:b/>
                <w:bCs/>
                <w:color w:val="2F5496" w:themeColor="accent1" w:themeShade="BF"/>
                <w:sz w:val="18"/>
                <w:szCs w:val="18"/>
                <w:shd w:val="clear" w:color="auto" w:fill="FFFFFF"/>
                <w:lang w:eastAsia="en-US"/>
              </w:rPr>
              <w:t>Taux d'activité (des 15 ans et plus)</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 xml:space="preserve">Tanger-Tétouan-Al </w:t>
            </w:r>
            <w:r w:rsidR="0033732A">
              <w:rPr>
                <w:rFonts w:asciiTheme="majorBidi" w:eastAsia="Calibri" w:hAnsiTheme="majorBidi" w:cstheme="majorBidi"/>
                <w:color w:val="222222"/>
                <w:sz w:val="18"/>
                <w:szCs w:val="18"/>
                <w:shd w:val="clear" w:color="auto" w:fill="FFFFFF"/>
                <w:lang w:eastAsia="en-US"/>
              </w:rPr>
              <w:t>Hoceima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44,6</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50,1</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46,6</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45,4</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57,6</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49,8</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Oriental</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40,8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46,4</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42,4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40,7</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47,4</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42,5</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Fès-Meknès</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38,7</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49,3</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42,4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39,2</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48,1</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42,3</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Rabat-Salé-Kénitra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42,0</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50,5</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44,2</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42,2</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50,2</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44,2</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Béni Mellal-Khénifra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36,1</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51,9</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43,5</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37,7</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52,2</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44,4</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Casablanca-Settat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44,8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58,6</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47,8</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44,8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58,3</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47,7</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Marrakech-Safi</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41,8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50,7</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46,6</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41,9</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51,0</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46,8</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Drâa-Tafilalet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35,8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43,9</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40,9</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38,5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46,6</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43,6</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Souss-Massa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41,5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41,6</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41,5</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41,6</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40,8</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41,3</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Régions du Sud</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42,1</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51,9</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44,1</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42,8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51,5</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44,5</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Ensemble</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41,9</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50,0</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44,8</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42,3</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50,9</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45,3</w:t>
            </w:r>
          </w:p>
        </w:tc>
      </w:tr>
      <w:tr w:rsidR="004E2812" w:rsidRPr="00EB0B34" w:rsidTr="004E2812">
        <w:trPr>
          <w:trHeight w:val="315"/>
        </w:trPr>
        <w:tc>
          <w:tcPr>
            <w:tcW w:w="1138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b/>
                <w:bCs/>
                <w:color w:val="2F5496" w:themeColor="accent1" w:themeShade="BF"/>
                <w:sz w:val="18"/>
                <w:szCs w:val="18"/>
                <w:shd w:val="clear" w:color="auto" w:fill="FFFFFF"/>
                <w:lang w:eastAsia="en-US"/>
              </w:rPr>
            </w:pPr>
            <w:r>
              <w:rPr>
                <w:rFonts w:asciiTheme="majorBidi" w:eastAsia="Calibri" w:hAnsiTheme="majorBidi" w:cstheme="majorBidi"/>
                <w:b/>
                <w:bCs/>
                <w:color w:val="2F5496" w:themeColor="accent1" w:themeShade="BF"/>
                <w:sz w:val="18"/>
                <w:szCs w:val="18"/>
                <w:shd w:val="clear" w:color="auto" w:fill="FFFFFF"/>
                <w:lang w:eastAsia="en-US"/>
              </w:rPr>
              <w:t>Taux d'emploi (des 15 ans et plus)</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 xml:space="preserve">Tanger-Tétouan-Al </w:t>
            </w:r>
            <w:r w:rsidR="0033732A">
              <w:rPr>
                <w:rFonts w:asciiTheme="majorBidi" w:eastAsia="Calibri" w:hAnsiTheme="majorBidi" w:cstheme="majorBidi"/>
                <w:color w:val="222222"/>
                <w:sz w:val="18"/>
                <w:szCs w:val="18"/>
                <w:shd w:val="clear" w:color="auto" w:fill="FFFFFF"/>
                <w:lang w:eastAsia="en-US"/>
              </w:rPr>
              <w:t>Hoceima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38,3</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47,7</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41,7</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38,4</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55,7</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44,6</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Oriental</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31,5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39,0</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33,6</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32,2</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41,7</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34,8</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Fès-Meknès</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32,3</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46,1</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37,1</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31,8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45,9</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36,6</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Rabat-Salé-Kénitra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35,5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47,3</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38,6</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35,8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47,5</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38,8</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Béni Mellal-Khénifra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31,7</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49,9</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40,2</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32,3</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49,3</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bookmarkStart w:id="2" w:name="_GoBack"/>
            <w:r>
              <w:rPr>
                <w:rFonts w:asciiTheme="majorBidi" w:eastAsia="Calibri" w:hAnsiTheme="majorBidi" w:cstheme="majorBidi"/>
                <w:color w:val="222222"/>
                <w:sz w:val="18"/>
                <w:szCs w:val="18"/>
                <w:shd w:val="clear" w:color="auto" w:fill="FFFFFF"/>
                <w:lang w:eastAsia="en-US"/>
              </w:rPr>
              <w:t>40,2</w:t>
            </w:r>
            <w:bookmarkEnd w:id="2"/>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Casablanca-Settat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37,3</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56,0</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41,4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36,7</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55,7</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40,8</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Marrakech-Safi</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37,4</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48,5</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43,4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36,1</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49,4</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43,2</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Drâa-Tafilalet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31,2</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40,8</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37,3</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32,3</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43,6</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39,4</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Souss-Massa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35,5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38,5</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36,6</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35,6</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38,4</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36,6</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Régions du Sud</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32,5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46,7</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35,4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33,0</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46,1</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35,5</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Ensemble</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35,3</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47,0</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39,4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35,1</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48,4</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39,7</w:t>
            </w:r>
          </w:p>
        </w:tc>
      </w:tr>
      <w:tr w:rsidR="004E2812" w:rsidTr="004E2812">
        <w:trPr>
          <w:trHeight w:val="315"/>
        </w:trPr>
        <w:tc>
          <w:tcPr>
            <w:tcW w:w="1138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b/>
                <w:bCs/>
                <w:color w:val="2F5496" w:themeColor="accent1" w:themeShade="BF"/>
                <w:sz w:val="18"/>
                <w:szCs w:val="18"/>
                <w:shd w:val="clear" w:color="auto" w:fill="FFFFFF"/>
                <w:lang w:eastAsia="en-US"/>
              </w:rPr>
            </w:pPr>
            <w:r>
              <w:rPr>
                <w:rFonts w:asciiTheme="majorBidi" w:eastAsia="Calibri" w:hAnsiTheme="majorBidi" w:cstheme="majorBidi"/>
                <w:b/>
                <w:bCs/>
                <w:color w:val="2F5496" w:themeColor="accent1" w:themeShade="BF"/>
                <w:sz w:val="18"/>
                <w:szCs w:val="18"/>
                <w:shd w:val="clear" w:color="auto" w:fill="FFFFFF"/>
                <w:lang w:eastAsia="en-US"/>
              </w:rPr>
              <w:t>Taux de chômage</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 xml:space="preserve">Tanger-Tétouan-Al </w:t>
            </w:r>
            <w:r w:rsidR="0033732A">
              <w:rPr>
                <w:rFonts w:asciiTheme="majorBidi" w:eastAsia="Calibri" w:hAnsiTheme="majorBidi" w:cstheme="majorBidi"/>
                <w:color w:val="222222"/>
                <w:sz w:val="18"/>
                <w:szCs w:val="18"/>
                <w:shd w:val="clear" w:color="auto" w:fill="FFFFFF"/>
                <w:lang w:eastAsia="en-US"/>
              </w:rPr>
              <w:t>Hoceima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14,1</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4,7</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10,4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15,5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3,2</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10,4</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Oriental</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22,8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15,9</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20,7</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20,8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11,9</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18,1</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Fès-Meknès</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16,6</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6,5</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12,5</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18,9</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4,7</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13,4</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Rabat-Salé-Kénitra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15,5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6,3</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12,7</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15,1</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5,3</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12,2</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Béni Mellal-Khénifra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12,0</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3,8</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7,4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14,4</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5,5</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9,6</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Casablanca-Settat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16,6</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4,5</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13,4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18,2</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4,3</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14,6</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Marrakech-Safi</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10,5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4,3</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6,9</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13,9</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3,2</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7,6</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Drâa-Tafilalet</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12,9</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7,0</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8,9</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16,0</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6,4</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9,6</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Souss-Massa</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14,4</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7,5</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11,8</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14,4</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5,9</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11,3</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Régions du Sud</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22,8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10,0</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19,8</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22,9</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10,5</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color w:val="222222"/>
                <w:sz w:val="18"/>
                <w:szCs w:val="18"/>
                <w:shd w:val="clear" w:color="auto" w:fill="FFFFFF"/>
                <w:lang w:eastAsia="en-US"/>
              </w:rPr>
            </w:pPr>
            <w:r>
              <w:rPr>
                <w:rFonts w:asciiTheme="majorBidi" w:eastAsia="Calibri" w:hAnsiTheme="majorBidi" w:cstheme="majorBidi"/>
                <w:color w:val="222222"/>
                <w:sz w:val="18"/>
                <w:szCs w:val="18"/>
                <w:shd w:val="clear" w:color="auto" w:fill="FFFFFF"/>
                <w:lang w:eastAsia="en-US"/>
              </w:rPr>
              <w:t>20,1</w:t>
            </w:r>
          </w:p>
        </w:tc>
      </w:tr>
      <w:tr w:rsidR="004E2812" w:rsidTr="004E2812">
        <w:trPr>
          <w:trHeight w:val="315"/>
        </w:trPr>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pPr>
              <w:spacing w:line="240" w:lineRule="auto"/>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Ensemble</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15,8</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5,9</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11,9</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16,9</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5,0</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E2812" w:rsidRDefault="004E2812" w:rsidP="0033732A">
            <w:pPr>
              <w:spacing w:line="240" w:lineRule="auto"/>
              <w:jc w:val="center"/>
              <w:rPr>
                <w:rFonts w:asciiTheme="majorBidi" w:eastAsia="Calibri" w:hAnsiTheme="majorBidi" w:cstheme="majorBidi"/>
                <w:b/>
                <w:bCs/>
                <w:color w:val="222222"/>
                <w:sz w:val="18"/>
                <w:szCs w:val="18"/>
                <w:shd w:val="clear" w:color="auto" w:fill="FFFFFF"/>
                <w:lang w:eastAsia="en-US"/>
              </w:rPr>
            </w:pPr>
            <w:r>
              <w:rPr>
                <w:rFonts w:asciiTheme="majorBidi" w:eastAsia="Calibri" w:hAnsiTheme="majorBidi" w:cstheme="majorBidi"/>
                <w:b/>
                <w:bCs/>
                <w:color w:val="222222"/>
                <w:sz w:val="18"/>
                <w:szCs w:val="18"/>
                <w:shd w:val="clear" w:color="auto" w:fill="FFFFFF"/>
                <w:lang w:eastAsia="en-US"/>
              </w:rPr>
              <w:t>12,3</w:t>
            </w:r>
          </w:p>
        </w:tc>
      </w:tr>
    </w:tbl>
    <w:p w:rsidR="004E2812" w:rsidRDefault="004E2812" w:rsidP="004E2812">
      <w:pPr>
        <w:rPr>
          <w:rFonts w:ascii="Book Antiqua" w:eastAsia="Book Antiqua" w:hAnsi="Book Antiqua" w:cs="Book Antiqua"/>
          <w:b/>
          <w:bCs/>
          <w:i/>
          <w:iCs/>
          <w:color w:val="0070C0"/>
          <w:sz w:val="26"/>
          <w:szCs w:val="26"/>
        </w:rPr>
      </w:pPr>
      <w:r>
        <w:rPr>
          <w:rFonts w:ascii="Times New Roman" w:eastAsia="Calibri" w:hAnsi="Times New Roman" w:cs="Times New Roman"/>
          <w:color w:val="222222"/>
          <w:sz w:val="20"/>
          <w:szCs w:val="20"/>
          <w:shd w:val="clear" w:color="auto" w:fill="FFFFFF"/>
          <w:lang w:eastAsia="en-US"/>
        </w:rPr>
        <w:t>Source : Enquête nationale sur l'emploi, Haut-Commissariat au Plan</w:t>
      </w:r>
    </w:p>
    <w:p w:rsidR="004E2812" w:rsidRDefault="004E2812" w:rsidP="004E2812">
      <w:pPr>
        <w:rPr>
          <w:rFonts w:asciiTheme="minorHAnsi" w:eastAsiaTheme="minorEastAsia" w:hAnsiTheme="minorHAnsi" w:cstheme="minorBidi"/>
        </w:rPr>
      </w:pPr>
    </w:p>
    <w:p w:rsidR="00134746" w:rsidRPr="00CE7366" w:rsidRDefault="00134746" w:rsidP="004E2812">
      <w:pPr>
        <w:spacing w:before="240" w:after="240" w:line="312" w:lineRule="auto"/>
        <w:jc w:val="both"/>
        <w:rPr>
          <w:rFonts w:ascii="Book Antiqua" w:eastAsia="Book Antiqua" w:hAnsi="Book Antiqua" w:cs="Book Antiqua"/>
          <w:b/>
          <w:bCs/>
          <w:color w:val="2E74B5" w:themeColor="accent5" w:themeShade="BF"/>
          <w:sz w:val="26"/>
          <w:szCs w:val="26"/>
        </w:rPr>
      </w:pPr>
    </w:p>
    <w:sectPr w:rsidR="00134746" w:rsidRPr="00CE7366" w:rsidSect="00F11B57">
      <w:headerReference w:type="default" r:id="rId19"/>
      <w:footerReference w:type="default" r:id="rId20"/>
      <w:headerReference w:type="first" r:id="rId21"/>
      <w:pgSz w:w="11906" w:h="16838"/>
      <w:pgMar w:top="993" w:right="1417" w:bottom="1417" w:left="1417"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6D6" w:rsidRDefault="000806D6" w:rsidP="000D15FF">
      <w:pPr>
        <w:spacing w:line="240" w:lineRule="auto"/>
      </w:pPr>
      <w:r>
        <w:separator/>
      </w:r>
    </w:p>
  </w:endnote>
  <w:endnote w:type="continuationSeparator" w:id="0">
    <w:p w:rsidR="000806D6" w:rsidRDefault="000806D6" w:rsidP="000D1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rowallia New">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721692"/>
      <w:docPartObj>
        <w:docPartGallery w:val="Page Numbers (Bottom of Page)"/>
        <w:docPartUnique/>
      </w:docPartObj>
    </w:sdtPr>
    <w:sdtEndPr/>
    <w:sdtContent>
      <w:p w:rsidR="008A7F45" w:rsidRDefault="00B46FC5">
        <w:pPr>
          <w:pStyle w:val="Pieddepage"/>
          <w:jc w:val="center"/>
        </w:pPr>
        <w:r>
          <w:fldChar w:fldCharType="begin"/>
        </w:r>
        <w:r w:rsidR="008A7F45">
          <w:instrText>PAGE   \* MERGEFORMAT</w:instrText>
        </w:r>
        <w:r>
          <w:fldChar w:fldCharType="separate"/>
        </w:r>
        <w:r w:rsidR="00072B1F">
          <w:rPr>
            <w:noProof/>
          </w:rPr>
          <w:t>10</w:t>
        </w:r>
        <w:r>
          <w:fldChar w:fldCharType="end"/>
        </w:r>
      </w:p>
    </w:sdtContent>
  </w:sdt>
  <w:p w:rsidR="008A7F45" w:rsidRDefault="008A7F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6D6" w:rsidRDefault="000806D6" w:rsidP="000D15FF">
      <w:pPr>
        <w:spacing w:line="240" w:lineRule="auto"/>
      </w:pPr>
      <w:r>
        <w:separator/>
      </w:r>
    </w:p>
  </w:footnote>
  <w:footnote w:type="continuationSeparator" w:id="0">
    <w:p w:rsidR="000806D6" w:rsidRDefault="000806D6" w:rsidP="000D15FF">
      <w:pPr>
        <w:spacing w:line="240" w:lineRule="auto"/>
      </w:pPr>
      <w:r>
        <w:continuationSeparator/>
      </w:r>
    </w:p>
  </w:footnote>
  <w:footnote w:id="1">
    <w:p w:rsidR="00F955FD" w:rsidRPr="006F619D" w:rsidRDefault="00F955FD" w:rsidP="00F955FD">
      <w:pPr>
        <w:pStyle w:val="Notedebasdepage"/>
        <w:rPr>
          <w:rFonts w:ascii="Book Antiqua" w:eastAsia="Book Antiqua" w:hAnsi="Book Antiqua" w:cs="Book Antiqua"/>
          <w:sz w:val="16"/>
          <w:szCs w:val="16"/>
        </w:rPr>
      </w:pPr>
      <w:r w:rsidRPr="00F955FD">
        <w:rPr>
          <w:rFonts w:ascii="Book Antiqua" w:eastAsia="Book Antiqua" w:hAnsi="Book Antiqua" w:cs="Book Antiqua"/>
          <w:sz w:val="18"/>
          <w:szCs w:val="18"/>
          <w:vertAlign w:val="superscript"/>
        </w:rPr>
        <w:footnoteRef/>
      </w:r>
      <w:r w:rsidRPr="00F955FD">
        <w:rPr>
          <w:rFonts w:ascii="Book Antiqua" w:eastAsia="Book Antiqua" w:hAnsi="Book Antiqua" w:cs="Book Antiqua"/>
          <w:sz w:val="18"/>
          <w:szCs w:val="18"/>
        </w:rPr>
        <w:t xml:space="preserve"> </w:t>
      </w:r>
      <w:r w:rsidRPr="006F619D">
        <w:rPr>
          <w:rFonts w:ascii="Book Antiqua" w:eastAsia="Book Antiqua" w:hAnsi="Book Antiqua" w:cs="Book Antiqua"/>
          <w:sz w:val="16"/>
          <w:szCs w:val="16"/>
        </w:rPr>
        <w:t>Selon l’auto-détermination des répondants.</w:t>
      </w:r>
    </w:p>
  </w:footnote>
  <w:footnote w:id="2">
    <w:p w:rsidR="004E2812" w:rsidRPr="00D149CE" w:rsidRDefault="004E2812" w:rsidP="004E2812">
      <w:pPr>
        <w:pStyle w:val="Notedebasdepage"/>
        <w:rPr>
          <w:rFonts w:ascii="Book Antiqua" w:eastAsia="Book Antiqua" w:hAnsi="Book Antiqua" w:cs="Book Antiqua"/>
          <w:sz w:val="16"/>
          <w:szCs w:val="16"/>
        </w:rPr>
      </w:pPr>
      <w:r w:rsidRPr="00D149CE">
        <w:rPr>
          <w:rFonts w:ascii="Book Antiqua" w:eastAsia="Book Antiqua" w:hAnsi="Book Antiqua" w:cs="Book Antiqua"/>
          <w:sz w:val="16"/>
          <w:szCs w:val="16"/>
        </w:rPr>
        <w:footnoteRef/>
      </w:r>
      <w:r w:rsidR="00D149CE" w:rsidRPr="00D149CE">
        <w:rPr>
          <w:rFonts w:ascii="Book Antiqua" w:eastAsia="Book Antiqua" w:hAnsi="Book Antiqua" w:cs="Book Antiqua"/>
          <w:sz w:val="16"/>
          <w:szCs w:val="16"/>
        </w:rPr>
        <w:t xml:space="preserve"> </w:t>
      </w:r>
      <w:r w:rsidRPr="00D149CE">
        <w:rPr>
          <w:rFonts w:ascii="Book Antiqua" w:eastAsia="Book Antiqua" w:hAnsi="Book Antiqua" w:cs="Book Antiqua"/>
          <w:sz w:val="16"/>
          <w:szCs w:val="16"/>
        </w:rPr>
        <w:t xml:space="preserve">L’écart entre </w:t>
      </w:r>
      <w:r w:rsidR="00AD1865" w:rsidRPr="00D149CE">
        <w:rPr>
          <w:rFonts w:ascii="Book Antiqua" w:eastAsia="Book Antiqua" w:hAnsi="Book Antiqua" w:cs="Book Antiqua"/>
          <w:sz w:val="16"/>
          <w:szCs w:val="16"/>
        </w:rPr>
        <w:t>la variation de l’</w:t>
      </w:r>
      <w:r w:rsidRPr="00D149CE">
        <w:rPr>
          <w:rFonts w:ascii="Book Antiqua" w:eastAsia="Book Antiqua" w:hAnsi="Book Antiqua" w:cs="Book Antiqua"/>
          <w:sz w:val="16"/>
          <w:szCs w:val="16"/>
        </w:rPr>
        <w:t>emploi au niveau global et par secteurs concerne les activités mal ou non désignées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F45" w:rsidRDefault="008A7F45" w:rsidP="00F11B57">
    <w:pPr>
      <w:pStyle w:val="En-tt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B57" w:rsidRDefault="00F11B57" w:rsidP="00F11B57">
    <w:pPr>
      <w:pStyle w:val="En-tte"/>
      <w:jc w:val="center"/>
    </w:pPr>
    <w:r w:rsidRPr="00F11B57">
      <w:rPr>
        <w:noProof/>
      </w:rPr>
      <w:drawing>
        <wp:inline distT="0" distB="0" distL="0" distR="0">
          <wp:extent cx="1358900" cy="1053546"/>
          <wp:effectExtent l="1905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753" cy="10542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67B4F"/>
    <w:multiLevelType w:val="hybridMultilevel"/>
    <w:tmpl w:val="0B02A664"/>
    <w:lvl w:ilvl="0" w:tplc="1A1C14B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31C642A6"/>
    <w:multiLevelType w:val="multilevel"/>
    <w:tmpl w:val="CDAE448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5F8383A"/>
    <w:multiLevelType w:val="hybridMultilevel"/>
    <w:tmpl w:val="CE065B3C"/>
    <w:lvl w:ilvl="0" w:tplc="5B52F470">
      <w:start w:val="1"/>
      <w:numFmt w:val="upperRoman"/>
      <w:lvlText w:val="%1."/>
      <w:lvlJc w:val="right"/>
      <w:pPr>
        <w:ind w:left="644" w:hanging="360"/>
      </w:pPr>
      <w:rPr>
        <w:color w:val="4472C4" w:themeColor="accent1"/>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425C17CE"/>
    <w:multiLevelType w:val="hybridMultilevel"/>
    <w:tmpl w:val="E9E23E7C"/>
    <w:lvl w:ilvl="0" w:tplc="5B52F470">
      <w:start w:val="1"/>
      <w:numFmt w:val="upperRoman"/>
      <w:lvlText w:val="%1."/>
      <w:lvlJc w:val="right"/>
      <w:pPr>
        <w:ind w:left="720" w:hanging="360"/>
      </w:pPr>
      <w:rPr>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C71883"/>
    <w:multiLevelType w:val="hybridMultilevel"/>
    <w:tmpl w:val="3AF2B0D4"/>
    <w:lvl w:ilvl="0" w:tplc="FFFFFFFF">
      <w:start w:val="1"/>
      <w:numFmt w:val="upperRoman"/>
      <w:lvlText w:val="%1."/>
      <w:lvlJc w:val="right"/>
      <w:pPr>
        <w:ind w:left="72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77DD2408"/>
    <w:multiLevelType w:val="hybridMultilevel"/>
    <w:tmpl w:val="3AF2B0D4"/>
    <w:lvl w:ilvl="0" w:tplc="FFFFFFFF">
      <w:start w:val="1"/>
      <w:numFmt w:val="upperRoman"/>
      <w:lvlText w:val="%1."/>
      <w:lvlJc w:val="right"/>
      <w:pPr>
        <w:ind w:left="72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2"/>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24"/>
    <w:rsid w:val="000445F0"/>
    <w:rsid w:val="00044754"/>
    <w:rsid w:val="00060A8D"/>
    <w:rsid w:val="00066D50"/>
    <w:rsid w:val="00072B1F"/>
    <w:rsid w:val="000806D6"/>
    <w:rsid w:val="000828B8"/>
    <w:rsid w:val="0008730C"/>
    <w:rsid w:val="000A0E50"/>
    <w:rsid w:val="000C22AC"/>
    <w:rsid w:val="000D15FF"/>
    <w:rsid w:val="000F4999"/>
    <w:rsid w:val="001119A1"/>
    <w:rsid w:val="00116999"/>
    <w:rsid w:val="00134746"/>
    <w:rsid w:val="00142207"/>
    <w:rsid w:val="00155A28"/>
    <w:rsid w:val="00157DEC"/>
    <w:rsid w:val="001722C9"/>
    <w:rsid w:val="00182BF6"/>
    <w:rsid w:val="00193F45"/>
    <w:rsid w:val="001A3DDE"/>
    <w:rsid w:val="001A5A8D"/>
    <w:rsid w:val="001D0613"/>
    <w:rsid w:val="002011F7"/>
    <w:rsid w:val="00217908"/>
    <w:rsid w:val="0023300C"/>
    <w:rsid w:val="00273E3A"/>
    <w:rsid w:val="00283D70"/>
    <w:rsid w:val="002A7001"/>
    <w:rsid w:val="002C3822"/>
    <w:rsid w:val="002F4D68"/>
    <w:rsid w:val="003049D0"/>
    <w:rsid w:val="00312B1C"/>
    <w:rsid w:val="0033732A"/>
    <w:rsid w:val="00354FC7"/>
    <w:rsid w:val="003A173D"/>
    <w:rsid w:val="003A75D9"/>
    <w:rsid w:val="003D16EA"/>
    <w:rsid w:val="003E2305"/>
    <w:rsid w:val="003F5612"/>
    <w:rsid w:val="00465CCE"/>
    <w:rsid w:val="004C0C16"/>
    <w:rsid w:val="004C6552"/>
    <w:rsid w:val="004E2812"/>
    <w:rsid w:val="00500151"/>
    <w:rsid w:val="00537A06"/>
    <w:rsid w:val="00591954"/>
    <w:rsid w:val="00594F9D"/>
    <w:rsid w:val="005A73B4"/>
    <w:rsid w:val="005B2A65"/>
    <w:rsid w:val="005F4E2E"/>
    <w:rsid w:val="005F50C4"/>
    <w:rsid w:val="005F59B5"/>
    <w:rsid w:val="00651D1E"/>
    <w:rsid w:val="006A1AEF"/>
    <w:rsid w:val="006D22D2"/>
    <w:rsid w:val="006F619D"/>
    <w:rsid w:val="00756185"/>
    <w:rsid w:val="00757469"/>
    <w:rsid w:val="007719CB"/>
    <w:rsid w:val="007745DE"/>
    <w:rsid w:val="00781313"/>
    <w:rsid w:val="007D2FFA"/>
    <w:rsid w:val="007D7E59"/>
    <w:rsid w:val="007F23F4"/>
    <w:rsid w:val="008026AA"/>
    <w:rsid w:val="008203BF"/>
    <w:rsid w:val="00825B8A"/>
    <w:rsid w:val="00833D9B"/>
    <w:rsid w:val="008349FD"/>
    <w:rsid w:val="00840D94"/>
    <w:rsid w:val="008518BA"/>
    <w:rsid w:val="008A7F45"/>
    <w:rsid w:val="0090530A"/>
    <w:rsid w:val="009107AD"/>
    <w:rsid w:val="009232A8"/>
    <w:rsid w:val="00947423"/>
    <w:rsid w:val="00960906"/>
    <w:rsid w:val="009D1DC1"/>
    <w:rsid w:val="009D4D4F"/>
    <w:rsid w:val="00A90492"/>
    <w:rsid w:val="00AC2D21"/>
    <w:rsid w:val="00AD1865"/>
    <w:rsid w:val="00AD7C2F"/>
    <w:rsid w:val="00B065B9"/>
    <w:rsid w:val="00B2239E"/>
    <w:rsid w:val="00B46FC5"/>
    <w:rsid w:val="00B8236C"/>
    <w:rsid w:val="00B82867"/>
    <w:rsid w:val="00BA2C39"/>
    <w:rsid w:val="00BB1A38"/>
    <w:rsid w:val="00BD509F"/>
    <w:rsid w:val="00BD71D9"/>
    <w:rsid w:val="00BF456F"/>
    <w:rsid w:val="00BF58E1"/>
    <w:rsid w:val="00C24A63"/>
    <w:rsid w:val="00C95867"/>
    <w:rsid w:val="00CE37DF"/>
    <w:rsid w:val="00CE7366"/>
    <w:rsid w:val="00CF7E2A"/>
    <w:rsid w:val="00D075E4"/>
    <w:rsid w:val="00D149CE"/>
    <w:rsid w:val="00D71BCF"/>
    <w:rsid w:val="00D73191"/>
    <w:rsid w:val="00DA1513"/>
    <w:rsid w:val="00DB1A94"/>
    <w:rsid w:val="00DE167A"/>
    <w:rsid w:val="00E06FE5"/>
    <w:rsid w:val="00E45A13"/>
    <w:rsid w:val="00E945AB"/>
    <w:rsid w:val="00E977BD"/>
    <w:rsid w:val="00EB0B34"/>
    <w:rsid w:val="00ED42FD"/>
    <w:rsid w:val="00F00485"/>
    <w:rsid w:val="00F11B57"/>
    <w:rsid w:val="00F47144"/>
    <w:rsid w:val="00F51F24"/>
    <w:rsid w:val="00F65F53"/>
    <w:rsid w:val="00F955FD"/>
    <w:rsid w:val="00FF3E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24"/>
    <w:pPr>
      <w:spacing w:after="0" w:line="276" w:lineRule="auto"/>
    </w:pPr>
    <w:rPr>
      <w:rFonts w:ascii="Arial" w:eastAsia="Arial" w:hAnsi="Arial" w:cs="Arial"/>
      <w:lang w:val="fr-FR" w:eastAsia="fr-FR"/>
    </w:rPr>
  </w:style>
  <w:style w:type="paragraph" w:styleId="Titre1">
    <w:name w:val="heading 1"/>
    <w:basedOn w:val="Normal"/>
    <w:next w:val="Normal"/>
    <w:link w:val="Titre1Car"/>
    <w:uiPriority w:val="99"/>
    <w:qFormat/>
    <w:rsid w:val="004E2812"/>
    <w:pPr>
      <w:keepNext/>
      <w:keepLines/>
      <w:spacing w:before="400" w:after="120"/>
      <w:outlineLvl w:val="0"/>
    </w:pPr>
    <w:rPr>
      <w:sz w:val="40"/>
      <w:szCs w:val="40"/>
    </w:rPr>
  </w:style>
  <w:style w:type="paragraph" w:styleId="Titre2">
    <w:name w:val="heading 2"/>
    <w:basedOn w:val="Normal"/>
    <w:next w:val="Normal"/>
    <w:link w:val="Titre2Car"/>
    <w:uiPriority w:val="9"/>
    <w:semiHidden/>
    <w:unhideWhenUsed/>
    <w:qFormat/>
    <w:rsid w:val="009053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F7E2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0530A"/>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0530A"/>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D15FF"/>
    <w:pPr>
      <w:spacing w:line="240" w:lineRule="auto"/>
    </w:pPr>
    <w:rPr>
      <w:sz w:val="20"/>
      <w:szCs w:val="20"/>
    </w:rPr>
  </w:style>
  <w:style w:type="character" w:customStyle="1" w:styleId="NotedebasdepageCar">
    <w:name w:val="Note de bas de page Car"/>
    <w:basedOn w:val="Policepardfaut"/>
    <w:link w:val="Notedebasdepage"/>
    <w:uiPriority w:val="99"/>
    <w:semiHidden/>
    <w:rsid w:val="000D15FF"/>
    <w:rPr>
      <w:rFonts w:ascii="Arial" w:eastAsia="Arial" w:hAnsi="Arial" w:cs="Arial"/>
      <w:sz w:val="20"/>
      <w:szCs w:val="20"/>
      <w:lang w:val="fr-FR" w:eastAsia="fr-FR"/>
    </w:rPr>
  </w:style>
  <w:style w:type="character" w:styleId="Appelnotedebasdep">
    <w:name w:val="footnote reference"/>
    <w:basedOn w:val="Policepardfaut"/>
    <w:uiPriority w:val="99"/>
    <w:semiHidden/>
    <w:unhideWhenUsed/>
    <w:rsid w:val="000D15FF"/>
    <w:rPr>
      <w:vertAlign w:val="superscript"/>
    </w:rPr>
  </w:style>
  <w:style w:type="paragraph" w:styleId="Paragraphedeliste">
    <w:name w:val="List Paragraph"/>
    <w:basedOn w:val="Normal"/>
    <w:uiPriority w:val="34"/>
    <w:qFormat/>
    <w:rsid w:val="004E2812"/>
    <w:pPr>
      <w:ind w:left="720"/>
      <w:contextualSpacing/>
    </w:pPr>
  </w:style>
  <w:style w:type="paragraph" w:styleId="En-tte">
    <w:name w:val="header"/>
    <w:basedOn w:val="Normal"/>
    <w:link w:val="En-tteCar"/>
    <w:uiPriority w:val="99"/>
    <w:unhideWhenUsed/>
    <w:rsid w:val="004E2812"/>
    <w:pPr>
      <w:tabs>
        <w:tab w:val="center" w:pos="4536"/>
        <w:tab w:val="right" w:pos="9072"/>
      </w:tabs>
      <w:spacing w:line="240" w:lineRule="auto"/>
    </w:pPr>
  </w:style>
  <w:style w:type="character" w:customStyle="1" w:styleId="En-tteCar">
    <w:name w:val="En-tête Car"/>
    <w:basedOn w:val="Policepardfaut"/>
    <w:link w:val="En-tte"/>
    <w:uiPriority w:val="99"/>
    <w:rsid w:val="004E2812"/>
    <w:rPr>
      <w:rFonts w:ascii="Arial" w:eastAsia="Arial" w:hAnsi="Arial" w:cs="Arial"/>
      <w:lang w:val="fr-FR" w:eastAsia="fr-FR"/>
    </w:rPr>
  </w:style>
  <w:style w:type="paragraph" w:styleId="Pieddepage">
    <w:name w:val="footer"/>
    <w:basedOn w:val="Normal"/>
    <w:link w:val="PieddepageCar"/>
    <w:uiPriority w:val="99"/>
    <w:unhideWhenUsed/>
    <w:rsid w:val="004E2812"/>
    <w:pPr>
      <w:tabs>
        <w:tab w:val="center" w:pos="4536"/>
        <w:tab w:val="right" w:pos="9072"/>
      </w:tabs>
      <w:spacing w:line="240" w:lineRule="auto"/>
    </w:pPr>
  </w:style>
  <w:style w:type="character" w:customStyle="1" w:styleId="PieddepageCar">
    <w:name w:val="Pied de page Car"/>
    <w:basedOn w:val="Policepardfaut"/>
    <w:link w:val="Pieddepage"/>
    <w:uiPriority w:val="99"/>
    <w:rsid w:val="004E2812"/>
    <w:rPr>
      <w:rFonts w:ascii="Arial" w:eastAsia="Arial" w:hAnsi="Arial" w:cs="Arial"/>
      <w:lang w:val="fr-FR" w:eastAsia="fr-FR"/>
    </w:rPr>
  </w:style>
  <w:style w:type="character" w:customStyle="1" w:styleId="Titre1Car">
    <w:name w:val="Titre 1 Car"/>
    <w:basedOn w:val="Policepardfaut"/>
    <w:link w:val="Titre1"/>
    <w:uiPriority w:val="99"/>
    <w:rsid w:val="004E2812"/>
    <w:rPr>
      <w:rFonts w:ascii="Arial" w:eastAsia="Arial" w:hAnsi="Arial" w:cs="Arial"/>
      <w:sz w:val="40"/>
      <w:szCs w:val="40"/>
      <w:lang w:val="fr-FR" w:eastAsia="fr-FR"/>
    </w:rPr>
  </w:style>
  <w:style w:type="table" w:styleId="Grilledutableau">
    <w:name w:val="Table Grid"/>
    <w:basedOn w:val="TableauNormal"/>
    <w:uiPriority w:val="59"/>
    <w:rsid w:val="004E2812"/>
    <w:pPr>
      <w:spacing w:after="0" w:line="240" w:lineRule="auto"/>
    </w:pPr>
    <w:rPr>
      <w:rFonts w:eastAsiaTheme="minorEastAsia"/>
      <w:lang w:val="fr-FR"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semiHidden/>
    <w:unhideWhenUsed/>
    <w:rsid w:val="004E2812"/>
    <w:rPr>
      <w:color w:val="0000FF"/>
      <w:u w:val="single"/>
    </w:rPr>
  </w:style>
  <w:style w:type="character" w:customStyle="1" w:styleId="Titre3Car">
    <w:name w:val="Titre 3 Car"/>
    <w:basedOn w:val="Policepardfaut"/>
    <w:link w:val="Titre3"/>
    <w:uiPriority w:val="9"/>
    <w:rsid w:val="00CF7E2A"/>
    <w:rPr>
      <w:rFonts w:asciiTheme="majorHAnsi" w:eastAsiaTheme="majorEastAsia" w:hAnsiTheme="majorHAnsi" w:cstheme="majorBidi"/>
      <w:color w:val="1F3763" w:themeColor="accent1" w:themeShade="7F"/>
      <w:sz w:val="24"/>
      <w:szCs w:val="24"/>
      <w:lang w:val="fr-FR" w:eastAsia="fr-FR"/>
    </w:rPr>
  </w:style>
  <w:style w:type="paragraph" w:customStyle="1" w:styleId="MMTopic1">
    <w:name w:val="MM Topic 1"/>
    <w:basedOn w:val="Titre1"/>
    <w:rsid w:val="0090530A"/>
    <w:pPr>
      <w:numPr>
        <w:numId w:val="6"/>
      </w:numPr>
      <w:tabs>
        <w:tab w:val="num" w:pos="360"/>
      </w:tabs>
      <w:spacing w:before="240" w:after="0" w:line="254" w:lineRule="auto"/>
    </w:pPr>
    <w:rPr>
      <w:rFonts w:asciiTheme="majorHAnsi" w:eastAsiaTheme="majorEastAsia" w:hAnsiTheme="majorHAnsi" w:cstheme="majorBidi"/>
      <w:color w:val="2F5496" w:themeColor="accent1" w:themeShade="BF"/>
      <w:sz w:val="32"/>
      <w:szCs w:val="32"/>
      <w:lang w:eastAsia="en-US"/>
    </w:rPr>
  </w:style>
  <w:style w:type="character" w:customStyle="1" w:styleId="MMTopic2Car">
    <w:name w:val="MM Topic 2 Car"/>
    <w:basedOn w:val="Policepardfaut"/>
    <w:link w:val="MMTopic2"/>
    <w:locked/>
    <w:rsid w:val="0090530A"/>
    <w:rPr>
      <w:rFonts w:asciiTheme="majorHAnsi" w:eastAsiaTheme="majorEastAsia" w:hAnsiTheme="majorHAnsi" w:cs="Calibri Light"/>
      <w:color w:val="2F5496" w:themeColor="accent1" w:themeShade="BF"/>
      <w:sz w:val="26"/>
      <w:szCs w:val="26"/>
    </w:rPr>
  </w:style>
  <w:style w:type="paragraph" w:customStyle="1" w:styleId="MMTopic2">
    <w:name w:val="MM Topic 2"/>
    <w:basedOn w:val="Titre2"/>
    <w:link w:val="MMTopic2Car"/>
    <w:rsid w:val="0090530A"/>
    <w:pPr>
      <w:numPr>
        <w:ilvl w:val="1"/>
        <w:numId w:val="6"/>
      </w:numPr>
      <w:spacing w:line="254" w:lineRule="auto"/>
    </w:pPr>
    <w:rPr>
      <w:rFonts w:cs="Calibri Light"/>
      <w:lang w:val="en-US" w:eastAsia="en-US"/>
    </w:rPr>
  </w:style>
  <w:style w:type="paragraph" w:customStyle="1" w:styleId="MMTopic3">
    <w:name w:val="MM Topic 3"/>
    <w:basedOn w:val="Titre3"/>
    <w:rsid w:val="0090530A"/>
    <w:pPr>
      <w:numPr>
        <w:ilvl w:val="2"/>
        <w:numId w:val="6"/>
      </w:numPr>
      <w:tabs>
        <w:tab w:val="num" w:pos="360"/>
      </w:tabs>
      <w:spacing w:line="254" w:lineRule="auto"/>
      <w:ind w:left="360"/>
    </w:pPr>
    <w:rPr>
      <w:lang w:eastAsia="en-US"/>
    </w:rPr>
  </w:style>
  <w:style w:type="paragraph" w:customStyle="1" w:styleId="MMTopic4">
    <w:name w:val="MM Topic 4"/>
    <w:basedOn w:val="Titre4"/>
    <w:rsid w:val="0090530A"/>
    <w:pPr>
      <w:numPr>
        <w:ilvl w:val="3"/>
        <w:numId w:val="6"/>
      </w:numPr>
      <w:tabs>
        <w:tab w:val="num" w:pos="360"/>
      </w:tabs>
      <w:spacing w:line="254" w:lineRule="auto"/>
      <w:ind w:left="540" w:hanging="360"/>
    </w:pPr>
    <w:rPr>
      <w:sz w:val="28"/>
      <w:szCs w:val="28"/>
      <w:lang w:eastAsia="en-US"/>
    </w:rPr>
  </w:style>
  <w:style w:type="paragraph" w:customStyle="1" w:styleId="MMTopic5">
    <w:name w:val="MM Topic 5"/>
    <w:basedOn w:val="Titre5"/>
    <w:rsid w:val="0090530A"/>
    <w:pPr>
      <w:numPr>
        <w:ilvl w:val="4"/>
        <w:numId w:val="6"/>
      </w:numPr>
      <w:tabs>
        <w:tab w:val="num" w:pos="360"/>
      </w:tabs>
      <w:spacing w:line="254" w:lineRule="auto"/>
      <w:ind w:left="720" w:hanging="360"/>
    </w:pPr>
    <w:rPr>
      <w:sz w:val="28"/>
      <w:szCs w:val="28"/>
      <w:lang w:eastAsia="en-US"/>
    </w:rPr>
  </w:style>
  <w:style w:type="character" w:customStyle="1" w:styleId="Titre2Car">
    <w:name w:val="Titre 2 Car"/>
    <w:basedOn w:val="Policepardfaut"/>
    <w:link w:val="Titre2"/>
    <w:uiPriority w:val="9"/>
    <w:semiHidden/>
    <w:rsid w:val="0090530A"/>
    <w:rPr>
      <w:rFonts w:asciiTheme="majorHAnsi" w:eastAsiaTheme="majorEastAsia" w:hAnsiTheme="majorHAnsi" w:cstheme="majorBidi"/>
      <w:color w:val="2F5496" w:themeColor="accent1" w:themeShade="BF"/>
      <w:sz w:val="26"/>
      <w:szCs w:val="26"/>
      <w:lang w:val="fr-FR" w:eastAsia="fr-FR"/>
    </w:rPr>
  </w:style>
  <w:style w:type="character" w:customStyle="1" w:styleId="Titre4Car">
    <w:name w:val="Titre 4 Car"/>
    <w:basedOn w:val="Policepardfaut"/>
    <w:link w:val="Titre4"/>
    <w:uiPriority w:val="9"/>
    <w:semiHidden/>
    <w:rsid w:val="0090530A"/>
    <w:rPr>
      <w:rFonts w:asciiTheme="majorHAnsi" w:eastAsiaTheme="majorEastAsia" w:hAnsiTheme="majorHAnsi" w:cstheme="majorBidi"/>
      <w:i/>
      <w:iCs/>
      <w:color w:val="2F5496" w:themeColor="accent1" w:themeShade="BF"/>
      <w:lang w:val="fr-FR" w:eastAsia="fr-FR"/>
    </w:rPr>
  </w:style>
  <w:style w:type="character" w:customStyle="1" w:styleId="Titre5Car">
    <w:name w:val="Titre 5 Car"/>
    <w:basedOn w:val="Policepardfaut"/>
    <w:link w:val="Titre5"/>
    <w:uiPriority w:val="9"/>
    <w:semiHidden/>
    <w:rsid w:val="0090530A"/>
    <w:rPr>
      <w:rFonts w:asciiTheme="majorHAnsi" w:eastAsiaTheme="majorEastAsia" w:hAnsiTheme="majorHAnsi" w:cstheme="majorBidi"/>
      <w:color w:val="2F5496" w:themeColor="accent1" w:themeShade="BF"/>
      <w:lang w:val="fr-FR" w:eastAsia="fr-FR"/>
    </w:rPr>
  </w:style>
  <w:style w:type="paragraph" w:styleId="Textedebulles">
    <w:name w:val="Balloon Text"/>
    <w:basedOn w:val="Normal"/>
    <w:link w:val="TextedebullesCar"/>
    <w:uiPriority w:val="99"/>
    <w:semiHidden/>
    <w:unhideWhenUsed/>
    <w:rsid w:val="00F11B5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B57"/>
    <w:rPr>
      <w:rFonts w:ascii="Tahoma" w:eastAsia="Arial"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24"/>
    <w:pPr>
      <w:spacing w:after="0" w:line="276" w:lineRule="auto"/>
    </w:pPr>
    <w:rPr>
      <w:rFonts w:ascii="Arial" w:eastAsia="Arial" w:hAnsi="Arial" w:cs="Arial"/>
      <w:lang w:val="fr-FR" w:eastAsia="fr-FR"/>
    </w:rPr>
  </w:style>
  <w:style w:type="paragraph" w:styleId="Titre1">
    <w:name w:val="heading 1"/>
    <w:basedOn w:val="Normal"/>
    <w:next w:val="Normal"/>
    <w:link w:val="Titre1Car"/>
    <w:uiPriority w:val="99"/>
    <w:qFormat/>
    <w:rsid w:val="004E2812"/>
    <w:pPr>
      <w:keepNext/>
      <w:keepLines/>
      <w:spacing w:before="400" w:after="120"/>
      <w:outlineLvl w:val="0"/>
    </w:pPr>
    <w:rPr>
      <w:sz w:val="40"/>
      <w:szCs w:val="40"/>
    </w:rPr>
  </w:style>
  <w:style w:type="paragraph" w:styleId="Titre2">
    <w:name w:val="heading 2"/>
    <w:basedOn w:val="Normal"/>
    <w:next w:val="Normal"/>
    <w:link w:val="Titre2Car"/>
    <w:uiPriority w:val="9"/>
    <w:semiHidden/>
    <w:unhideWhenUsed/>
    <w:qFormat/>
    <w:rsid w:val="009053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F7E2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0530A"/>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0530A"/>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D15FF"/>
    <w:pPr>
      <w:spacing w:line="240" w:lineRule="auto"/>
    </w:pPr>
    <w:rPr>
      <w:sz w:val="20"/>
      <w:szCs w:val="20"/>
    </w:rPr>
  </w:style>
  <w:style w:type="character" w:customStyle="1" w:styleId="NotedebasdepageCar">
    <w:name w:val="Note de bas de page Car"/>
    <w:basedOn w:val="Policepardfaut"/>
    <w:link w:val="Notedebasdepage"/>
    <w:uiPriority w:val="99"/>
    <w:semiHidden/>
    <w:rsid w:val="000D15FF"/>
    <w:rPr>
      <w:rFonts w:ascii="Arial" w:eastAsia="Arial" w:hAnsi="Arial" w:cs="Arial"/>
      <w:sz w:val="20"/>
      <w:szCs w:val="20"/>
      <w:lang w:val="fr-FR" w:eastAsia="fr-FR"/>
    </w:rPr>
  </w:style>
  <w:style w:type="character" w:styleId="Appelnotedebasdep">
    <w:name w:val="footnote reference"/>
    <w:basedOn w:val="Policepardfaut"/>
    <w:uiPriority w:val="99"/>
    <w:semiHidden/>
    <w:unhideWhenUsed/>
    <w:rsid w:val="000D15FF"/>
    <w:rPr>
      <w:vertAlign w:val="superscript"/>
    </w:rPr>
  </w:style>
  <w:style w:type="paragraph" w:styleId="Paragraphedeliste">
    <w:name w:val="List Paragraph"/>
    <w:basedOn w:val="Normal"/>
    <w:uiPriority w:val="34"/>
    <w:qFormat/>
    <w:rsid w:val="004E2812"/>
    <w:pPr>
      <w:ind w:left="720"/>
      <w:contextualSpacing/>
    </w:pPr>
  </w:style>
  <w:style w:type="paragraph" w:styleId="En-tte">
    <w:name w:val="header"/>
    <w:basedOn w:val="Normal"/>
    <w:link w:val="En-tteCar"/>
    <w:uiPriority w:val="99"/>
    <w:unhideWhenUsed/>
    <w:rsid w:val="004E2812"/>
    <w:pPr>
      <w:tabs>
        <w:tab w:val="center" w:pos="4536"/>
        <w:tab w:val="right" w:pos="9072"/>
      </w:tabs>
      <w:spacing w:line="240" w:lineRule="auto"/>
    </w:pPr>
  </w:style>
  <w:style w:type="character" w:customStyle="1" w:styleId="En-tteCar">
    <w:name w:val="En-tête Car"/>
    <w:basedOn w:val="Policepardfaut"/>
    <w:link w:val="En-tte"/>
    <w:uiPriority w:val="99"/>
    <w:rsid w:val="004E2812"/>
    <w:rPr>
      <w:rFonts w:ascii="Arial" w:eastAsia="Arial" w:hAnsi="Arial" w:cs="Arial"/>
      <w:lang w:val="fr-FR" w:eastAsia="fr-FR"/>
    </w:rPr>
  </w:style>
  <w:style w:type="paragraph" w:styleId="Pieddepage">
    <w:name w:val="footer"/>
    <w:basedOn w:val="Normal"/>
    <w:link w:val="PieddepageCar"/>
    <w:uiPriority w:val="99"/>
    <w:unhideWhenUsed/>
    <w:rsid w:val="004E2812"/>
    <w:pPr>
      <w:tabs>
        <w:tab w:val="center" w:pos="4536"/>
        <w:tab w:val="right" w:pos="9072"/>
      </w:tabs>
      <w:spacing w:line="240" w:lineRule="auto"/>
    </w:pPr>
  </w:style>
  <w:style w:type="character" w:customStyle="1" w:styleId="PieddepageCar">
    <w:name w:val="Pied de page Car"/>
    <w:basedOn w:val="Policepardfaut"/>
    <w:link w:val="Pieddepage"/>
    <w:uiPriority w:val="99"/>
    <w:rsid w:val="004E2812"/>
    <w:rPr>
      <w:rFonts w:ascii="Arial" w:eastAsia="Arial" w:hAnsi="Arial" w:cs="Arial"/>
      <w:lang w:val="fr-FR" w:eastAsia="fr-FR"/>
    </w:rPr>
  </w:style>
  <w:style w:type="character" w:customStyle="1" w:styleId="Titre1Car">
    <w:name w:val="Titre 1 Car"/>
    <w:basedOn w:val="Policepardfaut"/>
    <w:link w:val="Titre1"/>
    <w:uiPriority w:val="99"/>
    <w:rsid w:val="004E2812"/>
    <w:rPr>
      <w:rFonts w:ascii="Arial" w:eastAsia="Arial" w:hAnsi="Arial" w:cs="Arial"/>
      <w:sz w:val="40"/>
      <w:szCs w:val="40"/>
      <w:lang w:val="fr-FR" w:eastAsia="fr-FR"/>
    </w:rPr>
  </w:style>
  <w:style w:type="table" w:styleId="Grilledutableau">
    <w:name w:val="Table Grid"/>
    <w:basedOn w:val="TableauNormal"/>
    <w:uiPriority w:val="59"/>
    <w:rsid w:val="004E2812"/>
    <w:pPr>
      <w:spacing w:after="0" w:line="240" w:lineRule="auto"/>
    </w:pPr>
    <w:rPr>
      <w:rFonts w:eastAsiaTheme="minorEastAsia"/>
      <w:lang w:val="fr-FR"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semiHidden/>
    <w:unhideWhenUsed/>
    <w:rsid w:val="004E2812"/>
    <w:rPr>
      <w:color w:val="0000FF"/>
      <w:u w:val="single"/>
    </w:rPr>
  </w:style>
  <w:style w:type="character" w:customStyle="1" w:styleId="Titre3Car">
    <w:name w:val="Titre 3 Car"/>
    <w:basedOn w:val="Policepardfaut"/>
    <w:link w:val="Titre3"/>
    <w:uiPriority w:val="9"/>
    <w:rsid w:val="00CF7E2A"/>
    <w:rPr>
      <w:rFonts w:asciiTheme="majorHAnsi" w:eastAsiaTheme="majorEastAsia" w:hAnsiTheme="majorHAnsi" w:cstheme="majorBidi"/>
      <w:color w:val="1F3763" w:themeColor="accent1" w:themeShade="7F"/>
      <w:sz w:val="24"/>
      <w:szCs w:val="24"/>
      <w:lang w:val="fr-FR" w:eastAsia="fr-FR"/>
    </w:rPr>
  </w:style>
  <w:style w:type="paragraph" w:customStyle="1" w:styleId="MMTopic1">
    <w:name w:val="MM Topic 1"/>
    <w:basedOn w:val="Titre1"/>
    <w:rsid w:val="0090530A"/>
    <w:pPr>
      <w:numPr>
        <w:numId w:val="6"/>
      </w:numPr>
      <w:tabs>
        <w:tab w:val="num" w:pos="360"/>
      </w:tabs>
      <w:spacing w:before="240" w:after="0" w:line="254" w:lineRule="auto"/>
    </w:pPr>
    <w:rPr>
      <w:rFonts w:asciiTheme="majorHAnsi" w:eastAsiaTheme="majorEastAsia" w:hAnsiTheme="majorHAnsi" w:cstheme="majorBidi"/>
      <w:color w:val="2F5496" w:themeColor="accent1" w:themeShade="BF"/>
      <w:sz w:val="32"/>
      <w:szCs w:val="32"/>
      <w:lang w:eastAsia="en-US"/>
    </w:rPr>
  </w:style>
  <w:style w:type="character" w:customStyle="1" w:styleId="MMTopic2Car">
    <w:name w:val="MM Topic 2 Car"/>
    <w:basedOn w:val="Policepardfaut"/>
    <w:link w:val="MMTopic2"/>
    <w:locked/>
    <w:rsid w:val="0090530A"/>
    <w:rPr>
      <w:rFonts w:asciiTheme="majorHAnsi" w:eastAsiaTheme="majorEastAsia" w:hAnsiTheme="majorHAnsi" w:cs="Calibri Light"/>
      <w:color w:val="2F5496" w:themeColor="accent1" w:themeShade="BF"/>
      <w:sz w:val="26"/>
      <w:szCs w:val="26"/>
    </w:rPr>
  </w:style>
  <w:style w:type="paragraph" w:customStyle="1" w:styleId="MMTopic2">
    <w:name w:val="MM Topic 2"/>
    <w:basedOn w:val="Titre2"/>
    <w:link w:val="MMTopic2Car"/>
    <w:rsid w:val="0090530A"/>
    <w:pPr>
      <w:numPr>
        <w:ilvl w:val="1"/>
        <w:numId w:val="6"/>
      </w:numPr>
      <w:spacing w:line="254" w:lineRule="auto"/>
    </w:pPr>
    <w:rPr>
      <w:rFonts w:cs="Calibri Light"/>
      <w:lang w:val="en-US" w:eastAsia="en-US"/>
    </w:rPr>
  </w:style>
  <w:style w:type="paragraph" w:customStyle="1" w:styleId="MMTopic3">
    <w:name w:val="MM Topic 3"/>
    <w:basedOn w:val="Titre3"/>
    <w:rsid w:val="0090530A"/>
    <w:pPr>
      <w:numPr>
        <w:ilvl w:val="2"/>
        <w:numId w:val="6"/>
      </w:numPr>
      <w:tabs>
        <w:tab w:val="num" w:pos="360"/>
      </w:tabs>
      <w:spacing w:line="254" w:lineRule="auto"/>
      <w:ind w:left="360"/>
    </w:pPr>
    <w:rPr>
      <w:lang w:eastAsia="en-US"/>
    </w:rPr>
  </w:style>
  <w:style w:type="paragraph" w:customStyle="1" w:styleId="MMTopic4">
    <w:name w:val="MM Topic 4"/>
    <w:basedOn w:val="Titre4"/>
    <w:rsid w:val="0090530A"/>
    <w:pPr>
      <w:numPr>
        <w:ilvl w:val="3"/>
        <w:numId w:val="6"/>
      </w:numPr>
      <w:tabs>
        <w:tab w:val="num" w:pos="360"/>
      </w:tabs>
      <w:spacing w:line="254" w:lineRule="auto"/>
      <w:ind w:left="540" w:hanging="360"/>
    </w:pPr>
    <w:rPr>
      <w:sz w:val="28"/>
      <w:szCs w:val="28"/>
      <w:lang w:eastAsia="en-US"/>
    </w:rPr>
  </w:style>
  <w:style w:type="paragraph" w:customStyle="1" w:styleId="MMTopic5">
    <w:name w:val="MM Topic 5"/>
    <w:basedOn w:val="Titre5"/>
    <w:rsid w:val="0090530A"/>
    <w:pPr>
      <w:numPr>
        <w:ilvl w:val="4"/>
        <w:numId w:val="6"/>
      </w:numPr>
      <w:tabs>
        <w:tab w:val="num" w:pos="360"/>
      </w:tabs>
      <w:spacing w:line="254" w:lineRule="auto"/>
      <w:ind w:left="720" w:hanging="360"/>
    </w:pPr>
    <w:rPr>
      <w:sz w:val="28"/>
      <w:szCs w:val="28"/>
      <w:lang w:eastAsia="en-US"/>
    </w:rPr>
  </w:style>
  <w:style w:type="character" w:customStyle="1" w:styleId="Titre2Car">
    <w:name w:val="Titre 2 Car"/>
    <w:basedOn w:val="Policepardfaut"/>
    <w:link w:val="Titre2"/>
    <w:uiPriority w:val="9"/>
    <w:semiHidden/>
    <w:rsid w:val="0090530A"/>
    <w:rPr>
      <w:rFonts w:asciiTheme="majorHAnsi" w:eastAsiaTheme="majorEastAsia" w:hAnsiTheme="majorHAnsi" w:cstheme="majorBidi"/>
      <w:color w:val="2F5496" w:themeColor="accent1" w:themeShade="BF"/>
      <w:sz w:val="26"/>
      <w:szCs w:val="26"/>
      <w:lang w:val="fr-FR" w:eastAsia="fr-FR"/>
    </w:rPr>
  </w:style>
  <w:style w:type="character" w:customStyle="1" w:styleId="Titre4Car">
    <w:name w:val="Titre 4 Car"/>
    <w:basedOn w:val="Policepardfaut"/>
    <w:link w:val="Titre4"/>
    <w:uiPriority w:val="9"/>
    <w:semiHidden/>
    <w:rsid w:val="0090530A"/>
    <w:rPr>
      <w:rFonts w:asciiTheme="majorHAnsi" w:eastAsiaTheme="majorEastAsia" w:hAnsiTheme="majorHAnsi" w:cstheme="majorBidi"/>
      <w:i/>
      <w:iCs/>
      <w:color w:val="2F5496" w:themeColor="accent1" w:themeShade="BF"/>
      <w:lang w:val="fr-FR" w:eastAsia="fr-FR"/>
    </w:rPr>
  </w:style>
  <w:style w:type="character" w:customStyle="1" w:styleId="Titre5Car">
    <w:name w:val="Titre 5 Car"/>
    <w:basedOn w:val="Policepardfaut"/>
    <w:link w:val="Titre5"/>
    <w:uiPriority w:val="9"/>
    <w:semiHidden/>
    <w:rsid w:val="0090530A"/>
    <w:rPr>
      <w:rFonts w:asciiTheme="majorHAnsi" w:eastAsiaTheme="majorEastAsia" w:hAnsiTheme="majorHAnsi" w:cstheme="majorBidi"/>
      <w:color w:val="2F5496" w:themeColor="accent1" w:themeShade="BF"/>
      <w:lang w:val="fr-FR" w:eastAsia="fr-FR"/>
    </w:rPr>
  </w:style>
  <w:style w:type="paragraph" w:styleId="Textedebulles">
    <w:name w:val="Balloon Text"/>
    <w:basedOn w:val="Normal"/>
    <w:link w:val="TextedebullesCar"/>
    <w:uiPriority w:val="99"/>
    <w:semiHidden/>
    <w:unhideWhenUsed/>
    <w:rsid w:val="00F11B5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B57"/>
    <w:rPr>
      <w:rFonts w:ascii="Tahoma" w:eastAsia="Arial"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5880">
      <w:bodyDiv w:val="1"/>
      <w:marLeft w:val="0"/>
      <w:marRight w:val="0"/>
      <w:marTop w:val="0"/>
      <w:marBottom w:val="0"/>
      <w:divBdr>
        <w:top w:val="none" w:sz="0" w:space="0" w:color="auto"/>
        <w:left w:val="none" w:sz="0" w:space="0" w:color="auto"/>
        <w:bottom w:val="none" w:sz="0" w:space="0" w:color="auto"/>
        <w:right w:val="none" w:sz="0" w:space="0" w:color="auto"/>
      </w:divBdr>
    </w:div>
    <w:div w:id="419178185">
      <w:bodyDiv w:val="1"/>
      <w:marLeft w:val="0"/>
      <w:marRight w:val="0"/>
      <w:marTop w:val="0"/>
      <w:marBottom w:val="0"/>
      <w:divBdr>
        <w:top w:val="none" w:sz="0" w:space="0" w:color="auto"/>
        <w:left w:val="none" w:sz="0" w:space="0" w:color="auto"/>
        <w:bottom w:val="none" w:sz="0" w:space="0" w:color="auto"/>
        <w:right w:val="none" w:sz="0" w:space="0" w:color="auto"/>
      </w:divBdr>
    </w:div>
    <w:div w:id="426734901">
      <w:bodyDiv w:val="1"/>
      <w:marLeft w:val="0"/>
      <w:marRight w:val="0"/>
      <w:marTop w:val="0"/>
      <w:marBottom w:val="0"/>
      <w:divBdr>
        <w:top w:val="none" w:sz="0" w:space="0" w:color="auto"/>
        <w:left w:val="none" w:sz="0" w:space="0" w:color="auto"/>
        <w:bottom w:val="none" w:sz="0" w:space="0" w:color="auto"/>
        <w:right w:val="none" w:sz="0" w:space="0" w:color="auto"/>
      </w:divBdr>
    </w:div>
    <w:div w:id="445737129">
      <w:bodyDiv w:val="1"/>
      <w:marLeft w:val="0"/>
      <w:marRight w:val="0"/>
      <w:marTop w:val="0"/>
      <w:marBottom w:val="0"/>
      <w:divBdr>
        <w:top w:val="none" w:sz="0" w:space="0" w:color="auto"/>
        <w:left w:val="none" w:sz="0" w:space="0" w:color="auto"/>
        <w:bottom w:val="none" w:sz="0" w:space="0" w:color="auto"/>
        <w:right w:val="none" w:sz="0" w:space="0" w:color="auto"/>
      </w:divBdr>
    </w:div>
    <w:div w:id="452749831">
      <w:bodyDiv w:val="1"/>
      <w:marLeft w:val="0"/>
      <w:marRight w:val="0"/>
      <w:marTop w:val="0"/>
      <w:marBottom w:val="0"/>
      <w:divBdr>
        <w:top w:val="none" w:sz="0" w:space="0" w:color="auto"/>
        <w:left w:val="none" w:sz="0" w:space="0" w:color="auto"/>
        <w:bottom w:val="none" w:sz="0" w:space="0" w:color="auto"/>
        <w:right w:val="none" w:sz="0" w:space="0" w:color="auto"/>
      </w:divBdr>
    </w:div>
    <w:div w:id="496729548">
      <w:bodyDiv w:val="1"/>
      <w:marLeft w:val="0"/>
      <w:marRight w:val="0"/>
      <w:marTop w:val="0"/>
      <w:marBottom w:val="0"/>
      <w:divBdr>
        <w:top w:val="none" w:sz="0" w:space="0" w:color="auto"/>
        <w:left w:val="none" w:sz="0" w:space="0" w:color="auto"/>
        <w:bottom w:val="none" w:sz="0" w:space="0" w:color="auto"/>
        <w:right w:val="none" w:sz="0" w:space="0" w:color="auto"/>
      </w:divBdr>
    </w:div>
    <w:div w:id="600844955">
      <w:bodyDiv w:val="1"/>
      <w:marLeft w:val="0"/>
      <w:marRight w:val="0"/>
      <w:marTop w:val="0"/>
      <w:marBottom w:val="0"/>
      <w:divBdr>
        <w:top w:val="none" w:sz="0" w:space="0" w:color="auto"/>
        <w:left w:val="none" w:sz="0" w:space="0" w:color="auto"/>
        <w:bottom w:val="none" w:sz="0" w:space="0" w:color="auto"/>
        <w:right w:val="none" w:sz="0" w:space="0" w:color="auto"/>
      </w:divBdr>
    </w:div>
    <w:div w:id="1022979259">
      <w:bodyDiv w:val="1"/>
      <w:marLeft w:val="0"/>
      <w:marRight w:val="0"/>
      <w:marTop w:val="0"/>
      <w:marBottom w:val="0"/>
      <w:divBdr>
        <w:top w:val="none" w:sz="0" w:space="0" w:color="auto"/>
        <w:left w:val="none" w:sz="0" w:space="0" w:color="auto"/>
        <w:bottom w:val="none" w:sz="0" w:space="0" w:color="auto"/>
        <w:right w:val="none" w:sz="0" w:space="0" w:color="auto"/>
      </w:divBdr>
    </w:div>
    <w:div w:id="1057434266">
      <w:bodyDiv w:val="1"/>
      <w:marLeft w:val="0"/>
      <w:marRight w:val="0"/>
      <w:marTop w:val="0"/>
      <w:marBottom w:val="0"/>
      <w:divBdr>
        <w:top w:val="none" w:sz="0" w:space="0" w:color="auto"/>
        <w:left w:val="none" w:sz="0" w:space="0" w:color="auto"/>
        <w:bottom w:val="none" w:sz="0" w:space="0" w:color="auto"/>
        <w:right w:val="none" w:sz="0" w:space="0" w:color="auto"/>
      </w:divBdr>
    </w:div>
    <w:div w:id="1089472897">
      <w:bodyDiv w:val="1"/>
      <w:marLeft w:val="0"/>
      <w:marRight w:val="0"/>
      <w:marTop w:val="0"/>
      <w:marBottom w:val="0"/>
      <w:divBdr>
        <w:top w:val="none" w:sz="0" w:space="0" w:color="auto"/>
        <w:left w:val="none" w:sz="0" w:space="0" w:color="auto"/>
        <w:bottom w:val="none" w:sz="0" w:space="0" w:color="auto"/>
        <w:right w:val="none" w:sz="0" w:space="0" w:color="auto"/>
      </w:divBdr>
    </w:div>
    <w:div w:id="1127894692">
      <w:bodyDiv w:val="1"/>
      <w:marLeft w:val="0"/>
      <w:marRight w:val="0"/>
      <w:marTop w:val="0"/>
      <w:marBottom w:val="0"/>
      <w:divBdr>
        <w:top w:val="none" w:sz="0" w:space="0" w:color="auto"/>
        <w:left w:val="none" w:sz="0" w:space="0" w:color="auto"/>
        <w:bottom w:val="none" w:sz="0" w:space="0" w:color="auto"/>
        <w:right w:val="none" w:sz="0" w:space="0" w:color="auto"/>
      </w:divBdr>
    </w:div>
    <w:div w:id="1129588669">
      <w:bodyDiv w:val="1"/>
      <w:marLeft w:val="0"/>
      <w:marRight w:val="0"/>
      <w:marTop w:val="0"/>
      <w:marBottom w:val="0"/>
      <w:divBdr>
        <w:top w:val="none" w:sz="0" w:space="0" w:color="auto"/>
        <w:left w:val="none" w:sz="0" w:space="0" w:color="auto"/>
        <w:bottom w:val="none" w:sz="0" w:space="0" w:color="auto"/>
        <w:right w:val="none" w:sz="0" w:space="0" w:color="auto"/>
      </w:divBdr>
    </w:div>
    <w:div w:id="1145273748">
      <w:bodyDiv w:val="1"/>
      <w:marLeft w:val="0"/>
      <w:marRight w:val="0"/>
      <w:marTop w:val="0"/>
      <w:marBottom w:val="0"/>
      <w:divBdr>
        <w:top w:val="none" w:sz="0" w:space="0" w:color="auto"/>
        <w:left w:val="none" w:sz="0" w:space="0" w:color="auto"/>
        <w:bottom w:val="none" w:sz="0" w:space="0" w:color="auto"/>
        <w:right w:val="none" w:sz="0" w:space="0" w:color="auto"/>
      </w:divBdr>
    </w:div>
    <w:div w:id="1356805870">
      <w:bodyDiv w:val="1"/>
      <w:marLeft w:val="0"/>
      <w:marRight w:val="0"/>
      <w:marTop w:val="0"/>
      <w:marBottom w:val="0"/>
      <w:divBdr>
        <w:top w:val="none" w:sz="0" w:space="0" w:color="auto"/>
        <w:left w:val="none" w:sz="0" w:space="0" w:color="auto"/>
        <w:bottom w:val="none" w:sz="0" w:space="0" w:color="auto"/>
        <w:right w:val="none" w:sz="0" w:space="0" w:color="auto"/>
      </w:divBdr>
    </w:div>
    <w:div w:id="1767460827">
      <w:bodyDiv w:val="1"/>
      <w:marLeft w:val="0"/>
      <w:marRight w:val="0"/>
      <w:marTop w:val="0"/>
      <w:marBottom w:val="0"/>
      <w:divBdr>
        <w:top w:val="none" w:sz="0" w:space="0" w:color="auto"/>
        <w:left w:val="none" w:sz="0" w:space="0" w:color="auto"/>
        <w:bottom w:val="none" w:sz="0" w:space="0" w:color="auto"/>
        <w:right w:val="none" w:sz="0" w:space="0" w:color="auto"/>
      </w:divBdr>
    </w:div>
    <w:div w:id="1935433043">
      <w:bodyDiv w:val="1"/>
      <w:marLeft w:val="0"/>
      <w:marRight w:val="0"/>
      <w:marTop w:val="0"/>
      <w:marBottom w:val="0"/>
      <w:divBdr>
        <w:top w:val="none" w:sz="0" w:space="0" w:color="auto"/>
        <w:left w:val="none" w:sz="0" w:space="0" w:color="auto"/>
        <w:bottom w:val="none" w:sz="0" w:space="0" w:color="auto"/>
        <w:right w:val="none" w:sz="0" w:space="0" w:color="auto"/>
      </w:divBdr>
    </w:div>
    <w:div w:id="21471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www.hcp.m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2021%20-%20Note%20sur%20les%20chiffres%20cl&#233;s%20-%20Annexe%20-DE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wnloads\2021%20-%20Note%20sur%20les%20chiffres%20cl&#233;s%20-%20Annexe%20-DE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Kamel\ENE\Notes\Annuelle\2021\2021%20-%20Note%20sur%20les%20chiffres%20cl&#233;s%20-%20Tabulation%20%231%20-%20DE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Kamel\ENE\Notes\Annuelle\2021\2021%20-%20Note%20sur%20les%20chiffres%20cl&#233;s%20-%20Tabulation%20%231%20-%20DE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wnloads\2021%20-%20Note%20sur%20les%20chiffres%20cl&#233;s%20-%20Annexe%20-DE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ussama\Desktop\Taches%20DEE\Publications%20DEE\Publications%20Annuelles\Notes%20Annuelles\Notes%202021\Tableaux%20(cr&#233;e%20par%20le%20service%20exploitation)\2021%20-%20Note%20sur%20les%20chiffres%20cl&#233;s%20-%20Annexe%20-DE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oussama\Desktop\Taches%20DEE\Publications%20DEE\Publications%20Annuelles\Notes%20Annuelles\Notes%202021\Tableaux%20(cr&#233;e%20par%20le%20service%20exploitation)\2021%20-%20Note%20sur%20les%20chiffres%20cl&#233;s%20-%20Annexe%20-DE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elkachach\Downloads\2021%20-%20Note%20sur%20les%20chiffres%20cl&#233;s%20-%20Annexe%20-DE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kelkachach\Downloads\2021%20-%20Note%20sur%20les%20chiffres%20cl&#233;s%20-%20Annexe%20-DE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Feuil1!$C$5</c:f>
              <c:strCache>
                <c:ptCount val="1"/>
                <c:pt idx="0">
                  <c:v>Urbain</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fr-F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Feuil1!$B$6:$B$10</c:f>
              <c:numCache>
                <c:formatCode>General</c:formatCode>
                <c:ptCount val="5"/>
                <c:pt idx="0">
                  <c:v>2017</c:v>
                </c:pt>
                <c:pt idx="1">
                  <c:v>2018</c:v>
                </c:pt>
                <c:pt idx="2">
                  <c:v>2019</c:v>
                </c:pt>
                <c:pt idx="3">
                  <c:v>2020</c:v>
                </c:pt>
                <c:pt idx="4">
                  <c:v>2021</c:v>
                </c:pt>
              </c:numCache>
            </c:numRef>
          </c:cat>
          <c:val>
            <c:numRef>
              <c:f>Feuil1!$C$6:$C$10</c:f>
              <c:numCache>
                <c:formatCode>_-* #\ ##0.0_-;\-* #\ ##0.0_-;_-* "-"??_-;_-@_-</c:formatCode>
                <c:ptCount val="5"/>
                <c:pt idx="0">
                  <c:v>42.4</c:v>
                </c:pt>
                <c:pt idx="1">
                  <c:v>42</c:v>
                </c:pt>
                <c:pt idx="2">
                  <c:v>42.3</c:v>
                </c:pt>
                <c:pt idx="3">
                  <c:v>41.922586439031157</c:v>
                </c:pt>
                <c:pt idx="4">
                  <c:v>42.290100027844773</c:v>
                </c:pt>
              </c:numCache>
            </c:numRef>
          </c:val>
          <c:smooth val="0"/>
          <c:extLst xmlns:c16r2="http://schemas.microsoft.com/office/drawing/2015/06/chart">
            <c:ext xmlns:c16="http://schemas.microsoft.com/office/drawing/2014/chart" uri="{C3380CC4-5D6E-409C-BE32-E72D297353CC}">
              <c16:uniqueId val="{00000000-FEDE-4122-9A77-BA690416CEE6}"/>
            </c:ext>
          </c:extLst>
        </c:ser>
        <c:ser>
          <c:idx val="1"/>
          <c:order val="1"/>
          <c:tx>
            <c:strRef>
              <c:f>Feuil1!$D$5</c:f>
              <c:strCache>
                <c:ptCount val="1"/>
                <c:pt idx="0">
                  <c:v>Rural</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Feuil1!$B$6:$B$10</c:f>
              <c:numCache>
                <c:formatCode>General</c:formatCode>
                <c:ptCount val="5"/>
                <c:pt idx="0">
                  <c:v>2017</c:v>
                </c:pt>
                <c:pt idx="1">
                  <c:v>2018</c:v>
                </c:pt>
                <c:pt idx="2">
                  <c:v>2019</c:v>
                </c:pt>
                <c:pt idx="3">
                  <c:v>2020</c:v>
                </c:pt>
                <c:pt idx="4">
                  <c:v>2021</c:v>
                </c:pt>
              </c:numCache>
            </c:numRef>
          </c:cat>
          <c:val>
            <c:numRef>
              <c:f>Feuil1!$D$6:$D$10</c:f>
              <c:numCache>
                <c:formatCode>_-* #\ ##0.0_-;\-* #\ ##0.0_-;_-* "-"??_-;_-@_-</c:formatCode>
                <c:ptCount val="5"/>
                <c:pt idx="0">
                  <c:v>54.1</c:v>
                </c:pt>
                <c:pt idx="1">
                  <c:v>53.2</c:v>
                </c:pt>
                <c:pt idx="2">
                  <c:v>52.2</c:v>
                </c:pt>
                <c:pt idx="3">
                  <c:v>50.013007704591203</c:v>
                </c:pt>
                <c:pt idx="4">
                  <c:v>50.919123518541852</c:v>
                </c:pt>
              </c:numCache>
            </c:numRef>
          </c:val>
          <c:smooth val="0"/>
          <c:extLst xmlns:c16r2="http://schemas.microsoft.com/office/drawing/2015/06/chart">
            <c:ext xmlns:c16="http://schemas.microsoft.com/office/drawing/2014/chart" uri="{C3380CC4-5D6E-409C-BE32-E72D297353CC}">
              <c16:uniqueId val="{00000001-FEDE-4122-9A77-BA690416CEE6}"/>
            </c:ext>
          </c:extLst>
        </c:ser>
        <c:ser>
          <c:idx val="2"/>
          <c:order val="2"/>
          <c:tx>
            <c:strRef>
              <c:f>Feuil1!$E$5</c:f>
              <c:strCache>
                <c:ptCount val="1"/>
                <c:pt idx="0">
                  <c:v>Ensemble</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fr-F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Feuil1!$B$6:$B$10</c:f>
              <c:numCache>
                <c:formatCode>General</c:formatCode>
                <c:ptCount val="5"/>
                <c:pt idx="0">
                  <c:v>2017</c:v>
                </c:pt>
                <c:pt idx="1">
                  <c:v>2018</c:v>
                </c:pt>
                <c:pt idx="2">
                  <c:v>2019</c:v>
                </c:pt>
                <c:pt idx="3">
                  <c:v>2020</c:v>
                </c:pt>
                <c:pt idx="4">
                  <c:v>2021</c:v>
                </c:pt>
              </c:numCache>
            </c:numRef>
          </c:cat>
          <c:val>
            <c:numRef>
              <c:f>Feuil1!$E$6:$E$10</c:f>
              <c:numCache>
                <c:formatCode>_-* #\ ##0.0_-;\-* #\ ##0.0_-;_-* "-"??_-;_-@_-</c:formatCode>
                <c:ptCount val="5"/>
                <c:pt idx="0">
                  <c:v>46.7</c:v>
                </c:pt>
                <c:pt idx="1">
                  <c:v>46</c:v>
                </c:pt>
                <c:pt idx="2">
                  <c:v>45.8</c:v>
                </c:pt>
                <c:pt idx="3">
                  <c:v>44.752935276990286</c:v>
                </c:pt>
                <c:pt idx="4">
                  <c:v>45.269801191954251</c:v>
                </c:pt>
              </c:numCache>
            </c:numRef>
          </c:val>
          <c:smooth val="0"/>
          <c:extLst xmlns:c16r2="http://schemas.microsoft.com/office/drawing/2015/06/chart">
            <c:ext xmlns:c16="http://schemas.microsoft.com/office/drawing/2014/chart" uri="{C3380CC4-5D6E-409C-BE32-E72D297353CC}">
              <c16:uniqueId val="{00000002-FEDE-4122-9A77-BA690416CEE6}"/>
            </c:ext>
          </c:extLst>
        </c:ser>
        <c:dLbls>
          <c:showLegendKey val="0"/>
          <c:showVal val="1"/>
          <c:showCatName val="0"/>
          <c:showSerName val="0"/>
          <c:showPercent val="0"/>
          <c:showBubbleSize val="0"/>
        </c:dLbls>
        <c:marker val="1"/>
        <c:smooth val="0"/>
        <c:axId val="161528064"/>
        <c:axId val="161542144"/>
      </c:lineChart>
      <c:catAx>
        <c:axId val="16152806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endParaRPr lang="fr-FR"/>
          </a:p>
        </c:txPr>
        <c:crossAx val="161542144"/>
        <c:crosses val="autoZero"/>
        <c:auto val="1"/>
        <c:lblAlgn val="ctr"/>
        <c:lblOffset val="100"/>
        <c:noMultiLvlLbl val="0"/>
      </c:catAx>
      <c:valAx>
        <c:axId val="161542144"/>
        <c:scaling>
          <c:orientation val="minMax"/>
        </c:scaling>
        <c:delete val="1"/>
        <c:axPos val="l"/>
        <c:numFmt formatCode="_-* #\ ##0.0_-;\-* #\ ##0.0_-;_-* &quot;-&quot;??_-;_-@_-" sourceLinked="1"/>
        <c:majorTickMark val="none"/>
        <c:minorTickMark val="none"/>
        <c:tickLblPos val="none"/>
        <c:crossAx val="161528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showDLblsOverMax val="0"/>
  </c:chart>
  <c:spPr>
    <a:solidFill>
      <a:schemeClr val="lt1"/>
    </a:solidFill>
    <a:ln w="9525" cap="flat" cmpd="sng" algn="ctr">
      <a:no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Feuil1!$C$5</c:f>
              <c:strCache>
                <c:ptCount val="1"/>
                <c:pt idx="0">
                  <c:v>Urbain</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fr-F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Feuil1!$B$14:$B$18</c:f>
              <c:numCache>
                <c:formatCode>General</c:formatCode>
                <c:ptCount val="5"/>
                <c:pt idx="0">
                  <c:v>2017</c:v>
                </c:pt>
                <c:pt idx="1">
                  <c:v>2018</c:v>
                </c:pt>
                <c:pt idx="2">
                  <c:v>2019</c:v>
                </c:pt>
                <c:pt idx="3">
                  <c:v>2020</c:v>
                </c:pt>
                <c:pt idx="4">
                  <c:v>2021</c:v>
                </c:pt>
              </c:numCache>
            </c:numRef>
          </c:cat>
          <c:val>
            <c:numRef>
              <c:f>Feuil1!$C$14:$C$18</c:f>
              <c:numCache>
                <c:formatCode>General</c:formatCode>
                <c:ptCount val="5"/>
                <c:pt idx="0">
                  <c:v>36.1</c:v>
                </c:pt>
                <c:pt idx="1">
                  <c:v>36.200000000000003</c:v>
                </c:pt>
                <c:pt idx="2">
                  <c:v>36.9</c:v>
                </c:pt>
                <c:pt idx="3" formatCode="0.0">
                  <c:v>35.301154430017085</c:v>
                </c:pt>
                <c:pt idx="4" formatCode="0.0">
                  <c:v>35.132465021735868</c:v>
                </c:pt>
              </c:numCache>
            </c:numRef>
          </c:val>
          <c:smooth val="0"/>
          <c:extLst xmlns:c16r2="http://schemas.microsoft.com/office/drawing/2015/06/chart">
            <c:ext xmlns:c16="http://schemas.microsoft.com/office/drawing/2014/chart" uri="{C3380CC4-5D6E-409C-BE32-E72D297353CC}">
              <c16:uniqueId val="{00000000-D07A-4E89-B2AA-DA31009879DC}"/>
            </c:ext>
          </c:extLst>
        </c:ser>
        <c:ser>
          <c:idx val="1"/>
          <c:order val="1"/>
          <c:tx>
            <c:strRef>
              <c:f>Feuil1!$D$5</c:f>
              <c:strCache>
                <c:ptCount val="1"/>
                <c:pt idx="0">
                  <c:v>Rural</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Feuil1!$B$14:$B$18</c:f>
              <c:numCache>
                <c:formatCode>General</c:formatCode>
                <c:ptCount val="5"/>
                <c:pt idx="0">
                  <c:v>2017</c:v>
                </c:pt>
                <c:pt idx="1">
                  <c:v>2018</c:v>
                </c:pt>
                <c:pt idx="2">
                  <c:v>2019</c:v>
                </c:pt>
                <c:pt idx="3">
                  <c:v>2020</c:v>
                </c:pt>
                <c:pt idx="4">
                  <c:v>2021</c:v>
                </c:pt>
              </c:numCache>
            </c:numRef>
          </c:cat>
          <c:val>
            <c:numRef>
              <c:f>Feuil1!$D$14:$D$18</c:f>
              <c:numCache>
                <c:formatCode>General</c:formatCode>
                <c:ptCount val="5"/>
                <c:pt idx="0">
                  <c:v>52</c:v>
                </c:pt>
                <c:pt idx="1">
                  <c:v>51.3</c:v>
                </c:pt>
                <c:pt idx="2">
                  <c:v>50.3</c:v>
                </c:pt>
                <c:pt idx="3" formatCode="0.0">
                  <c:v>47.048197213348125</c:v>
                </c:pt>
                <c:pt idx="4" formatCode="0.0">
                  <c:v>48.390948279920863</c:v>
                </c:pt>
              </c:numCache>
            </c:numRef>
          </c:val>
          <c:smooth val="0"/>
          <c:extLst xmlns:c16r2="http://schemas.microsoft.com/office/drawing/2015/06/chart">
            <c:ext xmlns:c16="http://schemas.microsoft.com/office/drawing/2014/chart" uri="{C3380CC4-5D6E-409C-BE32-E72D297353CC}">
              <c16:uniqueId val="{00000001-D07A-4E89-B2AA-DA31009879DC}"/>
            </c:ext>
          </c:extLst>
        </c:ser>
        <c:ser>
          <c:idx val="2"/>
          <c:order val="2"/>
          <c:tx>
            <c:strRef>
              <c:f>Feuil1!$E$5</c:f>
              <c:strCache>
                <c:ptCount val="1"/>
                <c:pt idx="0">
                  <c:v>Ensemble</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fr-F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Feuil1!$B$14:$B$18</c:f>
              <c:numCache>
                <c:formatCode>General</c:formatCode>
                <c:ptCount val="5"/>
                <c:pt idx="0">
                  <c:v>2017</c:v>
                </c:pt>
                <c:pt idx="1">
                  <c:v>2018</c:v>
                </c:pt>
                <c:pt idx="2">
                  <c:v>2019</c:v>
                </c:pt>
                <c:pt idx="3">
                  <c:v>2020</c:v>
                </c:pt>
                <c:pt idx="4">
                  <c:v>2021</c:v>
                </c:pt>
              </c:numCache>
            </c:numRef>
          </c:cat>
          <c:val>
            <c:numRef>
              <c:f>Feuil1!$E$14:$E$18</c:f>
              <c:numCache>
                <c:formatCode>General</c:formatCode>
                <c:ptCount val="5"/>
                <c:pt idx="0">
                  <c:v>41.9</c:v>
                </c:pt>
                <c:pt idx="1">
                  <c:v>41.7</c:v>
                </c:pt>
                <c:pt idx="2">
                  <c:v>41.6</c:v>
                </c:pt>
                <c:pt idx="3" formatCode="0.0">
                  <c:v>39.410733869694454</c:v>
                </c:pt>
                <c:pt idx="4" formatCode="0.0">
                  <c:v>39.710771946194413</c:v>
                </c:pt>
              </c:numCache>
            </c:numRef>
          </c:val>
          <c:smooth val="0"/>
          <c:extLst xmlns:c16r2="http://schemas.microsoft.com/office/drawing/2015/06/chart">
            <c:ext xmlns:c16="http://schemas.microsoft.com/office/drawing/2014/chart" uri="{C3380CC4-5D6E-409C-BE32-E72D297353CC}">
              <c16:uniqueId val="{00000002-D07A-4E89-B2AA-DA31009879DC}"/>
            </c:ext>
          </c:extLst>
        </c:ser>
        <c:dLbls>
          <c:showLegendKey val="0"/>
          <c:showVal val="1"/>
          <c:showCatName val="0"/>
          <c:showSerName val="0"/>
          <c:showPercent val="0"/>
          <c:showBubbleSize val="0"/>
        </c:dLbls>
        <c:marker val="1"/>
        <c:smooth val="0"/>
        <c:axId val="161669120"/>
        <c:axId val="161670656"/>
      </c:lineChart>
      <c:catAx>
        <c:axId val="1616691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endParaRPr lang="fr-FR"/>
          </a:p>
        </c:txPr>
        <c:crossAx val="161670656"/>
        <c:crosses val="autoZero"/>
        <c:auto val="1"/>
        <c:lblAlgn val="ctr"/>
        <c:lblOffset val="100"/>
        <c:noMultiLvlLbl val="0"/>
      </c:catAx>
      <c:valAx>
        <c:axId val="161670656"/>
        <c:scaling>
          <c:orientation val="minMax"/>
        </c:scaling>
        <c:delete val="1"/>
        <c:axPos val="l"/>
        <c:numFmt formatCode="General" sourceLinked="1"/>
        <c:majorTickMark val="none"/>
        <c:minorTickMark val="none"/>
        <c:tickLblPos val="none"/>
        <c:crossAx val="1616691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showDLblsOverMax val="0"/>
  </c:chart>
  <c:spPr>
    <a:solidFill>
      <a:schemeClr val="lt1"/>
    </a:solidFill>
    <a:ln w="9525" cap="flat" cmpd="sng" algn="ctr">
      <a:noFill/>
      <a:round/>
    </a:ln>
    <a:effectLst/>
  </c:spPr>
  <c:txPr>
    <a:bodyPr/>
    <a:lstStyle/>
    <a:p>
      <a:pPr>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Feuil1!$I$21</c:f>
              <c:strCache>
                <c:ptCount val="1"/>
                <c:pt idx="0">
                  <c:v>Emploi rémunéré</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Feuil1!$J$20:$L$20</c:f>
              <c:strCache>
                <c:ptCount val="3"/>
                <c:pt idx="0">
                  <c:v>Urbain</c:v>
                </c:pt>
                <c:pt idx="1">
                  <c:v>Rural</c:v>
                </c:pt>
                <c:pt idx="2">
                  <c:v>Total</c:v>
                </c:pt>
              </c:strCache>
            </c:strRef>
          </c:cat>
          <c:val>
            <c:numRef>
              <c:f>Feuil1!$J$21:$L$21</c:f>
              <c:numCache>
                <c:formatCode>General</c:formatCode>
                <c:ptCount val="3"/>
                <c:pt idx="0">
                  <c:v>112000</c:v>
                </c:pt>
                <c:pt idx="1">
                  <c:v>85000</c:v>
                </c:pt>
                <c:pt idx="2">
                  <c:v>197000</c:v>
                </c:pt>
              </c:numCache>
            </c:numRef>
          </c:val>
          <c:extLst xmlns:c16r2="http://schemas.microsoft.com/office/drawing/2015/06/chart">
            <c:ext xmlns:c16="http://schemas.microsoft.com/office/drawing/2014/chart" uri="{C3380CC4-5D6E-409C-BE32-E72D297353CC}">
              <c16:uniqueId val="{00000000-DADA-43AE-9773-24D7730DF957}"/>
            </c:ext>
          </c:extLst>
        </c:ser>
        <c:ser>
          <c:idx val="1"/>
          <c:order val="1"/>
          <c:tx>
            <c:strRef>
              <c:f>Feuil1!$I$22</c:f>
              <c:strCache>
                <c:ptCount val="1"/>
                <c:pt idx="0">
                  <c:v>Emploi non rémunéré</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Feuil1!$J$20:$L$20</c:f>
              <c:strCache>
                <c:ptCount val="3"/>
                <c:pt idx="0">
                  <c:v>Urbain</c:v>
                </c:pt>
                <c:pt idx="1">
                  <c:v>Rural</c:v>
                </c:pt>
                <c:pt idx="2">
                  <c:v>Total</c:v>
                </c:pt>
              </c:strCache>
            </c:strRef>
          </c:cat>
          <c:val>
            <c:numRef>
              <c:f>Feuil1!$J$22:$L$22</c:f>
              <c:numCache>
                <c:formatCode>General</c:formatCode>
                <c:ptCount val="3"/>
                <c:pt idx="0">
                  <c:v>-12000</c:v>
                </c:pt>
                <c:pt idx="1">
                  <c:v>45000</c:v>
                </c:pt>
                <c:pt idx="2">
                  <c:v>33000</c:v>
                </c:pt>
              </c:numCache>
            </c:numRef>
          </c:val>
          <c:extLst xmlns:c16r2="http://schemas.microsoft.com/office/drawing/2015/06/chart">
            <c:ext xmlns:c16="http://schemas.microsoft.com/office/drawing/2014/chart" uri="{C3380CC4-5D6E-409C-BE32-E72D297353CC}">
              <c16:uniqueId val="{00000001-DADA-43AE-9773-24D7730DF957}"/>
            </c:ext>
          </c:extLst>
        </c:ser>
        <c:ser>
          <c:idx val="2"/>
          <c:order val="2"/>
          <c:tx>
            <c:strRef>
              <c:f>Feuil1!$I$23</c:f>
              <c:strCache>
                <c:ptCount val="1"/>
                <c:pt idx="0">
                  <c:v>Emploi total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Feuil1!$J$20:$L$20</c:f>
              <c:strCache>
                <c:ptCount val="3"/>
                <c:pt idx="0">
                  <c:v>Urbain</c:v>
                </c:pt>
                <c:pt idx="1">
                  <c:v>Rural</c:v>
                </c:pt>
                <c:pt idx="2">
                  <c:v>Total</c:v>
                </c:pt>
              </c:strCache>
            </c:strRef>
          </c:cat>
          <c:val>
            <c:numRef>
              <c:f>Feuil1!$J$23:$L$23</c:f>
              <c:numCache>
                <c:formatCode>General</c:formatCode>
                <c:ptCount val="3"/>
                <c:pt idx="0">
                  <c:v>100000</c:v>
                </c:pt>
                <c:pt idx="1">
                  <c:v>130000</c:v>
                </c:pt>
                <c:pt idx="2">
                  <c:v>230000</c:v>
                </c:pt>
              </c:numCache>
            </c:numRef>
          </c:val>
          <c:extLst xmlns:c16r2="http://schemas.microsoft.com/office/drawing/2015/06/chart">
            <c:ext xmlns:c16="http://schemas.microsoft.com/office/drawing/2014/chart" uri="{C3380CC4-5D6E-409C-BE32-E72D297353CC}">
              <c16:uniqueId val="{00000002-DADA-43AE-9773-24D7730DF957}"/>
            </c:ext>
          </c:extLst>
        </c:ser>
        <c:dLbls>
          <c:showLegendKey val="0"/>
          <c:showVal val="1"/>
          <c:showCatName val="0"/>
          <c:showSerName val="0"/>
          <c:showPercent val="0"/>
          <c:showBubbleSize val="0"/>
        </c:dLbls>
        <c:gapWidth val="150"/>
        <c:overlap val="-25"/>
        <c:axId val="171402368"/>
        <c:axId val="171403904"/>
      </c:barChart>
      <c:catAx>
        <c:axId val="171402368"/>
        <c:scaling>
          <c:orientation val="minMax"/>
        </c:scaling>
        <c:delete val="0"/>
        <c:axPos val="b"/>
        <c:numFmt formatCode="General" sourceLinked="0"/>
        <c:majorTickMark val="none"/>
        <c:minorTickMark val="none"/>
        <c:tickLblPos val="low"/>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fr-FR"/>
          </a:p>
        </c:txPr>
        <c:crossAx val="171403904"/>
        <c:crosses val="autoZero"/>
        <c:auto val="1"/>
        <c:lblAlgn val="ctr"/>
        <c:lblOffset val="100"/>
        <c:noMultiLvlLbl val="0"/>
      </c:catAx>
      <c:valAx>
        <c:axId val="171403904"/>
        <c:scaling>
          <c:orientation val="minMax"/>
        </c:scaling>
        <c:delete val="1"/>
        <c:axPos val="l"/>
        <c:numFmt formatCode="General" sourceLinked="1"/>
        <c:majorTickMark val="none"/>
        <c:minorTickMark val="none"/>
        <c:tickLblPos val="none"/>
        <c:crossAx val="171402368"/>
        <c:crosses val="autoZero"/>
        <c:crossBetween val="between"/>
      </c:valAx>
      <c:spPr>
        <a:solidFill>
          <a:schemeClr val="bg1"/>
        </a:solidFill>
        <a:ln>
          <a:noFill/>
        </a:ln>
        <a:effectLst/>
      </c:spPr>
    </c:plotArea>
    <c:legend>
      <c:legendPos val="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fr-FR"/>
        </a:p>
      </c:txPr>
    </c:legend>
    <c:plotVisOnly val="1"/>
    <c:dispBlanksAs val="gap"/>
    <c:showDLblsOverMax val="0"/>
  </c:chart>
  <c:spPr>
    <a:solidFill>
      <a:schemeClr val="bg1"/>
    </a:solidFill>
    <a:ln w="6350" cap="flat" cmpd="sng" algn="ctr">
      <a:noFill/>
      <a:prstDash val="solid"/>
      <a:round/>
    </a:ln>
    <a:effectLst/>
  </c:spPr>
  <c:txPr>
    <a:bodyPr/>
    <a:lstStyle/>
    <a:p>
      <a:pPr>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Feuil1!$O$44</c:f>
              <c:strCache>
                <c:ptCount val="1"/>
                <c:pt idx="0">
                  <c:v>Urbain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Feuil1!$N$45:$N$49</c:f>
              <c:strCache>
                <c:ptCount val="5"/>
                <c:pt idx="0">
                  <c:v>Agriculture, forêt et pêche</c:v>
                </c:pt>
                <c:pt idx="1">
                  <c:v>Industrie (y compris artisanat)</c:v>
                </c:pt>
                <c:pt idx="2">
                  <c:v>BTP</c:v>
                </c:pt>
                <c:pt idx="3">
                  <c:v>Services</c:v>
                </c:pt>
                <c:pt idx="4">
                  <c:v>Ensemble</c:v>
                </c:pt>
              </c:strCache>
            </c:strRef>
          </c:cat>
          <c:val>
            <c:numRef>
              <c:f>Feuil1!$O$45:$O$49</c:f>
              <c:numCache>
                <c:formatCode>General</c:formatCode>
                <c:ptCount val="5"/>
                <c:pt idx="0">
                  <c:v>-11000</c:v>
                </c:pt>
                <c:pt idx="1">
                  <c:v>-12000</c:v>
                </c:pt>
                <c:pt idx="2">
                  <c:v>53000</c:v>
                </c:pt>
                <c:pt idx="3">
                  <c:v>74000</c:v>
                </c:pt>
                <c:pt idx="4">
                  <c:v>100000</c:v>
                </c:pt>
              </c:numCache>
            </c:numRef>
          </c:val>
          <c:extLst xmlns:c16r2="http://schemas.microsoft.com/office/drawing/2015/06/chart">
            <c:ext xmlns:c16="http://schemas.microsoft.com/office/drawing/2014/chart" uri="{C3380CC4-5D6E-409C-BE32-E72D297353CC}">
              <c16:uniqueId val="{00000000-2BF4-4A94-A186-EE6D9F85AF78}"/>
            </c:ext>
          </c:extLst>
        </c:ser>
        <c:ser>
          <c:idx val="1"/>
          <c:order val="1"/>
          <c:tx>
            <c:strRef>
              <c:f>Feuil1!$P$44</c:f>
              <c:strCache>
                <c:ptCount val="1"/>
                <c:pt idx="0">
                  <c:v>Rural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Feuil1!$N$45:$N$49</c:f>
              <c:strCache>
                <c:ptCount val="5"/>
                <c:pt idx="0">
                  <c:v>Agriculture, forêt et pêche</c:v>
                </c:pt>
                <c:pt idx="1">
                  <c:v>Industrie (y compris artisanat)</c:v>
                </c:pt>
                <c:pt idx="2">
                  <c:v>BTP</c:v>
                </c:pt>
                <c:pt idx="3">
                  <c:v>Services</c:v>
                </c:pt>
                <c:pt idx="4">
                  <c:v>Ensemble</c:v>
                </c:pt>
              </c:strCache>
            </c:strRef>
          </c:cat>
          <c:val>
            <c:numRef>
              <c:f>Feuil1!$P$45:$P$49</c:f>
              <c:numCache>
                <c:formatCode>General</c:formatCode>
                <c:ptCount val="5"/>
                <c:pt idx="0">
                  <c:v>79000</c:v>
                </c:pt>
                <c:pt idx="1">
                  <c:v>-7000</c:v>
                </c:pt>
                <c:pt idx="2">
                  <c:v>18000</c:v>
                </c:pt>
                <c:pt idx="3">
                  <c:v>41000</c:v>
                </c:pt>
                <c:pt idx="4">
                  <c:v>130000</c:v>
                </c:pt>
              </c:numCache>
            </c:numRef>
          </c:val>
          <c:extLst xmlns:c16r2="http://schemas.microsoft.com/office/drawing/2015/06/chart">
            <c:ext xmlns:c16="http://schemas.microsoft.com/office/drawing/2014/chart" uri="{C3380CC4-5D6E-409C-BE32-E72D297353CC}">
              <c16:uniqueId val="{00000001-2BF4-4A94-A186-EE6D9F85AF78}"/>
            </c:ext>
          </c:extLst>
        </c:ser>
        <c:ser>
          <c:idx val="2"/>
          <c:order val="2"/>
          <c:tx>
            <c:strRef>
              <c:f>Feuil1!$Q$44</c:f>
              <c:strCache>
                <c:ptCount val="1"/>
                <c:pt idx="0">
                  <c:v>National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fr-F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Feuil1!$N$45:$N$49</c:f>
              <c:strCache>
                <c:ptCount val="5"/>
                <c:pt idx="0">
                  <c:v>Agriculture, forêt et pêche</c:v>
                </c:pt>
                <c:pt idx="1">
                  <c:v>Industrie (y compris artisanat)</c:v>
                </c:pt>
                <c:pt idx="2">
                  <c:v>BTP</c:v>
                </c:pt>
                <c:pt idx="3">
                  <c:v>Services</c:v>
                </c:pt>
                <c:pt idx="4">
                  <c:v>Ensemble</c:v>
                </c:pt>
              </c:strCache>
            </c:strRef>
          </c:cat>
          <c:val>
            <c:numRef>
              <c:f>Feuil1!$Q$45:$Q$49</c:f>
              <c:numCache>
                <c:formatCode>General</c:formatCode>
                <c:ptCount val="5"/>
                <c:pt idx="0">
                  <c:v>68000</c:v>
                </c:pt>
                <c:pt idx="1">
                  <c:v>-19000</c:v>
                </c:pt>
                <c:pt idx="2">
                  <c:v>71000</c:v>
                </c:pt>
                <c:pt idx="3">
                  <c:v>115000</c:v>
                </c:pt>
                <c:pt idx="4">
                  <c:v>230000</c:v>
                </c:pt>
              </c:numCache>
            </c:numRef>
          </c:val>
          <c:extLst xmlns:c16r2="http://schemas.microsoft.com/office/drawing/2015/06/chart">
            <c:ext xmlns:c16="http://schemas.microsoft.com/office/drawing/2014/chart" uri="{C3380CC4-5D6E-409C-BE32-E72D297353CC}">
              <c16:uniqueId val="{00000002-2BF4-4A94-A186-EE6D9F85AF78}"/>
            </c:ext>
          </c:extLst>
        </c:ser>
        <c:dLbls>
          <c:showLegendKey val="0"/>
          <c:showVal val="1"/>
          <c:showCatName val="0"/>
          <c:showSerName val="0"/>
          <c:showPercent val="0"/>
          <c:showBubbleSize val="0"/>
        </c:dLbls>
        <c:gapWidth val="150"/>
        <c:overlap val="-25"/>
        <c:axId val="180496640"/>
        <c:axId val="180506624"/>
      </c:barChart>
      <c:catAx>
        <c:axId val="180496640"/>
        <c:scaling>
          <c:orientation val="minMax"/>
        </c:scaling>
        <c:delete val="0"/>
        <c:axPos val="b"/>
        <c:numFmt formatCode="General" sourceLinked="0"/>
        <c:majorTickMark val="none"/>
        <c:minorTickMark val="none"/>
        <c:tickLblPos val="low"/>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fr-FR"/>
          </a:p>
        </c:txPr>
        <c:crossAx val="180506624"/>
        <c:crosses val="autoZero"/>
        <c:auto val="1"/>
        <c:lblAlgn val="ctr"/>
        <c:lblOffset val="100"/>
        <c:noMultiLvlLbl val="0"/>
      </c:catAx>
      <c:valAx>
        <c:axId val="180506624"/>
        <c:scaling>
          <c:orientation val="minMax"/>
        </c:scaling>
        <c:delete val="1"/>
        <c:axPos val="l"/>
        <c:numFmt formatCode="General" sourceLinked="1"/>
        <c:majorTickMark val="none"/>
        <c:minorTickMark val="none"/>
        <c:tickLblPos val="none"/>
        <c:crossAx val="180496640"/>
        <c:crosses val="autoZero"/>
        <c:crossBetween val="between"/>
      </c:valAx>
      <c:spPr>
        <a:solidFill>
          <a:schemeClr val="bg1"/>
        </a:solidFill>
        <a:ln>
          <a:noFill/>
        </a:ln>
        <a:effectLst/>
      </c:spPr>
    </c:plotArea>
    <c:legend>
      <c:legendPos val="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fr-FR"/>
        </a:p>
      </c:txPr>
    </c:legend>
    <c:plotVisOnly val="1"/>
    <c:dispBlanksAs val="gap"/>
    <c:showDLblsOverMax val="0"/>
  </c:chart>
  <c:spPr>
    <a:solidFill>
      <a:schemeClr val="bg1"/>
    </a:solidFill>
    <a:ln w="6350" cap="flat" cmpd="sng" algn="ctr">
      <a:noFill/>
      <a:prstDash val="solid"/>
      <a:round/>
    </a:ln>
    <a:effectLst/>
  </c:spPr>
  <c:txPr>
    <a:bodyPr/>
    <a:lstStyle/>
    <a:p>
      <a:pPr>
        <a:defRPr/>
      </a:pPr>
      <a:endParaRPr lang="fr-F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170508752977055E-2"/>
          <c:y val="0"/>
          <c:w val="0.9458294912470232"/>
          <c:h val="0.65839830431737523"/>
        </c:manualLayout>
      </c:layout>
      <c:lineChart>
        <c:grouping val="standard"/>
        <c:varyColors val="0"/>
        <c:ser>
          <c:idx val="0"/>
          <c:order val="0"/>
          <c:tx>
            <c:strRef>
              <c:f>Feuil1!$C$5</c:f>
              <c:strCache>
                <c:ptCount val="1"/>
                <c:pt idx="0">
                  <c:v>Urbain</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ln>
                      <a:noFill/>
                    </a:ln>
                    <a:solidFill>
                      <a:schemeClr val="accent1"/>
                    </a:solidFill>
                    <a:latin typeface="+mn-lt"/>
                    <a:ea typeface="+mn-ea"/>
                    <a:cs typeface="+mn-cs"/>
                  </a:defRPr>
                </a:pPr>
                <a:endParaRPr lang="fr-F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Feuil1!$B$22:$B$26</c:f>
              <c:numCache>
                <c:formatCode>General</c:formatCode>
                <c:ptCount val="5"/>
                <c:pt idx="0">
                  <c:v>2017</c:v>
                </c:pt>
                <c:pt idx="1">
                  <c:v>2018</c:v>
                </c:pt>
                <c:pt idx="2">
                  <c:v>2019</c:v>
                </c:pt>
                <c:pt idx="3">
                  <c:v>2020</c:v>
                </c:pt>
                <c:pt idx="4">
                  <c:v>2021</c:v>
                </c:pt>
              </c:numCache>
            </c:numRef>
          </c:cat>
          <c:val>
            <c:numRef>
              <c:f>Feuil1!$C$22:$C$26</c:f>
              <c:numCache>
                <c:formatCode>General</c:formatCode>
                <c:ptCount val="5"/>
                <c:pt idx="0">
                  <c:v>14.7</c:v>
                </c:pt>
                <c:pt idx="1">
                  <c:v>13.8</c:v>
                </c:pt>
                <c:pt idx="2">
                  <c:v>12.9</c:v>
                </c:pt>
                <c:pt idx="3" formatCode="0.0">
                  <c:v>15.794426278166654</c:v>
                </c:pt>
                <c:pt idx="4" formatCode="0.0">
                  <c:v>16.92508412464095</c:v>
                </c:pt>
              </c:numCache>
            </c:numRef>
          </c:val>
          <c:smooth val="0"/>
          <c:extLst xmlns:c16r2="http://schemas.microsoft.com/office/drawing/2015/06/chart">
            <c:ext xmlns:c16="http://schemas.microsoft.com/office/drawing/2014/chart" uri="{C3380CC4-5D6E-409C-BE32-E72D297353CC}">
              <c16:uniqueId val="{00000000-8EA7-412E-8822-1171E05A3DB2}"/>
            </c:ext>
          </c:extLst>
        </c:ser>
        <c:ser>
          <c:idx val="1"/>
          <c:order val="1"/>
          <c:tx>
            <c:strRef>
              <c:f>Feuil1!$D$5</c:f>
              <c:strCache>
                <c:ptCount val="1"/>
                <c:pt idx="0">
                  <c:v>Rural</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ln>
                      <a:noFill/>
                    </a:ln>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Feuil1!$B$22:$B$26</c:f>
              <c:numCache>
                <c:formatCode>General</c:formatCode>
                <c:ptCount val="5"/>
                <c:pt idx="0">
                  <c:v>2017</c:v>
                </c:pt>
                <c:pt idx="1">
                  <c:v>2018</c:v>
                </c:pt>
                <c:pt idx="2">
                  <c:v>2019</c:v>
                </c:pt>
                <c:pt idx="3">
                  <c:v>2020</c:v>
                </c:pt>
                <c:pt idx="4">
                  <c:v>2021</c:v>
                </c:pt>
              </c:numCache>
            </c:numRef>
          </c:cat>
          <c:val>
            <c:numRef>
              <c:f>Feuil1!$D$22:$D$26</c:f>
              <c:numCache>
                <c:formatCode>General</c:formatCode>
                <c:ptCount val="5"/>
                <c:pt idx="0">
                  <c:v>4</c:v>
                </c:pt>
                <c:pt idx="1">
                  <c:v>3.6</c:v>
                </c:pt>
                <c:pt idx="2">
                  <c:v>3.7</c:v>
                </c:pt>
                <c:pt idx="3" formatCode="0.0">
                  <c:v>5.9280787685356975</c:v>
                </c:pt>
                <c:pt idx="4" formatCode="0.0">
                  <c:v>4.9650800405070248</c:v>
                </c:pt>
              </c:numCache>
            </c:numRef>
          </c:val>
          <c:smooth val="0"/>
          <c:extLst xmlns:c16r2="http://schemas.microsoft.com/office/drawing/2015/06/chart">
            <c:ext xmlns:c16="http://schemas.microsoft.com/office/drawing/2014/chart" uri="{C3380CC4-5D6E-409C-BE32-E72D297353CC}">
              <c16:uniqueId val="{00000001-8EA7-412E-8822-1171E05A3DB2}"/>
            </c:ext>
          </c:extLst>
        </c:ser>
        <c:ser>
          <c:idx val="2"/>
          <c:order val="2"/>
          <c:tx>
            <c:strRef>
              <c:f>Feuil1!$E$5</c:f>
              <c:strCache>
                <c:ptCount val="1"/>
                <c:pt idx="0">
                  <c:v>Ensemble</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ln>
                      <a:noFill/>
                    </a:ln>
                    <a:solidFill>
                      <a:schemeClr val="accent3"/>
                    </a:solidFill>
                    <a:latin typeface="+mn-lt"/>
                    <a:ea typeface="+mn-ea"/>
                    <a:cs typeface="+mn-cs"/>
                  </a:defRPr>
                </a:pPr>
                <a:endParaRPr lang="fr-F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Feuil1!$B$22:$B$26</c:f>
              <c:numCache>
                <c:formatCode>General</c:formatCode>
                <c:ptCount val="5"/>
                <c:pt idx="0">
                  <c:v>2017</c:v>
                </c:pt>
                <c:pt idx="1">
                  <c:v>2018</c:v>
                </c:pt>
                <c:pt idx="2">
                  <c:v>2019</c:v>
                </c:pt>
                <c:pt idx="3">
                  <c:v>2020</c:v>
                </c:pt>
                <c:pt idx="4">
                  <c:v>2021</c:v>
                </c:pt>
              </c:numCache>
            </c:numRef>
          </c:cat>
          <c:val>
            <c:numRef>
              <c:f>Feuil1!$E$22:$E$26</c:f>
              <c:numCache>
                <c:formatCode>General</c:formatCode>
                <c:ptCount val="5"/>
                <c:pt idx="0">
                  <c:v>10.200000000000001</c:v>
                </c:pt>
                <c:pt idx="1">
                  <c:v>9.5</c:v>
                </c:pt>
                <c:pt idx="2">
                  <c:v>9.2000000000000011</c:v>
                </c:pt>
                <c:pt idx="3" formatCode="0.0">
                  <c:v>11.937097252351649</c:v>
                </c:pt>
                <c:pt idx="4" formatCode="0.0">
                  <c:v>12.279773931830348</c:v>
                </c:pt>
              </c:numCache>
            </c:numRef>
          </c:val>
          <c:smooth val="0"/>
          <c:extLst xmlns:c16r2="http://schemas.microsoft.com/office/drawing/2015/06/chart">
            <c:ext xmlns:c16="http://schemas.microsoft.com/office/drawing/2014/chart" uri="{C3380CC4-5D6E-409C-BE32-E72D297353CC}">
              <c16:uniqueId val="{00000002-8EA7-412E-8822-1171E05A3DB2}"/>
            </c:ext>
          </c:extLst>
        </c:ser>
        <c:dLbls>
          <c:showLegendKey val="0"/>
          <c:showVal val="1"/>
          <c:showCatName val="0"/>
          <c:showSerName val="0"/>
          <c:showPercent val="0"/>
          <c:showBubbleSize val="0"/>
        </c:dLbls>
        <c:marker val="1"/>
        <c:smooth val="0"/>
        <c:axId val="180547584"/>
        <c:axId val="180549120"/>
      </c:lineChart>
      <c:catAx>
        <c:axId val="18054758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ln>
                  <a:noFill/>
                </a:ln>
                <a:solidFill>
                  <a:schemeClr val="dk1">
                    <a:lumMod val="65000"/>
                    <a:lumOff val="35000"/>
                  </a:schemeClr>
                </a:solidFill>
                <a:latin typeface="+mn-lt"/>
                <a:ea typeface="+mn-ea"/>
                <a:cs typeface="+mn-cs"/>
              </a:defRPr>
            </a:pPr>
            <a:endParaRPr lang="fr-FR"/>
          </a:p>
        </c:txPr>
        <c:crossAx val="180549120"/>
        <c:crosses val="autoZero"/>
        <c:auto val="1"/>
        <c:lblAlgn val="ctr"/>
        <c:lblOffset val="100"/>
        <c:noMultiLvlLbl val="0"/>
      </c:catAx>
      <c:valAx>
        <c:axId val="180549120"/>
        <c:scaling>
          <c:orientation val="minMax"/>
        </c:scaling>
        <c:delete val="1"/>
        <c:axPos val="l"/>
        <c:numFmt formatCode="General" sourceLinked="1"/>
        <c:majorTickMark val="none"/>
        <c:minorTickMark val="none"/>
        <c:tickLblPos val="none"/>
        <c:crossAx val="1805475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dk1">
                  <a:lumMod val="65000"/>
                  <a:lumOff val="35000"/>
                </a:schemeClr>
              </a:solidFill>
              <a:latin typeface="+mn-lt"/>
              <a:ea typeface="+mn-ea"/>
              <a:cs typeface="+mn-cs"/>
            </a:defRPr>
          </a:pPr>
          <a:endParaRPr lang="fr-FR"/>
        </a:p>
      </c:txPr>
    </c:legend>
    <c:plotVisOnly val="1"/>
    <c:dispBlanksAs val="gap"/>
    <c:showDLblsOverMax val="0"/>
  </c:chart>
  <c:spPr>
    <a:solidFill>
      <a:schemeClr val="lt1"/>
    </a:solidFill>
    <a:ln w="9525" cap="flat" cmpd="sng" algn="ctr">
      <a:noFill/>
      <a:round/>
    </a:ln>
    <a:effectLst/>
  </c:spPr>
  <c:txPr>
    <a:bodyPr/>
    <a:lstStyle/>
    <a:p>
      <a:pPr>
        <a:defRPr>
          <a:ln>
            <a:noFill/>
          </a:ln>
        </a:defRPr>
      </a:pPr>
      <a:endParaRPr lang="fr-F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'[2021 - Note sur les chiffres clés - Annexe -DEE.xlsx]2021'!$B$71</c:f>
              <c:strCache>
                <c:ptCount val="1"/>
                <c:pt idx="0">
                  <c:v>2020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'[2021 - Note sur les chiffres clés - Annexe -DEE.xlsx]2021'!$A$72:$A$79</c:f>
              <c:strCache>
                <c:ptCount val="8"/>
                <c:pt idx="0">
                  <c:v>Urbain</c:v>
                </c:pt>
                <c:pt idx="1">
                  <c:v>Rural</c:v>
                </c:pt>
                <c:pt idx="2">
                  <c:v>Masculin</c:v>
                </c:pt>
                <c:pt idx="3">
                  <c:v>Féminin</c:v>
                </c:pt>
                <c:pt idx="4">
                  <c:v>15-24 ans</c:v>
                </c:pt>
                <c:pt idx="5">
                  <c:v>Aucun diplôme</c:v>
                </c:pt>
                <c:pt idx="6">
                  <c:v>Ayant un diplôme</c:v>
                </c:pt>
                <c:pt idx="7">
                  <c:v>National</c:v>
                </c:pt>
              </c:strCache>
            </c:strRef>
          </c:cat>
          <c:val>
            <c:numRef>
              <c:f>'[2021 - Note sur les chiffres clés - Annexe -DEE.xlsx]2021'!$B$72:$B$79</c:f>
              <c:numCache>
                <c:formatCode>0.0</c:formatCode>
                <c:ptCount val="8"/>
                <c:pt idx="0">
                  <c:v>15.794426278166654</c:v>
                </c:pt>
                <c:pt idx="1">
                  <c:v>5.9280787685356975</c:v>
                </c:pt>
                <c:pt idx="2">
                  <c:v>10.687671268061772</c:v>
                </c:pt>
                <c:pt idx="3">
                  <c:v>16.221183345327656</c:v>
                </c:pt>
                <c:pt idx="4">
                  <c:v>31.157975483144547</c:v>
                </c:pt>
                <c:pt idx="5">
                  <c:v>5.5584720325138495</c:v>
                </c:pt>
                <c:pt idx="6">
                  <c:v>18.476765317937232</c:v>
                </c:pt>
                <c:pt idx="7">
                  <c:v>11.937097252351649</c:v>
                </c:pt>
              </c:numCache>
            </c:numRef>
          </c:val>
          <c:extLst xmlns:c16r2="http://schemas.microsoft.com/office/drawing/2015/06/chart">
            <c:ext xmlns:c16="http://schemas.microsoft.com/office/drawing/2014/chart" uri="{C3380CC4-5D6E-409C-BE32-E72D297353CC}">
              <c16:uniqueId val="{00000000-AB45-4C05-BCCC-0E4613B9A5F3}"/>
            </c:ext>
          </c:extLst>
        </c:ser>
        <c:ser>
          <c:idx val="1"/>
          <c:order val="1"/>
          <c:tx>
            <c:strRef>
              <c:f>'[2021 - Note sur les chiffres clés - Annexe -DEE.xlsx]2021'!$C$71</c:f>
              <c:strCache>
                <c:ptCount val="1"/>
                <c:pt idx="0">
                  <c:v>2021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'[2021 - Note sur les chiffres clés - Annexe -DEE.xlsx]2021'!$A$72:$A$79</c:f>
              <c:strCache>
                <c:ptCount val="8"/>
                <c:pt idx="0">
                  <c:v>Urbain</c:v>
                </c:pt>
                <c:pt idx="1">
                  <c:v>Rural</c:v>
                </c:pt>
                <c:pt idx="2">
                  <c:v>Masculin</c:v>
                </c:pt>
                <c:pt idx="3">
                  <c:v>Féminin</c:v>
                </c:pt>
                <c:pt idx="4">
                  <c:v>15-24 ans</c:v>
                </c:pt>
                <c:pt idx="5">
                  <c:v>Aucun diplôme</c:v>
                </c:pt>
                <c:pt idx="6">
                  <c:v>Ayant un diplôme</c:v>
                </c:pt>
                <c:pt idx="7">
                  <c:v>National</c:v>
                </c:pt>
              </c:strCache>
            </c:strRef>
          </c:cat>
          <c:val>
            <c:numRef>
              <c:f>'[2021 - Note sur les chiffres clés - Annexe -DEE.xlsx]2021'!$C$72:$C$79</c:f>
              <c:numCache>
                <c:formatCode>0.0</c:formatCode>
                <c:ptCount val="8"/>
                <c:pt idx="0">
                  <c:v>16.92508412464095</c:v>
                </c:pt>
                <c:pt idx="1">
                  <c:v>4.9650800405070248</c:v>
                </c:pt>
                <c:pt idx="2">
                  <c:v>10.90122459805006</c:v>
                </c:pt>
                <c:pt idx="3">
                  <c:v>16.776603176394968</c:v>
                </c:pt>
                <c:pt idx="4">
                  <c:v>31.759516929345821</c:v>
                </c:pt>
                <c:pt idx="5">
                  <c:v>4.5548541008362466</c:v>
                </c:pt>
                <c:pt idx="6">
                  <c:v>19.586943075831801</c:v>
                </c:pt>
                <c:pt idx="7">
                  <c:v>12.279773931830348</c:v>
                </c:pt>
              </c:numCache>
            </c:numRef>
          </c:val>
          <c:extLst xmlns:c16r2="http://schemas.microsoft.com/office/drawing/2015/06/chart">
            <c:ext xmlns:c16="http://schemas.microsoft.com/office/drawing/2014/chart" uri="{C3380CC4-5D6E-409C-BE32-E72D297353CC}">
              <c16:uniqueId val="{00000001-AB45-4C05-BCCC-0E4613B9A5F3}"/>
            </c:ext>
          </c:extLst>
        </c:ser>
        <c:dLbls>
          <c:showLegendKey val="0"/>
          <c:showVal val="1"/>
          <c:showCatName val="0"/>
          <c:showSerName val="0"/>
          <c:showPercent val="0"/>
          <c:showBubbleSize val="0"/>
        </c:dLbls>
        <c:gapWidth val="100"/>
        <c:overlap val="-24"/>
        <c:axId val="180264960"/>
        <c:axId val="180266496"/>
      </c:barChart>
      <c:catAx>
        <c:axId val="1802649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0266496"/>
        <c:crosses val="autoZero"/>
        <c:auto val="1"/>
        <c:lblAlgn val="ctr"/>
        <c:lblOffset val="100"/>
        <c:noMultiLvlLbl val="0"/>
      </c:catAx>
      <c:valAx>
        <c:axId val="180266496"/>
        <c:scaling>
          <c:orientation val="minMax"/>
        </c:scaling>
        <c:delete val="1"/>
        <c:axPos val="l"/>
        <c:numFmt formatCode="0.0" sourceLinked="1"/>
        <c:majorTickMark val="none"/>
        <c:minorTickMark val="none"/>
        <c:tickLblPos val="none"/>
        <c:crossAx val="180264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'[2021 - Note sur les chiffres clés - Annexe -DEE.xlsx]2021'!$F$91</c:f>
              <c:strCache>
                <c:ptCount val="1"/>
                <c:pt idx="0">
                  <c:v>2020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'[2021 - Note sur les chiffres clés - Annexe -DEE.xlsx]2021'!$E$92:$E$94</c:f>
              <c:strCache>
                <c:ptCount val="3"/>
                <c:pt idx="0">
                  <c:v>Urbain</c:v>
                </c:pt>
                <c:pt idx="1">
                  <c:v>Rural</c:v>
                </c:pt>
                <c:pt idx="2">
                  <c:v>National</c:v>
                </c:pt>
              </c:strCache>
            </c:strRef>
          </c:cat>
          <c:val>
            <c:numRef>
              <c:f>'[2021 - Note sur les chiffres clés - Annexe -DEE.xlsx]2021'!$F$92:$F$94</c:f>
              <c:numCache>
                <c:formatCode>0.0</c:formatCode>
                <c:ptCount val="3"/>
                <c:pt idx="0">
                  <c:v>10.105137972640023</c:v>
                </c:pt>
                <c:pt idx="1">
                  <c:v>11.564099535690367</c:v>
                </c:pt>
                <c:pt idx="2">
                  <c:v>10.714637644196461</c:v>
                </c:pt>
              </c:numCache>
            </c:numRef>
          </c:val>
          <c:extLst xmlns:c16r2="http://schemas.microsoft.com/office/drawing/2015/06/chart">
            <c:ext xmlns:c16="http://schemas.microsoft.com/office/drawing/2014/chart" uri="{C3380CC4-5D6E-409C-BE32-E72D297353CC}">
              <c16:uniqueId val="{00000000-7DBA-4FDD-81F8-401E92C2FD2E}"/>
            </c:ext>
          </c:extLst>
        </c:ser>
        <c:ser>
          <c:idx val="1"/>
          <c:order val="1"/>
          <c:tx>
            <c:strRef>
              <c:f>'[2021 - Note sur les chiffres clés - Annexe -DEE.xlsx]2021'!$G$91</c:f>
              <c:strCache>
                <c:ptCount val="1"/>
                <c:pt idx="0">
                  <c:v>2021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'[2021 - Note sur les chiffres clés - Annexe -DEE.xlsx]2021'!$E$92:$E$94</c:f>
              <c:strCache>
                <c:ptCount val="3"/>
                <c:pt idx="0">
                  <c:v>Urbain</c:v>
                </c:pt>
                <c:pt idx="1">
                  <c:v>Rural</c:v>
                </c:pt>
                <c:pt idx="2">
                  <c:v>National</c:v>
                </c:pt>
              </c:strCache>
            </c:strRef>
          </c:cat>
          <c:val>
            <c:numRef>
              <c:f>'[2021 - Note sur les chiffres clés - Annexe -DEE.xlsx]2021'!$G$92:$G$94</c:f>
              <c:numCache>
                <c:formatCode>0.0</c:formatCode>
                <c:ptCount val="3"/>
                <c:pt idx="0">
                  <c:v>8.8142148769308335</c:v>
                </c:pt>
                <c:pt idx="1">
                  <c:v>9.987120716109585</c:v>
                </c:pt>
                <c:pt idx="2">
                  <c:v>9.3077803010545725</c:v>
                </c:pt>
              </c:numCache>
            </c:numRef>
          </c:val>
          <c:extLst xmlns:c16r2="http://schemas.microsoft.com/office/drawing/2015/06/chart">
            <c:ext xmlns:c16="http://schemas.microsoft.com/office/drawing/2014/chart" uri="{C3380CC4-5D6E-409C-BE32-E72D297353CC}">
              <c16:uniqueId val="{00000001-7DBA-4FDD-81F8-401E92C2FD2E}"/>
            </c:ext>
          </c:extLst>
        </c:ser>
        <c:dLbls>
          <c:showLegendKey val="0"/>
          <c:showVal val="1"/>
          <c:showCatName val="0"/>
          <c:showSerName val="0"/>
          <c:showPercent val="0"/>
          <c:showBubbleSize val="0"/>
        </c:dLbls>
        <c:gapWidth val="100"/>
        <c:overlap val="-24"/>
        <c:axId val="180297088"/>
        <c:axId val="180298880"/>
      </c:barChart>
      <c:catAx>
        <c:axId val="1802970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0298880"/>
        <c:crosses val="autoZero"/>
        <c:auto val="1"/>
        <c:lblAlgn val="ctr"/>
        <c:lblOffset val="100"/>
        <c:noMultiLvlLbl val="0"/>
      </c:catAx>
      <c:valAx>
        <c:axId val="180298880"/>
        <c:scaling>
          <c:orientation val="minMax"/>
        </c:scaling>
        <c:delete val="1"/>
        <c:axPos val="l"/>
        <c:numFmt formatCode="0.0" sourceLinked="1"/>
        <c:majorTickMark val="none"/>
        <c:minorTickMark val="none"/>
        <c:tickLblPos val="none"/>
        <c:crossAx val="1802970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'2021.REG'!$B$44</c:f>
              <c:strCache>
                <c:ptCount val="1"/>
                <c:pt idx="0">
                  <c:v>Urbain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itchFamily="18" charset="0"/>
                    <a:ea typeface="+mn-ea"/>
                    <a:cs typeface="Times New Roman" pitchFamily="18" charset="0"/>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'2021.REG'!$A$45:$A$55</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 du Sud</c:v>
                </c:pt>
                <c:pt idx="10">
                  <c:v>National</c:v>
                </c:pt>
              </c:strCache>
            </c:strRef>
          </c:cat>
          <c:val>
            <c:numRef>
              <c:f>'2021.REG'!$B$45:$B$55</c:f>
              <c:numCache>
                <c:formatCode>0.0</c:formatCode>
                <c:ptCount val="11"/>
                <c:pt idx="0">
                  <c:v>45.391673736779957</c:v>
                </c:pt>
                <c:pt idx="1">
                  <c:v>40.674980085144284</c:v>
                </c:pt>
                <c:pt idx="2">
                  <c:v>39.203124143433584</c:v>
                </c:pt>
                <c:pt idx="3">
                  <c:v>42.165501249175726</c:v>
                </c:pt>
                <c:pt idx="4">
                  <c:v>37.725896737602604</c:v>
                </c:pt>
                <c:pt idx="5">
                  <c:v>44.813299079067207</c:v>
                </c:pt>
                <c:pt idx="6">
                  <c:v>41.896344927951795</c:v>
                </c:pt>
                <c:pt idx="7">
                  <c:v>38.478199064018497</c:v>
                </c:pt>
                <c:pt idx="8">
                  <c:v>41.602235046044171</c:v>
                </c:pt>
                <c:pt idx="9">
                  <c:v>42.787375155915036</c:v>
                </c:pt>
                <c:pt idx="10">
                  <c:v>42.29010002784478</c:v>
                </c:pt>
              </c:numCache>
            </c:numRef>
          </c:val>
          <c:extLst xmlns:c16r2="http://schemas.microsoft.com/office/drawing/2015/06/chart">
            <c:ext xmlns:c16="http://schemas.microsoft.com/office/drawing/2014/chart" uri="{C3380CC4-5D6E-409C-BE32-E72D297353CC}">
              <c16:uniqueId val="{00000000-79D6-4AAE-8CAC-C3796E85BDB9}"/>
            </c:ext>
          </c:extLst>
        </c:ser>
        <c:ser>
          <c:idx val="1"/>
          <c:order val="1"/>
          <c:tx>
            <c:strRef>
              <c:f>'2021.REG'!$C$44</c:f>
              <c:strCache>
                <c:ptCount val="1"/>
                <c:pt idx="0">
                  <c:v>Rural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itchFamily="18" charset="0"/>
                    <a:ea typeface="+mn-ea"/>
                    <a:cs typeface="Times New Roman" pitchFamily="18" charset="0"/>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'2021.REG'!$A$45:$A$55</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 du Sud</c:v>
                </c:pt>
                <c:pt idx="10">
                  <c:v>National</c:v>
                </c:pt>
              </c:strCache>
            </c:strRef>
          </c:cat>
          <c:val>
            <c:numRef>
              <c:f>'2021.REG'!$C$45:$C$55</c:f>
              <c:numCache>
                <c:formatCode>0.0</c:formatCode>
                <c:ptCount val="11"/>
                <c:pt idx="0">
                  <c:v>57.575850362801965</c:v>
                </c:pt>
                <c:pt idx="1">
                  <c:v>47.370630226665192</c:v>
                </c:pt>
                <c:pt idx="2">
                  <c:v>48.136908385865063</c:v>
                </c:pt>
                <c:pt idx="3">
                  <c:v>50.175723814107606</c:v>
                </c:pt>
                <c:pt idx="4">
                  <c:v>52.177850872305939</c:v>
                </c:pt>
                <c:pt idx="5">
                  <c:v>58.280650486493094</c:v>
                </c:pt>
                <c:pt idx="6">
                  <c:v>51.020602553847944</c:v>
                </c:pt>
                <c:pt idx="7">
                  <c:v>46.593120726316478</c:v>
                </c:pt>
                <c:pt idx="8">
                  <c:v>40.770395780847643</c:v>
                </c:pt>
                <c:pt idx="9">
                  <c:v>51.472807418892508</c:v>
                </c:pt>
                <c:pt idx="10">
                  <c:v>50.919123518541852</c:v>
                </c:pt>
              </c:numCache>
            </c:numRef>
          </c:val>
          <c:extLst xmlns:c16r2="http://schemas.microsoft.com/office/drawing/2015/06/chart">
            <c:ext xmlns:c16="http://schemas.microsoft.com/office/drawing/2014/chart" uri="{C3380CC4-5D6E-409C-BE32-E72D297353CC}">
              <c16:uniqueId val="{00000001-79D6-4AAE-8CAC-C3796E85BDB9}"/>
            </c:ext>
          </c:extLst>
        </c:ser>
        <c:ser>
          <c:idx val="2"/>
          <c:order val="2"/>
          <c:tx>
            <c:strRef>
              <c:f>'2021.REG'!$D$44</c:f>
              <c:strCache>
                <c:ptCount val="1"/>
                <c:pt idx="0">
                  <c:v>Ensemble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itchFamily="18" charset="0"/>
                    <a:ea typeface="+mn-ea"/>
                    <a:cs typeface="Times New Roman" pitchFamily="18" charset="0"/>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'2021.REG'!$A$45:$A$55</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 du Sud</c:v>
                </c:pt>
                <c:pt idx="10">
                  <c:v>National</c:v>
                </c:pt>
              </c:strCache>
            </c:strRef>
          </c:cat>
          <c:val>
            <c:numRef>
              <c:f>'2021.REG'!$D$45:$D$55</c:f>
              <c:numCache>
                <c:formatCode>0.0</c:formatCode>
                <c:ptCount val="11"/>
                <c:pt idx="0">
                  <c:v>49.758861647116845</c:v>
                </c:pt>
                <c:pt idx="1">
                  <c:v>42.485904374212545</c:v>
                </c:pt>
                <c:pt idx="2">
                  <c:v>42.282002730266214</c:v>
                </c:pt>
                <c:pt idx="3">
                  <c:v>44.215935015166963</c:v>
                </c:pt>
                <c:pt idx="4">
                  <c:v>44.425851765786149</c:v>
                </c:pt>
                <c:pt idx="5">
                  <c:v>47.704959080945848</c:v>
                </c:pt>
                <c:pt idx="6">
                  <c:v>46.792014625587562</c:v>
                </c:pt>
                <c:pt idx="7">
                  <c:v>43.558561565823709</c:v>
                </c:pt>
                <c:pt idx="8">
                  <c:v>41.291863930661592</c:v>
                </c:pt>
                <c:pt idx="9">
                  <c:v>44.469498280890654</c:v>
                </c:pt>
                <c:pt idx="10">
                  <c:v>45.269801191954251</c:v>
                </c:pt>
              </c:numCache>
            </c:numRef>
          </c:val>
          <c:extLst xmlns:c16r2="http://schemas.microsoft.com/office/drawing/2015/06/chart">
            <c:ext xmlns:c16="http://schemas.microsoft.com/office/drawing/2014/chart" uri="{C3380CC4-5D6E-409C-BE32-E72D297353CC}">
              <c16:uniqueId val="{00000002-79D6-4AAE-8CAC-C3796E85BDB9}"/>
            </c:ext>
          </c:extLst>
        </c:ser>
        <c:dLbls>
          <c:showLegendKey val="0"/>
          <c:showVal val="1"/>
          <c:showCatName val="0"/>
          <c:showSerName val="0"/>
          <c:showPercent val="0"/>
          <c:showBubbleSize val="0"/>
        </c:dLbls>
        <c:gapWidth val="150"/>
        <c:axId val="180343552"/>
        <c:axId val="180345088"/>
      </c:barChart>
      <c:catAx>
        <c:axId val="180343552"/>
        <c:scaling>
          <c:orientation val="minMax"/>
        </c:scaling>
        <c:delete val="0"/>
        <c:axPos val="l"/>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itchFamily="18" charset="0"/>
                <a:ea typeface="+mn-ea"/>
                <a:cs typeface="Times New Roman" pitchFamily="18" charset="0"/>
              </a:defRPr>
            </a:pPr>
            <a:endParaRPr lang="fr-FR"/>
          </a:p>
        </c:txPr>
        <c:crossAx val="180345088"/>
        <c:crosses val="autoZero"/>
        <c:auto val="1"/>
        <c:lblAlgn val="ctr"/>
        <c:lblOffset val="100"/>
        <c:noMultiLvlLbl val="0"/>
      </c:catAx>
      <c:valAx>
        <c:axId val="180345088"/>
        <c:scaling>
          <c:orientation val="minMax"/>
        </c:scaling>
        <c:delete val="1"/>
        <c:axPos val="b"/>
        <c:numFmt formatCode="0.0" sourceLinked="1"/>
        <c:majorTickMark val="out"/>
        <c:minorTickMark val="none"/>
        <c:tickLblPos val="none"/>
        <c:crossAx val="180343552"/>
        <c:crosses val="autoZero"/>
        <c:crossBetween val="between"/>
      </c:valAx>
      <c:spPr>
        <a:solidFill>
          <a:schemeClr val="bg1"/>
        </a:solid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itchFamily="18" charset="0"/>
              <a:ea typeface="+mn-ea"/>
              <a:cs typeface="Times New Roman" pitchFamily="18" charset="0"/>
            </a:defRPr>
          </a:pPr>
          <a:endParaRPr lang="fr-FR"/>
        </a:p>
      </c:txPr>
    </c:legend>
    <c:plotVisOnly val="1"/>
    <c:dispBlanksAs val="gap"/>
    <c:showDLblsOverMax val="0"/>
  </c:chart>
  <c:spPr>
    <a:noFill/>
    <a:ln w="6350" cap="flat" cmpd="sng" algn="ctr">
      <a:noFill/>
      <a:prstDash val="solid"/>
      <a:round/>
    </a:ln>
    <a:effectLst/>
  </c:spPr>
  <c:txPr>
    <a:bodyPr/>
    <a:lstStyle/>
    <a:p>
      <a:pPr>
        <a:defRPr/>
      </a:pPr>
      <a:endParaRPr lang="fr-F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'2021.REG'!$B$58</c:f>
              <c:strCache>
                <c:ptCount val="1"/>
                <c:pt idx="0">
                  <c:v>Urbain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itchFamily="18" charset="0"/>
                    <a:ea typeface="+mn-ea"/>
                    <a:cs typeface="Times New Roman" pitchFamily="18" charset="0"/>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'2021.REG'!$A$59:$A$69</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 du Sud</c:v>
                </c:pt>
                <c:pt idx="10">
                  <c:v>National</c:v>
                </c:pt>
              </c:strCache>
            </c:strRef>
          </c:cat>
          <c:val>
            <c:numRef>
              <c:f>'2021.REG'!$B$59:$B$69</c:f>
              <c:numCache>
                <c:formatCode>0.0</c:formatCode>
                <c:ptCount val="11"/>
                <c:pt idx="0">
                  <c:v>15.484709402815891</c:v>
                </c:pt>
                <c:pt idx="1">
                  <c:v>20.821886520037697</c:v>
                </c:pt>
                <c:pt idx="2">
                  <c:v>18.946695477226694</c:v>
                </c:pt>
                <c:pt idx="3">
                  <c:v>15.073670511714139</c:v>
                </c:pt>
                <c:pt idx="4">
                  <c:v>14.356672580052814</c:v>
                </c:pt>
                <c:pt idx="5">
                  <c:v>18.198251583929938</c:v>
                </c:pt>
                <c:pt idx="6">
                  <c:v>13.877500755750432</c:v>
                </c:pt>
                <c:pt idx="7">
                  <c:v>15.988793846092145</c:v>
                </c:pt>
                <c:pt idx="8">
                  <c:v>14.373348887905665</c:v>
                </c:pt>
                <c:pt idx="9">
                  <c:v>22.879705185814423</c:v>
                </c:pt>
                <c:pt idx="10">
                  <c:v>16.92508412464095</c:v>
                </c:pt>
              </c:numCache>
            </c:numRef>
          </c:val>
          <c:extLst xmlns:c16r2="http://schemas.microsoft.com/office/drawing/2015/06/chart">
            <c:ext xmlns:c16="http://schemas.microsoft.com/office/drawing/2014/chart" uri="{C3380CC4-5D6E-409C-BE32-E72D297353CC}">
              <c16:uniqueId val="{00000000-740C-4C1A-AA87-298B038F1749}"/>
            </c:ext>
          </c:extLst>
        </c:ser>
        <c:ser>
          <c:idx val="1"/>
          <c:order val="1"/>
          <c:tx>
            <c:strRef>
              <c:f>'2021.REG'!$C$58</c:f>
              <c:strCache>
                <c:ptCount val="1"/>
                <c:pt idx="0">
                  <c:v>Rural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itchFamily="18" charset="0"/>
                    <a:ea typeface="+mn-ea"/>
                    <a:cs typeface="Times New Roman" pitchFamily="18" charset="0"/>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'2021.REG'!$A$59:$A$69</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 du Sud</c:v>
                </c:pt>
                <c:pt idx="10">
                  <c:v>National</c:v>
                </c:pt>
              </c:strCache>
            </c:strRef>
          </c:cat>
          <c:val>
            <c:numRef>
              <c:f>'2021.REG'!$C$59:$C$69</c:f>
              <c:numCache>
                <c:formatCode>0.0</c:formatCode>
                <c:ptCount val="11"/>
                <c:pt idx="0">
                  <c:v>3.1786040421021204</c:v>
                </c:pt>
                <c:pt idx="1">
                  <c:v>11.880759216550848</c:v>
                </c:pt>
                <c:pt idx="2">
                  <c:v>4.72453742402827</c:v>
                </c:pt>
                <c:pt idx="3">
                  <c:v>5.2615983749452555</c:v>
                </c:pt>
                <c:pt idx="4">
                  <c:v>5.530593241964481</c:v>
                </c:pt>
                <c:pt idx="5">
                  <c:v>4.3426687714762107</c:v>
                </c:pt>
                <c:pt idx="6">
                  <c:v>3.1879925404534446</c:v>
                </c:pt>
                <c:pt idx="7">
                  <c:v>6.3874725666243863</c:v>
                </c:pt>
                <c:pt idx="8">
                  <c:v>5.9295971330476585</c:v>
                </c:pt>
                <c:pt idx="9">
                  <c:v>10.521409461852238</c:v>
                </c:pt>
                <c:pt idx="10">
                  <c:v>4.9650800405070248</c:v>
                </c:pt>
              </c:numCache>
            </c:numRef>
          </c:val>
          <c:extLst xmlns:c16r2="http://schemas.microsoft.com/office/drawing/2015/06/chart">
            <c:ext xmlns:c16="http://schemas.microsoft.com/office/drawing/2014/chart" uri="{C3380CC4-5D6E-409C-BE32-E72D297353CC}">
              <c16:uniqueId val="{00000001-740C-4C1A-AA87-298B038F1749}"/>
            </c:ext>
          </c:extLst>
        </c:ser>
        <c:ser>
          <c:idx val="2"/>
          <c:order val="2"/>
          <c:tx>
            <c:strRef>
              <c:f>'2021.REG'!$D$58</c:f>
              <c:strCache>
                <c:ptCount val="1"/>
                <c:pt idx="0">
                  <c:v>Ensemble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itchFamily="18" charset="0"/>
                    <a:ea typeface="+mn-ea"/>
                    <a:cs typeface="Times New Roman" pitchFamily="18" charset="0"/>
                  </a:defRPr>
                </a:pPr>
                <a:endParaRPr lang="fr-F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'2021.REG'!$A$59:$A$69</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 du Sud</c:v>
                </c:pt>
                <c:pt idx="10">
                  <c:v>National</c:v>
                </c:pt>
              </c:strCache>
            </c:strRef>
          </c:cat>
          <c:val>
            <c:numRef>
              <c:f>'2021.REG'!$D$59:$D$69</c:f>
              <c:numCache>
                <c:formatCode>0.0</c:formatCode>
                <c:ptCount val="11"/>
                <c:pt idx="0">
                  <c:v>10.380878857523685</c:v>
                </c:pt>
                <c:pt idx="1">
                  <c:v>18.12561195684674</c:v>
                </c:pt>
                <c:pt idx="2">
                  <c:v>13.366553508195256</c:v>
                </c:pt>
                <c:pt idx="3">
                  <c:v>12.223461379905528</c:v>
                </c:pt>
                <c:pt idx="4">
                  <c:v>9.5508961393333678</c:v>
                </c:pt>
                <c:pt idx="5">
                  <c:v>14.563701176399302</c:v>
                </c:pt>
                <c:pt idx="6">
                  <c:v>7.6236698492930728</c:v>
                </c:pt>
                <c:pt idx="7">
                  <c:v>9.5591096481442861</c:v>
                </c:pt>
                <c:pt idx="8">
                  <c:v>11.262651410662077</c:v>
                </c:pt>
                <c:pt idx="9">
                  <c:v>20.10931746582277</c:v>
                </c:pt>
                <c:pt idx="10">
                  <c:v>12.279773931830348</c:v>
                </c:pt>
              </c:numCache>
            </c:numRef>
          </c:val>
          <c:extLst xmlns:c16r2="http://schemas.microsoft.com/office/drawing/2015/06/chart">
            <c:ext xmlns:c16="http://schemas.microsoft.com/office/drawing/2014/chart" uri="{C3380CC4-5D6E-409C-BE32-E72D297353CC}">
              <c16:uniqueId val="{00000002-740C-4C1A-AA87-298B038F1749}"/>
            </c:ext>
          </c:extLst>
        </c:ser>
        <c:dLbls>
          <c:showLegendKey val="0"/>
          <c:showVal val="1"/>
          <c:showCatName val="0"/>
          <c:showSerName val="0"/>
          <c:showPercent val="0"/>
          <c:showBubbleSize val="0"/>
        </c:dLbls>
        <c:gapWidth val="150"/>
        <c:axId val="180389760"/>
        <c:axId val="180391296"/>
      </c:barChart>
      <c:catAx>
        <c:axId val="180389760"/>
        <c:scaling>
          <c:orientation val="minMax"/>
        </c:scaling>
        <c:delete val="0"/>
        <c:axPos val="l"/>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fr-FR"/>
          </a:p>
        </c:txPr>
        <c:crossAx val="180391296"/>
        <c:crosses val="autoZero"/>
        <c:auto val="1"/>
        <c:lblAlgn val="ctr"/>
        <c:lblOffset val="100"/>
        <c:noMultiLvlLbl val="0"/>
      </c:catAx>
      <c:valAx>
        <c:axId val="180391296"/>
        <c:scaling>
          <c:orientation val="minMax"/>
        </c:scaling>
        <c:delete val="1"/>
        <c:axPos val="b"/>
        <c:numFmt formatCode="0.0" sourceLinked="1"/>
        <c:majorTickMark val="out"/>
        <c:minorTickMark val="none"/>
        <c:tickLblPos val="none"/>
        <c:crossAx val="180389760"/>
        <c:crosses val="autoZero"/>
        <c:crossBetween val="between"/>
      </c:valAx>
      <c:spPr>
        <a:solidFill>
          <a:schemeClr val="bg1"/>
        </a:solidFill>
        <a:ln>
          <a:noFill/>
        </a:ln>
        <a:effectLst/>
      </c:spPr>
    </c:plotArea>
    <c:legend>
      <c:legendPos val="r"/>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fr-FR"/>
        </a:p>
      </c:txPr>
    </c:legend>
    <c:plotVisOnly val="1"/>
    <c:dispBlanksAs val="gap"/>
    <c:showDLblsOverMax val="0"/>
  </c:chart>
  <c:spPr>
    <a:noFill/>
    <a:ln w="6350" cap="flat" cmpd="sng" algn="ctr">
      <a:noFill/>
      <a:prstDash val="solid"/>
      <a:round/>
    </a:ln>
    <a:effectLst/>
  </c:spPr>
  <c:txPr>
    <a:bodyPr/>
    <a:lstStyle/>
    <a:p>
      <a:pPr>
        <a:defRPr>
          <a:latin typeface="Times New Roman" pitchFamily="18" charset="0"/>
          <a:cs typeface="Times New Roman" pitchFamily="18" charset="0"/>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CA763-5A25-4C76-94C5-FA98BA35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2174</Words>
  <Characters>11959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2022-02-01T14:43:00Z</cp:lastPrinted>
  <dcterms:created xsi:type="dcterms:W3CDTF">2022-06-05T07:32:00Z</dcterms:created>
  <dcterms:modified xsi:type="dcterms:W3CDTF">2022-06-05T07:32:00Z</dcterms:modified>
</cp:coreProperties>
</file>