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4B7" w:rsidRDefault="001704B7" w:rsidP="0032191A">
      <w:pPr>
        <w:pStyle w:val="NormalWeb"/>
        <w:spacing w:before="0" w:beforeAutospacing="0" w:after="0" w:afterAutospacing="0"/>
        <w:jc w:val="center"/>
        <w:rPr>
          <w:b/>
          <w:bCs/>
          <w:rtl/>
          <w:lang w:bidi="ar-MA"/>
        </w:rPr>
      </w:pPr>
    </w:p>
    <w:p w:rsidR="0097276B" w:rsidRDefault="00647198" w:rsidP="0032191A">
      <w:pPr>
        <w:pStyle w:val="NormalWeb"/>
        <w:spacing w:before="0" w:beforeAutospacing="0" w:after="0" w:afterAutospacing="0"/>
        <w:jc w:val="center"/>
        <w:rPr>
          <w:b/>
          <w:bCs/>
        </w:rPr>
      </w:pPr>
      <w:r>
        <w:rPr>
          <w:b/>
          <w:bCs/>
        </w:rPr>
        <w:tab/>
      </w:r>
    </w:p>
    <w:p w:rsidR="0097276B" w:rsidRDefault="0097276B" w:rsidP="0032191A">
      <w:pPr>
        <w:pStyle w:val="NormalWeb"/>
        <w:spacing w:before="0" w:beforeAutospacing="0" w:after="0" w:afterAutospacing="0"/>
        <w:jc w:val="center"/>
        <w:rPr>
          <w:b/>
          <w:bCs/>
        </w:rPr>
      </w:pPr>
    </w:p>
    <w:p w:rsidR="0097276B" w:rsidRDefault="00CA7465" w:rsidP="0032191A">
      <w:pPr>
        <w:pStyle w:val="NormalWeb"/>
        <w:spacing w:before="0" w:beforeAutospacing="0" w:after="0" w:afterAutospacing="0"/>
        <w:jc w:val="center"/>
        <w:rPr>
          <w:b/>
          <w:bCs/>
        </w:rPr>
      </w:pPr>
      <w:r>
        <w:rPr>
          <w:noProof/>
        </w:rPr>
        <w:drawing>
          <wp:anchor distT="0" distB="0" distL="114300" distR="114300" simplePos="0" relativeHeight="251652608" behindDoc="0" locked="0" layoutInCell="1" allowOverlap="1">
            <wp:simplePos x="0" y="0"/>
            <wp:positionH relativeFrom="column">
              <wp:posOffset>5008880</wp:posOffset>
            </wp:positionH>
            <wp:positionV relativeFrom="paragraph">
              <wp:posOffset>155575</wp:posOffset>
            </wp:positionV>
            <wp:extent cx="1287780" cy="460375"/>
            <wp:effectExtent l="19050" t="0" r="7620" b="0"/>
            <wp:wrapSquare wrapText="left"/>
            <wp:docPr id="1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287780" cy="460375"/>
                    </a:xfrm>
                    <a:prstGeom prst="rect">
                      <a:avLst/>
                    </a:prstGeom>
                    <a:noFill/>
                    <a:ln w="9525">
                      <a:noFill/>
                      <a:miter lim="800000"/>
                      <a:headEnd/>
                      <a:tailEnd/>
                    </a:ln>
                  </pic:spPr>
                </pic:pic>
              </a:graphicData>
            </a:graphic>
          </wp:anchor>
        </w:drawing>
      </w:r>
    </w:p>
    <w:p w:rsidR="0097276B" w:rsidRDefault="00CA7465" w:rsidP="0032191A">
      <w:pPr>
        <w:pStyle w:val="NormalWeb"/>
        <w:spacing w:before="0" w:beforeAutospacing="0" w:after="0" w:afterAutospacing="0"/>
        <w:jc w:val="center"/>
        <w:rPr>
          <w:b/>
          <w:bCs/>
        </w:rPr>
      </w:pPr>
      <w:r>
        <w:rPr>
          <w:noProof/>
        </w:rPr>
        <w:drawing>
          <wp:anchor distT="0" distB="0" distL="114300" distR="114300" simplePos="0" relativeHeight="251653632" behindDoc="0" locked="0" layoutInCell="1" allowOverlap="1">
            <wp:simplePos x="0" y="0"/>
            <wp:positionH relativeFrom="column">
              <wp:posOffset>34290</wp:posOffset>
            </wp:positionH>
            <wp:positionV relativeFrom="paragraph">
              <wp:posOffset>57785</wp:posOffset>
            </wp:positionV>
            <wp:extent cx="1524000" cy="380365"/>
            <wp:effectExtent l="19050" t="0" r="0" b="0"/>
            <wp:wrapSquare wrapText="bothSides"/>
            <wp:docPr id="1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524000" cy="380365"/>
                    </a:xfrm>
                    <a:prstGeom prst="rect">
                      <a:avLst/>
                    </a:prstGeom>
                    <a:noFill/>
                    <a:ln w="9525">
                      <a:noFill/>
                      <a:miter lim="800000"/>
                      <a:headEnd/>
                      <a:tailEnd/>
                    </a:ln>
                  </pic:spPr>
                </pic:pic>
              </a:graphicData>
            </a:graphic>
          </wp:anchor>
        </w:drawing>
      </w:r>
    </w:p>
    <w:p w:rsidR="0097276B" w:rsidRDefault="0097276B" w:rsidP="0032191A">
      <w:pPr>
        <w:pStyle w:val="NormalWeb"/>
        <w:spacing w:before="0" w:beforeAutospacing="0" w:after="0" w:afterAutospacing="0"/>
        <w:jc w:val="center"/>
        <w:rPr>
          <w:b/>
          <w:bCs/>
        </w:rPr>
      </w:pPr>
    </w:p>
    <w:p w:rsidR="0097276B" w:rsidRDefault="0097276B" w:rsidP="0032191A">
      <w:pPr>
        <w:pStyle w:val="NormalWeb"/>
        <w:spacing w:before="0" w:beforeAutospacing="0" w:after="0" w:afterAutospacing="0"/>
        <w:jc w:val="center"/>
        <w:rPr>
          <w:b/>
          <w:bCs/>
          <w:sz w:val="14"/>
          <w:szCs w:val="14"/>
        </w:rPr>
      </w:pPr>
    </w:p>
    <w:p w:rsidR="0097276B" w:rsidRDefault="0097276B" w:rsidP="0032191A">
      <w:pPr>
        <w:pStyle w:val="NormalWeb"/>
        <w:spacing w:before="0" w:beforeAutospacing="0" w:after="0" w:afterAutospacing="0"/>
        <w:jc w:val="center"/>
        <w:rPr>
          <w:b/>
          <w:bCs/>
          <w:sz w:val="14"/>
          <w:szCs w:val="14"/>
        </w:rPr>
      </w:pPr>
    </w:p>
    <w:p w:rsidR="0097276B" w:rsidRPr="00975348" w:rsidRDefault="008D3C40" w:rsidP="00B409D7">
      <w:pPr>
        <w:pStyle w:val="NormalWeb"/>
        <w:spacing w:before="0" w:beforeAutospacing="0" w:after="0" w:afterAutospacing="0"/>
        <w:jc w:val="center"/>
        <w:rPr>
          <w:b/>
          <w:bCs/>
          <w:sz w:val="32"/>
          <w:szCs w:val="32"/>
        </w:rPr>
      </w:pPr>
      <w:r>
        <w:rPr>
          <w:b/>
          <w:bCs/>
          <w:sz w:val="32"/>
          <w:szCs w:val="32"/>
        </w:rPr>
        <w:t>Note</w:t>
      </w:r>
      <w:r w:rsidR="0022776D">
        <w:rPr>
          <w:b/>
          <w:bCs/>
          <w:sz w:val="32"/>
          <w:szCs w:val="32"/>
        </w:rPr>
        <w:t xml:space="preserve"> de </w:t>
      </w:r>
      <w:r w:rsidR="0097276B" w:rsidRPr="00975348">
        <w:rPr>
          <w:b/>
          <w:bCs/>
          <w:sz w:val="32"/>
          <w:szCs w:val="32"/>
        </w:rPr>
        <w:t xml:space="preserve">conjoncture </w:t>
      </w:r>
      <w:r w:rsidR="00B33F17">
        <w:rPr>
          <w:b/>
          <w:bCs/>
          <w:sz w:val="32"/>
          <w:szCs w:val="32"/>
        </w:rPr>
        <w:t>trimestrielle</w:t>
      </w:r>
    </w:p>
    <w:p w:rsidR="0097276B" w:rsidRDefault="0097276B" w:rsidP="00B409D7">
      <w:pPr>
        <w:pStyle w:val="NormalWeb"/>
        <w:spacing w:before="0" w:beforeAutospacing="0" w:after="0" w:afterAutospacing="0"/>
        <w:jc w:val="center"/>
        <w:rPr>
          <w:b/>
          <w:bCs/>
        </w:rPr>
      </w:pPr>
      <w:r>
        <w:rPr>
          <w:b/>
          <w:bCs/>
        </w:rPr>
        <w:t xml:space="preserve">- </w:t>
      </w:r>
      <w:r w:rsidR="009C09D6">
        <w:rPr>
          <w:b/>
          <w:bCs/>
        </w:rPr>
        <w:t>Avril</w:t>
      </w:r>
      <w:r w:rsidR="00CD72FE">
        <w:rPr>
          <w:b/>
          <w:bCs/>
        </w:rPr>
        <w:t xml:space="preserve"> </w:t>
      </w:r>
      <w:r w:rsidRPr="00E82E2E">
        <w:rPr>
          <w:b/>
          <w:bCs/>
        </w:rPr>
        <w:t>201</w:t>
      </w:r>
      <w:r w:rsidR="008C417F">
        <w:rPr>
          <w:b/>
          <w:bCs/>
        </w:rPr>
        <w:t>9</w:t>
      </w:r>
      <w:r w:rsidR="00084E9D">
        <w:rPr>
          <w:b/>
          <w:bCs/>
        </w:rPr>
        <w:t>–</w:t>
      </w:r>
    </w:p>
    <w:p w:rsidR="00084E9D" w:rsidRPr="00084E9D" w:rsidRDefault="00084E9D" w:rsidP="0032191A">
      <w:pPr>
        <w:pStyle w:val="NormalWeb"/>
        <w:spacing w:before="0" w:beforeAutospacing="0" w:after="0" w:afterAutospacing="0"/>
        <w:jc w:val="center"/>
        <w:rPr>
          <w:b/>
          <w:bCs/>
          <w:sz w:val="8"/>
          <w:szCs w:val="8"/>
        </w:rPr>
      </w:pPr>
    </w:p>
    <w:p w:rsidR="00A27CE8" w:rsidRPr="00A83B15" w:rsidRDefault="00CA7465" w:rsidP="005104BC">
      <w:pPr>
        <w:pStyle w:val="NormalWeb"/>
        <w:spacing w:before="0" w:beforeAutospacing="0" w:after="0" w:afterAutospacing="0"/>
        <w:jc w:val="both"/>
        <w:rPr>
          <w:rFonts w:ascii="Arial" w:hAnsi="Arial" w:cs="Arial"/>
          <w:sz w:val="16"/>
          <w:szCs w:val="16"/>
        </w:rPr>
      </w:pPr>
      <w:r>
        <w:rPr>
          <w:rFonts w:ascii="Arial" w:hAnsi="Arial" w:cs="Arial"/>
          <w:sz w:val="16"/>
          <w:szCs w:val="16"/>
        </w:rPr>
        <w:t xml:space="preserve">          </w:t>
      </w:r>
      <w:r w:rsidR="00E3440A">
        <w:rPr>
          <w:rFonts w:ascii="Arial" w:hAnsi="Arial" w:cs="Arial"/>
          <w:sz w:val="16"/>
          <w:szCs w:val="16"/>
        </w:rPr>
        <w:t xml:space="preserve">                        </w:t>
      </w:r>
    </w:p>
    <w:p w:rsidR="00FA5B77" w:rsidRDefault="00FA5B77" w:rsidP="00CB01DC">
      <w:pPr>
        <w:pStyle w:val="NormalWeb"/>
        <w:spacing w:before="0" w:beforeAutospacing="0" w:after="0" w:afterAutospacing="0"/>
        <w:jc w:val="both"/>
        <w:rPr>
          <w:rFonts w:ascii="Arial" w:hAnsi="Arial" w:cs="Arial"/>
          <w:sz w:val="20"/>
          <w:szCs w:val="20"/>
        </w:rPr>
      </w:pPr>
      <w:r>
        <w:rPr>
          <w:rFonts w:ascii="Arial" w:hAnsi="Arial" w:cs="Arial"/>
          <w:sz w:val="20"/>
          <w:szCs w:val="20"/>
        </w:rPr>
        <w:t>L</w:t>
      </w:r>
      <w:r w:rsidR="009104CF">
        <w:rPr>
          <w:rFonts w:ascii="Arial" w:hAnsi="Arial" w:cs="Arial"/>
          <w:sz w:val="20"/>
          <w:szCs w:val="20"/>
        </w:rPr>
        <w:t>’</w:t>
      </w:r>
      <w:r>
        <w:rPr>
          <w:rFonts w:ascii="Arial" w:hAnsi="Arial" w:cs="Arial"/>
          <w:sz w:val="20"/>
          <w:szCs w:val="20"/>
        </w:rPr>
        <w:t xml:space="preserve">économie nationale </w:t>
      </w:r>
      <w:r w:rsidR="009104CF">
        <w:rPr>
          <w:rFonts w:ascii="Arial" w:hAnsi="Arial" w:cs="Arial"/>
          <w:sz w:val="20"/>
          <w:szCs w:val="20"/>
        </w:rPr>
        <w:t>au</w:t>
      </w:r>
      <w:r w:rsidR="00380326">
        <w:rPr>
          <w:rFonts w:ascii="Arial" w:hAnsi="Arial" w:cs="Arial"/>
          <w:sz w:val="20"/>
          <w:szCs w:val="20"/>
        </w:rPr>
        <w:t xml:space="preserve">rait </w:t>
      </w:r>
      <w:r w:rsidR="009104CF">
        <w:rPr>
          <w:rFonts w:ascii="Arial" w:hAnsi="Arial" w:cs="Arial"/>
          <w:sz w:val="20"/>
          <w:szCs w:val="20"/>
        </w:rPr>
        <w:t xml:space="preserve">progressé de </w:t>
      </w:r>
      <w:r w:rsidR="00232628">
        <w:rPr>
          <w:rFonts w:ascii="Arial" w:hAnsi="Arial" w:cs="Arial"/>
          <w:sz w:val="20"/>
          <w:szCs w:val="20"/>
        </w:rPr>
        <w:t>2</w:t>
      </w:r>
      <w:r w:rsidR="00D07118">
        <w:rPr>
          <w:rFonts w:ascii="Arial" w:hAnsi="Arial" w:cs="Arial"/>
          <w:sz w:val="20"/>
          <w:szCs w:val="20"/>
        </w:rPr>
        <w:t>,</w:t>
      </w:r>
      <w:r w:rsidR="0090596C">
        <w:rPr>
          <w:rFonts w:ascii="Arial" w:hAnsi="Arial" w:cs="Arial"/>
          <w:sz w:val="20"/>
          <w:szCs w:val="20"/>
        </w:rPr>
        <w:t>3</w:t>
      </w:r>
      <w:r>
        <w:rPr>
          <w:rFonts w:ascii="Arial" w:hAnsi="Arial" w:cs="Arial"/>
          <w:sz w:val="20"/>
          <w:szCs w:val="20"/>
        </w:rPr>
        <w:t xml:space="preserve">%, au </w:t>
      </w:r>
      <w:r w:rsidR="00A051FE">
        <w:rPr>
          <w:rFonts w:ascii="Arial" w:hAnsi="Arial" w:cs="Arial"/>
          <w:sz w:val="20"/>
          <w:szCs w:val="20"/>
        </w:rPr>
        <w:t>premier trimestre 2019</w:t>
      </w:r>
      <w:r>
        <w:rPr>
          <w:rFonts w:ascii="Arial" w:hAnsi="Arial" w:cs="Arial"/>
          <w:sz w:val="20"/>
          <w:szCs w:val="20"/>
        </w:rPr>
        <w:t>, au lieu de +</w:t>
      </w:r>
      <w:r w:rsidR="00BC1129">
        <w:rPr>
          <w:rFonts w:ascii="Arial" w:hAnsi="Arial" w:cs="Arial"/>
          <w:sz w:val="20"/>
          <w:szCs w:val="20"/>
        </w:rPr>
        <w:t>3</w:t>
      </w:r>
      <w:r>
        <w:rPr>
          <w:rFonts w:ascii="Arial" w:hAnsi="Arial" w:cs="Arial"/>
          <w:sz w:val="20"/>
          <w:szCs w:val="20"/>
        </w:rPr>
        <w:t>,</w:t>
      </w:r>
      <w:r w:rsidR="00BC1129">
        <w:rPr>
          <w:rFonts w:ascii="Arial" w:hAnsi="Arial" w:cs="Arial"/>
          <w:sz w:val="20"/>
          <w:szCs w:val="20"/>
        </w:rPr>
        <w:t>3</w:t>
      </w:r>
      <w:r>
        <w:rPr>
          <w:rFonts w:ascii="Arial" w:hAnsi="Arial" w:cs="Arial"/>
          <w:sz w:val="20"/>
          <w:szCs w:val="20"/>
        </w:rPr>
        <w:t xml:space="preserve">% </w:t>
      </w:r>
      <w:r w:rsidR="002437EA">
        <w:rPr>
          <w:rFonts w:ascii="Arial" w:hAnsi="Arial" w:cs="Arial"/>
          <w:sz w:val="20"/>
          <w:szCs w:val="20"/>
        </w:rPr>
        <w:t xml:space="preserve">à </w:t>
      </w:r>
      <w:r w:rsidR="001F6F75">
        <w:rPr>
          <w:rFonts w:ascii="Arial" w:hAnsi="Arial" w:cs="Arial"/>
          <w:sz w:val="20"/>
          <w:szCs w:val="20"/>
        </w:rPr>
        <w:t xml:space="preserve">la même période </w:t>
      </w:r>
      <w:r>
        <w:rPr>
          <w:rFonts w:ascii="Arial" w:hAnsi="Arial" w:cs="Arial"/>
          <w:sz w:val="20"/>
          <w:szCs w:val="20"/>
        </w:rPr>
        <w:t>un</w:t>
      </w:r>
      <w:r w:rsidR="009E5834">
        <w:rPr>
          <w:rFonts w:ascii="Arial" w:hAnsi="Arial" w:cs="Arial"/>
          <w:sz w:val="20"/>
          <w:szCs w:val="20"/>
        </w:rPr>
        <w:t>e</w:t>
      </w:r>
      <w:r>
        <w:rPr>
          <w:rFonts w:ascii="Arial" w:hAnsi="Arial" w:cs="Arial"/>
          <w:sz w:val="20"/>
          <w:szCs w:val="20"/>
        </w:rPr>
        <w:t xml:space="preserve"> </w:t>
      </w:r>
      <w:r w:rsidR="009E5834">
        <w:rPr>
          <w:rFonts w:ascii="Arial" w:hAnsi="Arial" w:cs="Arial"/>
          <w:sz w:val="20"/>
          <w:szCs w:val="20"/>
        </w:rPr>
        <w:t>année</w:t>
      </w:r>
      <w:r>
        <w:rPr>
          <w:rFonts w:ascii="Arial" w:hAnsi="Arial" w:cs="Arial"/>
          <w:sz w:val="20"/>
          <w:szCs w:val="20"/>
        </w:rPr>
        <w:t xml:space="preserve"> auparavant</w:t>
      </w:r>
      <w:r w:rsidR="00C04019">
        <w:rPr>
          <w:rFonts w:ascii="Arial" w:hAnsi="Arial" w:cs="Arial"/>
          <w:sz w:val="20"/>
          <w:szCs w:val="20"/>
        </w:rPr>
        <w:t xml:space="preserve">, </w:t>
      </w:r>
      <w:r w:rsidR="001A3011">
        <w:rPr>
          <w:rFonts w:ascii="Arial" w:hAnsi="Arial" w:cs="Arial"/>
          <w:sz w:val="20"/>
          <w:szCs w:val="20"/>
        </w:rPr>
        <w:t>pâtissant</w:t>
      </w:r>
      <w:r w:rsidR="00C04019">
        <w:rPr>
          <w:rFonts w:ascii="Arial" w:hAnsi="Arial" w:cs="Arial"/>
          <w:sz w:val="20"/>
          <w:szCs w:val="20"/>
        </w:rPr>
        <w:t xml:space="preserve"> </w:t>
      </w:r>
      <w:r w:rsidR="001A3011">
        <w:rPr>
          <w:rFonts w:ascii="Arial" w:hAnsi="Arial" w:cs="Arial"/>
          <w:sz w:val="20"/>
          <w:szCs w:val="20"/>
        </w:rPr>
        <w:t>d</w:t>
      </w:r>
      <w:r w:rsidR="008A0178">
        <w:rPr>
          <w:rFonts w:ascii="Arial" w:hAnsi="Arial" w:cs="Arial"/>
          <w:sz w:val="20"/>
          <w:szCs w:val="20"/>
        </w:rPr>
        <w:t xml:space="preserve">’une baisse de </w:t>
      </w:r>
      <w:r w:rsidR="0090596C">
        <w:rPr>
          <w:rFonts w:ascii="Arial" w:hAnsi="Arial" w:cs="Arial"/>
          <w:sz w:val="20"/>
          <w:szCs w:val="20"/>
        </w:rPr>
        <w:t>4</w:t>
      </w:r>
      <w:r w:rsidR="004A43FA">
        <w:rPr>
          <w:rFonts w:ascii="Arial" w:hAnsi="Arial" w:cs="Arial"/>
          <w:sz w:val="20"/>
          <w:szCs w:val="20"/>
        </w:rPr>
        <w:t>,</w:t>
      </w:r>
      <w:r w:rsidR="0090596C">
        <w:rPr>
          <w:rFonts w:ascii="Arial" w:hAnsi="Arial" w:cs="Arial"/>
          <w:sz w:val="20"/>
          <w:szCs w:val="20"/>
        </w:rPr>
        <w:t>8</w:t>
      </w:r>
      <w:r w:rsidR="008A0178">
        <w:rPr>
          <w:rFonts w:ascii="Arial" w:hAnsi="Arial" w:cs="Arial"/>
          <w:sz w:val="20"/>
          <w:szCs w:val="20"/>
        </w:rPr>
        <w:t xml:space="preserve">% </w:t>
      </w:r>
      <w:r w:rsidR="00D72BA7">
        <w:rPr>
          <w:rFonts w:ascii="Arial" w:hAnsi="Arial" w:cs="Arial"/>
          <w:sz w:val="20"/>
          <w:szCs w:val="20"/>
        </w:rPr>
        <w:t xml:space="preserve">des activités agricoles. </w:t>
      </w:r>
      <w:r w:rsidR="00300278">
        <w:rPr>
          <w:rFonts w:ascii="Arial" w:hAnsi="Arial" w:cs="Arial"/>
          <w:sz w:val="20"/>
          <w:szCs w:val="20"/>
        </w:rPr>
        <w:t>L</w:t>
      </w:r>
      <w:r w:rsidR="00D72BA7">
        <w:rPr>
          <w:rFonts w:ascii="Arial" w:hAnsi="Arial" w:cs="Arial"/>
          <w:sz w:val="20"/>
          <w:szCs w:val="20"/>
        </w:rPr>
        <w:t xml:space="preserve">a valeur </w:t>
      </w:r>
      <w:r w:rsidR="001A3011">
        <w:rPr>
          <w:rFonts w:ascii="Arial" w:hAnsi="Arial" w:cs="Arial"/>
          <w:sz w:val="20"/>
          <w:szCs w:val="20"/>
        </w:rPr>
        <w:t xml:space="preserve">ajoutée hors agriculture </w:t>
      </w:r>
      <w:r w:rsidR="00D72BA7">
        <w:rPr>
          <w:rFonts w:ascii="Arial" w:hAnsi="Arial" w:cs="Arial"/>
          <w:sz w:val="20"/>
          <w:szCs w:val="20"/>
        </w:rPr>
        <w:t>aurait augment</w:t>
      </w:r>
      <w:r w:rsidR="00E1506C">
        <w:rPr>
          <w:rFonts w:ascii="Arial" w:hAnsi="Arial" w:cs="Arial"/>
          <w:sz w:val="20"/>
          <w:szCs w:val="20"/>
        </w:rPr>
        <w:t>é</w:t>
      </w:r>
      <w:r w:rsidR="00D72BA7">
        <w:rPr>
          <w:rFonts w:ascii="Arial" w:hAnsi="Arial" w:cs="Arial"/>
          <w:sz w:val="20"/>
          <w:szCs w:val="20"/>
        </w:rPr>
        <w:t xml:space="preserve"> de</w:t>
      </w:r>
      <w:r w:rsidR="001A3011">
        <w:rPr>
          <w:rFonts w:ascii="Arial" w:hAnsi="Arial" w:cs="Arial"/>
          <w:sz w:val="20"/>
          <w:szCs w:val="20"/>
        </w:rPr>
        <w:t xml:space="preserve"> </w:t>
      </w:r>
      <w:r w:rsidR="002A7B22">
        <w:rPr>
          <w:rFonts w:ascii="Arial" w:hAnsi="Arial" w:cs="Arial"/>
          <w:sz w:val="20"/>
          <w:szCs w:val="20"/>
        </w:rPr>
        <w:t>3</w:t>
      </w:r>
      <w:r w:rsidR="001A3011">
        <w:rPr>
          <w:rFonts w:ascii="Arial" w:hAnsi="Arial" w:cs="Arial"/>
          <w:sz w:val="20"/>
          <w:szCs w:val="20"/>
        </w:rPr>
        <w:t>,</w:t>
      </w:r>
      <w:r w:rsidR="00313AC8">
        <w:rPr>
          <w:rFonts w:ascii="Arial" w:hAnsi="Arial" w:cs="Arial"/>
          <w:sz w:val="20"/>
          <w:szCs w:val="20"/>
        </w:rPr>
        <w:t>3</w:t>
      </w:r>
      <w:r w:rsidR="001A3011">
        <w:rPr>
          <w:rFonts w:ascii="Arial" w:hAnsi="Arial" w:cs="Arial"/>
          <w:sz w:val="20"/>
          <w:szCs w:val="20"/>
        </w:rPr>
        <w:t>%,</w:t>
      </w:r>
      <w:r w:rsidR="00300278">
        <w:rPr>
          <w:rFonts w:ascii="Arial" w:hAnsi="Arial" w:cs="Arial"/>
          <w:sz w:val="20"/>
          <w:szCs w:val="20"/>
        </w:rPr>
        <w:t xml:space="preserve"> en variation annuelle,</w:t>
      </w:r>
      <w:r w:rsidR="001A3011">
        <w:rPr>
          <w:rFonts w:ascii="Arial" w:hAnsi="Arial" w:cs="Arial"/>
          <w:sz w:val="20"/>
          <w:szCs w:val="20"/>
        </w:rPr>
        <w:t xml:space="preserve"> </w:t>
      </w:r>
      <w:r w:rsidR="002A7B22">
        <w:rPr>
          <w:rFonts w:ascii="Arial" w:hAnsi="Arial" w:cs="Arial"/>
          <w:sz w:val="20"/>
          <w:szCs w:val="20"/>
        </w:rPr>
        <w:t xml:space="preserve">portée </w:t>
      </w:r>
      <w:r w:rsidR="008E70C1">
        <w:rPr>
          <w:rFonts w:ascii="Arial" w:hAnsi="Arial" w:cs="Arial"/>
          <w:sz w:val="20"/>
          <w:szCs w:val="20"/>
        </w:rPr>
        <w:t>particulièrement par les mines</w:t>
      </w:r>
      <w:r w:rsidR="00CB01DC">
        <w:rPr>
          <w:rFonts w:ascii="Arial" w:hAnsi="Arial" w:cs="Arial"/>
          <w:sz w:val="20"/>
          <w:szCs w:val="20"/>
        </w:rPr>
        <w:t>,</w:t>
      </w:r>
      <w:r w:rsidR="008E70C1">
        <w:rPr>
          <w:rFonts w:ascii="Arial" w:hAnsi="Arial" w:cs="Arial"/>
          <w:sz w:val="20"/>
          <w:szCs w:val="20"/>
        </w:rPr>
        <w:t xml:space="preserve"> les industries </w:t>
      </w:r>
      <w:r w:rsidR="00C22EE5">
        <w:rPr>
          <w:rFonts w:ascii="Arial" w:hAnsi="Arial" w:cs="Arial"/>
          <w:sz w:val="20"/>
          <w:szCs w:val="20"/>
        </w:rPr>
        <w:t>manufacturières</w:t>
      </w:r>
      <w:r w:rsidR="00CB01DC">
        <w:rPr>
          <w:rFonts w:ascii="Arial" w:hAnsi="Arial" w:cs="Arial"/>
          <w:sz w:val="20"/>
          <w:szCs w:val="20"/>
        </w:rPr>
        <w:t xml:space="preserve"> et les services</w:t>
      </w:r>
      <w:r w:rsidR="001A3011">
        <w:rPr>
          <w:rFonts w:ascii="Arial" w:hAnsi="Arial" w:cs="Arial"/>
          <w:sz w:val="20"/>
          <w:szCs w:val="20"/>
        </w:rPr>
        <w:t xml:space="preserve">. </w:t>
      </w:r>
      <w:r>
        <w:rPr>
          <w:rFonts w:ascii="Arial" w:hAnsi="Arial" w:cs="Arial"/>
          <w:sz w:val="20"/>
          <w:szCs w:val="20"/>
        </w:rPr>
        <w:t xml:space="preserve">Au </w:t>
      </w:r>
      <w:r w:rsidR="00AA5824">
        <w:rPr>
          <w:rFonts w:ascii="Arial" w:hAnsi="Arial" w:cs="Arial"/>
          <w:sz w:val="20"/>
          <w:szCs w:val="20"/>
        </w:rPr>
        <w:t>deuxième</w:t>
      </w:r>
      <w:r w:rsidR="00954A9F">
        <w:rPr>
          <w:rFonts w:ascii="Arial" w:hAnsi="Arial" w:cs="Arial"/>
          <w:sz w:val="20"/>
          <w:szCs w:val="20"/>
        </w:rPr>
        <w:t xml:space="preserve"> trimestre</w:t>
      </w:r>
      <w:r>
        <w:rPr>
          <w:rFonts w:ascii="Arial" w:hAnsi="Arial" w:cs="Arial"/>
          <w:sz w:val="20"/>
          <w:szCs w:val="20"/>
        </w:rPr>
        <w:t xml:space="preserve"> 201</w:t>
      </w:r>
      <w:r w:rsidR="00954A9F">
        <w:rPr>
          <w:rFonts w:ascii="Arial" w:hAnsi="Arial" w:cs="Arial"/>
          <w:sz w:val="20"/>
          <w:szCs w:val="20"/>
        </w:rPr>
        <w:t>9</w:t>
      </w:r>
      <w:r>
        <w:rPr>
          <w:rFonts w:ascii="Arial" w:hAnsi="Arial" w:cs="Arial"/>
          <w:sz w:val="20"/>
          <w:szCs w:val="20"/>
        </w:rPr>
        <w:t xml:space="preserve">, </w:t>
      </w:r>
      <w:r w:rsidR="00E1506C">
        <w:rPr>
          <w:rFonts w:ascii="Arial" w:hAnsi="Arial" w:cs="Arial"/>
          <w:sz w:val="20"/>
          <w:szCs w:val="20"/>
        </w:rPr>
        <w:t>la croissance d</w:t>
      </w:r>
      <w:r w:rsidR="002267AE">
        <w:rPr>
          <w:rFonts w:ascii="Arial" w:hAnsi="Arial" w:cs="Arial"/>
          <w:sz w:val="20"/>
          <w:szCs w:val="20"/>
        </w:rPr>
        <w:t>es</w:t>
      </w:r>
      <w:r>
        <w:rPr>
          <w:rFonts w:ascii="Arial" w:hAnsi="Arial" w:cs="Arial"/>
          <w:sz w:val="20"/>
          <w:szCs w:val="20"/>
        </w:rPr>
        <w:t xml:space="preserve"> </w:t>
      </w:r>
      <w:r w:rsidR="002267AE">
        <w:rPr>
          <w:rFonts w:ascii="Arial" w:hAnsi="Arial" w:cs="Arial"/>
          <w:sz w:val="20"/>
          <w:szCs w:val="20"/>
        </w:rPr>
        <w:t>activités hors</w:t>
      </w:r>
      <w:r>
        <w:rPr>
          <w:rFonts w:ascii="Arial" w:hAnsi="Arial" w:cs="Arial"/>
          <w:sz w:val="20"/>
          <w:szCs w:val="20"/>
        </w:rPr>
        <w:t xml:space="preserve"> agric</w:t>
      </w:r>
      <w:r w:rsidR="003D6737">
        <w:rPr>
          <w:rFonts w:ascii="Arial" w:hAnsi="Arial" w:cs="Arial"/>
          <w:sz w:val="20"/>
          <w:szCs w:val="20"/>
        </w:rPr>
        <w:t>ulture</w:t>
      </w:r>
      <w:r>
        <w:rPr>
          <w:rFonts w:ascii="Arial" w:hAnsi="Arial" w:cs="Arial"/>
          <w:sz w:val="20"/>
          <w:szCs w:val="20"/>
        </w:rPr>
        <w:t xml:space="preserve"> </w:t>
      </w:r>
      <w:r w:rsidR="00313AC8">
        <w:rPr>
          <w:rFonts w:ascii="Arial" w:hAnsi="Arial" w:cs="Arial"/>
          <w:sz w:val="20"/>
          <w:szCs w:val="20"/>
        </w:rPr>
        <w:t xml:space="preserve">se poursuivrait au </w:t>
      </w:r>
      <w:r w:rsidR="00600D9A">
        <w:rPr>
          <w:rFonts w:ascii="Arial" w:hAnsi="Arial" w:cs="Arial"/>
          <w:sz w:val="20"/>
          <w:szCs w:val="20"/>
        </w:rPr>
        <w:t xml:space="preserve">même </w:t>
      </w:r>
      <w:r w:rsidR="00313AC8">
        <w:rPr>
          <w:rFonts w:ascii="Arial" w:hAnsi="Arial" w:cs="Arial"/>
          <w:sz w:val="20"/>
          <w:szCs w:val="20"/>
        </w:rPr>
        <w:t>rythme</w:t>
      </w:r>
      <w:r w:rsidR="00600D9A">
        <w:rPr>
          <w:rFonts w:ascii="Arial" w:hAnsi="Arial" w:cs="Arial"/>
          <w:sz w:val="20"/>
          <w:szCs w:val="20"/>
        </w:rPr>
        <w:t xml:space="preserve"> que le trimestre précédent</w:t>
      </w:r>
      <w:r>
        <w:rPr>
          <w:rFonts w:ascii="Arial" w:hAnsi="Arial" w:cs="Arial"/>
          <w:sz w:val="20"/>
          <w:szCs w:val="20"/>
        </w:rPr>
        <w:t xml:space="preserve">. </w:t>
      </w:r>
      <w:r w:rsidR="000F33E1">
        <w:rPr>
          <w:rFonts w:ascii="Arial" w:hAnsi="Arial" w:cs="Arial"/>
          <w:sz w:val="20"/>
          <w:szCs w:val="20"/>
        </w:rPr>
        <w:t>Compte tenu d’un</w:t>
      </w:r>
      <w:r w:rsidR="00232628">
        <w:rPr>
          <w:rFonts w:ascii="Arial" w:hAnsi="Arial" w:cs="Arial"/>
          <w:sz w:val="20"/>
          <w:szCs w:val="20"/>
        </w:rPr>
        <w:t>e baisse</w:t>
      </w:r>
      <w:r>
        <w:rPr>
          <w:rFonts w:ascii="Arial" w:hAnsi="Arial" w:cs="Arial"/>
          <w:sz w:val="20"/>
          <w:szCs w:val="20"/>
        </w:rPr>
        <w:t xml:space="preserve"> de </w:t>
      </w:r>
      <w:r w:rsidR="0090596C">
        <w:rPr>
          <w:rFonts w:ascii="Arial" w:hAnsi="Arial" w:cs="Arial"/>
          <w:sz w:val="20"/>
          <w:szCs w:val="20"/>
        </w:rPr>
        <w:t>4</w:t>
      </w:r>
      <w:r w:rsidR="00232628">
        <w:rPr>
          <w:rFonts w:ascii="Arial" w:hAnsi="Arial" w:cs="Arial"/>
          <w:sz w:val="20"/>
          <w:szCs w:val="20"/>
        </w:rPr>
        <w:t>,</w:t>
      </w:r>
      <w:r w:rsidR="0090596C">
        <w:rPr>
          <w:rFonts w:ascii="Arial" w:hAnsi="Arial" w:cs="Arial"/>
          <w:sz w:val="20"/>
          <w:szCs w:val="20"/>
        </w:rPr>
        <w:t>3</w:t>
      </w:r>
      <w:r>
        <w:rPr>
          <w:rFonts w:ascii="Arial" w:hAnsi="Arial" w:cs="Arial"/>
          <w:sz w:val="20"/>
          <w:szCs w:val="20"/>
        </w:rPr>
        <w:t xml:space="preserve">% de la valeur ajoutée agricole, l’économie nationale </w:t>
      </w:r>
      <w:r w:rsidR="00CB01DC">
        <w:rPr>
          <w:rFonts w:ascii="Arial" w:hAnsi="Arial" w:cs="Arial"/>
          <w:sz w:val="20"/>
          <w:szCs w:val="20"/>
        </w:rPr>
        <w:t>s’amélior</w:t>
      </w:r>
      <w:r w:rsidR="00C22EE5">
        <w:rPr>
          <w:rFonts w:ascii="Arial" w:hAnsi="Arial" w:cs="Arial"/>
          <w:sz w:val="20"/>
          <w:szCs w:val="20"/>
        </w:rPr>
        <w:t>e</w:t>
      </w:r>
      <w:r w:rsidR="008E70C1">
        <w:rPr>
          <w:rFonts w:ascii="Arial" w:hAnsi="Arial" w:cs="Arial"/>
          <w:sz w:val="20"/>
          <w:szCs w:val="20"/>
        </w:rPr>
        <w:t>r</w:t>
      </w:r>
      <w:r w:rsidR="000F33E1">
        <w:rPr>
          <w:rFonts w:ascii="Arial" w:hAnsi="Arial" w:cs="Arial"/>
          <w:sz w:val="20"/>
          <w:szCs w:val="20"/>
        </w:rPr>
        <w:t xml:space="preserve">ait </w:t>
      </w:r>
      <w:r w:rsidR="007D1882">
        <w:rPr>
          <w:rFonts w:ascii="Arial" w:hAnsi="Arial" w:cs="Arial"/>
          <w:sz w:val="20"/>
          <w:szCs w:val="20"/>
        </w:rPr>
        <w:t>de</w:t>
      </w:r>
      <w:r>
        <w:rPr>
          <w:rFonts w:ascii="Arial" w:hAnsi="Arial" w:cs="Arial"/>
          <w:sz w:val="20"/>
          <w:szCs w:val="20"/>
        </w:rPr>
        <w:t xml:space="preserve"> </w:t>
      </w:r>
      <w:r w:rsidR="00232628">
        <w:rPr>
          <w:rFonts w:ascii="Arial" w:hAnsi="Arial" w:cs="Arial"/>
          <w:sz w:val="20"/>
          <w:szCs w:val="20"/>
        </w:rPr>
        <w:t>2</w:t>
      </w:r>
      <w:r w:rsidR="00D07118">
        <w:rPr>
          <w:rFonts w:ascii="Arial" w:hAnsi="Arial" w:cs="Arial"/>
          <w:sz w:val="20"/>
          <w:szCs w:val="20"/>
        </w:rPr>
        <w:t>,</w:t>
      </w:r>
      <w:r w:rsidR="004A43FA">
        <w:rPr>
          <w:rFonts w:ascii="Arial" w:hAnsi="Arial" w:cs="Arial"/>
          <w:sz w:val="20"/>
          <w:szCs w:val="20"/>
        </w:rPr>
        <w:t>4</w:t>
      </w:r>
      <w:r>
        <w:rPr>
          <w:rFonts w:ascii="Arial" w:hAnsi="Arial" w:cs="Arial"/>
          <w:sz w:val="20"/>
          <w:szCs w:val="20"/>
        </w:rPr>
        <w:t>%, au lieu de +</w:t>
      </w:r>
      <w:r w:rsidR="00BC1129">
        <w:rPr>
          <w:rFonts w:ascii="Arial" w:hAnsi="Arial" w:cs="Arial"/>
          <w:sz w:val="20"/>
          <w:szCs w:val="20"/>
        </w:rPr>
        <w:t>2</w:t>
      </w:r>
      <w:r>
        <w:rPr>
          <w:rFonts w:ascii="Arial" w:hAnsi="Arial" w:cs="Arial"/>
          <w:sz w:val="20"/>
          <w:szCs w:val="20"/>
        </w:rPr>
        <w:t>,</w:t>
      </w:r>
      <w:r w:rsidR="00BC1129">
        <w:rPr>
          <w:rFonts w:ascii="Arial" w:hAnsi="Arial" w:cs="Arial"/>
          <w:sz w:val="20"/>
          <w:szCs w:val="20"/>
        </w:rPr>
        <w:t>5</w:t>
      </w:r>
      <w:r>
        <w:rPr>
          <w:rFonts w:ascii="Arial" w:hAnsi="Arial" w:cs="Arial"/>
          <w:sz w:val="20"/>
          <w:szCs w:val="20"/>
        </w:rPr>
        <w:t xml:space="preserve">% au </w:t>
      </w:r>
      <w:r w:rsidR="00AA5824">
        <w:rPr>
          <w:rFonts w:ascii="Arial" w:hAnsi="Arial" w:cs="Arial"/>
          <w:sz w:val="20"/>
          <w:szCs w:val="20"/>
        </w:rPr>
        <w:t>deuxième</w:t>
      </w:r>
      <w:r w:rsidR="00954A9F">
        <w:rPr>
          <w:rFonts w:ascii="Arial" w:hAnsi="Arial" w:cs="Arial"/>
          <w:sz w:val="20"/>
          <w:szCs w:val="20"/>
        </w:rPr>
        <w:t xml:space="preserve"> </w:t>
      </w:r>
      <w:r>
        <w:rPr>
          <w:rFonts w:ascii="Arial" w:hAnsi="Arial" w:cs="Arial"/>
          <w:sz w:val="20"/>
          <w:szCs w:val="20"/>
        </w:rPr>
        <w:t>trimestre 201</w:t>
      </w:r>
      <w:r w:rsidR="009E5834">
        <w:rPr>
          <w:rFonts w:ascii="Arial" w:hAnsi="Arial" w:cs="Arial"/>
          <w:sz w:val="20"/>
          <w:szCs w:val="20"/>
        </w:rPr>
        <w:t>8</w:t>
      </w:r>
      <w:r>
        <w:rPr>
          <w:rFonts w:ascii="Arial" w:hAnsi="Arial" w:cs="Arial"/>
          <w:sz w:val="20"/>
          <w:szCs w:val="20"/>
        </w:rPr>
        <w:t>.</w:t>
      </w:r>
    </w:p>
    <w:p w:rsidR="000A6476" w:rsidRDefault="000A6476" w:rsidP="00C13BF6">
      <w:pPr>
        <w:jc w:val="both"/>
        <w:rPr>
          <w:rFonts w:ascii="Arial" w:hAnsi="Arial" w:cs="Arial"/>
          <w:sz w:val="20"/>
          <w:szCs w:val="20"/>
        </w:rPr>
      </w:pPr>
    </w:p>
    <w:p w:rsidR="004C17C2" w:rsidRPr="00505DF5" w:rsidRDefault="004C17C2" w:rsidP="00505DF5">
      <w:pPr>
        <w:jc w:val="both"/>
        <w:rPr>
          <w:rFonts w:ascii="Arial" w:hAnsi="Arial" w:cs="Arial"/>
          <w:b/>
          <w:bCs/>
          <w:color w:val="800000"/>
          <w:kern w:val="28"/>
          <w:sz w:val="20"/>
          <w:szCs w:val="20"/>
        </w:rPr>
      </w:pPr>
      <w:r w:rsidRPr="00505DF5">
        <w:rPr>
          <w:rFonts w:ascii="Arial" w:hAnsi="Arial" w:cs="Arial"/>
          <w:b/>
          <w:bCs/>
          <w:color w:val="800000"/>
          <w:kern w:val="28"/>
          <w:sz w:val="20"/>
          <w:szCs w:val="20"/>
        </w:rPr>
        <w:t>Ralentissement de l'économie mondiale</w:t>
      </w:r>
    </w:p>
    <w:p w:rsidR="004C17C2" w:rsidRPr="008C5B37" w:rsidRDefault="004C17C2" w:rsidP="004C17C2">
      <w:pPr>
        <w:spacing w:line="260" w:lineRule="exact"/>
        <w:jc w:val="both"/>
        <w:rPr>
          <w:rFonts w:ascii="Arial" w:hAnsi="Arial" w:cs="Arial"/>
          <w:b/>
          <w:bCs/>
          <w:color w:val="002060"/>
          <w:kern w:val="28"/>
          <w:sz w:val="20"/>
          <w:szCs w:val="20"/>
        </w:rPr>
      </w:pPr>
    </w:p>
    <w:p w:rsidR="00770D02" w:rsidRPr="005B6933" w:rsidRDefault="00770D02" w:rsidP="00F23BBD">
      <w:pPr>
        <w:jc w:val="both"/>
        <w:rPr>
          <w:rFonts w:ascii="Arial" w:hAnsi="Arial" w:cs="Arial"/>
          <w:iCs/>
          <w:sz w:val="20"/>
          <w:szCs w:val="20"/>
          <w:lang w:eastAsia="en-US"/>
        </w:rPr>
      </w:pPr>
      <w:r w:rsidRPr="005B6933">
        <w:rPr>
          <w:rFonts w:ascii="Arial" w:hAnsi="Arial" w:cs="Arial"/>
          <w:sz w:val="20"/>
          <w:szCs w:val="20"/>
        </w:rPr>
        <w:t xml:space="preserve">Le climat conjoncturel dans les </w:t>
      </w:r>
      <w:r w:rsidRPr="00547662">
        <w:rPr>
          <w:rFonts w:ascii="Arial" w:hAnsi="Arial" w:cs="Arial"/>
          <w:b/>
          <w:bCs/>
          <w:sz w:val="20"/>
          <w:szCs w:val="20"/>
        </w:rPr>
        <w:t>pays avancés</w:t>
      </w:r>
      <w:r w:rsidRPr="005B6933">
        <w:rPr>
          <w:rFonts w:ascii="Arial" w:hAnsi="Arial" w:cs="Arial"/>
          <w:sz w:val="20"/>
          <w:szCs w:val="20"/>
        </w:rPr>
        <w:t xml:space="preserve"> serait resté atone au premier trimestre 2019. Dans la </w:t>
      </w:r>
      <w:r w:rsidRPr="00547662">
        <w:rPr>
          <w:rFonts w:ascii="Arial" w:hAnsi="Arial" w:cs="Arial"/>
          <w:b/>
          <w:bCs/>
          <w:iCs/>
          <w:sz w:val="20"/>
          <w:szCs w:val="20"/>
          <w:lang w:eastAsia="en-US"/>
        </w:rPr>
        <w:t>zone euro</w:t>
      </w:r>
      <w:r w:rsidRPr="005B6933">
        <w:rPr>
          <w:rFonts w:ascii="Arial" w:hAnsi="Arial" w:cs="Arial"/>
          <w:iCs/>
          <w:sz w:val="20"/>
          <w:szCs w:val="20"/>
          <w:lang w:eastAsia="en-US"/>
        </w:rPr>
        <w:t>,</w:t>
      </w:r>
      <w:r w:rsidRPr="005B6933">
        <w:rPr>
          <w:rFonts w:ascii="Arial" w:hAnsi="Arial" w:cs="Arial"/>
          <w:sz w:val="20"/>
          <w:szCs w:val="20"/>
        </w:rPr>
        <w:t xml:space="preserve"> l'activité aurait progressé de 1,2% en rythme annualisé</w:t>
      </w:r>
      <w:r w:rsidRPr="005B6933">
        <w:rPr>
          <w:rFonts w:ascii="Arial" w:hAnsi="Arial" w:cs="Arial"/>
          <w:iCs/>
          <w:sz w:val="20"/>
          <w:szCs w:val="20"/>
          <w:lang w:eastAsia="en-US"/>
        </w:rPr>
        <w:t>, au lieu de +1,6% un an plus tôt, impactée par la contraction de la croissance italienne et le moindre dynamisme de l'économie allemande. Cette dernière</w:t>
      </w:r>
      <w:r w:rsidR="009E0426">
        <w:rPr>
          <w:rFonts w:ascii="Arial" w:hAnsi="Arial" w:cs="Arial"/>
          <w:iCs/>
          <w:sz w:val="20"/>
          <w:szCs w:val="20"/>
          <w:lang w:eastAsia="en-US"/>
        </w:rPr>
        <w:t>,</w:t>
      </w:r>
      <w:r w:rsidRPr="005B6933">
        <w:rPr>
          <w:rFonts w:ascii="Arial" w:hAnsi="Arial" w:cs="Arial"/>
          <w:iCs/>
          <w:sz w:val="20"/>
          <w:szCs w:val="20"/>
          <w:lang w:eastAsia="en-US"/>
        </w:rPr>
        <w:t xml:space="preserve"> plus exposée au ralentissement du commerce mondial</w:t>
      </w:r>
      <w:r w:rsidR="009E0426">
        <w:rPr>
          <w:rFonts w:ascii="Arial" w:hAnsi="Arial" w:cs="Arial"/>
          <w:iCs/>
          <w:sz w:val="20"/>
          <w:szCs w:val="20"/>
          <w:lang w:eastAsia="en-US"/>
        </w:rPr>
        <w:t>,</w:t>
      </w:r>
      <w:r w:rsidRPr="005B6933">
        <w:rPr>
          <w:rFonts w:ascii="Arial" w:hAnsi="Arial" w:cs="Arial"/>
          <w:iCs/>
          <w:sz w:val="20"/>
          <w:szCs w:val="20"/>
          <w:lang w:eastAsia="en-US"/>
        </w:rPr>
        <w:t xml:space="preserve"> aurait été affectée par l'essoufflement du secteur automobile pendant deux trimestres </w:t>
      </w:r>
      <w:r w:rsidR="009E0426">
        <w:rPr>
          <w:rFonts w:ascii="Arial" w:hAnsi="Arial" w:cs="Arial"/>
          <w:iCs/>
          <w:sz w:val="20"/>
          <w:szCs w:val="20"/>
          <w:lang w:eastAsia="en-US"/>
        </w:rPr>
        <w:t xml:space="preserve">consécutifs </w:t>
      </w:r>
      <w:r w:rsidRPr="005B6933">
        <w:rPr>
          <w:rFonts w:ascii="Arial" w:hAnsi="Arial" w:cs="Arial"/>
          <w:iCs/>
          <w:sz w:val="20"/>
          <w:szCs w:val="20"/>
          <w:lang w:eastAsia="en-US"/>
        </w:rPr>
        <w:t xml:space="preserve">suite à l'entrée en vigueur de la nouvelle norme anti-pollution au 1er septembre 2018. En France et en Espagne, l'activité aurait fait preuve de plus de résilience, soutenue </w:t>
      </w:r>
      <w:r w:rsidR="006E3D14">
        <w:rPr>
          <w:rFonts w:ascii="Arial" w:hAnsi="Arial" w:cs="Arial"/>
          <w:iCs/>
          <w:sz w:val="20"/>
          <w:szCs w:val="20"/>
          <w:lang w:eastAsia="en-US"/>
        </w:rPr>
        <w:t xml:space="preserve">principalement </w:t>
      </w:r>
      <w:r w:rsidRPr="005B6933">
        <w:rPr>
          <w:rFonts w:ascii="Arial" w:hAnsi="Arial" w:cs="Arial"/>
          <w:iCs/>
          <w:sz w:val="20"/>
          <w:szCs w:val="20"/>
          <w:lang w:eastAsia="en-US"/>
        </w:rPr>
        <w:t>par la demande intérieure. Pour s</w:t>
      </w:r>
      <w:r w:rsidRPr="005B6933">
        <w:rPr>
          <w:rFonts w:ascii="Arial" w:hAnsi="Arial" w:cs="Arial"/>
          <w:sz w:val="20"/>
          <w:szCs w:val="20"/>
        </w:rPr>
        <w:t>a part, la croissance américaine aurait décéléré, sous l'effet du ralentissement de la consommation des ménages et de la baisse des dépenses publiques liée au shutdown. De son côté, l'activité britannique aurait de nouveau ralenti, pénalisée par le contexte d'attentisme lié à l'issue de l'accord sur le Brexit.</w:t>
      </w:r>
    </w:p>
    <w:p w:rsidR="004C17C2" w:rsidRPr="008C5B37" w:rsidRDefault="004C17C2" w:rsidP="004C17C2">
      <w:pPr>
        <w:jc w:val="both"/>
        <w:rPr>
          <w:rFonts w:ascii="Arial" w:hAnsi="Arial" w:cs="Arial"/>
          <w:color w:val="002060"/>
          <w:sz w:val="20"/>
          <w:szCs w:val="20"/>
        </w:rPr>
      </w:pPr>
    </w:p>
    <w:p w:rsidR="004C17C2" w:rsidRPr="007851BC" w:rsidRDefault="004C17C2" w:rsidP="00547662">
      <w:pPr>
        <w:jc w:val="both"/>
        <w:rPr>
          <w:rFonts w:ascii="Arial" w:hAnsi="Arial" w:cs="Arial"/>
          <w:iCs/>
          <w:sz w:val="20"/>
          <w:szCs w:val="20"/>
          <w:lang w:eastAsia="en-US"/>
        </w:rPr>
      </w:pPr>
      <w:r>
        <w:rPr>
          <w:rFonts w:ascii="Arial" w:hAnsi="Arial" w:cs="Arial"/>
          <w:sz w:val="20"/>
          <w:szCs w:val="20"/>
        </w:rPr>
        <w:t>Dans l</w:t>
      </w:r>
      <w:r w:rsidRPr="007851BC">
        <w:rPr>
          <w:rFonts w:ascii="Arial" w:hAnsi="Arial" w:cs="Arial"/>
          <w:sz w:val="20"/>
          <w:szCs w:val="20"/>
        </w:rPr>
        <w:t xml:space="preserve">es </w:t>
      </w:r>
      <w:r w:rsidRPr="007851BC">
        <w:rPr>
          <w:rFonts w:ascii="Arial" w:hAnsi="Arial" w:cs="Arial"/>
          <w:iCs/>
          <w:sz w:val="20"/>
          <w:szCs w:val="20"/>
          <w:lang w:eastAsia="en-US"/>
        </w:rPr>
        <w:t xml:space="preserve">pays émergents, </w:t>
      </w:r>
      <w:r>
        <w:rPr>
          <w:rFonts w:ascii="Arial" w:hAnsi="Arial" w:cs="Arial"/>
          <w:iCs/>
          <w:sz w:val="20"/>
          <w:szCs w:val="20"/>
          <w:lang w:eastAsia="en-US"/>
        </w:rPr>
        <w:t xml:space="preserve">l’activité aurait évolué </w:t>
      </w:r>
      <w:r w:rsidRPr="007851BC">
        <w:rPr>
          <w:rFonts w:ascii="Arial" w:hAnsi="Arial" w:cs="Arial"/>
          <w:iCs/>
          <w:sz w:val="20"/>
          <w:szCs w:val="20"/>
          <w:lang w:eastAsia="en-US"/>
        </w:rPr>
        <w:t>moins favorable</w:t>
      </w:r>
      <w:r>
        <w:rPr>
          <w:rFonts w:ascii="Arial" w:hAnsi="Arial" w:cs="Arial"/>
          <w:iCs/>
          <w:sz w:val="20"/>
          <w:szCs w:val="20"/>
          <w:lang w:eastAsia="en-US"/>
        </w:rPr>
        <w:t>ment</w:t>
      </w:r>
      <w:r w:rsidRPr="007851BC">
        <w:rPr>
          <w:rFonts w:ascii="Arial" w:hAnsi="Arial" w:cs="Arial"/>
          <w:iCs/>
          <w:sz w:val="20"/>
          <w:szCs w:val="20"/>
          <w:lang w:eastAsia="en-US"/>
        </w:rPr>
        <w:t xml:space="preserve"> au premier trimestre 2019. En Chine, la croissance aurait décélér</w:t>
      </w:r>
      <w:r w:rsidR="00202176">
        <w:rPr>
          <w:rFonts w:ascii="Arial" w:hAnsi="Arial" w:cs="Arial"/>
          <w:iCs/>
          <w:sz w:val="20"/>
          <w:szCs w:val="20"/>
          <w:lang w:eastAsia="en-US"/>
        </w:rPr>
        <w:t>é</w:t>
      </w:r>
      <w:r w:rsidRPr="007851BC">
        <w:rPr>
          <w:rFonts w:ascii="Arial" w:hAnsi="Arial" w:cs="Arial"/>
          <w:iCs/>
          <w:sz w:val="20"/>
          <w:szCs w:val="20"/>
          <w:lang w:eastAsia="en-US"/>
        </w:rPr>
        <w:t xml:space="preserve"> pour atteindre +6,3%, au lieu de +6,8% un an plus tôt, pénalisée par l'atonie de la demande aussi bien extérieure qu'intérieure et ce, malgré la mise en place</w:t>
      </w:r>
      <w:r w:rsidR="00663182">
        <w:rPr>
          <w:rFonts w:ascii="Arial" w:hAnsi="Arial" w:cs="Arial"/>
          <w:iCs/>
          <w:sz w:val="20"/>
          <w:szCs w:val="20"/>
          <w:lang w:eastAsia="en-US"/>
        </w:rPr>
        <w:t>,</w:t>
      </w:r>
      <w:r w:rsidRPr="007851BC">
        <w:rPr>
          <w:rFonts w:ascii="Arial" w:hAnsi="Arial" w:cs="Arial"/>
          <w:iCs/>
          <w:sz w:val="20"/>
          <w:szCs w:val="20"/>
          <w:lang w:eastAsia="en-US"/>
        </w:rPr>
        <w:t xml:space="preserve"> depuis janvier </w:t>
      </w:r>
      <w:r w:rsidR="0051052F">
        <w:rPr>
          <w:rFonts w:ascii="Arial" w:hAnsi="Arial" w:cs="Arial"/>
          <w:iCs/>
          <w:sz w:val="20"/>
          <w:szCs w:val="20"/>
          <w:lang w:eastAsia="en-US"/>
        </w:rPr>
        <w:t>2019</w:t>
      </w:r>
      <w:r w:rsidR="00663182">
        <w:rPr>
          <w:rFonts w:ascii="Arial" w:hAnsi="Arial" w:cs="Arial"/>
          <w:iCs/>
          <w:sz w:val="20"/>
          <w:szCs w:val="20"/>
          <w:lang w:eastAsia="en-US"/>
        </w:rPr>
        <w:t>,</w:t>
      </w:r>
      <w:r w:rsidR="0051052F">
        <w:rPr>
          <w:rFonts w:ascii="Arial" w:hAnsi="Arial" w:cs="Arial"/>
          <w:iCs/>
          <w:sz w:val="20"/>
          <w:szCs w:val="20"/>
          <w:lang w:eastAsia="en-US"/>
        </w:rPr>
        <w:t xml:space="preserve"> </w:t>
      </w:r>
      <w:r w:rsidRPr="007851BC">
        <w:rPr>
          <w:rFonts w:ascii="Arial" w:hAnsi="Arial" w:cs="Arial"/>
          <w:iCs/>
          <w:sz w:val="20"/>
          <w:szCs w:val="20"/>
          <w:lang w:eastAsia="en-US"/>
        </w:rPr>
        <w:t>de mesures fiscales incitatives et d'assouplissement de la politique monétaire. Les économies russe, brésilienne et turque auraient, quant à elles, été affectées par la dépréciation de leur</w:t>
      </w:r>
      <w:r>
        <w:rPr>
          <w:rFonts w:ascii="Arial" w:hAnsi="Arial" w:cs="Arial"/>
          <w:iCs/>
          <w:sz w:val="20"/>
          <w:szCs w:val="20"/>
          <w:lang w:eastAsia="en-US"/>
        </w:rPr>
        <w:t>s</w:t>
      </w:r>
      <w:r w:rsidRPr="007851BC">
        <w:rPr>
          <w:rFonts w:ascii="Arial" w:hAnsi="Arial" w:cs="Arial"/>
          <w:iCs/>
          <w:sz w:val="20"/>
          <w:szCs w:val="20"/>
          <w:lang w:eastAsia="en-US"/>
        </w:rPr>
        <w:t xml:space="preserve"> monnaie</w:t>
      </w:r>
      <w:r>
        <w:rPr>
          <w:rFonts w:ascii="Arial" w:hAnsi="Arial" w:cs="Arial"/>
          <w:iCs/>
          <w:sz w:val="20"/>
          <w:szCs w:val="20"/>
          <w:lang w:eastAsia="en-US"/>
        </w:rPr>
        <w:t>s</w:t>
      </w:r>
      <w:r w:rsidRPr="007851BC">
        <w:rPr>
          <w:rFonts w:ascii="Arial" w:hAnsi="Arial" w:cs="Arial"/>
          <w:iCs/>
          <w:sz w:val="20"/>
          <w:szCs w:val="20"/>
          <w:lang w:eastAsia="en-US"/>
        </w:rPr>
        <w:t xml:space="preserve">, les pressions inflationnistes et le ralentissement du commerce mondial. </w:t>
      </w:r>
      <w:r w:rsidR="00547662">
        <w:rPr>
          <w:rFonts w:ascii="Arial" w:hAnsi="Arial" w:cs="Arial"/>
          <w:iCs/>
          <w:sz w:val="20"/>
          <w:szCs w:val="20"/>
          <w:lang w:eastAsia="en-US"/>
        </w:rPr>
        <w:t>En revanche</w:t>
      </w:r>
      <w:r w:rsidRPr="007851BC">
        <w:rPr>
          <w:rFonts w:ascii="Arial" w:hAnsi="Arial" w:cs="Arial"/>
          <w:iCs/>
          <w:sz w:val="20"/>
          <w:szCs w:val="20"/>
          <w:lang w:eastAsia="en-US"/>
        </w:rPr>
        <w:t>, l'activité en Inde serait restée bien orientée, soutenue par la vigueur de la demande intérieure</w:t>
      </w:r>
      <w:r w:rsidR="0051052F">
        <w:rPr>
          <w:rFonts w:ascii="Arial" w:hAnsi="Arial" w:cs="Arial"/>
          <w:iCs/>
          <w:sz w:val="20"/>
          <w:szCs w:val="20"/>
          <w:lang w:eastAsia="en-US"/>
        </w:rPr>
        <w:t>,</w:t>
      </w:r>
      <w:r w:rsidRPr="007851BC">
        <w:rPr>
          <w:rFonts w:ascii="Arial" w:hAnsi="Arial" w:cs="Arial"/>
          <w:iCs/>
          <w:sz w:val="20"/>
          <w:szCs w:val="20"/>
          <w:lang w:eastAsia="en-US"/>
        </w:rPr>
        <w:t xml:space="preserve"> </w:t>
      </w:r>
      <w:r>
        <w:rPr>
          <w:rFonts w:ascii="Arial" w:hAnsi="Arial" w:cs="Arial"/>
          <w:iCs/>
          <w:sz w:val="20"/>
          <w:szCs w:val="20"/>
          <w:lang w:eastAsia="en-US"/>
        </w:rPr>
        <w:t>notamment</w:t>
      </w:r>
      <w:r w:rsidRPr="007851BC">
        <w:rPr>
          <w:rFonts w:ascii="Arial" w:hAnsi="Arial" w:cs="Arial"/>
          <w:iCs/>
          <w:sz w:val="20"/>
          <w:szCs w:val="20"/>
          <w:lang w:eastAsia="en-US"/>
        </w:rPr>
        <w:t xml:space="preserve"> la consommation des ménages.</w:t>
      </w:r>
    </w:p>
    <w:p w:rsidR="004C17C2" w:rsidRPr="00192B21" w:rsidRDefault="004C17C2" w:rsidP="004C17C2">
      <w:pPr>
        <w:jc w:val="both"/>
        <w:rPr>
          <w:rFonts w:ascii="Arial" w:hAnsi="Arial" w:cs="Arial"/>
          <w:iCs/>
          <w:color w:val="FF0000"/>
          <w:sz w:val="20"/>
          <w:szCs w:val="20"/>
          <w:lang w:eastAsia="en-US"/>
        </w:rPr>
      </w:pPr>
    </w:p>
    <w:p w:rsidR="00770D02" w:rsidRPr="005B6933" w:rsidRDefault="00770D02" w:rsidP="009E0426">
      <w:pPr>
        <w:jc w:val="both"/>
        <w:rPr>
          <w:rFonts w:ascii="Arial" w:hAnsi="Arial" w:cs="Arial"/>
          <w:iCs/>
          <w:sz w:val="20"/>
          <w:szCs w:val="20"/>
          <w:lang w:eastAsia="en-US"/>
        </w:rPr>
      </w:pPr>
      <w:r w:rsidRPr="005B6933">
        <w:rPr>
          <w:rFonts w:ascii="Arial" w:hAnsi="Arial" w:cs="Arial"/>
          <w:iCs/>
          <w:sz w:val="20"/>
          <w:szCs w:val="20"/>
          <w:lang w:eastAsia="en-US"/>
        </w:rPr>
        <w:t xml:space="preserve">Sur le marché des matières premières énergétiques, le cours du brent se serait établi, en moyenne, à 63,5$/baril au premier trimestre 2019, en baisse de 5,2% en variation annuelle, malgré une réduction de l'offre suite à la diminution de la production décidée par les pays de l'OPEP ayant favorisé une hausse du prix au mois de mars. Les cours des céréales, notamment ceux du blé tendre et dur et </w:t>
      </w:r>
      <w:r w:rsidR="009E0426">
        <w:rPr>
          <w:rFonts w:ascii="Arial" w:hAnsi="Arial" w:cs="Arial"/>
          <w:iCs/>
          <w:sz w:val="20"/>
          <w:szCs w:val="20"/>
          <w:lang w:eastAsia="en-US"/>
        </w:rPr>
        <w:t>du</w:t>
      </w:r>
      <w:r w:rsidRPr="005B6933">
        <w:rPr>
          <w:rFonts w:ascii="Arial" w:hAnsi="Arial" w:cs="Arial"/>
          <w:iCs/>
          <w:sz w:val="20"/>
          <w:szCs w:val="20"/>
          <w:lang w:eastAsia="en-US"/>
        </w:rPr>
        <w:t xml:space="preserve"> maïs, se seraient renchéris</w:t>
      </w:r>
      <w:r w:rsidR="00A351CF">
        <w:rPr>
          <w:rFonts w:ascii="Arial" w:hAnsi="Arial" w:cs="Arial"/>
          <w:iCs/>
          <w:sz w:val="20"/>
          <w:szCs w:val="20"/>
          <w:lang w:eastAsia="en-US"/>
        </w:rPr>
        <w:t>,</w:t>
      </w:r>
      <w:r w:rsidRPr="005B6933">
        <w:rPr>
          <w:rFonts w:ascii="Arial" w:hAnsi="Arial" w:cs="Arial"/>
          <w:iCs/>
          <w:sz w:val="20"/>
          <w:szCs w:val="20"/>
          <w:lang w:eastAsia="en-US"/>
        </w:rPr>
        <w:t xml:space="preserve"> respectivement</w:t>
      </w:r>
      <w:r w:rsidR="00A351CF">
        <w:rPr>
          <w:rFonts w:ascii="Arial" w:hAnsi="Arial" w:cs="Arial"/>
          <w:iCs/>
          <w:sz w:val="20"/>
          <w:szCs w:val="20"/>
          <w:lang w:eastAsia="en-US"/>
        </w:rPr>
        <w:t>,</w:t>
      </w:r>
      <w:r w:rsidRPr="005B6933">
        <w:rPr>
          <w:rFonts w:ascii="Arial" w:hAnsi="Arial" w:cs="Arial"/>
          <w:iCs/>
          <w:sz w:val="20"/>
          <w:szCs w:val="20"/>
          <w:lang w:eastAsia="en-US"/>
        </w:rPr>
        <w:t xml:space="preserve"> de 18,6%, 11,6% et 5,3%, au cours des deux premiers mois de 2019. Dans ces conditions, l'inflation aurait atteint +1,6% aux Etats-Unis et +1,5% en zone euro au premier trimestre 2019, au lieu de +2,1% et +1,3%, respectivement, un an auparavant.</w:t>
      </w:r>
      <w:r w:rsidR="00B409D7">
        <w:rPr>
          <w:rFonts w:ascii="Arial" w:hAnsi="Arial" w:cs="Arial"/>
          <w:iCs/>
          <w:sz w:val="20"/>
          <w:szCs w:val="20"/>
          <w:lang w:eastAsia="en-US"/>
        </w:rPr>
        <w:t xml:space="preserve">      </w:t>
      </w:r>
    </w:p>
    <w:p w:rsidR="00770D02" w:rsidRPr="005B6933" w:rsidRDefault="00770D02" w:rsidP="00770D02">
      <w:pPr>
        <w:rPr>
          <w:rFonts w:ascii="Arial" w:hAnsi="Arial" w:cs="Arial"/>
          <w:iCs/>
          <w:sz w:val="20"/>
          <w:szCs w:val="20"/>
          <w:lang w:eastAsia="en-US"/>
        </w:rPr>
      </w:pPr>
    </w:p>
    <w:p w:rsidR="004C17C2" w:rsidRPr="001D74B0" w:rsidRDefault="004C17C2" w:rsidP="004C17C2">
      <w:pPr>
        <w:jc w:val="both"/>
        <w:rPr>
          <w:rFonts w:ascii="Arial" w:hAnsi="Arial" w:cs="Arial"/>
          <w:b/>
          <w:bCs/>
          <w:color w:val="800000"/>
          <w:kern w:val="28"/>
          <w:sz w:val="20"/>
          <w:szCs w:val="20"/>
        </w:rPr>
      </w:pPr>
      <w:r w:rsidRPr="001D74B0">
        <w:rPr>
          <w:rFonts w:ascii="Arial" w:hAnsi="Arial" w:cs="Arial"/>
          <w:b/>
          <w:bCs/>
          <w:color w:val="800000"/>
          <w:kern w:val="28"/>
          <w:sz w:val="20"/>
          <w:szCs w:val="20"/>
        </w:rPr>
        <w:t xml:space="preserve">Baisse de régime de la demande mondiale adressée au Maroc </w:t>
      </w:r>
    </w:p>
    <w:p w:rsidR="004C17C2" w:rsidRPr="008C5B37" w:rsidRDefault="004C17C2" w:rsidP="004C17C2">
      <w:pPr>
        <w:jc w:val="both"/>
        <w:rPr>
          <w:rFonts w:ascii="Arial" w:hAnsi="Arial" w:cs="Arial"/>
          <w:iCs/>
          <w:color w:val="1F497D" w:themeColor="text2"/>
          <w:sz w:val="20"/>
          <w:szCs w:val="20"/>
          <w:lang w:eastAsia="en-US"/>
        </w:rPr>
      </w:pPr>
    </w:p>
    <w:p w:rsidR="004C17C2" w:rsidRPr="00A40357" w:rsidRDefault="00947C72" w:rsidP="00B33A66">
      <w:pPr>
        <w:jc w:val="both"/>
        <w:rPr>
          <w:rFonts w:asciiTheme="minorBidi" w:hAnsiTheme="minorBidi" w:cstheme="minorBidi"/>
          <w:sz w:val="20"/>
          <w:szCs w:val="20"/>
        </w:rPr>
      </w:pPr>
      <w:r>
        <w:rPr>
          <w:rFonts w:ascii="Arial" w:hAnsi="Arial" w:cs="Arial"/>
          <w:iCs/>
          <w:noProof/>
          <w:sz w:val="20"/>
          <w:szCs w:val="20"/>
        </w:rPr>
        <w:drawing>
          <wp:anchor distT="0" distB="0" distL="114300" distR="114300" simplePos="0" relativeHeight="251682304" behindDoc="0" locked="0" layoutInCell="1" allowOverlap="1">
            <wp:simplePos x="0" y="0"/>
            <wp:positionH relativeFrom="column">
              <wp:posOffset>4498975</wp:posOffset>
            </wp:positionH>
            <wp:positionV relativeFrom="paragraph">
              <wp:posOffset>57150</wp:posOffset>
            </wp:positionV>
            <wp:extent cx="2009140" cy="1587500"/>
            <wp:effectExtent l="19050" t="0" r="0" b="0"/>
            <wp:wrapSquare wrapText="bothSides"/>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009140" cy="1587500"/>
                    </a:xfrm>
                    <a:prstGeom prst="rect">
                      <a:avLst/>
                    </a:prstGeom>
                    <a:noFill/>
                    <a:ln w="9525">
                      <a:noFill/>
                      <a:miter lim="800000"/>
                      <a:headEnd/>
                      <a:tailEnd/>
                    </a:ln>
                  </pic:spPr>
                </pic:pic>
              </a:graphicData>
            </a:graphic>
          </wp:anchor>
        </w:drawing>
      </w:r>
      <w:r w:rsidR="004C17C2" w:rsidRPr="00A40357">
        <w:rPr>
          <w:rFonts w:ascii="Arial" w:hAnsi="Arial" w:cs="Arial"/>
          <w:iCs/>
          <w:sz w:val="20"/>
          <w:szCs w:val="20"/>
          <w:lang w:eastAsia="en-US"/>
        </w:rPr>
        <w:t xml:space="preserve">Le </w:t>
      </w:r>
      <w:r w:rsidR="004C17C2" w:rsidRPr="00A40357">
        <w:rPr>
          <w:rFonts w:ascii="Arial" w:hAnsi="Arial" w:cs="Arial"/>
          <w:b/>
          <w:bCs/>
          <w:iCs/>
          <w:sz w:val="20"/>
          <w:szCs w:val="20"/>
          <w:lang w:eastAsia="en-US"/>
        </w:rPr>
        <w:t>commerce mondial</w:t>
      </w:r>
      <w:r w:rsidR="004C17C2" w:rsidRPr="00A40357">
        <w:rPr>
          <w:rFonts w:ascii="Arial" w:hAnsi="Arial" w:cs="Arial"/>
          <w:iCs/>
          <w:sz w:val="20"/>
          <w:szCs w:val="20"/>
          <w:lang w:eastAsia="en-US"/>
        </w:rPr>
        <w:t xml:space="preserve"> de biens aurait </w:t>
      </w:r>
      <w:r w:rsidR="004C17C2">
        <w:rPr>
          <w:rFonts w:ascii="Arial" w:hAnsi="Arial" w:cs="Arial"/>
          <w:iCs/>
          <w:sz w:val="20"/>
          <w:szCs w:val="20"/>
          <w:lang w:eastAsia="en-US"/>
        </w:rPr>
        <w:t>ma</w:t>
      </w:r>
      <w:r w:rsidR="009E0426">
        <w:rPr>
          <w:rFonts w:ascii="Arial" w:hAnsi="Arial" w:cs="Arial"/>
          <w:iCs/>
          <w:sz w:val="20"/>
          <w:szCs w:val="20"/>
          <w:lang w:eastAsia="en-US"/>
        </w:rPr>
        <w:t>n</w:t>
      </w:r>
      <w:r w:rsidR="004C17C2">
        <w:rPr>
          <w:rFonts w:ascii="Arial" w:hAnsi="Arial" w:cs="Arial"/>
          <w:iCs/>
          <w:sz w:val="20"/>
          <w:szCs w:val="20"/>
          <w:lang w:eastAsia="en-US"/>
        </w:rPr>
        <w:t>qué</w:t>
      </w:r>
      <w:r w:rsidR="009E0426">
        <w:rPr>
          <w:rFonts w:ascii="Arial" w:hAnsi="Arial" w:cs="Arial"/>
          <w:iCs/>
          <w:sz w:val="20"/>
          <w:szCs w:val="20"/>
          <w:lang w:eastAsia="en-US"/>
        </w:rPr>
        <w:t xml:space="preserve"> de vigueur</w:t>
      </w:r>
      <w:r w:rsidR="00112E06">
        <w:rPr>
          <w:rFonts w:ascii="Arial" w:hAnsi="Arial" w:cs="Arial"/>
          <w:iCs/>
          <w:sz w:val="20"/>
          <w:szCs w:val="20"/>
          <w:lang w:eastAsia="en-US"/>
        </w:rPr>
        <w:t>,</w:t>
      </w:r>
      <w:r w:rsidR="004C17C2" w:rsidRPr="00A40357">
        <w:rPr>
          <w:rFonts w:ascii="Arial" w:hAnsi="Arial" w:cs="Arial"/>
          <w:iCs/>
          <w:sz w:val="20"/>
          <w:szCs w:val="20"/>
          <w:lang w:eastAsia="en-US"/>
        </w:rPr>
        <w:t xml:space="preserve"> au premier trimestre 2019, </w:t>
      </w:r>
      <w:r w:rsidR="009E0426">
        <w:rPr>
          <w:rFonts w:ascii="Arial" w:hAnsi="Arial" w:cs="Arial"/>
          <w:iCs/>
          <w:sz w:val="20"/>
          <w:szCs w:val="20"/>
          <w:lang w:eastAsia="en-US"/>
        </w:rPr>
        <w:t>pâtissant du</w:t>
      </w:r>
      <w:r w:rsidR="004C17C2" w:rsidRPr="00A40357">
        <w:rPr>
          <w:rFonts w:ascii="Arial" w:hAnsi="Arial" w:cs="Arial"/>
          <w:iCs/>
          <w:sz w:val="20"/>
          <w:szCs w:val="20"/>
          <w:lang w:eastAsia="en-US"/>
        </w:rPr>
        <w:t xml:space="preserve"> recul des importations américaines et chinoises. Il aurait progressé de 1,5%, en variation annuelle, au lieu de </w:t>
      </w:r>
      <w:r w:rsidR="004C17C2">
        <w:rPr>
          <w:rFonts w:ascii="Arial" w:hAnsi="Arial" w:cs="Arial"/>
          <w:iCs/>
          <w:sz w:val="20"/>
          <w:szCs w:val="20"/>
          <w:lang w:eastAsia="en-US"/>
        </w:rPr>
        <w:t>+</w:t>
      </w:r>
      <w:r w:rsidR="004C17C2" w:rsidRPr="00A40357">
        <w:rPr>
          <w:rFonts w:ascii="Arial" w:hAnsi="Arial" w:cs="Arial"/>
          <w:iCs/>
          <w:sz w:val="20"/>
          <w:szCs w:val="20"/>
          <w:lang w:eastAsia="en-US"/>
        </w:rPr>
        <w:t xml:space="preserve">5,9% un an plus tôt. </w:t>
      </w:r>
      <w:r w:rsidR="009E0426">
        <w:rPr>
          <w:rFonts w:ascii="Arial" w:hAnsi="Arial" w:cs="Arial"/>
          <w:iCs/>
          <w:sz w:val="20"/>
          <w:szCs w:val="20"/>
          <w:lang w:eastAsia="en-US"/>
        </w:rPr>
        <w:t>L</w:t>
      </w:r>
      <w:r w:rsidR="004C17C2" w:rsidRPr="00A40357">
        <w:rPr>
          <w:rFonts w:ascii="Arial" w:hAnsi="Arial" w:cs="Arial"/>
          <w:iCs/>
          <w:sz w:val="20"/>
          <w:szCs w:val="20"/>
          <w:lang w:eastAsia="en-US"/>
        </w:rPr>
        <w:t xml:space="preserve">a </w:t>
      </w:r>
      <w:r w:rsidR="004C17C2" w:rsidRPr="00A40357">
        <w:rPr>
          <w:rFonts w:ascii="Arial" w:hAnsi="Arial" w:cs="Arial"/>
          <w:b/>
          <w:bCs/>
          <w:iCs/>
          <w:sz w:val="20"/>
          <w:szCs w:val="20"/>
          <w:lang w:eastAsia="en-US"/>
        </w:rPr>
        <w:t xml:space="preserve">demande mondiale adressée au Maroc </w:t>
      </w:r>
      <w:r w:rsidR="004C17C2" w:rsidRPr="00A40357">
        <w:rPr>
          <w:rFonts w:ascii="Arial" w:hAnsi="Arial" w:cs="Arial"/>
          <w:iCs/>
          <w:sz w:val="20"/>
          <w:szCs w:val="20"/>
          <w:lang w:eastAsia="en-US"/>
        </w:rPr>
        <w:t xml:space="preserve">aurait </w:t>
      </w:r>
      <w:r w:rsidR="00B33A66">
        <w:rPr>
          <w:rFonts w:ascii="Arial" w:hAnsi="Arial" w:cs="Arial"/>
          <w:iCs/>
          <w:sz w:val="20"/>
          <w:szCs w:val="20"/>
          <w:lang w:eastAsia="en-US"/>
        </w:rPr>
        <w:t>également ralenti</w:t>
      </w:r>
      <w:r w:rsidR="004C17C2" w:rsidRPr="00A40357">
        <w:rPr>
          <w:rFonts w:ascii="Arial" w:hAnsi="Arial" w:cs="Arial"/>
          <w:iCs/>
          <w:sz w:val="20"/>
          <w:szCs w:val="20"/>
          <w:lang w:eastAsia="en-US"/>
        </w:rPr>
        <w:t>, affichant un accroissement de 2,8%</w:t>
      </w:r>
      <w:r w:rsidR="004C17C2">
        <w:rPr>
          <w:rFonts w:ascii="Arial" w:hAnsi="Arial" w:cs="Arial"/>
          <w:iCs/>
          <w:sz w:val="20"/>
          <w:szCs w:val="20"/>
          <w:lang w:eastAsia="en-US"/>
        </w:rPr>
        <w:t xml:space="preserve"> en variation annuelle</w:t>
      </w:r>
      <w:r w:rsidR="004C17C2" w:rsidRPr="00A40357">
        <w:rPr>
          <w:rFonts w:ascii="Arial" w:hAnsi="Arial" w:cs="Arial"/>
          <w:iCs/>
          <w:sz w:val="20"/>
          <w:szCs w:val="20"/>
          <w:lang w:eastAsia="en-US"/>
        </w:rPr>
        <w:t xml:space="preserve">, au lieu de </w:t>
      </w:r>
      <w:r w:rsidR="004C17C2">
        <w:rPr>
          <w:rFonts w:ascii="Arial" w:hAnsi="Arial" w:cs="Arial"/>
          <w:iCs/>
          <w:sz w:val="20"/>
          <w:szCs w:val="20"/>
          <w:lang w:eastAsia="en-US"/>
        </w:rPr>
        <w:t>+</w:t>
      </w:r>
      <w:r w:rsidR="004C17C2" w:rsidRPr="00A40357">
        <w:rPr>
          <w:rFonts w:ascii="Arial" w:hAnsi="Arial" w:cs="Arial"/>
          <w:iCs/>
          <w:sz w:val="20"/>
          <w:szCs w:val="20"/>
          <w:lang w:eastAsia="en-US"/>
        </w:rPr>
        <w:t>5% un an auparavant.</w:t>
      </w:r>
    </w:p>
    <w:p w:rsidR="004C17C2" w:rsidRPr="008C5B37" w:rsidRDefault="004C17C2" w:rsidP="004C17C2">
      <w:pPr>
        <w:jc w:val="both"/>
        <w:rPr>
          <w:rFonts w:ascii="Arial" w:hAnsi="Arial" w:cs="Arial"/>
          <w:iCs/>
          <w:color w:val="1F497D" w:themeColor="text2"/>
          <w:sz w:val="20"/>
          <w:szCs w:val="20"/>
          <w:lang w:eastAsia="en-US"/>
        </w:rPr>
      </w:pPr>
    </w:p>
    <w:p w:rsidR="00770D02" w:rsidRPr="005B6933" w:rsidRDefault="004C17C2" w:rsidP="00770D02">
      <w:pPr>
        <w:jc w:val="both"/>
        <w:rPr>
          <w:rFonts w:ascii="Arial" w:hAnsi="Arial" w:cs="Arial"/>
          <w:iCs/>
          <w:sz w:val="20"/>
          <w:szCs w:val="20"/>
          <w:lang w:eastAsia="en-US"/>
        </w:rPr>
      </w:pPr>
      <w:r w:rsidRPr="00A40357">
        <w:rPr>
          <w:rFonts w:ascii="Arial" w:hAnsi="Arial" w:cs="Arial"/>
          <w:kern w:val="28"/>
          <w:sz w:val="20"/>
          <w:szCs w:val="20"/>
        </w:rPr>
        <w:t>Malgré le ralentissement de la demande extérieure, les exportations ho</w:t>
      </w:r>
      <w:r w:rsidRPr="00A40357">
        <w:rPr>
          <w:rFonts w:ascii="Arial" w:hAnsi="Arial" w:cs="Arial"/>
          <w:iCs/>
          <w:sz w:val="20"/>
          <w:szCs w:val="20"/>
          <w:lang w:eastAsia="en-US"/>
        </w:rPr>
        <w:t>rs phosphates et dérivés auraient fait preuve de résilience</w:t>
      </w:r>
      <w:r w:rsidRPr="00A40357">
        <w:rPr>
          <w:rFonts w:ascii="Arial" w:hAnsi="Arial" w:cs="Arial"/>
          <w:kern w:val="28"/>
          <w:sz w:val="20"/>
          <w:szCs w:val="20"/>
        </w:rPr>
        <w:t xml:space="preserve"> lors de la même période,</w:t>
      </w:r>
      <w:r w:rsidRPr="00A40357">
        <w:rPr>
          <w:rFonts w:ascii="Arial" w:hAnsi="Arial" w:cs="Arial"/>
          <w:iCs/>
          <w:sz w:val="20"/>
          <w:szCs w:val="20"/>
          <w:lang w:eastAsia="en-US"/>
        </w:rPr>
        <w:t xml:space="preserve"> portées par les expéditions des secteurs de l'aéronautique, de l'agro-alimentaire et, dans une moindre mesure, de l'électronique. </w:t>
      </w:r>
      <w:r>
        <w:rPr>
          <w:rFonts w:ascii="Arial" w:hAnsi="Arial" w:cs="Arial"/>
          <w:iCs/>
          <w:sz w:val="20"/>
          <w:szCs w:val="20"/>
          <w:lang w:eastAsia="en-US"/>
        </w:rPr>
        <w:t>L</w:t>
      </w:r>
      <w:r w:rsidRPr="00A40357">
        <w:rPr>
          <w:rFonts w:ascii="Arial" w:hAnsi="Arial" w:cs="Arial"/>
          <w:kern w:val="28"/>
          <w:sz w:val="20"/>
          <w:szCs w:val="20"/>
        </w:rPr>
        <w:t xml:space="preserve">'orientation favorable des ventes extérieures du secteur phosphatier, en </w:t>
      </w:r>
      <w:r w:rsidRPr="00A40357">
        <w:rPr>
          <w:rFonts w:ascii="Arial" w:hAnsi="Arial" w:cs="Arial"/>
          <w:kern w:val="28"/>
          <w:sz w:val="20"/>
          <w:szCs w:val="20"/>
        </w:rPr>
        <w:lastRenderedPageBreak/>
        <w:t xml:space="preserve">particulier celles des engrais </w:t>
      </w:r>
      <w:r w:rsidRPr="00A40357">
        <w:rPr>
          <w:rFonts w:ascii="Arial" w:hAnsi="Arial" w:cs="Arial"/>
          <w:iCs/>
          <w:sz w:val="20"/>
          <w:szCs w:val="20"/>
          <w:lang w:eastAsia="en-US"/>
        </w:rPr>
        <w:t>naturels et chimiques</w:t>
      </w:r>
      <w:r w:rsidRPr="00A40357">
        <w:rPr>
          <w:rFonts w:ascii="Arial" w:hAnsi="Arial" w:cs="Arial"/>
          <w:kern w:val="28"/>
          <w:sz w:val="20"/>
          <w:szCs w:val="20"/>
        </w:rPr>
        <w:t xml:space="preserve"> </w:t>
      </w:r>
      <w:r>
        <w:rPr>
          <w:rFonts w:ascii="Arial" w:hAnsi="Arial" w:cs="Arial"/>
          <w:kern w:val="28"/>
          <w:sz w:val="20"/>
          <w:szCs w:val="20"/>
        </w:rPr>
        <w:t xml:space="preserve">et </w:t>
      </w:r>
      <w:r w:rsidRPr="00A40357">
        <w:rPr>
          <w:rFonts w:ascii="Arial" w:hAnsi="Arial" w:cs="Arial"/>
          <w:kern w:val="28"/>
          <w:sz w:val="20"/>
          <w:szCs w:val="20"/>
        </w:rPr>
        <w:t>de l'acide phosphorique</w:t>
      </w:r>
      <w:r>
        <w:rPr>
          <w:rFonts w:ascii="Arial" w:hAnsi="Arial" w:cs="Arial"/>
          <w:kern w:val="28"/>
          <w:sz w:val="20"/>
          <w:szCs w:val="20"/>
        </w:rPr>
        <w:t xml:space="preserve">, </w:t>
      </w:r>
      <w:r w:rsidRPr="00A40357">
        <w:rPr>
          <w:rFonts w:ascii="Arial" w:hAnsi="Arial" w:cs="Arial"/>
          <w:iCs/>
          <w:sz w:val="20"/>
          <w:szCs w:val="20"/>
          <w:lang w:eastAsia="en-US"/>
        </w:rPr>
        <w:t xml:space="preserve">auraient soutenu </w:t>
      </w:r>
      <w:r w:rsidRPr="00A40357">
        <w:rPr>
          <w:rFonts w:ascii="Arial" w:hAnsi="Arial" w:cs="Arial"/>
          <w:kern w:val="28"/>
          <w:sz w:val="20"/>
          <w:szCs w:val="20"/>
        </w:rPr>
        <w:t xml:space="preserve">les </w:t>
      </w:r>
      <w:r w:rsidRPr="00A40357">
        <w:rPr>
          <w:rFonts w:ascii="Arial" w:hAnsi="Arial" w:cs="Arial"/>
          <w:b/>
          <w:bCs/>
          <w:kern w:val="28"/>
          <w:sz w:val="20"/>
          <w:szCs w:val="20"/>
        </w:rPr>
        <w:t xml:space="preserve">exportations globales </w:t>
      </w:r>
      <w:r w:rsidRPr="00A40357">
        <w:rPr>
          <w:rFonts w:ascii="Arial" w:hAnsi="Arial" w:cs="Arial"/>
          <w:kern w:val="28"/>
          <w:sz w:val="20"/>
          <w:szCs w:val="20"/>
        </w:rPr>
        <w:t xml:space="preserve">dont la hausse aurait atteint 3,5%, en variation annuelle, dans un contexte d'accroissement des cours mondiaux des dérivés de phosphate, </w:t>
      </w:r>
      <w:r w:rsidR="00770D02" w:rsidRPr="005B6933">
        <w:rPr>
          <w:rFonts w:ascii="Arial" w:hAnsi="Arial" w:cs="Arial"/>
          <w:iCs/>
          <w:sz w:val="20"/>
          <w:szCs w:val="20"/>
          <w:lang w:eastAsia="en-US"/>
        </w:rPr>
        <w:t>notamment le Diammonium Phosphate (DAP) et le Triple superphosphate (TSP) (1,3% et 9,2%, respectivement à fin février 2019).</w:t>
      </w:r>
    </w:p>
    <w:p w:rsidR="00770D02" w:rsidRPr="00A40357" w:rsidRDefault="00770D02" w:rsidP="004C17C2">
      <w:pPr>
        <w:jc w:val="both"/>
        <w:rPr>
          <w:rFonts w:ascii="Arial" w:hAnsi="Arial" w:cs="Arial"/>
          <w:iCs/>
          <w:sz w:val="20"/>
          <w:szCs w:val="20"/>
          <w:lang w:eastAsia="en-US"/>
        </w:rPr>
      </w:pPr>
    </w:p>
    <w:p w:rsidR="00F97E82" w:rsidRPr="005B6933" w:rsidRDefault="00F97E82" w:rsidP="00F97E82">
      <w:pPr>
        <w:jc w:val="both"/>
        <w:rPr>
          <w:rFonts w:ascii="Arial" w:hAnsi="Arial" w:cs="Arial"/>
          <w:iCs/>
          <w:sz w:val="20"/>
          <w:szCs w:val="20"/>
          <w:lang w:eastAsia="en-US"/>
        </w:rPr>
      </w:pPr>
      <w:r w:rsidRPr="005B6933">
        <w:rPr>
          <w:rFonts w:ascii="Arial" w:hAnsi="Arial" w:cs="Arial"/>
          <w:iCs/>
          <w:sz w:val="20"/>
          <w:szCs w:val="20"/>
          <w:lang w:eastAsia="en-US"/>
        </w:rPr>
        <w:t xml:space="preserve">Les </w:t>
      </w:r>
      <w:r w:rsidRPr="00F97E82">
        <w:rPr>
          <w:rFonts w:ascii="Arial" w:hAnsi="Arial" w:cs="Arial"/>
          <w:b/>
          <w:bCs/>
          <w:iCs/>
          <w:sz w:val="20"/>
          <w:szCs w:val="20"/>
          <w:lang w:eastAsia="en-US"/>
        </w:rPr>
        <w:t>importations</w:t>
      </w:r>
      <w:r w:rsidRPr="005B6933">
        <w:rPr>
          <w:rFonts w:ascii="Arial" w:hAnsi="Arial" w:cs="Arial"/>
          <w:iCs/>
          <w:sz w:val="20"/>
          <w:szCs w:val="20"/>
          <w:lang w:eastAsia="en-US"/>
        </w:rPr>
        <w:t xml:space="preserve"> se seraient, quant à elles, repliées de 2,4%, en glissement annuel, après une tendance haussière en 2018. Cette baisse aurait été attribuable, principalement, au recul des acquisitions des biens d'équipement et des biens énergétiques. La facture énergétique se serait, ainsi, allégée de près de 8,7%, en liaison avec le repli des cours des produits pétroliers sur le marché mondial et la baisse des quantités importées. Les importations de demi-produits, des produits bruts et des biens alimentaires se seraient, à l’inverse, inscrites en hausse, soutenues par la demande intérieure.</w:t>
      </w:r>
    </w:p>
    <w:p w:rsidR="004C17C2" w:rsidRDefault="004C17C2" w:rsidP="004C17C2">
      <w:pPr>
        <w:jc w:val="both"/>
        <w:rPr>
          <w:rFonts w:ascii="Arial" w:hAnsi="Arial" w:cs="Arial"/>
          <w:sz w:val="20"/>
          <w:szCs w:val="20"/>
        </w:rPr>
      </w:pPr>
    </w:p>
    <w:p w:rsidR="00F97E82" w:rsidRPr="005B6933" w:rsidRDefault="00302E86" w:rsidP="00302E86">
      <w:pPr>
        <w:jc w:val="both"/>
        <w:rPr>
          <w:rFonts w:ascii="Arial" w:hAnsi="Arial" w:cs="Arial"/>
          <w:iCs/>
          <w:sz w:val="20"/>
          <w:szCs w:val="20"/>
          <w:lang w:eastAsia="en-US"/>
        </w:rPr>
      </w:pPr>
      <w:r>
        <w:rPr>
          <w:rFonts w:ascii="Arial" w:hAnsi="Arial" w:cs="Arial"/>
          <w:iCs/>
          <w:sz w:val="20"/>
          <w:szCs w:val="20"/>
          <w:lang w:eastAsia="en-US"/>
        </w:rPr>
        <w:t>Dans ce contexte, l</w:t>
      </w:r>
      <w:r w:rsidR="00F97E82" w:rsidRPr="005B6933">
        <w:rPr>
          <w:rFonts w:ascii="Arial" w:hAnsi="Arial" w:cs="Arial"/>
          <w:iCs/>
          <w:sz w:val="20"/>
          <w:szCs w:val="20"/>
          <w:lang w:eastAsia="en-US"/>
        </w:rPr>
        <w:t xml:space="preserve">e déficit de la balance commerciale se serait allégé de 11%, en glissement annuel, et le taux de couverture se serait amélioré de 3,6 points, pour atteindre 62,9%. </w:t>
      </w:r>
    </w:p>
    <w:p w:rsidR="00602711" w:rsidRDefault="00602711" w:rsidP="00CA1470">
      <w:pPr>
        <w:jc w:val="both"/>
        <w:rPr>
          <w:rFonts w:ascii="Arial" w:hAnsi="Arial" w:cs="Arial"/>
          <w:b/>
          <w:bCs/>
          <w:color w:val="800000"/>
          <w:kern w:val="28"/>
          <w:sz w:val="20"/>
          <w:szCs w:val="20"/>
        </w:rPr>
      </w:pPr>
    </w:p>
    <w:p w:rsidR="005B6941" w:rsidRDefault="00C85CD2" w:rsidP="00C85CD2">
      <w:pPr>
        <w:jc w:val="both"/>
        <w:rPr>
          <w:rFonts w:ascii="Arial" w:hAnsi="Arial" w:cs="Arial"/>
          <w:b/>
          <w:bCs/>
          <w:color w:val="800000"/>
          <w:kern w:val="28"/>
          <w:sz w:val="20"/>
          <w:szCs w:val="20"/>
        </w:rPr>
      </w:pPr>
      <w:r>
        <w:rPr>
          <w:rFonts w:ascii="Arial" w:hAnsi="Arial" w:cs="Arial"/>
          <w:b/>
          <w:bCs/>
          <w:color w:val="800000"/>
          <w:kern w:val="28"/>
          <w:sz w:val="20"/>
          <w:szCs w:val="20"/>
        </w:rPr>
        <w:t>Poursuite de l’amélioration</w:t>
      </w:r>
      <w:r w:rsidR="007349B4">
        <w:rPr>
          <w:rFonts w:ascii="Arial" w:hAnsi="Arial" w:cs="Arial"/>
          <w:b/>
          <w:bCs/>
          <w:color w:val="800000"/>
          <w:kern w:val="28"/>
          <w:sz w:val="20"/>
          <w:szCs w:val="20"/>
        </w:rPr>
        <w:t xml:space="preserve"> </w:t>
      </w:r>
      <w:r w:rsidR="005B6941">
        <w:rPr>
          <w:rFonts w:ascii="Arial" w:hAnsi="Arial" w:cs="Arial"/>
          <w:b/>
          <w:bCs/>
          <w:color w:val="800000"/>
          <w:kern w:val="28"/>
          <w:sz w:val="20"/>
          <w:szCs w:val="20"/>
        </w:rPr>
        <w:t>de l</w:t>
      </w:r>
      <w:r w:rsidR="005B6941" w:rsidRPr="00DB7C3F">
        <w:rPr>
          <w:rFonts w:ascii="Arial" w:hAnsi="Arial" w:cs="Arial"/>
          <w:b/>
          <w:bCs/>
          <w:color w:val="800000"/>
          <w:kern w:val="28"/>
          <w:sz w:val="20"/>
          <w:szCs w:val="20"/>
        </w:rPr>
        <w:t xml:space="preserve">a </w:t>
      </w:r>
      <w:r w:rsidR="00DA128F">
        <w:rPr>
          <w:rFonts w:ascii="Arial" w:hAnsi="Arial" w:cs="Arial"/>
          <w:b/>
          <w:bCs/>
          <w:color w:val="800000"/>
          <w:kern w:val="28"/>
          <w:sz w:val="20"/>
          <w:szCs w:val="20"/>
        </w:rPr>
        <w:t>demande intérieure</w:t>
      </w:r>
    </w:p>
    <w:p w:rsidR="005B6941" w:rsidRDefault="005667F7" w:rsidP="005B6941">
      <w:pPr>
        <w:autoSpaceDE w:val="0"/>
        <w:autoSpaceDN w:val="0"/>
        <w:adjustRightInd w:val="0"/>
        <w:jc w:val="both"/>
        <w:rPr>
          <w:rFonts w:ascii="Arial" w:hAnsi="Arial" w:cs="Arial"/>
          <w:b/>
          <w:bCs/>
          <w:color w:val="800000"/>
          <w:kern w:val="28"/>
          <w:sz w:val="20"/>
          <w:szCs w:val="20"/>
        </w:rPr>
      </w:pPr>
      <w:r>
        <w:rPr>
          <w:rFonts w:ascii="Arial" w:hAnsi="Arial" w:cs="Arial"/>
          <w:b/>
          <w:bCs/>
          <w:noProof/>
          <w:color w:val="800000"/>
          <w:kern w:val="28"/>
          <w:sz w:val="20"/>
          <w:szCs w:val="20"/>
        </w:rPr>
        <w:drawing>
          <wp:anchor distT="0" distB="0" distL="114300" distR="114300" simplePos="0" relativeHeight="251686400" behindDoc="0" locked="0" layoutInCell="1" allowOverlap="1">
            <wp:simplePos x="0" y="0"/>
            <wp:positionH relativeFrom="column">
              <wp:posOffset>4516120</wp:posOffset>
            </wp:positionH>
            <wp:positionV relativeFrom="paragraph">
              <wp:posOffset>40005</wp:posOffset>
            </wp:positionV>
            <wp:extent cx="2042160" cy="1579245"/>
            <wp:effectExtent l="19050" t="0" r="0" b="0"/>
            <wp:wrapSquare wrapText="bothSides"/>
            <wp:docPr id="1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2042160" cy="1579245"/>
                    </a:xfrm>
                    <a:prstGeom prst="rect">
                      <a:avLst/>
                    </a:prstGeom>
                    <a:noFill/>
                    <a:ln w="9525">
                      <a:noFill/>
                      <a:miter lim="800000"/>
                      <a:headEnd/>
                      <a:tailEnd/>
                    </a:ln>
                  </pic:spPr>
                </pic:pic>
              </a:graphicData>
            </a:graphic>
          </wp:anchor>
        </w:drawing>
      </w:r>
    </w:p>
    <w:p w:rsidR="00490941" w:rsidRPr="00490941" w:rsidRDefault="00B567F2" w:rsidP="00302E86">
      <w:pPr>
        <w:autoSpaceDE w:val="0"/>
        <w:autoSpaceDN w:val="0"/>
        <w:adjustRightInd w:val="0"/>
        <w:jc w:val="both"/>
        <w:rPr>
          <w:rFonts w:ascii="Arial" w:hAnsi="Arial" w:cs="Arial"/>
          <w:sz w:val="20"/>
          <w:szCs w:val="20"/>
        </w:rPr>
      </w:pPr>
      <w:r>
        <w:rPr>
          <w:rFonts w:ascii="Arial" w:hAnsi="Arial" w:cs="Arial"/>
          <w:sz w:val="20"/>
          <w:szCs w:val="20"/>
        </w:rPr>
        <w:t>Poursuiv</w:t>
      </w:r>
      <w:r w:rsidR="002833EA">
        <w:rPr>
          <w:rFonts w:ascii="Arial" w:hAnsi="Arial" w:cs="Arial"/>
          <w:sz w:val="20"/>
          <w:szCs w:val="20"/>
        </w:rPr>
        <w:t>ant</w:t>
      </w:r>
      <w:r>
        <w:rPr>
          <w:rFonts w:ascii="Arial" w:hAnsi="Arial" w:cs="Arial"/>
          <w:sz w:val="20"/>
          <w:szCs w:val="20"/>
        </w:rPr>
        <w:t xml:space="preserve"> s</w:t>
      </w:r>
      <w:r w:rsidR="00302E86">
        <w:rPr>
          <w:rFonts w:ascii="Arial" w:hAnsi="Arial" w:cs="Arial"/>
          <w:sz w:val="20"/>
          <w:szCs w:val="20"/>
        </w:rPr>
        <w:t>on évolution</w:t>
      </w:r>
      <w:r w:rsidRPr="002956E1">
        <w:rPr>
          <w:rFonts w:ascii="Arial" w:hAnsi="Arial" w:cs="Arial"/>
          <w:sz w:val="20"/>
          <w:szCs w:val="20"/>
        </w:rPr>
        <w:t xml:space="preserve"> </w:t>
      </w:r>
      <w:r>
        <w:rPr>
          <w:rFonts w:ascii="Arial" w:hAnsi="Arial" w:cs="Arial"/>
          <w:sz w:val="20"/>
          <w:szCs w:val="20"/>
        </w:rPr>
        <w:t>modérée, l</w:t>
      </w:r>
      <w:r w:rsidR="00490941" w:rsidRPr="00490941">
        <w:rPr>
          <w:rFonts w:ascii="Arial" w:hAnsi="Arial" w:cs="Arial"/>
          <w:sz w:val="20"/>
          <w:szCs w:val="20"/>
        </w:rPr>
        <w:t xml:space="preserve">a </w:t>
      </w:r>
      <w:r w:rsidR="00DA128F">
        <w:rPr>
          <w:rFonts w:ascii="Arial" w:hAnsi="Arial" w:cs="Arial"/>
          <w:sz w:val="20"/>
          <w:szCs w:val="20"/>
        </w:rPr>
        <w:t xml:space="preserve">demande intérieure </w:t>
      </w:r>
      <w:r w:rsidR="00490941" w:rsidRPr="00490941">
        <w:rPr>
          <w:rFonts w:ascii="Arial" w:hAnsi="Arial" w:cs="Arial"/>
          <w:sz w:val="20"/>
          <w:szCs w:val="20"/>
        </w:rPr>
        <w:t>aurait</w:t>
      </w:r>
      <w:r>
        <w:rPr>
          <w:rFonts w:ascii="Arial" w:hAnsi="Arial" w:cs="Arial"/>
          <w:sz w:val="20"/>
          <w:szCs w:val="20"/>
        </w:rPr>
        <w:t xml:space="preserve"> continué de soutenir la croissance économique nationale</w:t>
      </w:r>
      <w:r w:rsidRPr="00B567F2">
        <w:rPr>
          <w:rFonts w:ascii="Arial" w:hAnsi="Arial" w:cs="Arial"/>
          <w:sz w:val="20"/>
          <w:szCs w:val="20"/>
        </w:rPr>
        <w:t xml:space="preserve"> </w:t>
      </w:r>
      <w:r>
        <w:rPr>
          <w:rFonts w:ascii="Arial" w:hAnsi="Arial" w:cs="Arial"/>
          <w:sz w:val="20"/>
          <w:szCs w:val="20"/>
        </w:rPr>
        <w:t>a</w:t>
      </w:r>
      <w:r w:rsidRPr="00490941">
        <w:rPr>
          <w:rFonts w:ascii="Arial" w:hAnsi="Arial" w:cs="Arial"/>
          <w:sz w:val="20"/>
          <w:szCs w:val="20"/>
        </w:rPr>
        <w:t xml:space="preserve">u </w:t>
      </w:r>
      <w:r>
        <w:rPr>
          <w:rFonts w:ascii="Arial" w:hAnsi="Arial" w:cs="Arial"/>
          <w:sz w:val="20"/>
          <w:szCs w:val="20"/>
        </w:rPr>
        <w:t>premier trimestre 2019.</w:t>
      </w:r>
      <w:r w:rsidR="00DB5017">
        <w:rPr>
          <w:rFonts w:ascii="Arial" w:hAnsi="Arial" w:cs="Arial"/>
          <w:sz w:val="20"/>
          <w:szCs w:val="20"/>
        </w:rPr>
        <w:t xml:space="preserve"> </w:t>
      </w:r>
      <w:r>
        <w:rPr>
          <w:rFonts w:ascii="Arial" w:hAnsi="Arial" w:cs="Arial"/>
          <w:sz w:val="20"/>
          <w:szCs w:val="20"/>
        </w:rPr>
        <w:t>D</w:t>
      </w:r>
      <w:r w:rsidR="00DB5017">
        <w:rPr>
          <w:rFonts w:ascii="Arial" w:hAnsi="Arial" w:cs="Arial"/>
          <w:sz w:val="20"/>
          <w:szCs w:val="20"/>
        </w:rPr>
        <w:t xml:space="preserve">ans un contexte </w:t>
      </w:r>
      <w:r w:rsidR="00A706A1">
        <w:rPr>
          <w:rFonts w:ascii="Arial" w:hAnsi="Arial" w:cs="Arial"/>
          <w:sz w:val="20"/>
          <w:szCs w:val="20"/>
        </w:rPr>
        <w:t>de stagnation</w:t>
      </w:r>
      <w:r>
        <w:rPr>
          <w:rFonts w:ascii="Arial" w:hAnsi="Arial" w:cs="Arial"/>
          <w:sz w:val="20"/>
          <w:szCs w:val="20"/>
        </w:rPr>
        <w:t xml:space="preserve"> </w:t>
      </w:r>
      <w:r w:rsidR="00DB5017">
        <w:rPr>
          <w:rFonts w:ascii="Arial" w:hAnsi="Arial" w:cs="Arial"/>
          <w:sz w:val="20"/>
          <w:szCs w:val="20"/>
        </w:rPr>
        <w:t>des prix à la consommation</w:t>
      </w:r>
      <w:r>
        <w:rPr>
          <w:rFonts w:ascii="Arial" w:hAnsi="Arial" w:cs="Arial"/>
          <w:sz w:val="20"/>
          <w:szCs w:val="20"/>
        </w:rPr>
        <w:t>,</w:t>
      </w:r>
      <w:r w:rsidR="00DA128F">
        <w:rPr>
          <w:rFonts w:ascii="Arial" w:hAnsi="Arial" w:cs="Arial"/>
          <w:sz w:val="20"/>
          <w:szCs w:val="20"/>
        </w:rPr>
        <w:t xml:space="preserve"> </w:t>
      </w:r>
      <w:r>
        <w:rPr>
          <w:rFonts w:ascii="Arial" w:hAnsi="Arial" w:cs="Arial"/>
          <w:sz w:val="20"/>
          <w:szCs w:val="20"/>
        </w:rPr>
        <w:t>l</w:t>
      </w:r>
      <w:r w:rsidR="00DA128F">
        <w:rPr>
          <w:rFonts w:ascii="Arial" w:hAnsi="Arial" w:cs="Arial"/>
          <w:sz w:val="20"/>
          <w:szCs w:val="20"/>
        </w:rPr>
        <w:t>a</w:t>
      </w:r>
      <w:r w:rsidR="00DA128F" w:rsidRPr="00DA128F">
        <w:rPr>
          <w:rFonts w:ascii="Arial" w:hAnsi="Arial" w:cs="Arial"/>
          <w:b/>
          <w:bCs/>
          <w:sz w:val="20"/>
          <w:szCs w:val="20"/>
        </w:rPr>
        <w:t xml:space="preserve"> </w:t>
      </w:r>
      <w:r w:rsidR="00DA128F" w:rsidRPr="00490941">
        <w:rPr>
          <w:rFonts w:ascii="Arial" w:hAnsi="Arial" w:cs="Arial"/>
          <w:b/>
          <w:bCs/>
          <w:sz w:val="20"/>
          <w:szCs w:val="20"/>
        </w:rPr>
        <w:t>consommation finale des ménages</w:t>
      </w:r>
      <w:r w:rsidR="00C6511E">
        <w:rPr>
          <w:rFonts w:ascii="Arial" w:hAnsi="Arial" w:cs="Arial"/>
          <w:b/>
          <w:bCs/>
          <w:sz w:val="20"/>
          <w:szCs w:val="20"/>
        </w:rPr>
        <w:t>,</w:t>
      </w:r>
      <w:r w:rsidR="00C6511E" w:rsidRPr="00C6511E">
        <w:rPr>
          <w:rFonts w:ascii="Arial" w:hAnsi="Arial" w:cs="Arial"/>
          <w:sz w:val="20"/>
          <w:szCs w:val="20"/>
        </w:rPr>
        <w:t xml:space="preserve"> en volume,</w:t>
      </w:r>
      <w:r w:rsidR="00C6511E">
        <w:rPr>
          <w:rFonts w:ascii="Arial" w:hAnsi="Arial" w:cs="Arial"/>
          <w:b/>
          <w:bCs/>
          <w:sz w:val="20"/>
          <w:szCs w:val="20"/>
        </w:rPr>
        <w:t xml:space="preserve"> </w:t>
      </w:r>
      <w:r w:rsidR="0031062E">
        <w:rPr>
          <w:rFonts w:ascii="Arial" w:hAnsi="Arial" w:cs="Arial"/>
          <w:sz w:val="20"/>
          <w:szCs w:val="20"/>
        </w:rPr>
        <w:t xml:space="preserve">se </w:t>
      </w:r>
      <w:r w:rsidR="00490941" w:rsidRPr="00490941">
        <w:rPr>
          <w:rFonts w:ascii="Arial" w:hAnsi="Arial" w:cs="Arial"/>
          <w:sz w:val="20"/>
          <w:szCs w:val="20"/>
        </w:rPr>
        <w:t xml:space="preserve">serait </w:t>
      </w:r>
      <w:r w:rsidR="00C6511E">
        <w:rPr>
          <w:rFonts w:ascii="Arial" w:hAnsi="Arial" w:cs="Arial"/>
          <w:sz w:val="20"/>
          <w:szCs w:val="20"/>
        </w:rPr>
        <w:t>affermi</w:t>
      </w:r>
      <w:r w:rsidR="00490941" w:rsidRPr="00490941">
        <w:rPr>
          <w:rFonts w:ascii="Arial" w:hAnsi="Arial" w:cs="Arial"/>
          <w:sz w:val="20"/>
          <w:szCs w:val="20"/>
        </w:rPr>
        <w:t xml:space="preserve">e de </w:t>
      </w:r>
      <w:r w:rsidR="001115DA">
        <w:rPr>
          <w:rFonts w:ascii="Arial" w:hAnsi="Arial" w:cs="Arial"/>
          <w:sz w:val="20"/>
          <w:szCs w:val="20"/>
        </w:rPr>
        <w:t>2,</w:t>
      </w:r>
      <w:r w:rsidR="00334073">
        <w:rPr>
          <w:rFonts w:ascii="Arial" w:hAnsi="Arial" w:cs="Arial" w:hint="cs"/>
          <w:sz w:val="20"/>
          <w:szCs w:val="20"/>
          <w:rtl/>
        </w:rPr>
        <w:t>8</w:t>
      </w:r>
      <w:r w:rsidR="00490941" w:rsidRPr="00490941">
        <w:rPr>
          <w:rFonts w:ascii="Arial" w:hAnsi="Arial" w:cs="Arial"/>
          <w:sz w:val="20"/>
          <w:szCs w:val="20"/>
        </w:rPr>
        <w:t xml:space="preserve">%, contribuant pour </w:t>
      </w:r>
      <w:r w:rsidR="000D2442">
        <w:rPr>
          <w:rFonts w:ascii="Arial" w:hAnsi="Arial" w:cs="Arial"/>
          <w:sz w:val="20"/>
          <w:szCs w:val="20"/>
        </w:rPr>
        <w:t>+</w:t>
      </w:r>
      <w:r w:rsidR="00663A05">
        <w:rPr>
          <w:rFonts w:ascii="Arial" w:hAnsi="Arial" w:cs="Arial"/>
          <w:sz w:val="20"/>
          <w:szCs w:val="20"/>
        </w:rPr>
        <w:t>1</w:t>
      </w:r>
      <w:r w:rsidR="003118AC">
        <w:rPr>
          <w:rFonts w:ascii="Arial" w:hAnsi="Arial" w:cs="Arial"/>
          <w:sz w:val="20"/>
          <w:szCs w:val="20"/>
        </w:rPr>
        <w:t>,</w:t>
      </w:r>
      <w:r w:rsidR="00811139">
        <w:rPr>
          <w:rFonts w:ascii="Arial" w:hAnsi="Arial" w:cs="Arial"/>
          <w:sz w:val="20"/>
          <w:szCs w:val="20"/>
        </w:rPr>
        <w:t>6</w:t>
      </w:r>
      <w:r w:rsidR="00490941" w:rsidRPr="00490941">
        <w:rPr>
          <w:rFonts w:ascii="Arial" w:hAnsi="Arial" w:cs="Arial"/>
          <w:sz w:val="20"/>
          <w:szCs w:val="20"/>
        </w:rPr>
        <w:t xml:space="preserve"> point à la croissance globale du PIB. Les dépenses de consommation auraient </w:t>
      </w:r>
      <w:r w:rsidR="004278BF">
        <w:rPr>
          <w:rFonts w:ascii="Arial" w:hAnsi="Arial" w:cs="Arial"/>
          <w:sz w:val="20"/>
          <w:szCs w:val="20"/>
        </w:rPr>
        <w:t>été alimentées</w:t>
      </w:r>
      <w:r w:rsidR="00556FF7">
        <w:rPr>
          <w:rFonts w:ascii="Arial" w:hAnsi="Arial" w:cs="Arial"/>
          <w:sz w:val="20"/>
          <w:szCs w:val="20"/>
        </w:rPr>
        <w:t>, entre autres,</w:t>
      </w:r>
      <w:r w:rsidR="004278BF">
        <w:rPr>
          <w:rFonts w:ascii="Arial" w:hAnsi="Arial" w:cs="Arial"/>
          <w:sz w:val="20"/>
          <w:szCs w:val="20"/>
        </w:rPr>
        <w:t xml:space="preserve"> par une hausse de 5,</w:t>
      </w:r>
      <w:r w:rsidR="00D6320B">
        <w:rPr>
          <w:rFonts w:ascii="Arial" w:hAnsi="Arial" w:cs="Arial"/>
          <w:sz w:val="20"/>
          <w:szCs w:val="20"/>
        </w:rPr>
        <w:t>7</w:t>
      </w:r>
      <w:r w:rsidR="004278BF">
        <w:rPr>
          <w:rFonts w:ascii="Arial" w:hAnsi="Arial" w:cs="Arial"/>
          <w:sz w:val="20"/>
          <w:szCs w:val="20"/>
        </w:rPr>
        <w:t xml:space="preserve">% des crédits à la consommation et auraient </w:t>
      </w:r>
      <w:r w:rsidR="00490941" w:rsidRPr="00490941">
        <w:rPr>
          <w:rFonts w:ascii="Arial" w:hAnsi="Arial" w:cs="Arial"/>
          <w:sz w:val="20"/>
          <w:szCs w:val="20"/>
        </w:rPr>
        <w:t>profit</w:t>
      </w:r>
      <w:r w:rsidR="00B67DC7">
        <w:rPr>
          <w:rFonts w:ascii="Arial" w:hAnsi="Arial" w:cs="Arial"/>
          <w:sz w:val="20"/>
          <w:szCs w:val="20"/>
        </w:rPr>
        <w:t>é</w:t>
      </w:r>
      <w:r w:rsidR="00490941" w:rsidRPr="00490941">
        <w:rPr>
          <w:rFonts w:ascii="Arial" w:hAnsi="Arial" w:cs="Arial"/>
          <w:sz w:val="20"/>
          <w:szCs w:val="20"/>
        </w:rPr>
        <w:t xml:space="preserve"> </w:t>
      </w:r>
      <w:r w:rsidR="00E61A5A">
        <w:rPr>
          <w:rFonts w:ascii="Arial" w:hAnsi="Arial" w:cs="Arial"/>
          <w:sz w:val="20"/>
          <w:szCs w:val="20"/>
        </w:rPr>
        <w:t>plutôt</w:t>
      </w:r>
      <w:r w:rsidR="00E61A5A" w:rsidRPr="00490941">
        <w:rPr>
          <w:rFonts w:ascii="Arial" w:hAnsi="Arial" w:cs="Arial"/>
          <w:sz w:val="20"/>
          <w:szCs w:val="20"/>
        </w:rPr>
        <w:t xml:space="preserve"> </w:t>
      </w:r>
      <w:r w:rsidR="00490941" w:rsidRPr="00490941">
        <w:rPr>
          <w:rFonts w:ascii="Arial" w:hAnsi="Arial" w:cs="Arial"/>
          <w:sz w:val="20"/>
          <w:szCs w:val="20"/>
        </w:rPr>
        <w:t xml:space="preserve">aux produits </w:t>
      </w:r>
      <w:r w:rsidR="001D4212">
        <w:rPr>
          <w:rFonts w:ascii="Arial" w:hAnsi="Arial" w:cs="Arial"/>
          <w:sz w:val="20"/>
          <w:szCs w:val="20"/>
        </w:rPr>
        <w:t>l</w:t>
      </w:r>
      <w:r w:rsidR="00CE48B8">
        <w:rPr>
          <w:rFonts w:ascii="Arial" w:hAnsi="Arial" w:cs="Arial"/>
          <w:sz w:val="20"/>
          <w:szCs w:val="20"/>
        </w:rPr>
        <w:t>ocaux</w:t>
      </w:r>
      <w:r w:rsidR="008E58ED">
        <w:rPr>
          <w:rFonts w:ascii="Arial" w:hAnsi="Arial" w:cs="Arial"/>
          <w:sz w:val="20"/>
          <w:szCs w:val="20"/>
        </w:rPr>
        <w:t>.</w:t>
      </w:r>
      <w:r w:rsidR="00490941" w:rsidRPr="00490941">
        <w:rPr>
          <w:rFonts w:ascii="Arial" w:hAnsi="Arial" w:cs="Arial"/>
          <w:sz w:val="20"/>
          <w:szCs w:val="20"/>
        </w:rPr>
        <w:t xml:space="preserve"> </w:t>
      </w:r>
      <w:r w:rsidR="008E58ED">
        <w:rPr>
          <w:rFonts w:ascii="Arial" w:hAnsi="Arial" w:cs="Arial"/>
          <w:sz w:val="20"/>
          <w:szCs w:val="20"/>
        </w:rPr>
        <w:t>L</w:t>
      </w:r>
      <w:r w:rsidR="00DE4681">
        <w:rPr>
          <w:rFonts w:ascii="Arial" w:hAnsi="Arial" w:cs="Arial"/>
          <w:sz w:val="20"/>
          <w:szCs w:val="20"/>
        </w:rPr>
        <w:t xml:space="preserve">es importations de biens finis de consommation </w:t>
      </w:r>
      <w:r w:rsidR="00CE48B8">
        <w:rPr>
          <w:rFonts w:ascii="Arial" w:hAnsi="Arial" w:cs="Arial"/>
          <w:sz w:val="20"/>
          <w:szCs w:val="20"/>
        </w:rPr>
        <w:t>n’</w:t>
      </w:r>
      <w:r w:rsidR="00DE4681">
        <w:rPr>
          <w:rFonts w:ascii="Arial" w:hAnsi="Arial" w:cs="Arial"/>
          <w:sz w:val="20"/>
          <w:szCs w:val="20"/>
        </w:rPr>
        <w:t xml:space="preserve">auraient crû </w:t>
      </w:r>
      <w:r w:rsidR="00CE48B8">
        <w:rPr>
          <w:rFonts w:ascii="Arial" w:hAnsi="Arial" w:cs="Arial"/>
          <w:sz w:val="20"/>
          <w:szCs w:val="20"/>
        </w:rPr>
        <w:t xml:space="preserve">que </w:t>
      </w:r>
      <w:r w:rsidR="00DE4681">
        <w:rPr>
          <w:rFonts w:ascii="Arial" w:hAnsi="Arial" w:cs="Arial"/>
          <w:sz w:val="20"/>
          <w:szCs w:val="20"/>
        </w:rPr>
        <w:t xml:space="preserve">de </w:t>
      </w:r>
      <w:r w:rsidR="00CE48B8">
        <w:rPr>
          <w:rFonts w:ascii="Arial" w:hAnsi="Arial" w:cs="Arial"/>
          <w:sz w:val="20"/>
          <w:szCs w:val="20"/>
        </w:rPr>
        <w:t>0</w:t>
      </w:r>
      <w:r w:rsidR="00DE4681">
        <w:rPr>
          <w:rFonts w:ascii="Arial" w:hAnsi="Arial" w:cs="Arial"/>
          <w:sz w:val="20"/>
          <w:szCs w:val="20"/>
        </w:rPr>
        <w:t>,</w:t>
      </w:r>
      <w:r w:rsidR="00CE48B8">
        <w:rPr>
          <w:rFonts w:ascii="Arial" w:hAnsi="Arial" w:cs="Arial"/>
          <w:sz w:val="20"/>
          <w:szCs w:val="20"/>
        </w:rPr>
        <w:t>8</w:t>
      </w:r>
      <w:r w:rsidR="00DE4681">
        <w:rPr>
          <w:rFonts w:ascii="Arial" w:hAnsi="Arial" w:cs="Arial"/>
          <w:sz w:val="20"/>
          <w:szCs w:val="20"/>
        </w:rPr>
        <w:t>%</w:t>
      </w:r>
      <w:r w:rsidR="00490941" w:rsidRPr="00490941">
        <w:rPr>
          <w:rFonts w:ascii="Arial" w:hAnsi="Arial" w:cs="Arial"/>
          <w:sz w:val="20"/>
          <w:szCs w:val="20"/>
        </w:rPr>
        <w:t>, en glissement annuel</w:t>
      </w:r>
      <w:r w:rsidR="0056614D">
        <w:rPr>
          <w:rFonts w:ascii="Arial" w:hAnsi="Arial" w:cs="Arial"/>
          <w:sz w:val="20"/>
          <w:szCs w:val="20"/>
        </w:rPr>
        <w:t xml:space="preserve">, au lieu de </w:t>
      </w:r>
      <w:r w:rsidR="001D4212">
        <w:rPr>
          <w:rFonts w:ascii="Arial" w:hAnsi="Arial" w:cs="Arial"/>
          <w:sz w:val="20"/>
          <w:szCs w:val="20"/>
        </w:rPr>
        <w:t>+</w:t>
      </w:r>
      <w:r w:rsidR="0056614D">
        <w:rPr>
          <w:rFonts w:ascii="Arial" w:hAnsi="Arial" w:cs="Arial"/>
          <w:sz w:val="20"/>
          <w:szCs w:val="20"/>
        </w:rPr>
        <w:t>10,5% une année plus tôt</w:t>
      </w:r>
      <w:r w:rsidR="00490941" w:rsidRPr="00490941">
        <w:rPr>
          <w:rFonts w:ascii="Arial" w:hAnsi="Arial" w:cs="Arial"/>
          <w:sz w:val="20"/>
          <w:szCs w:val="20"/>
        </w:rPr>
        <w:t xml:space="preserve">. Pour sa part, la </w:t>
      </w:r>
      <w:r w:rsidR="0028158F">
        <w:rPr>
          <w:rFonts w:ascii="Arial" w:hAnsi="Arial" w:cs="Arial"/>
          <w:sz w:val="20"/>
          <w:szCs w:val="20"/>
        </w:rPr>
        <w:t>consommation</w:t>
      </w:r>
      <w:r w:rsidR="00490941" w:rsidRPr="00490941">
        <w:rPr>
          <w:rFonts w:ascii="Arial" w:hAnsi="Arial" w:cs="Arial"/>
          <w:sz w:val="20"/>
          <w:szCs w:val="20"/>
        </w:rPr>
        <w:t xml:space="preserve"> des administrations publiques se serait </w:t>
      </w:r>
      <w:r w:rsidR="00A164B3">
        <w:rPr>
          <w:rFonts w:ascii="Arial" w:hAnsi="Arial" w:cs="Arial"/>
          <w:sz w:val="20"/>
          <w:szCs w:val="20"/>
        </w:rPr>
        <w:t>a</w:t>
      </w:r>
      <w:r w:rsidR="00EC1CB6">
        <w:rPr>
          <w:rFonts w:ascii="Arial" w:hAnsi="Arial" w:cs="Arial"/>
          <w:sz w:val="20"/>
          <w:szCs w:val="20"/>
        </w:rPr>
        <w:t>ffermie</w:t>
      </w:r>
      <w:r w:rsidR="00490941" w:rsidRPr="00490941">
        <w:rPr>
          <w:rFonts w:ascii="Arial" w:hAnsi="Arial" w:cs="Arial"/>
          <w:sz w:val="20"/>
          <w:szCs w:val="20"/>
        </w:rPr>
        <w:t xml:space="preserve"> d</w:t>
      </w:r>
      <w:r w:rsidR="0031062E">
        <w:rPr>
          <w:rFonts w:ascii="Arial" w:hAnsi="Arial" w:cs="Arial"/>
          <w:sz w:val="20"/>
          <w:szCs w:val="20"/>
        </w:rPr>
        <w:t>e</w:t>
      </w:r>
      <w:r w:rsidR="00AC3641">
        <w:rPr>
          <w:rFonts w:ascii="Arial" w:hAnsi="Arial" w:cs="Arial"/>
          <w:sz w:val="20"/>
          <w:szCs w:val="20"/>
        </w:rPr>
        <w:t xml:space="preserve"> </w:t>
      </w:r>
      <w:r w:rsidR="003118AC">
        <w:rPr>
          <w:rFonts w:ascii="Arial" w:hAnsi="Arial" w:cs="Arial"/>
          <w:sz w:val="20"/>
          <w:szCs w:val="20"/>
        </w:rPr>
        <w:t>2</w:t>
      </w:r>
      <w:r w:rsidR="00490941" w:rsidRPr="00490941">
        <w:rPr>
          <w:rFonts w:ascii="Arial" w:hAnsi="Arial" w:cs="Arial"/>
          <w:sz w:val="20"/>
          <w:szCs w:val="20"/>
        </w:rPr>
        <w:t>,</w:t>
      </w:r>
      <w:r w:rsidR="00AB39BB">
        <w:rPr>
          <w:rFonts w:ascii="Arial" w:hAnsi="Arial" w:cs="Arial"/>
          <w:sz w:val="20"/>
          <w:szCs w:val="20"/>
        </w:rPr>
        <w:t>6</w:t>
      </w:r>
      <w:r w:rsidR="00490941" w:rsidRPr="00490941">
        <w:rPr>
          <w:rFonts w:ascii="Arial" w:hAnsi="Arial" w:cs="Arial"/>
          <w:sz w:val="20"/>
          <w:szCs w:val="20"/>
        </w:rPr>
        <w:t xml:space="preserve">%, </w:t>
      </w:r>
      <w:r w:rsidR="00717263">
        <w:rPr>
          <w:rFonts w:ascii="Arial" w:hAnsi="Arial" w:cs="Arial"/>
          <w:sz w:val="20"/>
          <w:szCs w:val="20"/>
        </w:rPr>
        <w:t xml:space="preserve">en ligne avec </w:t>
      </w:r>
      <w:r w:rsidR="00CB01DC">
        <w:rPr>
          <w:rFonts w:ascii="Arial" w:hAnsi="Arial" w:cs="Arial"/>
          <w:sz w:val="20"/>
          <w:szCs w:val="20"/>
        </w:rPr>
        <w:t>le raffermissement</w:t>
      </w:r>
      <w:r w:rsidR="00490941" w:rsidRPr="00490941">
        <w:rPr>
          <w:rFonts w:ascii="Arial" w:hAnsi="Arial" w:cs="Arial"/>
          <w:sz w:val="20"/>
          <w:szCs w:val="20"/>
        </w:rPr>
        <w:t xml:space="preserve"> des dépenses de fonctionnement.</w:t>
      </w:r>
    </w:p>
    <w:p w:rsidR="0081799F" w:rsidRPr="004535A6" w:rsidRDefault="005667F7" w:rsidP="0081799F">
      <w:pPr>
        <w:autoSpaceDE w:val="0"/>
        <w:autoSpaceDN w:val="0"/>
        <w:adjustRightInd w:val="0"/>
        <w:jc w:val="both"/>
        <w:rPr>
          <w:rFonts w:ascii="Arial" w:hAnsi="Arial" w:cs="Arial"/>
        </w:rPr>
      </w:pPr>
      <w:r>
        <w:rPr>
          <w:rFonts w:ascii="Arial" w:hAnsi="Arial" w:cs="Arial"/>
          <w:noProof/>
        </w:rPr>
        <w:drawing>
          <wp:anchor distT="0" distB="0" distL="114300" distR="114300" simplePos="0" relativeHeight="251687424" behindDoc="0" locked="0" layoutInCell="1" allowOverlap="1">
            <wp:simplePos x="0" y="0"/>
            <wp:positionH relativeFrom="column">
              <wp:posOffset>4516120</wp:posOffset>
            </wp:positionH>
            <wp:positionV relativeFrom="paragraph">
              <wp:posOffset>8255</wp:posOffset>
            </wp:positionV>
            <wp:extent cx="2036445" cy="1579245"/>
            <wp:effectExtent l="19050" t="0" r="1905" b="0"/>
            <wp:wrapSquare wrapText="bothSides"/>
            <wp:docPr id="1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2036445" cy="1579245"/>
                    </a:xfrm>
                    <a:prstGeom prst="rect">
                      <a:avLst/>
                    </a:prstGeom>
                    <a:noFill/>
                    <a:ln w="9525">
                      <a:noFill/>
                      <a:miter lim="800000"/>
                      <a:headEnd/>
                      <a:tailEnd/>
                    </a:ln>
                  </pic:spPr>
                </pic:pic>
              </a:graphicData>
            </a:graphic>
          </wp:anchor>
        </w:drawing>
      </w:r>
    </w:p>
    <w:p w:rsidR="00490941" w:rsidRPr="00490941" w:rsidRDefault="00965576" w:rsidP="00302E86">
      <w:pPr>
        <w:jc w:val="both"/>
        <w:rPr>
          <w:rFonts w:ascii="Arial" w:hAnsi="Arial" w:cs="Arial"/>
          <w:sz w:val="20"/>
          <w:szCs w:val="20"/>
        </w:rPr>
      </w:pPr>
      <w:r>
        <w:rPr>
          <w:rFonts w:ascii="Arial" w:hAnsi="Arial" w:cs="Arial"/>
          <w:sz w:val="20"/>
          <w:szCs w:val="20"/>
        </w:rPr>
        <w:t xml:space="preserve">Après avoir </w:t>
      </w:r>
      <w:r w:rsidR="008E58ED">
        <w:rPr>
          <w:rFonts w:ascii="Arial" w:hAnsi="Arial" w:cs="Arial"/>
          <w:sz w:val="20"/>
          <w:szCs w:val="20"/>
        </w:rPr>
        <w:t>ralenti</w:t>
      </w:r>
      <w:r>
        <w:rPr>
          <w:rFonts w:ascii="Arial" w:hAnsi="Arial" w:cs="Arial"/>
          <w:sz w:val="20"/>
          <w:szCs w:val="20"/>
        </w:rPr>
        <w:t xml:space="preserve"> au dernier trimestre 2018, l</w:t>
      </w:r>
      <w:r w:rsidR="00490941" w:rsidRPr="00490941">
        <w:rPr>
          <w:rFonts w:ascii="Arial" w:hAnsi="Arial" w:cs="Arial"/>
          <w:sz w:val="20"/>
          <w:szCs w:val="20"/>
        </w:rPr>
        <w:t xml:space="preserve">a </w:t>
      </w:r>
      <w:r w:rsidR="00490941" w:rsidRPr="00410B05">
        <w:rPr>
          <w:rFonts w:ascii="Arial" w:hAnsi="Arial" w:cs="Arial"/>
          <w:b/>
          <w:bCs/>
          <w:sz w:val="20"/>
          <w:szCs w:val="20"/>
        </w:rPr>
        <w:t xml:space="preserve">formation brute de capital </w:t>
      </w:r>
      <w:r>
        <w:rPr>
          <w:rFonts w:ascii="Arial" w:hAnsi="Arial" w:cs="Arial"/>
          <w:sz w:val="20"/>
          <w:szCs w:val="20"/>
        </w:rPr>
        <w:t>se se</w:t>
      </w:r>
      <w:r w:rsidR="0031062E">
        <w:rPr>
          <w:rFonts w:ascii="Arial" w:hAnsi="Arial" w:cs="Arial"/>
          <w:sz w:val="20"/>
          <w:szCs w:val="20"/>
        </w:rPr>
        <w:t xml:space="preserve">rait </w:t>
      </w:r>
      <w:r>
        <w:rPr>
          <w:rFonts w:ascii="Arial" w:hAnsi="Arial" w:cs="Arial"/>
          <w:sz w:val="20"/>
          <w:szCs w:val="20"/>
        </w:rPr>
        <w:t>redressée</w:t>
      </w:r>
      <w:r w:rsidR="00490941" w:rsidRPr="00490941">
        <w:rPr>
          <w:rFonts w:ascii="Arial" w:hAnsi="Arial" w:cs="Arial"/>
          <w:sz w:val="20"/>
          <w:szCs w:val="20"/>
        </w:rPr>
        <w:t xml:space="preserve"> de </w:t>
      </w:r>
      <w:r w:rsidR="00687564">
        <w:rPr>
          <w:rFonts w:ascii="Arial" w:hAnsi="Arial" w:cs="Arial"/>
          <w:sz w:val="20"/>
          <w:szCs w:val="20"/>
        </w:rPr>
        <w:t>3</w:t>
      </w:r>
      <w:r w:rsidR="00490941" w:rsidRPr="00490941">
        <w:rPr>
          <w:rFonts w:ascii="Arial" w:hAnsi="Arial" w:cs="Arial"/>
          <w:sz w:val="20"/>
          <w:szCs w:val="20"/>
        </w:rPr>
        <w:t xml:space="preserve">%, au </w:t>
      </w:r>
      <w:r w:rsidR="00A051FE">
        <w:rPr>
          <w:rFonts w:ascii="Arial" w:hAnsi="Arial" w:cs="Arial"/>
          <w:sz w:val="20"/>
          <w:szCs w:val="20"/>
        </w:rPr>
        <w:t>premier trimestre 2019</w:t>
      </w:r>
      <w:r w:rsidR="00490941" w:rsidRPr="00490941">
        <w:rPr>
          <w:rFonts w:ascii="Arial" w:hAnsi="Arial" w:cs="Arial"/>
          <w:sz w:val="20"/>
          <w:szCs w:val="20"/>
        </w:rPr>
        <w:t>,</w:t>
      </w:r>
      <w:r w:rsidR="00844ABF">
        <w:rPr>
          <w:rFonts w:ascii="Arial" w:hAnsi="Arial" w:cs="Arial"/>
          <w:sz w:val="20"/>
          <w:szCs w:val="20"/>
        </w:rPr>
        <w:t xml:space="preserve"> </w:t>
      </w:r>
      <w:r w:rsidR="00687564">
        <w:rPr>
          <w:rFonts w:ascii="Arial" w:hAnsi="Arial" w:cs="Arial"/>
          <w:sz w:val="20"/>
          <w:szCs w:val="20"/>
        </w:rPr>
        <w:t>en variation annuelle</w:t>
      </w:r>
      <w:r w:rsidR="0081282F">
        <w:rPr>
          <w:rFonts w:ascii="Arial" w:hAnsi="Arial" w:cs="Arial"/>
          <w:sz w:val="20"/>
          <w:szCs w:val="20"/>
        </w:rPr>
        <w:t xml:space="preserve">, portant sa contribution au PIB à </w:t>
      </w:r>
      <w:r w:rsidR="001D4212">
        <w:rPr>
          <w:rFonts w:ascii="Arial" w:hAnsi="Arial" w:cs="Arial"/>
          <w:sz w:val="20"/>
          <w:szCs w:val="20"/>
        </w:rPr>
        <w:t>+</w:t>
      </w:r>
      <w:r w:rsidR="0081282F">
        <w:rPr>
          <w:rFonts w:ascii="Arial" w:hAnsi="Arial" w:cs="Arial"/>
          <w:sz w:val="20"/>
          <w:szCs w:val="20"/>
        </w:rPr>
        <w:t>1 point</w:t>
      </w:r>
      <w:r w:rsidR="00490941" w:rsidRPr="00490941">
        <w:rPr>
          <w:rFonts w:ascii="Arial" w:hAnsi="Arial" w:cs="Arial"/>
          <w:sz w:val="20"/>
          <w:szCs w:val="20"/>
        </w:rPr>
        <w:t xml:space="preserve">. Cette évolution aurait </w:t>
      </w:r>
      <w:r w:rsidR="008D4CD5">
        <w:rPr>
          <w:rFonts w:ascii="Arial" w:hAnsi="Arial" w:cs="Arial"/>
          <w:sz w:val="20"/>
          <w:szCs w:val="20"/>
        </w:rPr>
        <w:t xml:space="preserve">été </w:t>
      </w:r>
      <w:r w:rsidR="009038CB">
        <w:rPr>
          <w:rFonts w:ascii="Arial" w:hAnsi="Arial" w:cs="Arial"/>
          <w:sz w:val="20"/>
          <w:szCs w:val="20"/>
        </w:rPr>
        <w:t xml:space="preserve">tirée </w:t>
      </w:r>
      <w:r w:rsidR="008D4CD5">
        <w:rPr>
          <w:rFonts w:ascii="Arial" w:hAnsi="Arial" w:cs="Arial"/>
          <w:sz w:val="20"/>
          <w:szCs w:val="20"/>
        </w:rPr>
        <w:t xml:space="preserve">particulièrement </w:t>
      </w:r>
      <w:r w:rsidR="009038CB">
        <w:rPr>
          <w:rFonts w:ascii="Arial" w:hAnsi="Arial" w:cs="Arial"/>
          <w:sz w:val="20"/>
          <w:szCs w:val="20"/>
        </w:rPr>
        <w:t xml:space="preserve">par </w:t>
      </w:r>
      <w:r>
        <w:rPr>
          <w:rFonts w:ascii="Arial" w:hAnsi="Arial" w:cs="Arial"/>
          <w:sz w:val="20"/>
          <w:szCs w:val="20"/>
        </w:rPr>
        <w:t xml:space="preserve">la hausse </w:t>
      </w:r>
      <w:r w:rsidR="00490941" w:rsidRPr="00490941">
        <w:rPr>
          <w:rFonts w:ascii="Arial" w:hAnsi="Arial" w:cs="Arial"/>
          <w:sz w:val="20"/>
          <w:szCs w:val="20"/>
        </w:rPr>
        <w:t>de l‘investissement en produits industriels, dans</w:t>
      </w:r>
      <w:r w:rsidR="006F31A0">
        <w:rPr>
          <w:rFonts w:ascii="Arial" w:hAnsi="Arial" w:cs="Arial"/>
          <w:sz w:val="20"/>
          <w:szCs w:val="20"/>
        </w:rPr>
        <w:t xml:space="preserve"> le sillage</w:t>
      </w:r>
      <w:r w:rsidR="00AD4A59">
        <w:rPr>
          <w:rFonts w:ascii="Arial" w:hAnsi="Arial" w:cs="Arial"/>
          <w:sz w:val="20"/>
          <w:szCs w:val="20"/>
        </w:rPr>
        <w:t xml:space="preserve"> </w:t>
      </w:r>
      <w:r w:rsidR="00490941" w:rsidRPr="00490941">
        <w:rPr>
          <w:rFonts w:ascii="Arial" w:hAnsi="Arial" w:cs="Arial"/>
          <w:sz w:val="20"/>
          <w:szCs w:val="20"/>
        </w:rPr>
        <w:t>d’un</w:t>
      </w:r>
      <w:r w:rsidR="00A164B3">
        <w:rPr>
          <w:rFonts w:ascii="Arial" w:hAnsi="Arial" w:cs="Arial"/>
          <w:sz w:val="20"/>
          <w:szCs w:val="20"/>
        </w:rPr>
        <w:t>e</w:t>
      </w:r>
      <w:r w:rsidR="00490941" w:rsidRPr="00490941">
        <w:rPr>
          <w:rFonts w:ascii="Arial" w:hAnsi="Arial" w:cs="Arial"/>
          <w:sz w:val="20"/>
          <w:szCs w:val="20"/>
        </w:rPr>
        <w:t xml:space="preserve"> </w:t>
      </w:r>
      <w:r>
        <w:rPr>
          <w:rFonts w:ascii="Arial" w:hAnsi="Arial" w:cs="Arial"/>
          <w:sz w:val="20"/>
          <w:szCs w:val="20"/>
        </w:rPr>
        <w:t>augmentation</w:t>
      </w:r>
      <w:r w:rsidR="00490941" w:rsidRPr="00490941">
        <w:rPr>
          <w:rFonts w:ascii="Arial" w:hAnsi="Arial" w:cs="Arial"/>
          <w:sz w:val="20"/>
          <w:szCs w:val="20"/>
        </w:rPr>
        <w:t xml:space="preserve"> de </w:t>
      </w:r>
      <w:r w:rsidR="00C069DB">
        <w:rPr>
          <w:rFonts w:ascii="Arial" w:hAnsi="Arial" w:cs="Arial"/>
          <w:sz w:val="20"/>
          <w:szCs w:val="20"/>
        </w:rPr>
        <w:t>1</w:t>
      </w:r>
      <w:r w:rsidR="00B752DB">
        <w:rPr>
          <w:rFonts w:ascii="Arial" w:hAnsi="Arial" w:cs="Arial"/>
          <w:sz w:val="20"/>
          <w:szCs w:val="20"/>
        </w:rPr>
        <w:t>,</w:t>
      </w:r>
      <w:r w:rsidR="00C069DB">
        <w:rPr>
          <w:rFonts w:ascii="Arial" w:hAnsi="Arial" w:cs="Arial"/>
          <w:sz w:val="20"/>
          <w:szCs w:val="20"/>
        </w:rPr>
        <w:t>8</w:t>
      </w:r>
      <w:r w:rsidR="00490941" w:rsidRPr="00490941">
        <w:rPr>
          <w:rFonts w:ascii="Arial" w:hAnsi="Arial" w:cs="Arial"/>
          <w:sz w:val="20"/>
          <w:szCs w:val="20"/>
        </w:rPr>
        <w:t xml:space="preserve">% des crédits à l’équipement. </w:t>
      </w:r>
      <w:r w:rsidR="00AD4A59">
        <w:rPr>
          <w:rFonts w:ascii="Arial" w:hAnsi="Arial" w:cs="Arial"/>
          <w:sz w:val="20"/>
          <w:szCs w:val="20"/>
        </w:rPr>
        <w:t>L</w:t>
      </w:r>
      <w:r w:rsidR="00490941" w:rsidRPr="00490941">
        <w:rPr>
          <w:rFonts w:ascii="Arial" w:hAnsi="Arial" w:cs="Arial"/>
          <w:sz w:val="20"/>
          <w:szCs w:val="20"/>
        </w:rPr>
        <w:t xml:space="preserve">’investissement </w:t>
      </w:r>
      <w:r w:rsidR="00AD4A59">
        <w:rPr>
          <w:rFonts w:ascii="Arial" w:hAnsi="Arial" w:cs="Arial"/>
          <w:sz w:val="20"/>
          <w:szCs w:val="20"/>
        </w:rPr>
        <w:t xml:space="preserve">en travaux publics </w:t>
      </w:r>
      <w:r w:rsidR="00DA128F">
        <w:rPr>
          <w:rFonts w:ascii="Arial" w:hAnsi="Arial" w:cs="Arial"/>
          <w:sz w:val="20"/>
          <w:szCs w:val="20"/>
        </w:rPr>
        <w:t>aurait poursuivi son amélioration amorcé</w:t>
      </w:r>
      <w:r w:rsidR="00A72BD6">
        <w:rPr>
          <w:rFonts w:ascii="Arial" w:hAnsi="Arial" w:cs="Arial"/>
          <w:sz w:val="20"/>
          <w:szCs w:val="20"/>
        </w:rPr>
        <w:t>e</w:t>
      </w:r>
      <w:r w:rsidR="00DA128F">
        <w:rPr>
          <w:rFonts w:ascii="Arial" w:hAnsi="Arial" w:cs="Arial"/>
          <w:sz w:val="20"/>
          <w:szCs w:val="20"/>
        </w:rPr>
        <w:t xml:space="preserve"> </w:t>
      </w:r>
      <w:r w:rsidR="00AD4A59">
        <w:rPr>
          <w:rFonts w:ascii="Arial" w:hAnsi="Arial" w:cs="Arial"/>
          <w:sz w:val="20"/>
          <w:szCs w:val="20"/>
        </w:rPr>
        <w:t>au début de 2017</w:t>
      </w:r>
      <w:r w:rsidR="00490941" w:rsidRPr="00490941">
        <w:rPr>
          <w:rFonts w:ascii="Arial" w:hAnsi="Arial" w:cs="Arial"/>
          <w:sz w:val="20"/>
          <w:szCs w:val="20"/>
        </w:rPr>
        <w:t xml:space="preserve">, tandis que l’investissement en </w:t>
      </w:r>
      <w:r w:rsidR="00AD4A59">
        <w:rPr>
          <w:rFonts w:ascii="Arial" w:hAnsi="Arial" w:cs="Arial"/>
          <w:sz w:val="20"/>
          <w:szCs w:val="20"/>
        </w:rPr>
        <w:t>immobilier</w:t>
      </w:r>
      <w:r w:rsidR="004740E4">
        <w:rPr>
          <w:rFonts w:ascii="Arial" w:hAnsi="Arial" w:cs="Arial"/>
          <w:sz w:val="20"/>
          <w:szCs w:val="20"/>
        </w:rPr>
        <w:t xml:space="preserve"> </w:t>
      </w:r>
      <w:r w:rsidR="00DA128F">
        <w:rPr>
          <w:rFonts w:ascii="Arial" w:hAnsi="Arial" w:cs="Arial"/>
          <w:sz w:val="20"/>
          <w:szCs w:val="20"/>
        </w:rPr>
        <w:t>se</w:t>
      </w:r>
      <w:r w:rsidR="00490941" w:rsidRPr="00490941">
        <w:rPr>
          <w:rFonts w:ascii="Arial" w:hAnsi="Arial" w:cs="Arial"/>
          <w:sz w:val="20"/>
          <w:szCs w:val="20"/>
        </w:rPr>
        <w:t>rait</w:t>
      </w:r>
      <w:r w:rsidR="00DA128F">
        <w:rPr>
          <w:rFonts w:ascii="Arial" w:hAnsi="Arial" w:cs="Arial"/>
          <w:sz w:val="20"/>
          <w:szCs w:val="20"/>
        </w:rPr>
        <w:t xml:space="preserve"> resté</w:t>
      </w:r>
      <w:r w:rsidR="00740AEC">
        <w:rPr>
          <w:rFonts w:ascii="Arial" w:hAnsi="Arial" w:cs="Arial"/>
          <w:sz w:val="20"/>
          <w:szCs w:val="20"/>
        </w:rPr>
        <w:t xml:space="preserve"> </w:t>
      </w:r>
      <w:r w:rsidR="008E58ED">
        <w:rPr>
          <w:rFonts w:ascii="Arial" w:hAnsi="Arial" w:cs="Arial"/>
          <w:sz w:val="20"/>
          <w:szCs w:val="20"/>
        </w:rPr>
        <w:t>modeste</w:t>
      </w:r>
      <w:r w:rsidR="00490941" w:rsidRPr="00490941">
        <w:rPr>
          <w:rFonts w:ascii="Arial" w:hAnsi="Arial" w:cs="Arial"/>
          <w:sz w:val="20"/>
          <w:szCs w:val="20"/>
        </w:rPr>
        <w:t>, pâtissant de</w:t>
      </w:r>
      <w:r w:rsidR="004740E4">
        <w:rPr>
          <w:rFonts w:ascii="Arial" w:hAnsi="Arial" w:cs="Arial"/>
          <w:sz w:val="20"/>
          <w:szCs w:val="20"/>
        </w:rPr>
        <w:t xml:space="preserve"> la</w:t>
      </w:r>
      <w:r w:rsidR="00490941" w:rsidRPr="00490941">
        <w:rPr>
          <w:rFonts w:ascii="Arial" w:hAnsi="Arial" w:cs="Arial"/>
          <w:sz w:val="20"/>
          <w:szCs w:val="20"/>
        </w:rPr>
        <w:t xml:space="preserve"> faiblesse de la demande adressée </w:t>
      </w:r>
      <w:r w:rsidR="00B752DB">
        <w:rPr>
          <w:rFonts w:ascii="Arial" w:hAnsi="Arial" w:cs="Arial"/>
          <w:sz w:val="20"/>
          <w:szCs w:val="20"/>
        </w:rPr>
        <w:t>au logement résidentiel</w:t>
      </w:r>
      <w:r w:rsidR="00490941" w:rsidRPr="00490941">
        <w:rPr>
          <w:rFonts w:ascii="Arial" w:hAnsi="Arial" w:cs="Arial"/>
          <w:sz w:val="20"/>
          <w:szCs w:val="20"/>
        </w:rPr>
        <w:t>.</w:t>
      </w:r>
    </w:p>
    <w:p w:rsidR="00490941" w:rsidRDefault="00490941" w:rsidP="00D607B7">
      <w:pPr>
        <w:jc w:val="both"/>
        <w:rPr>
          <w:rFonts w:ascii="Arial" w:hAnsi="Arial" w:cs="Arial"/>
          <w:b/>
          <w:bCs/>
          <w:color w:val="800000"/>
          <w:kern w:val="28"/>
          <w:sz w:val="20"/>
          <w:szCs w:val="20"/>
        </w:rPr>
      </w:pPr>
    </w:p>
    <w:p w:rsidR="00752FF3" w:rsidRDefault="00752FF3" w:rsidP="00752FF3">
      <w:pPr>
        <w:jc w:val="both"/>
        <w:rPr>
          <w:rFonts w:ascii="Arial" w:hAnsi="Arial" w:cs="Arial"/>
          <w:b/>
          <w:bCs/>
          <w:color w:val="800000"/>
          <w:kern w:val="28"/>
          <w:sz w:val="20"/>
          <w:szCs w:val="20"/>
        </w:rPr>
      </w:pPr>
      <w:r w:rsidRPr="00752FF3">
        <w:rPr>
          <w:rFonts w:ascii="Arial" w:hAnsi="Arial" w:cs="Arial"/>
          <w:b/>
          <w:bCs/>
          <w:color w:val="800000"/>
          <w:kern w:val="28"/>
          <w:sz w:val="20"/>
          <w:szCs w:val="20"/>
        </w:rPr>
        <w:t>Repli de l’activité agricole après deux années de croissance positive</w:t>
      </w:r>
    </w:p>
    <w:p w:rsidR="00752FF3" w:rsidRPr="00752FF3" w:rsidRDefault="00752FF3" w:rsidP="00752FF3">
      <w:pPr>
        <w:jc w:val="both"/>
        <w:rPr>
          <w:rFonts w:ascii="Arial" w:hAnsi="Arial" w:cs="Arial"/>
          <w:b/>
          <w:bCs/>
          <w:color w:val="800000"/>
          <w:kern w:val="28"/>
          <w:sz w:val="20"/>
          <w:szCs w:val="20"/>
        </w:rPr>
      </w:pPr>
    </w:p>
    <w:p w:rsidR="00384E7F" w:rsidRDefault="00384E7F" w:rsidP="0024416E">
      <w:pPr>
        <w:jc w:val="both"/>
        <w:rPr>
          <w:rFonts w:ascii="Arial" w:hAnsi="Arial" w:cs="Arial"/>
          <w:sz w:val="20"/>
          <w:szCs w:val="20"/>
        </w:rPr>
      </w:pPr>
      <w:r>
        <w:rPr>
          <w:rFonts w:ascii="Arial" w:hAnsi="Arial" w:cs="Arial"/>
          <w:noProof/>
          <w:sz w:val="20"/>
          <w:szCs w:val="20"/>
        </w:rPr>
        <w:drawing>
          <wp:anchor distT="0" distB="0" distL="114300" distR="114300" simplePos="0" relativeHeight="251684352" behindDoc="0" locked="0" layoutInCell="1" allowOverlap="1">
            <wp:simplePos x="0" y="0"/>
            <wp:positionH relativeFrom="column">
              <wp:posOffset>4498975</wp:posOffset>
            </wp:positionH>
            <wp:positionV relativeFrom="paragraph">
              <wp:posOffset>9525</wp:posOffset>
            </wp:positionV>
            <wp:extent cx="2042160" cy="1828800"/>
            <wp:effectExtent l="19050" t="0" r="0" b="0"/>
            <wp:wrapSquare wrapText="bothSides"/>
            <wp:docPr id="1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2042160" cy="1828800"/>
                    </a:xfrm>
                    <a:prstGeom prst="rect">
                      <a:avLst/>
                    </a:prstGeom>
                    <a:noFill/>
                    <a:ln w="9525">
                      <a:noFill/>
                      <a:miter lim="800000"/>
                      <a:headEnd/>
                      <a:tailEnd/>
                    </a:ln>
                  </pic:spPr>
                </pic:pic>
              </a:graphicData>
            </a:graphic>
          </wp:anchor>
        </w:drawing>
      </w:r>
      <w:r w:rsidRPr="00504978">
        <w:rPr>
          <w:rFonts w:ascii="Arial" w:hAnsi="Arial" w:cs="Arial"/>
          <w:sz w:val="20"/>
          <w:szCs w:val="20"/>
        </w:rPr>
        <w:t xml:space="preserve">La valeur ajoutée </w:t>
      </w:r>
      <w:r w:rsidRPr="00504978">
        <w:rPr>
          <w:rFonts w:ascii="Arial" w:hAnsi="Arial" w:cs="Arial"/>
          <w:b/>
          <w:bCs/>
          <w:sz w:val="20"/>
          <w:szCs w:val="20"/>
        </w:rPr>
        <w:t>agricole</w:t>
      </w:r>
      <w:r w:rsidRPr="00504978">
        <w:rPr>
          <w:rFonts w:ascii="Arial" w:hAnsi="Arial" w:cs="Arial"/>
          <w:sz w:val="20"/>
          <w:szCs w:val="20"/>
        </w:rPr>
        <w:t xml:space="preserve"> aurait affiché une contraction de </w:t>
      </w:r>
      <w:r>
        <w:rPr>
          <w:rFonts w:ascii="Arial" w:hAnsi="Arial" w:cs="Arial"/>
          <w:sz w:val="20"/>
          <w:szCs w:val="20"/>
        </w:rPr>
        <w:t>4</w:t>
      </w:r>
      <w:r w:rsidRPr="00504978">
        <w:rPr>
          <w:rFonts w:ascii="Arial" w:hAnsi="Arial" w:cs="Arial"/>
          <w:sz w:val="20"/>
          <w:szCs w:val="20"/>
        </w:rPr>
        <w:t>,</w:t>
      </w:r>
      <w:r>
        <w:rPr>
          <w:rFonts w:ascii="Arial" w:hAnsi="Arial" w:cs="Arial"/>
          <w:sz w:val="20"/>
          <w:szCs w:val="20"/>
        </w:rPr>
        <w:t>8</w:t>
      </w:r>
      <w:r w:rsidRPr="00504978">
        <w:rPr>
          <w:rFonts w:ascii="Arial" w:hAnsi="Arial" w:cs="Arial"/>
          <w:sz w:val="20"/>
          <w:szCs w:val="20"/>
        </w:rPr>
        <w:t xml:space="preserve">%, au premier trimestre 2019, en variation annuelle, suite à un retournement à la baisse de la production </w:t>
      </w:r>
      <w:r>
        <w:rPr>
          <w:rFonts w:ascii="Arial" w:hAnsi="Arial" w:cs="Arial"/>
          <w:sz w:val="20"/>
          <w:szCs w:val="20"/>
        </w:rPr>
        <w:t>végétale</w:t>
      </w:r>
      <w:r w:rsidRPr="00504978">
        <w:rPr>
          <w:rFonts w:ascii="Arial" w:hAnsi="Arial" w:cs="Arial"/>
          <w:sz w:val="20"/>
          <w:szCs w:val="20"/>
        </w:rPr>
        <w:t>. Bien que les conditions climatiques de démarrage aient situé</w:t>
      </w:r>
      <w:r>
        <w:rPr>
          <w:rFonts w:ascii="Arial" w:hAnsi="Arial" w:cs="Arial"/>
          <w:sz w:val="20"/>
          <w:szCs w:val="20"/>
        </w:rPr>
        <w:t xml:space="preserve">, </w:t>
      </w:r>
      <w:r w:rsidR="0024416E">
        <w:rPr>
          <w:rFonts w:ascii="Arial" w:hAnsi="Arial" w:cs="Arial"/>
          <w:sz w:val="20"/>
          <w:szCs w:val="20"/>
        </w:rPr>
        <w:t>au</w:t>
      </w:r>
      <w:r>
        <w:rPr>
          <w:rFonts w:ascii="Arial" w:hAnsi="Arial" w:cs="Arial"/>
          <w:sz w:val="20"/>
          <w:szCs w:val="20"/>
        </w:rPr>
        <w:t xml:space="preserve"> début d’année, </w:t>
      </w:r>
      <w:r w:rsidRPr="00504978">
        <w:rPr>
          <w:rFonts w:ascii="Arial" w:hAnsi="Arial" w:cs="Arial"/>
          <w:sz w:val="20"/>
          <w:szCs w:val="20"/>
        </w:rPr>
        <w:t xml:space="preserve">la production </w:t>
      </w:r>
      <w:r>
        <w:rPr>
          <w:rFonts w:ascii="Arial" w:hAnsi="Arial" w:cs="Arial"/>
          <w:sz w:val="20"/>
          <w:szCs w:val="20"/>
        </w:rPr>
        <w:t xml:space="preserve">des cultures précoces </w:t>
      </w:r>
      <w:r w:rsidRPr="00504978">
        <w:rPr>
          <w:rFonts w:ascii="Arial" w:hAnsi="Arial" w:cs="Arial"/>
          <w:sz w:val="20"/>
          <w:szCs w:val="20"/>
        </w:rPr>
        <w:t xml:space="preserve">à des niveaux comparables aux performances réalisées en 2006 et 2013, </w:t>
      </w:r>
      <w:r>
        <w:rPr>
          <w:rFonts w:ascii="Arial" w:hAnsi="Arial" w:cs="Arial"/>
          <w:sz w:val="20"/>
          <w:szCs w:val="20"/>
        </w:rPr>
        <w:t>la</w:t>
      </w:r>
      <w:r w:rsidRPr="00504978">
        <w:rPr>
          <w:rFonts w:ascii="Arial" w:hAnsi="Arial" w:cs="Arial"/>
          <w:sz w:val="20"/>
          <w:szCs w:val="20"/>
        </w:rPr>
        <w:t xml:space="preserve"> sécheresse </w:t>
      </w:r>
      <w:r>
        <w:rPr>
          <w:rFonts w:ascii="Arial" w:hAnsi="Arial" w:cs="Arial"/>
          <w:sz w:val="20"/>
          <w:szCs w:val="20"/>
        </w:rPr>
        <w:t xml:space="preserve">hivernale exceptionnellement longue, aurait sensiblement réduit leur potentiel de production. Les conditions de développement des rendements des </w:t>
      </w:r>
      <w:r w:rsidR="0024416E">
        <w:rPr>
          <w:rFonts w:ascii="Arial" w:hAnsi="Arial" w:cs="Arial"/>
          <w:sz w:val="20"/>
          <w:szCs w:val="20"/>
        </w:rPr>
        <w:t>trois</w:t>
      </w:r>
      <w:r>
        <w:rPr>
          <w:rFonts w:ascii="Arial" w:hAnsi="Arial" w:cs="Arial"/>
          <w:sz w:val="20"/>
          <w:szCs w:val="20"/>
        </w:rPr>
        <w:t xml:space="preserve"> principales céréales, des légumineuses automnales et des fourrages se seraient dégradées dans les principales régions productrices, notamment dans le Chaouia et le Haouz.</w:t>
      </w:r>
      <w:r w:rsidRPr="00504978">
        <w:rPr>
          <w:rFonts w:ascii="Arial" w:hAnsi="Arial" w:cs="Arial"/>
          <w:sz w:val="20"/>
          <w:szCs w:val="20"/>
        </w:rPr>
        <w:t xml:space="preserve"> Le déficit pluviométrique généralisé s’établissant en moyenne à 41%, au premier trimestre, en comparaison avec la même période d’une année normale, aurait également pénalisé les semis des cultures printanières, notamment le maïs, le pois-chiche et les maraîchères de saison. En revanche, la dynamique </w:t>
      </w:r>
      <w:r>
        <w:rPr>
          <w:rFonts w:ascii="Arial" w:hAnsi="Arial" w:cs="Arial"/>
          <w:sz w:val="20"/>
          <w:szCs w:val="20"/>
        </w:rPr>
        <w:t xml:space="preserve">de croissance </w:t>
      </w:r>
      <w:r w:rsidRPr="00504978">
        <w:rPr>
          <w:rFonts w:ascii="Arial" w:hAnsi="Arial" w:cs="Arial"/>
          <w:sz w:val="20"/>
          <w:szCs w:val="20"/>
        </w:rPr>
        <w:t xml:space="preserve">des cultures sucrières et de l’arboriculture se serait poursuivie, </w:t>
      </w:r>
      <w:r>
        <w:rPr>
          <w:rFonts w:ascii="Arial" w:hAnsi="Arial" w:cs="Arial"/>
          <w:sz w:val="20"/>
          <w:szCs w:val="20"/>
        </w:rPr>
        <w:t>dans un contexte de poursuite d’apaisement des pressions sur l’eau d’irrigation</w:t>
      </w:r>
      <w:r w:rsidRPr="00504978">
        <w:rPr>
          <w:rFonts w:ascii="Arial" w:hAnsi="Arial" w:cs="Arial"/>
          <w:sz w:val="20"/>
          <w:szCs w:val="20"/>
        </w:rPr>
        <w:t xml:space="preserve">. </w:t>
      </w:r>
    </w:p>
    <w:p w:rsidR="00384E7F" w:rsidRDefault="00384E7F" w:rsidP="00384E7F">
      <w:pPr>
        <w:jc w:val="both"/>
        <w:rPr>
          <w:rFonts w:ascii="Arial" w:hAnsi="Arial" w:cs="Arial"/>
          <w:sz w:val="20"/>
          <w:szCs w:val="20"/>
        </w:rPr>
      </w:pPr>
    </w:p>
    <w:p w:rsidR="00384E7F" w:rsidRDefault="00384E7F" w:rsidP="005A2B74">
      <w:pPr>
        <w:jc w:val="both"/>
        <w:rPr>
          <w:rFonts w:ascii="Arial" w:hAnsi="Arial" w:cs="Arial"/>
          <w:sz w:val="20"/>
          <w:szCs w:val="20"/>
        </w:rPr>
      </w:pPr>
      <w:r w:rsidRPr="00504978">
        <w:rPr>
          <w:rFonts w:ascii="Arial" w:hAnsi="Arial" w:cs="Arial"/>
          <w:sz w:val="20"/>
          <w:szCs w:val="20"/>
        </w:rPr>
        <w:t xml:space="preserve">La production des filières animales aurait, pour sa part, </w:t>
      </w:r>
      <w:r w:rsidR="005A2B74" w:rsidRPr="00504978">
        <w:rPr>
          <w:rFonts w:ascii="Arial" w:hAnsi="Arial" w:cs="Arial"/>
          <w:sz w:val="20"/>
          <w:szCs w:val="20"/>
        </w:rPr>
        <w:t xml:space="preserve">connu </w:t>
      </w:r>
      <w:r w:rsidRPr="00504978">
        <w:rPr>
          <w:rFonts w:ascii="Arial" w:hAnsi="Arial" w:cs="Arial"/>
          <w:sz w:val="20"/>
          <w:szCs w:val="20"/>
        </w:rPr>
        <w:t xml:space="preserve">une progression modérée, malgré l’accélération du rythme de croissance des activités avicoles. La faiblesse des parcours végétaux et le renchérissement des </w:t>
      </w:r>
      <w:r w:rsidR="005A2B74">
        <w:rPr>
          <w:rFonts w:ascii="Arial" w:hAnsi="Arial" w:cs="Arial"/>
          <w:sz w:val="20"/>
          <w:szCs w:val="20"/>
        </w:rPr>
        <w:t xml:space="preserve">prix des </w:t>
      </w:r>
      <w:r w:rsidRPr="00504978">
        <w:rPr>
          <w:rFonts w:ascii="Arial" w:hAnsi="Arial" w:cs="Arial"/>
          <w:sz w:val="20"/>
          <w:szCs w:val="20"/>
        </w:rPr>
        <w:t>aliments de bétail aurai</w:t>
      </w:r>
      <w:r>
        <w:rPr>
          <w:rFonts w:ascii="Arial" w:hAnsi="Arial" w:cs="Arial"/>
          <w:sz w:val="20"/>
          <w:szCs w:val="20"/>
        </w:rPr>
        <w:t>en</w:t>
      </w:r>
      <w:r w:rsidRPr="00504978">
        <w:rPr>
          <w:rFonts w:ascii="Arial" w:hAnsi="Arial" w:cs="Arial"/>
          <w:sz w:val="20"/>
          <w:szCs w:val="20"/>
        </w:rPr>
        <w:t xml:space="preserve">t </w:t>
      </w:r>
      <w:r>
        <w:rPr>
          <w:rFonts w:ascii="Arial" w:hAnsi="Arial" w:cs="Arial"/>
          <w:sz w:val="20"/>
          <w:szCs w:val="20"/>
        </w:rPr>
        <w:t xml:space="preserve">légèrement </w:t>
      </w:r>
      <w:r w:rsidRPr="00504978">
        <w:rPr>
          <w:rFonts w:ascii="Arial" w:hAnsi="Arial" w:cs="Arial"/>
          <w:sz w:val="20"/>
          <w:szCs w:val="20"/>
        </w:rPr>
        <w:t xml:space="preserve">compromis </w:t>
      </w:r>
      <w:r>
        <w:rPr>
          <w:rFonts w:ascii="Arial" w:hAnsi="Arial" w:cs="Arial"/>
          <w:sz w:val="20"/>
          <w:szCs w:val="20"/>
        </w:rPr>
        <w:t xml:space="preserve">les activités d’élevage </w:t>
      </w:r>
      <w:r w:rsidRPr="00504978">
        <w:rPr>
          <w:rFonts w:ascii="Arial" w:hAnsi="Arial" w:cs="Arial"/>
          <w:sz w:val="20"/>
          <w:szCs w:val="20"/>
        </w:rPr>
        <w:t xml:space="preserve">du grand cheptel. </w:t>
      </w:r>
      <w:r w:rsidR="00B40985">
        <w:rPr>
          <w:rFonts w:ascii="Arial" w:hAnsi="Arial" w:cs="Arial"/>
          <w:sz w:val="20"/>
          <w:szCs w:val="20"/>
        </w:rPr>
        <w:t xml:space="preserve">La montée </w:t>
      </w:r>
      <w:r w:rsidR="00B40985" w:rsidRPr="00504978">
        <w:rPr>
          <w:rFonts w:ascii="Arial" w:hAnsi="Arial" w:cs="Arial"/>
          <w:sz w:val="20"/>
          <w:szCs w:val="20"/>
        </w:rPr>
        <w:t>des craintes de réduction de l’offre</w:t>
      </w:r>
      <w:r w:rsidR="00B40985">
        <w:rPr>
          <w:rFonts w:ascii="Arial" w:hAnsi="Arial" w:cs="Arial"/>
          <w:sz w:val="20"/>
          <w:szCs w:val="20"/>
        </w:rPr>
        <w:t xml:space="preserve"> liées aux abattages opérés pour </w:t>
      </w:r>
      <w:r w:rsidR="00B40985" w:rsidRPr="00504978">
        <w:rPr>
          <w:rFonts w:ascii="Arial" w:hAnsi="Arial" w:cs="Arial"/>
          <w:sz w:val="20"/>
          <w:szCs w:val="20"/>
        </w:rPr>
        <w:t xml:space="preserve">contenir l’épizootie de </w:t>
      </w:r>
      <w:r w:rsidR="00B40985">
        <w:rPr>
          <w:rFonts w:ascii="Arial" w:hAnsi="Arial" w:cs="Arial"/>
          <w:sz w:val="20"/>
          <w:szCs w:val="20"/>
        </w:rPr>
        <w:t xml:space="preserve">la </w:t>
      </w:r>
      <w:r w:rsidR="00B40985" w:rsidRPr="00504978">
        <w:rPr>
          <w:rFonts w:ascii="Arial" w:hAnsi="Arial" w:cs="Arial"/>
          <w:sz w:val="20"/>
          <w:szCs w:val="20"/>
        </w:rPr>
        <w:t>fièvre aphteuse</w:t>
      </w:r>
      <w:r>
        <w:rPr>
          <w:rFonts w:ascii="Arial" w:hAnsi="Arial" w:cs="Arial"/>
          <w:sz w:val="20"/>
          <w:szCs w:val="20"/>
        </w:rPr>
        <w:t xml:space="preserve"> </w:t>
      </w:r>
      <w:r w:rsidR="00B40985">
        <w:rPr>
          <w:rFonts w:ascii="Arial" w:hAnsi="Arial" w:cs="Arial"/>
          <w:sz w:val="20"/>
          <w:szCs w:val="20"/>
        </w:rPr>
        <w:t xml:space="preserve">aurait </w:t>
      </w:r>
      <w:r w:rsidR="005A2B74">
        <w:rPr>
          <w:rFonts w:ascii="Arial" w:hAnsi="Arial" w:cs="Arial"/>
          <w:sz w:val="20"/>
          <w:szCs w:val="20"/>
        </w:rPr>
        <w:t>accentu</w:t>
      </w:r>
      <w:r w:rsidR="00B40985">
        <w:rPr>
          <w:rFonts w:ascii="Arial" w:hAnsi="Arial" w:cs="Arial"/>
          <w:sz w:val="20"/>
          <w:szCs w:val="20"/>
        </w:rPr>
        <w:t xml:space="preserve">é la </w:t>
      </w:r>
      <w:r w:rsidR="00B40985">
        <w:rPr>
          <w:rFonts w:ascii="Arial" w:hAnsi="Arial" w:cs="Arial"/>
          <w:sz w:val="20"/>
          <w:szCs w:val="20"/>
        </w:rPr>
        <w:lastRenderedPageBreak/>
        <w:t>hausse d</w:t>
      </w:r>
      <w:r w:rsidRPr="00504978">
        <w:rPr>
          <w:rFonts w:ascii="Arial" w:hAnsi="Arial" w:cs="Arial"/>
          <w:sz w:val="20"/>
          <w:szCs w:val="20"/>
        </w:rPr>
        <w:t>es prix de</w:t>
      </w:r>
      <w:r w:rsidR="00B40985">
        <w:rPr>
          <w:rFonts w:ascii="Arial" w:hAnsi="Arial" w:cs="Arial"/>
          <w:sz w:val="20"/>
          <w:szCs w:val="20"/>
        </w:rPr>
        <w:t>s</w:t>
      </w:r>
      <w:r w:rsidRPr="00504978">
        <w:rPr>
          <w:rFonts w:ascii="Arial" w:hAnsi="Arial" w:cs="Arial"/>
          <w:sz w:val="20"/>
          <w:szCs w:val="20"/>
        </w:rPr>
        <w:t xml:space="preserve"> viande</w:t>
      </w:r>
      <w:r w:rsidR="00B40985">
        <w:rPr>
          <w:rFonts w:ascii="Arial" w:hAnsi="Arial" w:cs="Arial"/>
          <w:sz w:val="20"/>
          <w:szCs w:val="20"/>
        </w:rPr>
        <w:t>s</w:t>
      </w:r>
      <w:r w:rsidRPr="00504978">
        <w:rPr>
          <w:rFonts w:ascii="Arial" w:hAnsi="Arial" w:cs="Arial"/>
          <w:sz w:val="20"/>
          <w:szCs w:val="20"/>
        </w:rPr>
        <w:t xml:space="preserve"> rouge</w:t>
      </w:r>
      <w:r w:rsidR="00B40985">
        <w:rPr>
          <w:rFonts w:ascii="Arial" w:hAnsi="Arial" w:cs="Arial"/>
          <w:sz w:val="20"/>
          <w:szCs w:val="20"/>
        </w:rPr>
        <w:t>s,</w:t>
      </w:r>
      <w:r w:rsidRPr="00504978">
        <w:rPr>
          <w:rFonts w:ascii="Arial" w:hAnsi="Arial" w:cs="Arial"/>
          <w:sz w:val="20"/>
          <w:szCs w:val="20"/>
        </w:rPr>
        <w:t xml:space="preserve"> </w:t>
      </w:r>
      <w:r w:rsidR="00B40985">
        <w:rPr>
          <w:rFonts w:ascii="Arial" w:hAnsi="Arial" w:cs="Arial"/>
          <w:sz w:val="20"/>
          <w:szCs w:val="20"/>
        </w:rPr>
        <w:t>pour atteindre, respectivement,</w:t>
      </w:r>
      <w:r w:rsidRPr="00504978">
        <w:rPr>
          <w:rFonts w:ascii="Arial" w:hAnsi="Arial" w:cs="Arial"/>
          <w:sz w:val="20"/>
          <w:szCs w:val="20"/>
        </w:rPr>
        <w:t xml:space="preserve"> </w:t>
      </w:r>
      <w:r w:rsidR="004F52C0">
        <w:rPr>
          <w:rFonts w:ascii="Arial" w:hAnsi="Arial" w:cs="Arial"/>
          <w:sz w:val="20"/>
          <w:szCs w:val="20"/>
        </w:rPr>
        <w:t>+</w:t>
      </w:r>
      <w:r w:rsidRPr="00504978">
        <w:rPr>
          <w:rFonts w:ascii="Arial" w:hAnsi="Arial" w:cs="Arial"/>
          <w:sz w:val="20"/>
          <w:szCs w:val="20"/>
        </w:rPr>
        <w:t xml:space="preserve">7,6% et </w:t>
      </w:r>
      <w:r w:rsidR="004F52C0">
        <w:rPr>
          <w:rFonts w:ascii="Arial" w:hAnsi="Arial" w:cs="Arial"/>
          <w:sz w:val="20"/>
          <w:szCs w:val="20"/>
        </w:rPr>
        <w:t>+</w:t>
      </w:r>
      <w:r w:rsidRPr="00504978">
        <w:rPr>
          <w:rFonts w:ascii="Arial" w:hAnsi="Arial" w:cs="Arial"/>
          <w:sz w:val="20"/>
          <w:szCs w:val="20"/>
        </w:rPr>
        <w:t>7,4%, au</w:t>
      </w:r>
      <w:r>
        <w:rPr>
          <w:rFonts w:ascii="Arial" w:hAnsi="Arial" w:cs="Arial"/>
          <w:sz w:val="20"/>
          <w:szCs w:val="20"/>
        </w:rPr>
        <w:t>x</w:t>
      </w:r>
      <w:r w:rsidRPr="00504978">
        <w:rPr>
          <w:rFonts w:ascii="Arial" w:hAnsi="Arial" w:cs="Arial"/>
          <w:sz w:val="20"/>
          <w:szCs w:val="20"/>
        </w:rPr>
        <w:t xml:space="preserve"> mois de janvier et février 2019, en variations annuelles</w:t>
      </w:r>
      <w:r>
        <w:rPr>
          <w:rFonts w:ascii="Arial" w:hAnsi="Arial" w:cs="Arial"/>
          <w:sz w:val="20"/>
          <w:szCs w:val="20"/>
        </w:rPr>
        <w:t>.</w:t>
      </w:r>
    </w:p>
    <w:p w:rsidR="0024416E" w:rsidRDefault="0024416E" w:rsidP="007F1778">
      <w:pPr>
        <w:jc w:val="both"/>
        <w:rPr>
          <w:rFonts w:ascii="Arial" w:hAnsi="Arial" w:cs="Arial"/>
          <w:sz w:val="20"/>
          <w:szCs w:val="20"/>
        </w:rPr>
      </w:pPr>
    </w:p>
    <w:p w:rsidR="0097276B" w:rsidRDefault="00713FF2" w:rsidP="00BC1129">
      <w:pPr>
        <w:jc w:val="both"/>
        <w:rPr>
          <w:rFonts w:ascii="Arial" w:hAnsi="Arial" w:cs="Arial"/>
          <w:b/>
          <w:bCs/>
          <w:color w:val="800000"/>
          <w:kern w:val="28"/>
          <w:sz w:val="20"/>
          <w:szCs w:val="20"/>
        </w:rPr>
      </w:pPr>
      <w:r>
        <w:rPr>
          <w:rFonts w:ascii="Arial" w:hAnsi="Arial" w:cs="Arial"/>
          <w:b/>
          <w:bCs/>
          <w:color w:val="800000"/>
          <w:kern w:val="28"/>
          <w:sz w:val="20"/>
          <w:szCs w:val="20"/>
        </w:rPr>
        <w:t>Raffermissement</w:t>
      </w:r>
      <w:r w:rsidR="00BC1129">
        <w:rPr>
          <w:rFonts w:ascii="Arial" w:hAnsi="Arial" w:cs="Arial"/>
          <w:b/>
          <w:bCs/>
          <w:color w:val="800000"/>
          <w:kern w:val="28"/>
          <w:sz w:val="20"/>
          <w:szCs w:val="20"/>
        </w:rPr>
        <w:t xml:space="preserve"> </w:t>
      </w:r>
      <w:r w:rsidR="003A015F">
        <w:rPr>
          <w:rFonts w:ascii="Arial" w:hAnsi="Arial" w:cs="Arial"/>
          <w:b/>
          <w:bCs/>
          <w:color w:val="800000"/>
          <w:kern w:val="28"/>
          <w:sz w:val="20"/>
          <w:szCs w:val="20"/>
        </w:rPr>
        <w:t xml:space="preserve">des </w:t>
      </w:r>
      <w:r w:rsidR="0097276B">
        <w:rPr>
          <w:rFonts w:ascii="Arial" w:hAnsi="Arial" w:cs="Arial"/>
          <w:b/>
          <w:bCs/>
          <w:color w:val="800000"/>
          <w:kern w:val="28"/>
          <w:sz w:val="20"/>
          <w:szCs w:val="20"/>
        </w:rPr>
        <w:t>activités hors agriculture</w:t>
      </w:r>
    </w:p>
    <w:p w:rsidR="0097276B" w:rsidRDefault="0097276B" w:rsidP="005F2599">
      <w:pPr>
        <w:jc w:val="both"/>
        <w:rPr>
          <w:rFonts w:ascii="Arial" w:hAnsi="Arial" w:cs="Arial"/>
          <w:sz w:val="20"/>
          <w:szCs w:val="20"/>
        </w:rPr>
      </w:pPr>
    </w:p>
    <w:p w:rsidR="003E3668" w:rsidRDefault="004F04BD" w:rsidP="006A2E70">
      <w:pPr>
        <w:jc w:val="both"/>
        <w:rPr>
          <w:rFonts w:ascii="Arial" w:hAnsi="Arial" w:cs="Arial"/>
          <w:sz w:val="20"/>
          <w:szCs w:val="20"/>
        </w:rPr>
      </w:pPr>
      <w:r>
        <w:rPr>
          <w:rFonts w:ascii="Arial" w:hAnsi="Arial" w:cs="Arial"/>
          <w:sz w:val="20"/>
          <w:szCs w:val="20"/>
        </w:rPr>
        <w:t>L</w:t>
      </w:r>
      <w:r w:rsidR="00713FF2">
        <w:rPr>
          <w:rFonts w:ascii="Arial" w:hAnsi="Arial" w:cs="Arial"/>
          <w:sz w:val="20"/>
          <w:szCs w:val="20"/>
        </w:rPr>
        <w:t>a</w:t>
      </w:r>
      <w:r w:rsidR="00C839E8">
        <w:rPr>
          <w:rFonts w:ascii="Arial" w:hAnsi="Arial" w:cs="Arial"/>
          <w:sz w:val="20"/>
          <w:szCs w:val="20"/>
        </w:rPr>
        <w:t xml:space="preserve"> croissance de</w:t>
      </w:r>
      <w:r>
        <w:rPr>
          <w:rFonts w:ascii="Arial" w:hAnsi="Arial" w:cs="Arial"/>
          <w:sz w:val="20"/>
          <w:szCs w:val="20"/>
        </w:rPr>
        <w:t xml:space="preserve">s activités hors agriculture </w:t>
      </w:r>
      <w:r w:rsidR="00713FF2">
        <w:rPr>
          <w:rFonts w:ascii="Arial" w:hAnsi="Arial" w:cs="Arial"/>
          <w:sz w:val="20"/>
          <w:szCs w:val="20"/>
        </w:rPr>
        <w:t xml:space="preserve">se serait établie à </w:t>
      </w:r>
      <w:r w:rsidR="00C839E8">
        <w:rPr>
          <w:rFonts w:ascii="Arial" w:hAnsi="Arial" w:cs="Arial"/>
          <w:sz w:val="20"/>
          <w:szCs w:val="20"/>
        </w:rPr>
        <w:t>3,</w:t>
      </w:r>
      <w:r w:rsidR="00713FF2">
        <w:rPr>
          <w:rFonts w:ascii="Arial" w:hAnsi="Arial" w:cs="Arial"/>
          <w:sz w:val="20"/>
          <w:szCs w:val="20"/>
        </w:rPr>
        <w:t>3</w:t>
      </w:r>
      <w:r w:rsidR="00C839E8">
        <w:rPr>
          <w:rFonts w:ascii="Arial" w:hAnsi="Arial" w:cs="Arial"/>
          <w:sz w:val="20"/>
          <w:szCs w:val="20"/>
        </w:rPr>
        <w:t xml:space="preserve">% au </w:t>
      </w:r>
      <w:r w:rsidR="00BC1129">
        <w:rPr>
          <w:rFonts w:ascii="Arial" w:hAnsi="Arial" w:cs="Arial"/>
          <w:sz w:val="20"/>
          <w:szCs w:val="20"/>
        </w:rPr>
        <w:t>premier</w:t>
      </w:r>
      <w:r w:rsidR="00C839E8">
        <w:rPr>
          <w:rFonts w:ascii="Arial" w:hAnsi="Arial" w:cs="Arial"/>
          <w:sz w:val="20"/>
          <w:szCs w:val="20"/>
        </w:rPr>
        <w:t xml:space="preserve"> trimestre 201</w:t>
      </w:r>
      <w:r w:rsidR="00BC1129">
        <w:rPr>
          <w:rFonts w:ascii="Arial" w:hAnsi="Arial" w:cs="Arial"/>
          <w:sz w:val="20"/>
          <w:szCs w:val="20"/>
        </w:rPr>
        <w:t>8</w:t>
      </w:r>
      <w:r w:rsidR="00713FF2">
        <w:rPr>
          <w:rFonts w:ascii="Arial" w:hAnsi="Arial" w:cs="Arial"/>
          <w:sz w:val="20"/>
          <w:szCs w:val="20"/>
        </w:rPr>
        <w:t>, porté</w:t>
      </w:r>
      <w:r w:rsidR="00346BF2">
        <w:rPr>
          <w:rFonts w:ascii="Arial" w:hAnsi="Arial" w:cs="Arial"/>
          <w:sz w:val="20"/>
          <w:szCs w:val="20"/>
        </w:rPr>
        <w:t>e</w:t>
      </w:r>
      <w:r w:rsidR="00713FF2">
        <w:rPr>
          <w:rFonts w:ascii="Arial" w:hAnsi="Arial" w:cs="Arial"/>
          <w:sz w:val="20"/>
          <w:szCs w:val="20"/>
        </w:rPr>
        <w:t xml:space="preserve"> par la bonne orientation </w:t>
      </w:r>
      <w:r w:rsidR="00576DD3">
        <w:rPr>
          <w:rFonts w:ascii="Arial" w:hAnsi="Arial" w:cs="Arial"/>
          <w:sz w:val="20"/>
          <w:szCs w:val="20"/>
        </w:rPr>
        <w:t>du secteur</w:t>
      </w:r>
      <w:r w:rsidR="00C839E8">
        <w:rPr>
          <w:rFonts w:ascii="Arial" w:hAnsi="Arial" w:cs="Arial"/>
          <w:sz w:val="20"/>
          <w:szCs w:val="20"/>
        </w:rPr>
        <w:t xml:space="preserve"> </w:t>
      </w:r>
      <w:r w:rsidR="00576DD3">
        <w:rPr>
          <w:rFonts w:ascii="Arial" w:hAnsi="Arial" w:cs="Arial"/>
          <w:sz w:val="20"/>
          <w:szCs w:val="20"/>
        </w:rPr>
        <w:t>terti</w:t>
      </w:r>
      <w:r w:rsidR="00C839E8">
        <w:rPr>
          <w:rFonts w:ascii="Arial" w:hAnsi="Arial" w:cs="Arial"/>
          <w:sz w:val="20"/>
          <w:szCs w:val="20"/>
        </w:rPr>
        <w:t xml:space="preserve">aire dont la croissance </w:t>
      </w:r>
      <w:r w:rsidR="00713FF2">
        <w:rPr>
          <w:rFonts w:ascii="Arial" w:hAnsi="Arial" w:cs="Arial"/>
          <w:sz w:val="20"/>
          <w:szCs w:val="20"/>
        </w:rPr>
        <w:t xml:space="preserve">aurait atteint </w:t>
      </w:r>
      <w:r w:rsidR="00542322">
        <w:rPr>
          <w:rFonts w:ascii="Arial" w:hAnsi="Arial" w:cs="Arial"/>
          <w:sz w:val="20"/>
          <w:szCs w:val="20"/>
        </w:rPr>
        <w:t>2,9</w:t>
      </w:r>
      <w:r w:rsidR="00C839E8">
        <w:rPr>
          <w:rFonts w:ascii="Arial" w:hAnsi="Arial" w:cs="Arial"/>
          <w:sz w:val="20"/>
          <w:szCs w:val="20"/>
        </w:rPr>
        <w:t xml:space="preserve">%, </w:t>
      </w:r>
      <w:r w:rsidR="00713FF2">
        <w:rPr>
          <w:rFonts w:ascii="Arial" w:hAnsi="Arial" w:cs="Arial"/>
          <w:sz w:val="20"/>
          <w:szCs w:val="20"/>
        </w:rPr>
        <w:t>en variation annuelle</w:t>
      </w:r>
      <w:r w:rsidR="00542322">
        <w:rPr>
          <w:rFonts w:ascii="Arial" w:hAnsi="Arial" w:cs="Arial"/>
          <w:sz w:val="20"/>
          <w:szCs w:val="20"/>
        </w:rPr>
        <w:t>, contribuant pour 1,4 point à la croissance globale</w:t>
      </w:r>
      <w:r>
        <w:rPr>
          <w:rFonts w:ascii="Arial" w:hAnsi="Arial" w:cs="Arial"/>
          <w:sz w:val="20"/>
          <w:szCs w:val="20"/>
        </w:rPr>
        <w:t xml:space="preserve">. </w:t>
      </w:r>
    </w:p>
    <w:p w:rsidR="003E3668" w:rsidRDefault="003E3668" w:rsidP="006A2E70">
      <w:pPr>
        <w:jc w:val="both"/>
        <w:rPr>
          <w:rFonts w:ascii="Arial" w:hAnsi="Arial" w:cs="Arial"/>
          <w:sz w:val="20"/>
          <w:szCs w:val="20"/>
        </w:rPr>
      </w:pPr>
    </w:p>
    <w:p w:rsidR="007F1778" w:rsidRPr="00515E01" w:rsidRDefault="00FE690F" w:rsidP="004F52C0">
      <w:pPr>
        <w:jc w:val="both"/>
        <w:rPr>
          <w:rFonts w:ascii="Arial" w:hAnsi="Arial" w:cs="Arial"/>
          <w:sz w:val="20"/>
          <w:szCs w:val="20"/>
        </w:rPr>
      </w:pPr>
      <w:r>
        <w:rPr>
          <w:rFonts w:ascii="Arial" w:hAnsi="Arial" w:cs="Arial"/>
          <w:sz w:val="20"/>
          <w:szCs w:val="20"/>
        </w:rPr>
        <w:t>L</w:t>
      </w:r>
      <w:r w:rsidR="006749F2">
        <w:rPr>
          <w:rFonts w:ascii="Arial" w:hAnsi="Arial" w:cs="Arial"/>
          <w:sz w:val="20"/>
          <w:szCs w:val="20"/>
        </w:rPr>
        <w:t>a valeur ajoutée du</w:t>
      </w:r>
      <w:r>
        <w:rPr>
          <w:rFonts w:ascii="Arial" w:hAnsi="Arial" w:cs="Arial"/>
          <w:sz w:val="20"/>
          <w:szCs w:val="20"/>
        </w:rPr>
        <w:t xml:space="preserve"> secteur </w:t>
      </w:r>
      <w:r w:rsidR="00576DD3">
        <w:rPr>
          <w:rFonts w:ascii="Arial" w:hAnsi="Arial" w:cs="Arial"/>
          <w:sz w:val="20"/>
          <w:szCs w:val="20"/>
        </w:rPr>
        <w:t>second</w:t>
      </w:r>
      <w:r>
        <w:rPr>
          <w:rFonts w:ascii="Arial" w:hAnsi="Arial" w:cs="Arial"/>
          <w:sz w:val="20"/>
          <w:szCs w:val="20"/>
        </w:rPr>
        <w:t>aire aurait</w:t>
      </w:r>
      <w:r w:rsidR="00576DD3">
        <w:rPr>
          <w:rFonts w:ascii="Arial" w:hAnsi="Arial" w:cs="Arial"/>
          <w:sz w:val="20"/>
          <w:szCs w:val="20"/>
        </w:rPr>
        <w:t>, quant à elle,</w:t>
      </w:r>
      <w:r>
        <w:rPr>
          <w:rFonts w:ascii="Arial" w:hAnsi="Arial" w:cs="Arial"/>
          <w:sz w:val="20"/>
          <w:szCs w:val="20"/>
        </w:rPr>
        <w:t xml:space="preserve"> </w:t>
      </w:r>
      <w:r w:rsidR="006928F2">
        <w:rPr>
          <w:rFonts w:ascii="Arial" w:hAnsi="Arial" w:cs="Arial"/>
          <w:sz w:val="20"/>
          <w:szCs w:val="20"/>
        </w:rPr>
        <w:t>progressé de 3,</w:t>
      </w:r>
      <w:r w:rsidR="00713FF2">
        <w:rPr>
          <w:rFonts w:ascii="Arial" w:hAnsi="Arial" w:cs="Arial"/>
          <w:sz w:val="20"/>
          <w:szCs w:val="20"/>
        </w:rPr>
        <w:t>3</w:t>
      </w:r>
      <w:r w:rsidR="006928F2">
        <w:rPr>
          <w:rFonts w:ascii="Arial" w:hAnsi="Arial" w:cs="Arial"/>
          <w:sz w:val="20"/>
          <w:szCs w:val="20"/>
        </w:rPr>
        <w:t xml:space="preserve">%, en glissement annuel, contribuant pour </w:t>
      </w:r>
      <w:r w:rsidR="003C119B">
        <w:rPr>
          <w:rFonts w:ascii="Arial" w:hAnsi="Arial" w:cs="Arial"/>
          <w:sz w:val="20"/>
          <w:szCs w:val="20"/>
        </w:rPr>
        <w:t xml:space="preserve">près de </w:t>
      </w:r>
      <w:r w:rsidR="008853CD">
        <w:rPr>
          <w:rFonts w:ascii="Arial" w:hAnsi="Arial" w:cs="Arial"/>
          <w:sz w:val="20"/>
          <w:szCs w:val="20"/>
        </w:rPr>
        <w:t>+</w:t>
      </w:r>
      <w:r w:rsidR="006A2E70">
        <w:rPr>
          <w:rFonts w:ascii="Arial" w:hAnsi="Arial" w:cs="Arial"/>
          <w:sz w:val="20"/>
          <w:szCs w:val="20"/>
        </w:rPr>
        <w:t>1</w:t>
      </w:r>
      <w:r w:rsidR="003C119B">
        <w:rPr>
          <w:rFonts w:ascii="Arial" w:hAnsi="Arial" w:cs="Arial"/>
          <w:sz w:val="20"/>
          <w:szCs w:val="20"/>
        </w:rPr>
        <w:t xml:space="preserve"> point</w:t>
      </w:r>
      <w:r w:rsidR="002758A5">
        <w:rPr>
          <w:rFonts w:ascii="Arial" w:hAnsi="Arial" w:cs="Arial"/>
          <w:sz w:val="20"/>
          <w:szCs w:val="20"/>
        </w:rPr>
        <w:t xml:space="preserve"> à la croissance globale du PIB</w:t>
      </w:r>
      <w:r w:rsidR="006749F2">
        <w:rPr>
          <w:rFonts w:ascii="Arial" w:hAnsi="Arial" w:cs="Arial"/>
          <w:sz w:val="20"/>
          <w:szCs w:val="20"/>
        </w:rPr>
        <w:t xml:space="preserve">. </w:t>
      </w:r>
      <w:r w:rsidR="003E3668">
        <w:rPr>
          <w:rFonts w:ascii="Arial" w:hAnsi="Arial" w:cs="Arial"/>
          <w:sz w:val="20"/>
          <w:szCs w:val="20"/>
        </w:rPr>
        <w:t>Dans les</w:t>
      </w:r>
      <w:r w:rsidR="007F1778" w:rsidRPr="00D655DF">
        <w:rPr>
          <w:rFonts w:ascii="Arial" w:hAnsi="Arial" w:cs="Arial"/>
          <w:sz w:val="20"/>
          <w:szCs w:val="20"/>
        </w:rPr>
        <w:t xml:space="preserve"> </w:t>
      </w:r>
      <w:r w:rsidR="007F1778" w:rsidRPr="007F1778">
        <w:rPr>
          <w:rFonts w:ascii="Arial" w:hAnsi="Arial" w:cs="Arial"/>
          <w:b/>
          <w:bCs/>
          <w:sz w:val="20"/>
          <w:szCs w:val="20"/>
        </w:rPr>
        <w:t>mine</w:t>
      </w:r>
      <w:r w:rsidR="003E3668">
        <w:rPr>
          <w:rFonts w:ascii="Arial" w:hAnsi="Arial" w:cs="Arial"/>
          <w:b/>
          <w:bCs/>
          <w:sz w:val="20"/>
          <w:szCs w:val="20"/>
        </w:rPr>
        <w:t>s</w:t>
      </w:r>
      <w:r w:rsidR="003E3668" w:rsidRPr="003E3668">
        <w:rPr>
          <w:rFonts w:ascii="Arial" w:hAnsi="Arial" w:cs="Arial"/>
          <w:sz w:val="20"/>
          <w:szCs w:val="20"/>
        </w:rPr>
        <w:t>, l’activité</w:t>
      </w:r>
      <w:r w:rsidR="007F1778" w:rsidRPr="00D655DF">
        <w:rPr>
          <w:rFonts w:ascii="Arial" w:hAnsi="Arial" w:cs="Arial"/>
          <w:sz w:val="20"/>
          <w:szCs w:val="20"/>
        </w:rPr>
        <w:t xml:space="preserve"> se serait de nouveau engagée dans une phase de croissance soutenue, après avoir quasiment stagné </w:t>
      </w:r>
      <w:r w:rsidR="007F1778">
        <w:rPr>
          <w:rFonts w:ascii="Arial" w:hAnsi="Arial" w:cs="Arial"/>
          <w:sz w:val="20"/>
          <w:szCs w:val="20"/>
        </w:rPr>
        <w:t>à</w:t>
      </w:r>
      <w:r w:rsidR="007F1778" w:rsidRPr="00D655DF">
        <w:rPr>
          <w:rFonts w:ascii="Arial" w:hAnsi="Arial" w:cs="Arial"/>
          <w:sz w:val="20"/>
          <w:szCs w:val="20"/>
        </w:rPr>
        <w:t xml:space="preserve"> fin 2018. En variation annuelle, sa valeur ajoutée se serait accrue de 6</w:t>
      </w:r>
      <w:r w:rsidR="007F1778">
        <w:rPr>
          <w:rFonts w:ascii="Arial" w:hAnsi="Arial" w:cs="Arial"/>
          <w:sz w:val="20"/>
          <w:szCs w:val="20"/>
        </w:rPr>
        <w:t>,6</w:t>
      </w:r>
      <w:r w:rsidR="007F1778" w:rsidRPr="00D655DF">
        <w:rPr>
          <w:rFonts w:ascii="Arial" w:hAnsi="Arial" w:cs="Arial"/>
          <w:sz w:val="20"/>
          <w:szCs w:val="20"/>
        </w:rPr>
        <w:t>%, au premier trimestre 2019, au lieu de 0,3% un trimestre auparavant. Cette performance aurait été</w:t>
      </w:r>
      <w:r w:rsidR="004F52C0">
        <w:rPr>
          <w:rFonts w:ascii="Arial" w:hAnsi="Arial" w:cs="Arial"/>
          <w:sz w:val="20"/>
          <w:szCs w:val="20"/>
        </w:rPr>
        <w:t>,</w:t>
      </w:r>
      <w:r w:rsidR="007F1778" w:rsidRPr="00D655DF">
        <w:rPr>
          <w:rFonts w:ascii="Arial" w:hAnsi="Arial" w:cs="Arial"/>
          <w:sz w:val="20"/>
          <w:szCs w:val="20"/>
        </w:rPr>
        <w:t xml:space="preserve"> principalement</w:t>
      </w:r>
      <w:r w:rsidR="004F52C0">
        <w:rPr>
          <w:rFonts w:ascii="Arial" w:hAnsi="Arial" w:cs="Arial"/>
          <w:sz w:val="20"/>
          <w:szCs w:val="20"/>
        </w:rPr>
        <w:t>,</w:t>
      </w:r>
      <w:r w:rsidR="007F1778" w:rsidRPr="00D655DF">
        <w:rPr>
          <w:rFonts w:ascii="Arial" w:hAnsi="Arial" w:cs="Arial"/>
          <w:sz w:val="20"/>
          <w:szCs w:val="20"/>
        </w:rPr>
        <w:t xml:space="preserve"> le fait de la </w:t>
      </w:r>
      <w:r w:rsidR="007F1778">
        <w:rPr>
          <w:rFonts w:ascii="Arial" w:hAnsi="Arial" w:cs="Arial"/>
          <w:sz w:val="20"/>
          <w:szCs w:val="20"/>
        </w:rPr>
        <w:t>filière</w:t>
      </w:r>
      <w:r w:rsidR="007F1778" w:rsidRPr="00D655DF">
        <w:rPr>
          <w:rFonts w:ascii="Arial" w:hAnsi="Arial" w:cs="Arial"/>
          <w:sz w:val="20"/>
          <w:szCs w:val="20"/>
        </w:rPr>
        <w:t xml:space="preserve"> phosphatée, dont la production se serait améliorée de 6,9%, tirée par l’expansion de la demande des industries chimiques locales. Le renforcement du commerce mondial des fertilisants à base phosphatée, </w:t>
      </w:r>
      <w:r w:rsidR="007F1778">
        <w:rPr>
          <w:rFonts w:ascii="Arial" w:hAnsi="Arial" w:cs="Arial"/>
          <w:sz w:val="20"/>
          <w:szCs w:val="20"/>
        </w:rPr>
        <w:t>tiré</w:t>
      </w:r>
      <w:bookmarkStart w:id="0" w:name="_GoBack"/>
      <w:bookmarkEnd w:id="0"/>
      <w:r w:rsidR="007F1778" w:rsidRPr="00D655DF">
        <w:rPr>
          <w:rFonts w:ascii="Arial" w:hAnsi="Arial" w:cs="Arial"/>
          <w:sz w:val="20"/>
          <w:szCs w:val="20"/>
        </w:rPr>
        <w:t xml:space="preserve"> par la vigueur des importations indienne</w:t>
      </w:r>
      <w:r w:rsidR="007F1778">
        <w:rPr>
          <w:rFonts w:ascii="Arial" w:hAnsi="Arial" w:cs="Arial"/>
          <w:sz w:val="20"/>
          <w:szCs w:val="20"/>
        </w:rPr>
        <w:t>s</w:t>
      </w:r>
      <w:r w:rsidR="007F1778" w:rsidRPr="00D655DF">
        <w:rPr>
          <w:rFonts w:ascii="Arial" w:hAnsi="Arial" w:cs="Arial"/>
          <w:sz w:val="20"/>
          <w:szCs w:val="20"/>
        </w:rPr>
        <w:t>, brésilienne</w:t>
      </w:r>
      <w:r w:rsidR="007F1778">
        <w:rPr>
          <w:rFonts w:ascii="Arial" w:hAnsi="Arial" w:cs="Arial"/>
          <w:sz w:val="20"/>
          <w:szCs w:val="20"/>
        </w:rPr>
        <w:t>s</w:t>
      </w:r>
      <w:r w:rsidR="007F1778" w:rsidRPr="00D655DF">
        <w:rPr>
          <w:rFonts w:ascii="Arial" w:hAnsi="Arial" w:cs="Arial"/>
          <w:sz w:val="20"/>
          <w:szCs w:val="20"/>
        </w:rPr>
        <w:t xml:space="preserve"> et américaine</w:t>
      </w:r>
      <w:r w:rsidR="007F1778">
        <w:rPr>
          <w:rFonts w:ascii="Arial" w:hAnsi="Arial" w:cs="Arial"/>
          <w:sz w:val="20"/>
          <w:szCs w:val="20"/>
        </w:rPr>
        <w:t>s</w:t>
      </w:r>
      <w:r w:rsidR="007F1778" w:rsidRPr="00D655DF">
        <w:rPr>
          <w:rFonts w:ascii="Arial" w:hAnsi="Arial" w:cs="Arial"/>
          <w:sz w:val="20"/>
          <w:szCs w:val="20"/>
        </w:rPr>
        <w:t xml:space="preserve">, aurait favorisé une amélioration de 4,3% et 17% des exportations locales </w:t>
      </w:r>
      <w:r w:rsidR="007F1778">
        <w:rPr>
          <w:rFonts w:ascii="Arial" w:hAnsi="Arial" w:cs="Arial"/>
          <w:sz w:val="20"/>
          <w:szCs w:val="20"/>
        </w:rPr>
        <w:t>des engrais chimiques et de l’acide phosphorique</w:t>
      </w:r>
      <w:r w:rsidR="007F1778" w:rsidRPr="00D655DF">
        <w:rPr>
          <w:rFonts w:ascii="Arial" w:hAnsi="Arial" w:cs="Arial"/>
          <w:sz w:val="20"/>
          <w:szCs w:val="20"/>
        </w:rPr>
        <w:t>. A plus long terme, la poursuite de l’affermissement de l’activité phosphatée traduirait une amélioration du potentiel productif des industries de transformation locale, dopé</w:t>
      </w:r>
      <w:r w:rsidR="004F52C0">
        <w:rPr>
          <w:rFonts w:ascii="Arial" w:hAnsi="Arial" w:cs="Arial"/>
          <w:sz w:val="20"/>
          <w:szCs w:val="20"/>
        </w:rPr>
        <w:t>e</w:t>
      </w:r>
      <w:r w:rsidR="007F1778" w:rsidRPr="00D655DF">
        <w:rPr>
          <w:rFonts w:ascii="Arial" w:hAnsi="Arial" w:cs="Arial"/>
          <w:sz w:val="20"/>
          <w:szCs w:val="20"/>
        </w:rPr>
        <w:t xml:space="preserve"> par un accroissement des capacités productives des unités de JorfLasfar et d’une progression plus soutenue de la demande agricole des pays émergents. En revanche, le potentiel productif des métaux de base n’aurait pas connu une hausse notable et la croissance de leur production serait restée modérée, n’excédant pas 1,1%, au premier trimestre 2019, en variation annuelle.  </w:t>
      </w:r>
    </w:p>
    <w:p w:rsidR="003A015F" w:rsidRPr="004535A6" w:rsidRDefault="003A015F" w:rsidP="00366E1C">
      <w:pPr>
        <w:jc w:val="both"/>
        <w:rPr>
          <w:rFonts w:ascii="Arial" w:hAnsi="Arial" w:cs="Arial"/>
          <w:sz w:val="20"/>
          <w:szCs w:val="20"/>
        </w:rPr>
      </w:pPr>
    </w:p>
    <w:p w:rsidR="008A37E4" w:rsidRDefault="00C562E5" w:rsidP="006A2E70">
      <w:pPr>
        <w:jc w:val="both"/>
        <w:rPr>
          <w:rFonts w:ascii="Arial" w:hAnsi="Arial"/>
          <w:sz w:val="20"/>
          <w:szCs w:val="20"/>
        </w:rPr>
      </w:pPr>
      <w:r>
        <w:rPr>
          <w:rFonts w:ascii="Arial" w:hAnsi="Arial" w:cs="Arial"/>
          <w:noProof/>
          <w:sz w:val="20"/>
          <w:szCs w:val="20"/>
        </w:rPr>
        <w:drawing>
          <wp:anchor distT="0" distB="0" distL="114300" distR="114300" simplePos="0" relativeHeight="251680256" behindDoc="0" locked="0" layoutInCell="1" allowOverlap="1">
            <wp:simplePos x="0" y="0"/>
            <wp:positionH relativeFrom="column">
              <wp:posOffset>4565650</wp:posOffset>
            </wp:positionH>
            <wp:positionV relativeFrom="paragraph">
              <wp:posOffset>1933575</wp:posOffset>
            </wp:positionV>
            <wp:extent cx="1967230" cy="1678940"/>
            <wp:effectExtent l="1905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967230" cy="1678940"/>
                    </a:xfrm>
                    <a:prstGeom prst="rect">
                      <a:avLst/>
                    </a:prstGeom>
                    <a:noFill/>
                    <a:ln w="9525">
                      <a:noFill/>
                      <a:miter lim="800000"/>
                      <a:headEnd/>
                      <a:tailEnd/>
                    </a:ln>
                  </pic:spPr>
                </pic:pic>
              </a:graphicData>
            </a:graphic>
          </wp:anchor>
        </w:drawing>
      </w:r>
      <w:r w:rsidR="0047676F">
        <w:rPr>
          <w:rFonts w:ascii="Arial" w:hAnsi="Arial" w:cs="Arial"/>
          <w:noProof/>
          <w:sz w:val="20"/>
          <w:szCs w:val="20"/>
        </w:rPr>
        <w:drawing>
          <wp:anchor distT="0" distB="0" distL="114300" distR="114300" simplePos="0" relativeHeight="251674112" behindDoc="0" locked="0" layoutInCell="1" allowOverlap="1">
            <wp:simplePos x="0" y="0"/>
            <wp:positionH relativeFrom="column">
              <wp:posOffset>4532630</wp:posOffset>
            </wp:positionH>
            <wp:positionV relativeFrom="paragraph">
              <wp:posOffset>50800</wp:posOffset>
            </wp:positionV>
            <wp:extent cx="2000885" cy="1720215"/>
            <wp:effectExtent l="19050" t="0" r="0" b="0"/>
            <wp:wrapSquare wrapText="bothSides"/>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2000885" cy="1720215"/>
                    </a:xfrm>
                    <a:prstGeom prst="rect">
                      <a:avLst/>
                    </a:prstGeom>
                    <a:noFill/>
                    <a:ln w="9525">
                      <a:noFill/>
                      <a:miter lim="800000"/>
                      <a:headEnd/>
                      <a:tailEnd/>
                    </a:ln>
                  </pic:spPr>
                </pic:pic>
              </a:graphicData>
            </a:graphic>
          </wp:anchor>
        </w:drawing>
      </w:r>
      <w:r w:rsidR="0045217B" w:rsidRPr="004535A6">
        <w:rPr>
          <w:rFonts w:ascii="Arial" w:hAnsi="Arial" w:cs="Arial"/>
          <w:sz w:val="20"/>
          <w:szCs w:val="20"/>
        </w:rPr>
        <w:t>L</w:t>
      </w:r>
      <w:r w:rsidR="008A37E4" w:rsidRPr="004535A6">
        <w:rPr>
          <w:rFonts w:ascii="Arial" w:hAnsi="Arial" w:cs="Arial"/>
          <w:sz w:val="20"/>
          <w:szCs w:val="20"/>
        </w:rPr>
        <w:t xml:space="preserve">es </w:t>
      </w:r>
      <w:r w:rsidR="008A37E4" w:rsidRPr="004535A6">
        <w:rPr>
          <w:rFonts w:ascii="Arial" w:hAnsi="Arial" w:cs="Arial"/>
          <w:b/>
          <w:bCs/>
          <w:sz w:val="20"/>
          <w:szCs w:val="20"/>
        </w:rPr>
        <w:t>industries manufacturières</w:t>
      </w:r>
      <w:r w:rsidR="00241925" w:rsidRPr="004535A6">
        <w:rPr>
          <w:rFonts w:ascii="Arial" w:hAnsi="Arial" w:cs="Arial"/>
          <w:b/>
          <w:bCs/>
          <w:sz w:val="20"/>
          <w:szCs w:val="20"/>
        </w:rPr>
        <w:t xml:space="preserve"> </w:t>
      </w:r>
      <w:r w:rsidR="008A37E4" w:rsidRPr="000F7023">
        <w:rPr>
          <w:rFonts w:ascii="Arial" w:hAnsi="Arial"/>
          <w:sz w:val="20"/>
          <w:szCs w:val="20"/>
        </w:rPr>
        <w:t xml:space="preserve">auraient </w:t>
      </w:r>
      <w:r w:rsidR="006F31A0">
        <w:rPr>
          <w:rFonts w:ascii="Arial" w:hAnsi="Arial"/>
          <w:sz w:val="20"/>
          <w:szCs w:val="20"/>
        </w:rPr>
        <w:t>poursuivi leur raffermissement au rythme de 3,</w:t>
      </w:r>
      <w:r w:rsidR="00563117">
        <w:rPr>
          <w:rFonts w:ascii="Arial" w:hAnsi="Arial"/>
          <w:sz w:val="20"/>
          <w:szCs w:val="20"/>
        </w:rPr>
        <w:t>4</w:t>
      </w:r>
      <w:r w:rsidR="006F31A0">
        <w:rPr>
          <w:rFonts w:ascii="Arial" w:hAnsi="Arial"/>
          <w:sz w:val="20"/>
          <w:szCs w:val="20"/>
        </w:rPr>
        <w:t>%</w:t>
      </w:r>
      <w:r w:rsidR="003D0206">
        <w:rPr>
          <w:rFonts w:ascii="Arial" w:hAnsi="Arial"/>
          <w:sz w:val="20"/>
          <w:szCs w:val="20"/>
        </w:rPr>
        <w:t>,</w:t>
      </w:r>
      <w:r w:rsidR="00FA3840">
        <w:rPr>
          <w:rFonts w:ascii="Arial" w:hAnsi="Arial"/>
          <w:sz w:val="20"/>
          <w:szCs w:val="20"/>
        </w:rPr>
        <w:t xml:space="preserve"> </w:t>
      </w:r>
      <w:r w:rsidR="003D0206" w:rsidRPr="000F7023">
        <w:rPr>
          <w:rFonts w:ascii="Arial" w:hAnsi="Arial"/>
          <w:sz w:val="20"/>
          <w:szCs w:val="20"/>
        </w:rPr>
        <w:t xml:space="preserve">au </w:t>
      </w:r>
      <w:r w:rsidR="00A051FE">
        <w:rPr>
          <w:rFonts w:ascii="Arial" w:hAnsi="Arial"/>
          <w:sz w:val="20"/>
          <w:szCs w:val="20"/>
        </w:rPr>
        <w:t>premier trimestre 2019</w:t>
      </w:r>
      <w:r w:rsidR="003D0206">
        <w:rPr>
          <w:rFonts w:ascii="Arial" w:hAnsi="Arial"/>
          <w:sz w:val="20"/>
          <w:szCs w:val="20"/>
        </w:rPr>
        <w:t xml:space="preserve">, </w:t>
      </w:r>
      <w:r w:rsidR="008A37E4" w:rsidRPr="000F7023">
        <w:rPr>
          <w:rFonts w:ascii="Arial" w:hAnsi="Arial"/>
          <w:sz w:val="20"/>
          <w:szCs w:val="20"/>
        </w:rPr>
        <w:t>au lieu de +</w:t>
      </w:r>
      <w:r w:rsidR="000B01F4">
        <w:rPr>
          <w:rFonts w:ascii="Arial" w:hAnsi="Arial"/>
          <w:sz w:val="20"/>
          <w:szCs w:val="20"/>
        </w:rPr>
        <w:t>3</w:t>
      </w:r>
      <w:r w:rsidR="008A37E4" w:rsidRPr="000F7023">
        <w:rPr>
          <w:rFonts w:ascii="Arial" w:hAnsi="Arial"/>
          <w:sz w:val="20"/>
          <w:szCs w:val="20"/>
        </w:rPr>
        <w:t>,</w:t>
      </w:r>
      <w:r w:rsidR="003254A9">
        <w:rPr>
          <w:rFonts w:ascii="Arial" w:hAnsi="Arial"/>
          <w:sz w:val="20"/>
          <w:szCs w:val="20"/>
        </w:rPr>
        <w:t>2</w:t>
      </w:r>
      <w:r w:rsidR="008A37E4" w:rsidRPr="000F7023">
        <w:rPr>
          <w:rFonts w:ascii="Arial" w:hAnsi="Arial"/>
          <w:sz w:val="20"/>
          <w:szCs w:val="20"/>
        </w:rPr>
        <w:t xml:space="preserve">% </w:t>
      </w:r>
      <w:r w:rsidR="00871323">
        <w:rPr>
          <w:rFonts w:ascii="Arial" w:hAnsi="Arial"/>
          <w:sz w:val="20"/>
          <w:szCs w:val="20"/>
        </w:rPr>
        <w:t xml:space="preserve">un </w:t>
      </w:r>
      <w:r w:rsidR="003254A9">
        <w:rPr>
          <w:rFonts w:ascii="Arial" w:hAnsi="Arial"/>
          <w:sz w:val="20"/>
          <w:szCs w:val="20"/>
        </w:rPr>
        <w:t>an</w:t>
      </w:r>
      <w:r w:rsidR="008A37E4" w:rsidRPr="000F7023">
        <w:rPr>
          <w:rFonts w:ascii="Arial" w:hAnsi="Arial"/>
          <w:sz w:val="20"/>
          <w:szCs w:val="20"/>
        </w:rPr>
        <w:t xml:space="preserve"> auparavant. </w:t>
      </w:r>
      <w:r w:rsidR="008E3C93">
        <w:rPr>
          <w:rFonts w:ascii="Arial" w:hAnsi="Arial"/>
          <w:sz w:val="20"/>
          <w:szCs w:val="20"/>
        </w:rPr>
        <w:t xml:space="preserve">Cette </w:t>
      </w:r>
      <w:r w:rsidR="00356D00">
        <w:rPr>
          <w:rFonts w:ascii="Arial" w:hAnsi="Arial"/>
          <w:sz w:val="20"/>
          <w:szCs w:val="20"/>
        </w:rPr>
        <w:t>évolution</w:t>
      </w:r>
      <w:r w:rsidR="00433BFC">
        <w:rPr>
          <w:rFonts w:ascii="Arial" w:hAnsi="Arial"/>
          <w:sz w:val="20"/>
          <w:szCs w:val="20"/>
        </w:rPr>
        <w:t xml:space="preserve"> </w:t>
      </w:r>
      <w:r w:rsidR="006A2E70">
        <w:rPr>
          <w:rFonts w:ascii="Arial" w:hAnsi="Arial"/>
          <w:sz w:val="20"/>
          <w:szCs w:val="20"/>
        </w:rPr>
        <w:t>au</w:t>
      </w:r>
      <w:r w:rsidR="008D343A">
        <w:rPr>
          <w:rFonts w:ascii="Arial" w:hAnsi="Arial"/>
          <w:sz w:val="20"/>
          <w:szCs w:val="20"/>
        </w:rPr>
        <w:t>rait</w:t>
      </w:r>
      <w:r w:rsidR="006A2E70">
        <w:rPr>
          <w:rFonts w:ascii="Arial" w:hAnsi="Arial"/>
          <w:sz w:val="20"/>
          <w:szCs w:val="20"/>
        </w:rPr>
        <w:t xml:space="preserve"> été</w:t>
      </w:r>
      <w:r w:rsidR="008E3C93">
        <w:rPr>
          <w:rFonts w:ascii="Arial" w:hAnsi="Arial"/>
          <w:sz w:val="20"/>
          <w:szCs w:val="20"/>
        </w:rPr>
        <w:t xml:space="preserve"> </w:t>
      </w:r>
      <w:r w:rsidR="00BC4CFD">
        <w:rPr>
          <w:rFonts w:ascii="Arial" w:hAnsi="Arial"/>
          <w:sz w:val="20"/>
          <w:szCs w:val="20"/>
        </w:rPr>
        <w:t xml:space="preserve">attribuable à la poursuite du </w:t>
      </w:r>
      <w:r w:rsidR="0067205A">
        <w:rPr>
          <w:rFonts w:ascii="Arial" w:hAnsi="Arial"/>
          <w:sz w:val="20"/>
          <w:szCs w:val="20"/>
        </w:rPr>
        <w:t xml:space="preserve">dynamisme des industries </w:t>
      </w:r>
      <w:r w:rsidR="0067205A" w:rsidRPr="0060331F">
        <w:rPr>
          <w:rFonts w:ascii="Arial" w:hAnsi="Arial"/>
          <w:sz w:val="20"/>
          <w:szCs w:val="20"/>
        </w:rPr>
        <w:t>IMME</w:t>
      </w:r>
      <w:r w:rsidR="002545A2">
        <w:rPr>
          <w:rFonts w:ascii="Arial" w:hAnsi="Arial"/>
          <w:sz w:val="20"/>
          <w:szCs w:val="20"/>
        </w:rPr>
        <w:t>,</w:t>
      </w:r>
      <w:r w:rsidR="0067205A">
        <w:rPr>
          <w:rFonts w:ascii="Arial" w:hAnsi="Arial"/>
          <w:sz w:val="20"/>
          <w:szCs w:val="20"/>
        </w:rPr>
        <w:t xml:space="preserve"> amorcé au quatrième trimestre 2017, </w:t>
      </w:r>
      <w:r w:rsidR="006A2E70">
        <w:rPr>
          <w:rFonts w:ascii="Arial" w:hAnsi="Arial"/>
          <w:sz w:val="20"/>
          <w:szCs w:val="20"/>
        </w:rPr>
        <w:t xml:space="preserve">notamment celui </w:t>
      </w:r>
      <w:r w:rsidR="00C94C0D">
        <w:rPr>
          <w:rFonts w:ascii="Arial" w:hAnsi="Arial"/>
          <w:sz w:val="20"/>
          <w:szCs w:val="20"/>
        </w:rPr>
        <w:t>des industries de l’automobile</w:t>
      </w:r>
      <w:r w:rsidR="00BC2123">
        <w:rPr>
          <w:rFonts w:ascii="Arial" w:hAnsi="Arial"/>
          <w:sz w:val="20"/>
          <w:szCs w:val="20"/>
        </w:rPr>
        <w:t xml:space="preserve"> et </w:t>
      </w:r>
      <w:r w:rsidR="00B62916">
        <w:rPr>
          <w:rFonts w:ascii="Arial" w:hAnsi="Arial"/>
          <w:sz w:val="20"/>
          <w:szCs w:val="20"/>
        </w:rPr>
        <w:t xml:space="preserve">de </w:t>
      </w:r>
      <w:r w:rsidR="006A2E70">
        <w:rPr>
          <w:rFonts w:ascii="Arial" w:hAnsi="Arial"/>
          <w:sz w:val="20"/>
          <w:szCs w:val="20"/>
        </w:rPr>
        <w:t>l’</w:t>
      </w:r>
      <w:r w:rsidR="00BC2123">
        <w:rPr>
          <w:rFonts w:ascii="Arial" w:hAnsi="Arial"/>
          <w:sz w:val="20"/>
          <w:szCs w:val="20"/>
        </w:rPr>
        <w:t>électronique</w:t>
      </w:r>
      <w:r w:rsidR="0067205A">
        <w:rPr>
          <w:rFonts w:ascii="Arial" w:hAnsi="Arial"/>
          <w:sz w:val="20"/>
          <w:szCs w:val="20"/>
        </w:rPr>
        <w:t xml:space="preserve">. La valeur ajoutée de la branche aurait, ainsi, progressé de 4,8%, au lieu de </w:t>
      </w:r>
      <w:r w:rsidR="008D343A">
        <w:rPr>
          <w:rFonts w:ascii="Arial" w:hAnsi="Arial"/>
          <w:sz w:val="20"/>
          <w:szCs w:val="20"/>
        </w:rPr>
        <w:t>+</w:t>
      </w:r>
      <w:r w:rsidR="0067205A">
        <w:rPr>
          <w:rFonts w:ascii="Arial" w:hAnsi="Arial"/>
          <w:sz w:val="20"/>
          <w:szCs w:val="20"/>
        </w:rPr>
        <w:t xml:space="preserve">4,5% un an auparavant. </w:t>
      </w:r>
      <w:r w:rsidR="00DB6E82">
        <w:rPr>
          <w:rFonts w:ascii="Arial" w:hAnsi="Arial"/>
          <w:sz w:val="20"/>
          <w:szCs w:val="20"/>
        </w:rPr>
        <w:t>L</w:t>
      </w:r>
      <w:r w:rsidR="008E3C93">
        <w:rPr>
          <w:rFonts w:ascii="Arial" w:hAnsi="Arial"/>
          <w:sz w:val="20"/>
          <w:szCs w:val="20"/>
        </w:rPr>
        <w:t xml:space="preserve">a valeur ajoutée </w:t>
      </w:r>
      <w:r w:rsidR="00C94C0D">
        <w:rPr>
          <w:rFonts w:ascii="Arial" w:hAnsi="Arial"/>
          <w:sz w:val="20"/>
          <w:szCs w:val="20"/>
        </w:rPr>
        <w:t xml:space="preserve">du textile et </w:t>
      </w:r>
      <w:r w:rsidR="006A2E70">
        <w:rPr>
          <w:rFonts w:ascii="Arial" w:hAnsi="Arial"/>
          <w:sz w:val="20"/>
          <w:szCs w:val="20"/>
        </w:rPr>
        <w:t xml:space="preserve">du </w:t>
      </w:r>
      <w:r w:rsidR="00C94C0D">
        <w:rPr>
          <w:rFonts w:ascii="Arial" w:hAnsi="Arial"/>
          <w:sz w:val="20"/>
          <w:szCs w:val="20"/>
        </w:rPr>
        <w:t xml:space="preserve">cuir </w:t>
      </w:r>
      <w:r w:rsidR="008E3C93">
        <w:rPr>
          <w:rFonts w:ascii="Arial" w:hAnsi="Arial"/>
          <w:sz w:val="20"/>
          <w:szCs w:val="20"/>
        </w:rPr>
        <w:t>se serait</w:t>
      </w:r>
      <w:r w:rsidR="00DB6E82">
        <w:rPr>
          <w:rFonts w:ascii="Arial" w:hAnsi="Arial"/>
          <w:sz w:val="20"/>
          <w:szCs w:val="20"/>
        </w:rPr>
        <w:t xml:space="preserve">, </w:t>
      </w:r>
      <w:r w:rsidR="00C94C0D">
        <w:rPr>
          <w:rFonts w:ascii="Arial" w:hAnsi="Arial"/>
          <w:sz w:val="20"/>
          <w:szCs w:val="20"/>
        </w:rPr>
        <w:t>pour sa part</w:t>
      </w:r>
      <w:r w:rsidR="00DB6E82">
        <w:rPr>
          <w:rFonts w:ascii="Arial" w:hAnsi="Arial"/>
          <w:sz w:val="20"/>
          <w:szCs w:val="20"/>
        </w:rPr>
        <w:t>,</w:t>
      </w:r>
      <w:r w:rsidR="008E3C93">
        <w:rPr>
          <w:rFonts w:ascii="Arial" w:hAnsi="Arial"/>
          <w:sz w:val="20"/>
          <w:szCs w:val="20"/>
        </w:rPr>
        <w:t xml:space="preserve"> </w:t>
      </w:r>
      <w:r w:rsidR="00EE4767">
        <w:rPr>
          <w:rFonts w:ascii="Arial" w:hAnsi="Arial"/>
          <w:sz w:val="20"/>
          <w:szCs w:val="20"/>
        </w:rPr>
        <w:t>r</w:t>
      </w:r>
      <w:r w:rsidR="008E3C93">
        <w:rPr>
          <w:rFonts w:ascii="Arial" w:hAnsi="Arial"/>
          <w:sz w:val="20"/>
          <w:szCs w:val="20"/>
        </w:rPr>
        <w:t xml:space="preserve">affermie de </w:t>
      </w:r>
      <w:r w:rsidR="00C94C0D">
        <w:rPr>
          <w:rFonts w:ascii="Arial" w:hAnsi="Arial"/>
          <w:sz w:val="20"/>
          <w:szCs w:val="20"/>
        </w:rPr>
        <w:t>4</w:t>
      </w:r>
      <w:r w:rsidR="008E3C93">
        <w:rPr>
          <w:rFonts w:ascii="Arial" w:hAnsi="Arial"/>
          <w:sz w:val="20"/>
          <w:szCs w:val="20"/>
        </w:rPr>
        <w:t>,</w:t>
      </w:r>
      <w:r w:rsidR="00C94C0D">
        <w:rPr>
          <w:rFonts w:ascii="Arial" w:hAnsi="Arial"/>
          <w:sz w:val="20"/>
          <w:szCs w:val="20"/>
        </w:rPr>
        <w:t>5</w:t>
      </w:r>
      <w:r w:rsidR="008E3C93">
        <w:rPr>
          <w:rFonts w:ascii="Arial" w:hAnsi="Arial"/>
          <w:sz w:val="20"/>
          <w:szCs w:val="20"/>
        </w:rPr>
        <w:t>%, en variation annuelle,</w:t>
      </w:r>
      <w:r w:rsidR="00C94C0D" w:rsidRPr="00C94C0D">
        <w:rPr>
          <w:rFonts w:ascii="Arial" w:hAnsi="Arial"/>
          <w:sz w:val="20"/>
          <w:szCs w:val="20"/>
        </w:rPr>
        <w:t xml:space="preserve"> </w:t>
      </w:r>
      <w:r w:rsidR="00C94C0D">
        <w:rPr>
          <w:rFonts w:ascii="Arial" w:hAnsi="Arial"/>
          <w:sz w:val="20"/>
          <w:szCs w:val="20"/>
        </w:rPr>
        <w:t>profitant de l’accroissement de la demande étrangère qui l</w:t>
      </w:r>
      <w:r w:rsidR="00495148">
        <w:rPr>
          <w:rFonts w:ascii="Arial" w:hAnsi="Arial"/>
          <w:sz w:val="20"/>
          <w:szCs w:val="20"/>
        </w:rPr>
        <w:t>ui</w:t>
      </w:r>
      <w:r w:rsidR="00C94C0D">
        <w:rPr>
          <w:rFonts w:ascii="Arial" w:hAnsi="Arial"/>
          <w:sz w:val="20"/>
          <w:szCs w:val="20"/>
        </w:rPr>
        <w:t xml:space="preserve"> est adressée</w:t>
      </w:r>
      <w:r w:rsidR="008E3C93">
        <w:rPr>
          <w:rFonts w:ascii="Arial" w:hAnsi="Arial"/>
          <w:sz w:val="20"/>
          <w:szCs w:val="20"/>
        </w:rPr>
        <w:t xml:space="preserve">. </w:t>
      </w:r>
      <w:r w:rsidR="00C94C0D">
        <w:rPr>
          <w:rFonts w:ascii="Arial" w:hAnsi="Arial"/>
          <w:sz w:val="20"/>
          <w:szCs w:val="20"/>
        </w:rPr>
        <w:t xml:space="preserve">Le rythme de croissance </w:t>
      </w:r>
      <w:r w:rsidR="006F31A0">
        <w:rPr>
          <w:rFonts w:ascii="Arial" w:hAnsi="Arial"/>
          <w:sz w:val="20"/>
          <w:szCs w:val="20"/>
        </w:rPr>
        <w:t xml:space="preserve">des industries </w:t>
      </w:r>
      <w:r w:rsidR="007A4B1E">
        <w:rPr>
          <w:rFonts w:ascii="Arial" w:hAnsi="Arial"/>
          <w:sz w:val="20"/>
          <w:szCs w:val="20"/>
        </w:rPr>
        <w:t xml:space="preserve">agroalimentaires et </w:t>
      </w:r>
      <w:r w:rsidR="006F31A0">
        <w:rPr>
          <w:rFonts w:ascii="Arial" w:hAnsi="Arial"/>
          <w:sz w:val="20"/>
          <w:szCs w:val="20"/>
        </w:rPr>
        <w:t xml:space="preserve">chimiques </w:t>
      </w:r>
      <w:r w:rsidR="00C94C0D">
        <w:rPr>
          <w:rFonts w:ascii="Arial" w:hAnsi="Arial"/>
          <w:sz w:val="20"/>
          <w:szCs w:val="20"/>
        </w:rPr>
        <w:t>aurait, quant à lui, légèrement décéléré par rapport à celui de 2018 pour se situer</w:t>
      </w:r>
      <w:r w:rsidR="007A4B1E">
        <w:rPr>
          <w:rFonts w:ascii="Arial" w:hAnsi="Arial"/>
          <w:sz w:val="20"/>
          <w:szCs w:val="20"/>
        </w:rPr>
        <w:t xml:space="preserve">, respectivement, </w:t>
      </w:r>
      <w:r w:rsidR="00C94C0D">
        <w:rPr>
          <w:rFonts w:ascii="Arial" w:hAnsi="Arial"/>
          <w:sz w:val="20"/>
          <w:szCs w:val="20"/>
        </w:rPr>
        <w:t>à 3,</w:t>
      </w:r>
      <w:r w:rsidR="007A4B1E">
        <w:rPr>
          <w:rFonts w:ascii="Arial" w:hAnsi="Arial"/>
          <w:sz w:val="20"/>
          <w:szCs w:val="20"/>
        </w:rPr>
        <w:t>3</w:t>
      </w:r>
      <w:r w:rsidR="00C94C0D">
        <w:rPr>
          <w:rFonts w:ascii="Arial" w:hAnsi="Arial"/>
          <w:sz w:val="20"/>
          <w:szCs w:val="20"/>
        </w:rPr>
        <w:t>%</w:t>
      </w:r>
      <w:r w:rsidR="007A4B1E">
        <w:rPr>
          <w:rFonts w:ascii="Arial" w:hAnsi="Arial"/>
          <w:sz w:val="20"/>
          <w:szCs w:val="20"/>
        </w:rPr>
        <w:t xml:space="preserve"> et 3,1%</w:t>
      </w:r>
      <w:r w:rsidR="00C94C0D">
        <w:rPr>
          <w:rFonts w:ascii="Arial" w:hAnsi="Arial"/>
          <w:sz w:val="20"/>
          <w:szCs w:val="20"/>
        </w:rPr>
        <w:t>. En revanche, l</w:t>
      </w:r>
      <w:r w:rsidR="006F31A0">
        <w:rPr>
          <w:rFonts w:ascii="Arial" w:hAnsi="Arial"/>
          <w:sz w:val="20"/>
          <w:szCs w:val="20"/>
        </w:rPr>
        <w:t>’évolution d</w:t>
      </w:r>
      <w:r w:rsidR="006F31A0" w:rsidRPr="000F7023">
        <w:rPr>
          <w:rFonts w:ascii="Arial" w:hAnsi="Arial"/>
          <w:sz w:val="20"/>
          <w:szCs w:val="20"/>
        </w:rPr>
        <w:t xml:space="preserve">es </w:t>
      </w:r>
      <w:r w:rsidR="006F31A0">
        <w:rPr>
          <w:rFonts w:ascii="Arial" w:hAnsi="Arial"/>
          <w:sz w:val="20"/>
          <w:szCs w:val="20"/>
        </w:rPr>
        <w:t>« </w:t>
      </w:r>
      <w:r w:rsidR="006F31A0" w:rsidRPr="000F7023">
        <w:rPr>
          <w:rFonts w:ascii="Arial" w:hAnsi="Arial"/>
          <w:sz w:val="20"/>
          <w:szCs w:val="20"/>
        </w:rPr>
        <w:t>autres industries</w:t>
      </w:r>
      <w:r w:rsidR="006F31A0">
        <w:rPr>
          <w:rFonts w:ascii="Arial" w:hAnsi="Arial"/>
          <w:sz w:val="20"/>
          <w:szCs w:val="20"/>
        </w:rPr>
        <w:t> »</w:t>
      </w:r>
      <w:r w:rsidR="00C94C0D">
        <w:rPr>
          <w:rFonts w:ascii="Arial" w:hAnsi="Arial"/>
          <w:sz w:val="20"/>
          <w:szCs w:val="20"/>
        </w:rPr>
        <w:t xml:space="preserve"> serait</w:t>
      </w:r>
      <w:r w:rsidR="006F31A0">
        <w:rPr>
          <w:rFonts w:ascii="Arial" w:hAnsi="Arial"/>
          <w:sz w:val="20"/>
          <w:szCs w:val="20"/>
        </w:rPr>
        <w:t xml:space="preserve"> restée </w:t>
      </w:r>
      <w:r w:rsidR="006A2E70">
        <w:rPr>
          <w:rFonts w:ascii="Arial" w:hAnsi="Arial"/>
          <w:sz w:val="20"/>
          <w:szCs w:val="20"/>
        </w:rPr>
        <w:t>modéré</w:t>
      </w:r>
      <w:r w:rsidR="006F31A0">
        <w:rPr>
          <w:rFonts w:ascii="Arial" w:hAnsi="Arial"/>
          <w:sz w:val="20"/>
          <w:szCs w:val="20"/>
        </w:rPr>
        <w:t xml:space="preserve">e, pâtissant de la </w:t>
      </w:r>
      <w:r w:rsidR="00900608">
        <w:rPr>
          <w:rFonts w:ascii="Arial" w:hAnsi="Arial"/>
          <w:sz w:val="20"/>
          <w:szCs w:val="20"/>
        </w:rPr>
        <w:t>faible</w:t>
      </w:r>
      <w:r w:rsidR="006F31A0">
        <w:rPr>
          <w:rFonts w:ascii="Arial" w:hAnsi="Arial"/>
          <w:sz w:val="20"/>
          <w:szCs w:val="20"/>
        </w:rPr>
        <w:t xml:space="preserve">sse </w:t>
      </w:r>
      <w:r w:rsidR="006F31A0" w:rsidRPr="000F7023">
        <w:rPr>
          <w:rFonts w:ascii="Arial" w:hAnsi="Arial"/>
          <w:sz w:val="20"/>
          <w:szCs w:val="20"/>
        </w:rPr>
        <w:t xml:space="preserve">des activités </w:t>
      </w:r>
      <w:r w:rsidR="004F52C0">
        <w:rPr>
          <w:rFonts w:ascii="Arial" w:hAnsi="Arial"/>
          <w:sz w:val="20"/>
          <w:szCs w:val="20"/>
        </w:rPr>
        <w:t xml:space="preserve">relatives aux industries </w:t>
      </w:r>
      <w:r w:rsidR="006F31A0" w:rsidRPr="000F7023">
        <w:rPr>
          <w:rFonts w:ascii="Arial" w:hAnsi="Arial"/>
          <w:sz w:val="20"/>
          <w:szCs w:val="20"/>
        </w:rPr>
        <w:t>de</w:t>
      </w:r>
      <w:r w:rsidR="006F31A0">
        <w:rPr>
          <w:rFonts w:ascii="Arial" w:hAnsi="Arial"/>
          <w:sz w:val="20"/>
          <w:szCs w:val="20"/>
        </w:rPr>
        <w:t>s</w:t>
      </w:r>
      <w:r w:rsidR="006F31A0" w:rsidRPr="000F7023">
        <w:rPr>
          <w:rFonts w:ascii="Arial" w:hAnsi="Arial"/>
          <w:sz w:val="20"/>
          <w:szCs w:val="20"/>
        </w:rPr>
        <w:t xml:space="preserve"> matériaux de construction</w:t>
      </w:r>
      <w:r w:rsidR="006F31A0">
        <w:rPr>
          <w:rFonts w:ascii="Arial" w:hAnsi="Arial"/>
          <w:sz w:val="20"/>
          <w:szCs w:val="20"/>
        </w:rPr>
        <w:t>.</w:t>
      </w:r>
      <w:r w:rsidRPr="00C562E5">
        <w:rPr>
          <w:rFonts w:ascii="Arial" w:hAnsi="Arial"/>
          <w:sz w:val="20"/>
          <w:szCs w:val="20"/>
        </w:rPr>
        <w:t xml:space="preserve"> </w:t>
      </w:r>
    </w:p>
    <w:p w:rsidR="00E81529" w:rsidRDefault="00E81529" w:rsidP="00E81529"/>
    <w:p w:rsidR="00F45CE5" w:rsidRPr="004B70FB" w:rsidRDefault="00F45CE5" w:rsidP="003E3668">
      <w:pPr>
        <w:jc w:val="both"/>
        <w:rPr>
          <w:rFonts w:ascii="Arial" w:hAnsi="Arial"/>
          <w:sz w:val="20"/>
          <w:szCs w:val="20"/>
        </w:rPr>
      </w:pPr>
      <w:r w:rsidRPr="004B70FB">
        <w:rPr>
          <w:rFonts w:ascii="Arial" w:hAnsi="Arial"/>
          <w:sz w:val="20"/>
          <w:szCs w:val="20"/>
        </w:rPr>
        <w:t>L</w:t>
      </w:r>
      <w:r w:rsidR="00C95F8E">
        <w:rPr>
          <w:rFonts w:ascii="Arial" w:hAnsi="Arial"/>
          <w:sz w:val="20"/>
          <w:szCs w:val="20"/>
        </w:rPr>
        <w:t>a</w:t>
      </w:r>
      <w:r w:rsidR="00AC623E">
        <w:rPr>
          <w:rFonts w:ascii="Arial" w:hAnsi="Arial"/>
          <w:sz w:val="20"/>
          <w:szCs w:val="20"/>
        </w:rPr>
        <w:t xml:space="preserve"> </w:t>
      </w:r>
      <w:r w:rsidR="006A2E70">
        <w:rPr>
          <w:rFonts w:ascii="Arial" w:hAnsi="Arial"/>
          <w:sz w:val="20"/>
          <w:szCs w:val="20"/>
        </w:rPr>
        <w:t xml:space="preserve">croissance de la </w:t>
      </w:r>
      <w:r w:rsidRPr="004B70FB">
        <w:rPr>
          <w:rFonts w:ascii="Arial" w:hAnsi="Arial"/>
          <w:sz w:val="20"/>
          <w:szCs w:val="20"/>
        </w:rPr>
        <w:t xml:space="preserve">valeur ajoutée </w:t>
      </w:r>
      <w:r w:rsidR="00C95F8E">
        <w:rPr>
          <w:rFonts w:ascii="Arial" w:hAnsi="Arial"/>
          <w:sz w:val="20"/>
          <w:szCs w:val="20"/>
        </w:rPr>
        <w:t xml:space="preserve">de la </w:t>
      </w:r>
      <w:r w:rsidR="00C95F8E" w:rsidRPr="00C95F8E">
        <w:rPr>
          <w:rFonts w:ascii="Arial" w:hAnsi="Arial"/>
          <w:b/>
          <w:bCs/>
          <w:sz w:val="20"/>
          <w:szCs w:val="20"/>
        </w:rPr>
        <w:t>construction</w:t>
      </w:r>
      <w:r w:rsidR="00C95F8E">
        <w:rPr>
          <w:rFonts w:ascii="Arial" w:hAnsi="Arial"/>
          <w:sz w:val="20"/>
          <w:szCs w:val="20"/>
        </w:rPr>
        <w:t xml:space="preserve"> </w:t>
      </w:r>
      <w:r w:rsidR="00A67001">
        <w:rPr>
          <w:rFonts w:ascii="Arial" w:hAnsi="Arial"/>
          <w:sz w:val="20"/>
          <w:szCs w:val="20"/>
        </w:rPr>
        <w:t>se se</w:t>
      </w:r>
      <w:r w:rsidRPr="004B70FB">
        <w:rPr>
          <w:rFonts w:ascii="Arial" w:hAnsi="Arial"/>
          <w:sz w:val="20"/>
          <w:szCs w:val="20"/>
        </w:rPr>
        <w:t xml:space="preserve">rait </w:t>
      </w:r>
      <w:r w:rsidR="006A2E70">
        <w:rPr>
          <w:rFonts w:ascii="Arial" w:hAnsi="Arial"/>
          <w:sz w:val="20"/>
          <w:szCs w:val="20"/>
        </w:rPr>
        <w:t>légèrement accélérée pour atteindre</w:t>
      </w:r>
      <w:r w:rsidR="00A41CEE">
        <w:rPr>
          <w:rFonts w:ascii="Arial" w:hAnsi="Arial"/>
          <w:sz w:val="20"/>
          <w:szCs w:val="20"/>
        </w:rPr>
        <w:t xml:space="preserve"> </w:t>
      </w:r>
      <w:r w:rsidR="00A67001">
        <w:rPr>
          <w:rFonts w:ascii="Arial" w:hAnsi="Arial"/>
          <w:sz w:val="20"/>
          <w:szCs w:val="20"/>
        </w:rPr>
        <w:t>0</w:t>
      </w:r>
      <w:r w:rsidRPr="004B70FB">
        <w:rPr>
          <w:rFonts w:ascii="Arial" w:hAnsi="Arial"/>
          <w:sz w:val="20"/>
          <w:szCs w:val="20"/>
        </w:rPr>
        <w:t>,</w:t>
      </w:r>
      <w:r w:rsidR="00A67001">
        <w:rPr>
          <w:rFonts w:ascii="Arial" w:hAnsi="Arial"/>
          <w:sz w:val="20"/>
          <w:szCs w:val="20"/>
        </w:rPr>
        <w:t>9</w:t>
      </w:r>
      <w:r w:rsidRPr="004B70FB">
        <w:rPr>
          <w:rFonts w:ascii="Arial" w:hAnsi="Arial"/>
          <w:sz w:val="20"/>
          <w:szCs w:val="20"/>
        </w:rPr>
        <w:t xml:space="preserve">%, </w:t>
      </w:r>
      <w:r w:rsidR="00A811B6">
        <w:rPr>
          <w:rFonts w:ascii="Arial" w:hAnsi="Arial"/>
          <w:sz w:val="20"/>
          <w:szCs w:val="20"/>
        </w:rPr>
        <w:t>au lieu de +</w:t>
      </w:r>
      <w:r w:rsidR="00915718">
        <w:rPr>
          <w:rFonts w:ascii="Arial" w:hAnsi="Arial"/>
          <w:sz w:val="20"/>
          <w:szCs w:val="20"/>
        </w:rPr>
        <w:t>0</w:t>
      </w:r>
      <w:r w:rsidR="00A811B6">
        <w:rPr>
          <w:rFonts w:ascii="Arial" w:hAnsi="Arial"/>
          <w:sz w:val="20"/>
          <w:szCs w:val="20"/>
        </w:rPr>
        <w:t>,</w:t>
      </w:r>
      <w:r w:rsidR="00915718">
        <w:rPr>
          <w:rFonts w:ascii="Arial" w:hAnsi="Arial"/>
          <w:sz w:val="20"/>
          <w:szCs w:val="20"/>
        </w:rPr>
        <w:t>4</w:t>
      </w:r>
      <w:r w:rsidR="00A811B6">
        <w:rPr>
          <w:rFonts w:ascii="Arial" w:hAnsi="Arial"/>
          <w:sz w:val="20"/>
          <w:szCs w:val="20"/>
        </w:rPr>
        <w:t>% la même période de l’année précédente</w:t>
      </w:r>
      <w:r w:rsidRPr="004B70FB">
        <w:rPr>
          <w:rFonts w:ascii="Arial" w:hAnsi="Arial"/>
          <w:sz w:val="20"/>
          <w:szCs w:val="20"/>
        </w:rPr>
        <w:t xml:space="preserve">. </w:t>
      </w:r>
      <w:r w:rsidR="003E3668">
        <w:rPr>
          <w:rFonts w:ascii="Arial" w:hAnsi="Arial"/>
          <w:sz w:val="20"/>
          <w:szCs w:val="20"/>
        </w:rPr>
        <w:t>L</w:t>
      </w:r>
      <w:r w:rsidR="00DA597A">
        <w:rPr>
          <w:rFonts w:ascii="Arial" w:hAnsi="Arial"/>
          <w:sz w:val="20"/>
          <w:szCs w:val="20"/>
        </w:rPr>
        <w:t xml:space="preserve">e </w:t>
      </w:r>
      <w:r w:rsidR="00A811B6">
        <w:rPr>
          <w:rFonts w:ascii="Arial" w:hAnsi="Arial"/>
          <w:sz w:val="20"/>
          <w:szCs w:val="20"/>
        </w:rPr>
        <w:t>secteur aurait</w:t>
      </w:r>
      <w:r w:rsidR="003E3668">
        <w:rPr>
          <w:rFonts w:ascii="Arial" w:hAnsi="Arial"/>
          <w:sz w:val="20"/>
          <w:szCs w:val="20"/>
        </w:rPr>
        <w:t>, toutefois,</w:t>
      </w:r>
      <w:r w:rsidR="00A811B6">
        <w:rPr>
          <w:rFonts w:ascii="Arial" w:hAnsi="Arial"/>
          <w:sz w:val="20"/>
          <w:szCs w:val="20"/>
        </w:rPr>
        <w:t xml:space="preserve"> continué de pâtir du </w:t>
      </w:r>
      <w:r w:rsidRPr="004B70FB">
        <w:rPr>
          <w:rFonts w:ascii="Arial" w:hAnsi="Arial"/>
          <w:sz w:val="20"/>
          <w:szCs w:val="20"/>
        </w:rPr>
        <w:t>re</w:t>
      </w:r>
      <w:r w:rsidR="00994C41">
        <w:rPr>
          <w:rFonts w:ascii="Arial" w:hAnsi="Arial"/>
          <w:sz w:val="20"/>
          <w:szCs w:val="20"/>
        </w:rPr>
        <w:t>pli</w:t>
      </w:r>
      <w:r w:rsidRPr="004B70FB">
        <w:rPr>
          <w:rFonts w:ascii="Arial" w:hAnsi="Arial"/>
          <w:sz w:val="20"/>
          <w:szCs w:val="20"/>
        </w:rPr>
        <w:t xml:space="preserve"> de la demande adressée </w:t>
      </w:r>
      <w:r w:rsidR="00AC623E">
        <w:rPr>
          <w:rFonts w:ascii="Arial" w:hAnsi="Arial"/>
          <w:sz w:val="20"/>
          <w:szCs w:val="20"/>
        </w:rPr>
        <w:t>à</w:t>
      </w:r>
      <w:r w:rsidRPr="004B70FB">
        <w:rPr>
          <w:rFonts w:ascii="Arial" w:hAnsi="Arial"/>
          <w:sz w:val="20"/>
          <w:szCs w:val="20"/>
        </w:rPr>
        <w:t xml:space="preserve"> l’immobilier résidentiel, </w:t>
      </w:r>
      <w:r w:rsidR="00C95F8E">
        <w:rPr>
          <w:rFonts w:ascii="Arial" w:hAnsi="Arial"/>
          <w:sz w:val="20"/>
          <w:szCs w:val="20"/>
        </w:rPr>
        <w:t xml:space="preserve">comme l’atteste </w:t>
      </w:r>
      <w:r w:rsidR="006A2E70">
        <w:rPr>
          <w:rFonts w:ascii="Arial" w:hAnsi="Arial"/>
          <w:sz w:val="20"/>
          <w:szCs w:val="20"/>
        </w:rPr>
        <w:t>la baisse de 3,3% des crédits accordés aux promoteurs immobiliers. L</w:t>
      </w:r>
      <w:r w:rsidRPr="00E80D1F">
        <w:rPr>
          <w:rFonts w:ascii="Arial" w:hAnsi="Arial"/>
          <w:sz w:val="20"/>
          <w:szCs w:val="20"/>
        </w:rPr>
        <w:t xml:space="preserve">es </w:t>
      </w:r>
      <w:r w:rsidR="00994C41">
        <w:rPr>
          <w:rFonts w:ascii="Arial" w:hAnsi="Arial"/>
          <w:sz w:val="20"/>
          <w:szCs w:val="20"/>
        </w:rPr>
        <w:t>appréciations</w:t>
      </w:r>
      <w:r w:rsidRPr="00E80D1F">
        <w:rPr>
          <w:rFonts w:ascii="Arial" w:hAnsi="Arial"/>
          <w:sz w:val="20"/>
          <w:szCs w:val="20"/>
        </w:rPr>
        <w:t xml:space="preserve"> des </w:t>
      </w:r>
      <w:r>
        <w:rPr>
          <w:rFonts w:ascii="Arial" w:hAnsi="Arial"/>
          <w:sz w:val="20"/>
          <w:szCs w:val="20"/>
        </w:rPr>
        <w:t>chefs d’entreprise</w:t>
      </w:r>
      <w:r w:rsidRPr="00E80D1F">
        <w:rPr>
          <w:rFonts w:ascii="Arial" w:hAnsi="Arial"/>
          <w:sz w:val="20"/>
          <w:szCs w:val="20"/>
        </w:rPr>
        <w:t xml:space="preserve"> de la construction, exprimées dans le cadre de la dernière enquête de conjoncture du HCP</w:t>
      </w:r>
      <w:r w:rsidR="006A2E70">
        <w:rPr>
          <w:rFonts w:ascii="Arial" w:hAnsi="Arial"/>
          <w:sz w:val="20"/>
          <w:szCs w:val="20"/>
        </w:rPr>
        <w:t>, auraient également confirmé cette évolution</w:t>
      </w:r>
      <w:r w:rsidR="00994C41">
        <w:rPr>
          <w:rFonts w:ascii="Arial" w:hAnsi="Arial"/>
          <w:sz w:val="20"/>
          <w:szCs w:val="20"/>
        </w:rPr>
        <w:t xml:space="preserve">. Les carnets de commande des opérateurs du </w:t>
      </w:r>
      <w:r w:rsidR="00AC623E">
        <w:rPr>
          <w:rFonts w:ascii="Arial" w:hAnsi="Arial"/>
          <w:sz w:val="20"/>
          <w:szCs w:val="20"/>
        </w:rPr>
        <w:t>BTP</w:t>
      </w:r>
      <w:r w:rsidR="00994C41">
        <w:rPr>
          <w:rFonts w:ascii="Arial" w:hAnsi="Arial"/>
          <w:sz w:val="20"/>
          <w:szCs w:val="20"/>
        </w:rPr>
        <w:t xml:space="preserve"> seraient restés peu garnis</w:t>
      </w:r>
      <w:r w:rsidR="00903F16">
        <w:rPr>
          <w:rFonts w:ascii="Arial" w:hAnsi="Arial"/>
          <w:sz w:val="20"/>
          <w:szCs w:val="20"/>
        </w:rPr>
        <w:t>. Une baisse d</w:t>
      </w:r>
      <w:r w:rsidR="003A00DD">
        <w:rPr>
          <w:rFonts w:ascii="Arial" w:hAnsi="Arial"/>
          <w:sz w:val="20"/>
          <w:szCs w:val="20"/>
        </w:rPr>
        <w:t>’</w:t>
      </w:r>
      <w:r w:rsidR="00903F16">
        <w:rPr>
          <w:rFonts w:ascii="Arial" w:hAnsi="Arial"/>
          <w:sz w:val="20"/>
          <w:szCs w:val="20"/>
        </w:rPr>
        <w:t xml:space="preserve">activité </w:t>
      </w:r>
      <w:r w:rsidR="003E3668">
        <w:rPr>
          <w:rFonts w:ascii="Arial" w:hAnsi="Arial"/>
          <w:sz w:val="20"/>
          <w:szCs w:val="20"/>
        </w:rPr>
        <w:t>au</w:t>
      </w:r>
      <w:r w:rsidR="00903F16">
        <w:rPr>
          <w:rFonts w:ascii="Arial" w:hAnsi="Arial"/>
          <w:sz w:val="20"/>
          <w:szCs w:val="20"/>
        </w:rPr>
        <w:t xml:space="preserve">rait </w:t>
      </w:r>
      <w:r w:rsidR="003E3668">
        <w:rPr>
          <w:rFonts w:ascii="Arial" w:hAnsi="Arial"/>
          <w:sz w:val="20"/>
          <w:szCs w:val="20"/>
        </w:rPr>
        <w:t>été anticipée</w:t>
      </w:r>
      <w:r w:rsidR="00B02B1F">
        <w:rPr>
          <w:rFonts w:ascii="Arial" w:hAnsi="Arial"/>
          <w:sz w:val="20"/>
          <w:szCs w:val="20"/>
        </w:rPr>
        <w:t xml:space="preserve"> dans </w:t>
      </w:r>
      <w:r w:rsidR="009C7397">
        <w:rPr>
          <w:rFonts w:ascii="Arial" w:hAnsi="Arial"/>
          <w:sz w:val="20"/>
          <w:szCs w:val="20"/>
        </w:rPr>
        <w:t>l</w:t>
      </w:r>
      <w:r w:rsidR="006A2E70">
        <w:rPr>
          <w:rFonts w:ascii="Arial" w:hAnsi="Arial"/>
          <w:sz w:val="20"/>
          <w:szCs w:val="20"/>
        </w:rPr>
        <w:t>e</w:t>
      </w:r>
      <w:r w:rsidR="009C7397">
        <w:rPr>
          <w:rFonts w:ascii="Arial" w:hAnsi="Arial"/>
          <w:sz w:val="20"/>
          <w:szCs w:val="20"/>
        </w:rPr>
        <w:t xml:space="preserve"> </w:t>
      </w:r>
      <w:r w:rsidR="009C7397" w:rsidRPr="00716062">
        <w:rPr>
          <w:rFonts w:ascii="Arial" w:hAnsi="Arial"/>
          <w:sz w:val="20"/>
          <w:szCs w:val="20"/>
        </w:rPr>
        <w:t>«Génie civil» et la «Construction de Bâtiments»</w:t>
      </w:r>
      <w:r w:rsidR="003A00DD">
        <w:rPr>
          <w:rFonts w:ascii="Arial" w:hAnsi="Arial"/>
          <w:sz w:val="20"/>
          <w:szCs w:val="20"/>
        </w:rPr>
        <w:t>, accompagnée d’une contraction de la main</w:t>
      </w:r>
      <w:r w:rsidR="00AC623E">
        <w:rPr>
          <w:rFonts w:ascii="Arial" w:hAnsi="Arial"/>
          <w:sz w:val="20"/>
          <w:szCs w:val="20"/>
        </w:rPr>
        <w:t>-</w:t>
      </w:r>
      <w:r w:rsidR="003A00DD">
        <w:rPr>
          <w:rFonts w:ascii="Arial" w:hAnsi="Arial"/>
          <w:sz w:val="20"/>
          <w:szCs w:val="20"/>
        </w:rPr>
        <w:t>d’œuvre employée</w:t>
      </w:r>
      <w:r w:rsidR="006A2E70">
        <w:rPr>
          <w:rFonts w:ascii="Arial" w:hAnsi="Arial"/>
          <w:sz w:val="20"/>
          <w:szCs w:val="20"/>
        </w:rPr>
        <w:t>.</w:t>
      </w:r>
      <w:r w:rsidR="008F48DF">
        <w:rPr>
          <w:rFonts w:ascii="Arial" w:hAnsi="Arial"/>
          <w:sz w:val="20"/>
          <w:szCs w:val="20"/>
        </w:rPr>
        <w:t xml:space="preserve"> </w:t>
      </w:r>
    </w:p>
    <w:p w:rsidR="009C7397" w:rsidRDefault="009C7397" w:rsidP="00DD47FC">
      <w:pPr>
        <w:pStyle w:val="NormalWeb"/>
        <w:spacing w:before="0" w:beforeAutospacing="0" w:after="0" w:afterAutospacing="0"/>
        <w:jc w:val="both"/>
        <w:rPr>
          <w:rFonts w:ascii="Arial" w:hAnsi="Arial" w:cs="Arial"/>
          <w:noProof/>
          <w:sz w:val="20"/>
          <w:szCs w:val="20"/>
        </w:rPr>
      </w:pPr>
    </w:p>
    <w:p w:rsidR="0097276B" w:rsidRPr="00CE4911" w:rsidRDefault="00947C72" w:rsidP="001E4227">
      <w:pPr>
        <w:pStyle w:val="NormalWeb"/>
        <w:spacing w:before="0" w:beforeAutospacing="0" w:after="0" w:afterAutospacing="0"/>
        <w:jc w:val="both"/>
        <w:rPr>
          <w:rFonts w:ascii="Arial" w:hAnsi="Arial"/>
          <w:sz w:val="20"/>
          <w:szCs w:val="20"/>
        </w:rPr>
      </w:pPr>
      <w:r>
        <w:rPr>
          <w:rFonts w:ascii="Arial" w:hAnsi="Arial" w:cs="Arial"/>
          <w:noProof/>
          <w:sz w:val="20"/>
          <w:szCs w:val="20"/>
        </w:rPr>
        <w:drawing>
          <wp:anchor distT="0" distB="0" distL="114300" distR="114300" simplePos="0" relativeHeight="251673088" behindDoc="0" locked="0" layoutInCell="1" allowOverlap="1">
            <wp:simplePos x="0" y="0"/>
            <wp:positionH relativeFrom="column">
              <wp:posOffset>4532630</wp:posOffset>
            </wp:positionH>
            <wp:positionV relativeFrom="paragraph">
              <wp:posOffset>29845</wp:posOffset>
            </wp:positionV>
            <wp:extent cx="2042160" cy="1786890"/>
            <wp:effectExtent l="1905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042160" cy="1786890"/>
                    </a:xfrm>
                    <a:prstGeom prst="rect">
                      <a:avLst/>
                    </a:prstGeom>
                    <a:noFill/>
                    <a:ln w="9525">
                      <a:noFill/>
                      <a:miter lim="800000"/>
                      <a:headEnd/>
                      <a:tailEnd/>
                    </a:ln>
                  </pic:spPr>
                </pic:pic>
              </a:graphicData>
            </a:graphic>
          </wp:anchor>
        </w:drawing>
      </w:r>
      <w:r w:rsidR="00CE4911">
        <w:rPr>
          <w:rFonts w:ascii="Arial" w:hAnsi="Arial" w:cs="Arial"/>
          <w:noProof/>
          <w:sz w:val="20"/>
          <w:szCs w:val="20"/>
        </w:rPr>
        <w:t>Dans l’ensemble, l</w:t>
      </w:r>
      <w:r w:rsidR="00FF5510">
        <w:rPr>
          <w:rFonts w:ascii="Arial" w:hAnsi="Arial" w:cs="Arial"/>
          <w:noProof/>
          <w:sz w:val="20"/>
          <w:szCs w:val="20"/>
        </w:rPr>
        <w:t>a valeur ajoutée hors agriculture</w:t>
      </w:r>
      <w:r w:rsidR="00CE4911">
        <w:rPr>
          <w:rFonts w:ascii="Arial" w:hAnsi="Arial" w:cs="Arial"/>
          <w:sz w:val="20"/>
          <w:szCs w:val="20"/>
        </w:rPr>
        <w:t xml:space="preserve"> se serait accru</w:t>
      </w:r>
      <w:r w:rsidR="00CE4AEC">
        <w:rPr>
          <w:rFonts w:ascii="Arial" w:hAnsi="Arial" w:cs="Arial"/>
          <w:sz w:val="20"/>
          <w:szCs w:val="20"/>
        </w:rPr>
        <w:t>e</w:t>
      </w:r>
      <w:r w:rsidR="00CE4911">
        <w:rPr>
          <w:rFonts w:ascii="Arial" w:hAnsi="Arial" w:cs="Arial"/>
          <w:sz w:val="20"/>
          <w:szCs w:val="20"/>
        </w:rPr>
        <w:t xml:space="preserve"> de </w:t>
      </w:r>
      <w:r w:rsidR="00B136CC">
        <w:rPr>
          <w:rFonts w:ascii="Arial" w:hAnsi="Arial" w:cs="Arial"/>
          <w:sz w:val="20"/>
          <w:szCs w:val="20"/>
        </w:rPr>
        <w:t>3</w:t>
      </w:r>
      <w:r w:rsidR="003A100F">
        <w:rPr>
          <w:rFonts w:ascii="Arial" w:hAnsi="Arial" w:cs="Arial"/>
          <w:sz w:val="20"/>
          <w:szCs w:val="20"/>
        </w:rPr>
        <w:t>,3</w:t>
      </w:r>
      <w:r w:rsidR="00CE4911">
        <w:rPr>
          <w:rFonts w:ascii="Arial" w:hAnsi="Arial" w:cs="Arial"/>
          <w:sz w:val="20"/>
          <w:szCs w:val="20"/>
        </w:rPr>
        <w:t xml:space="preserve">%, au </w:t>
      </w:r>
      <w:r w:rsidR="00A051FE">
        <w:rPr>
          <w:rFonts w:ascii="Arial" w:hAnsi="Arial" w:cs="Arial"/>
          <w:sz w:val="20"/>
          <w:szCs w:val="20"/>
        </w:rPr>
        <w:t>premier trimestre 2019</w:t>
      </w:r>
      <w:r w:rsidR="00CE4911" w:rsidRPr="00873491">
        <w:rPr>
          <w:rFonts w:ascii="Arial" w:hAnsi="Arial" w:cs="Arial"/>
          <w:sz w:val="20"/>
          <w:szCs w:val="20"/>
        </w:rPr>
        <w:t xml:space="preserve">. </w:t>
      </w:r>
      <w:r w:rsidR="004E3FC4" w:rsidRPr="00CE4911">
        <w:rPr>
          <w:rFonts w:ascii="Arial" w:hAnsi="Arial"/>
          <w:sz w:val="20"/>
          <w:szCs w:val="20"/>
        </w:rPr>
        <w:t>C</w:t>
      </w:r>
      <w:r w:rsidR="0097276B" w:rsidRPr="00CE4911">
        <w:rPr>
          <w:rFonts w:ascii="Arial" w:hAnsi="Arial"/>
          <w:sz w:val="20"/>
          <w:szCs w:val="20"/>
        </w:rPr>
        <w:t>ompte tenu d</w:t>
      </w:r>
      <w:r w:rsidR="00CE4911" w:rsidRPr="00CE4911">
        <w:rPr>
          <w:rFonts w:ascii="Arial" w:hAnsi="Arial"/>
          <w:sz w:val="20"/>
          <w:szCs w:val="20"/>
        </w:rPr>
        <w:t xml:space="preserve">’une </w:t>
      </w:r>
      <w:r w:rsidR="00B136CC">
        <w:rPr>
          <w:rFonts w:ascii="Arial" w:hAnsi="Arial"/>
          <w:sz w:val="20"/>
          <w:szCs w:val="20"/>
        </w:rPr>
        <w:t>bai</w:t>
      </w:r>
      <w:r w:rsidR="00CE4911" w:rsidRPr="00CE4911">
        <w:rPr>
          <w:rFonts w:ascii="Arial" w:hAnsi="Arial"/>
          <w:sz w:val="20"/>
          <w:szCs w:val="20"/>
        </w:rPr>
        <w:t xml:space="preserve">sse de </w:t>
      </w:r>
      <w:r w:rsidR="001E4227">
        <w:rPr>
          <w:rFonts w:ascii="Arial" w:hAnsi="Arial"/>
          <w:sz w:val="20"/>
          <w:szCs w:val="20"/>
        </w:rPr>
        <w:t>4</w:t>
      </w:r>
      <w:r w:rsidR="008D32C3">
        <w:rPr>
          <w:rFonts w:ascii="Arial" w:hAnsi="Arial"/>
          <w:sz w:val="20"/>
          <w:szCs w:val="20"/>
        </w:rPr>
        <w:t>,</w:t>
      </w:r>
      <w:r w:rsidR="001E4227">
        <w:rPr>
          <w:rFonts w:ascii="Arial" w:hAnsi="Arial"/>
          <w:sz w:val="20"/>
          <w:szCs w:val="20"/>
        </w:rPr>
        <w:t>8</w:t>
      </w:r>
      <w:r w:rsidR="00CE4911" w:rsidRPr="00CE4911">
        <w:rPr>
          <w:rFonts w:ascii="Arial" w:hAnsi="Arial"/>
          <w:sz w:val="20"/>
          <w:szCs w:val="20"/>
        </w:rPr>
        <w:t>% de la valeur ajoutée agricole</w:t>
      </w:r>
      <w:r w:rsidR="0097276B" w:rsidRPr="00CE4911">
        <w:rPr>
          <w:rFonts w:ascii="Arial" w:hAnsi="Arial"/>
          <w:sz w:val="20"/>
          <w:szCs w:val="20"/>
        </w:rPr>
        <w:t xml:space="preserve">, la </w:t>
      </w:r>
      <w:r w:rsidR="0097276B" w:rsidRPr="007207CA">
        <w:rPr>
          <w:rFonts w:ascii="Arial" w:hAnsi="Arial"/>
          <w:b/>
          <w:bCs/>
          <w:sz w:val="20"/>
          <w:szCs w:val="20"/>
        </w:rPr>
        <w:t xml:space="preserve">croissance économique nationale </w:t>
      </w:r>
      <w:r w:rsidR="0097276B" w:rsidRPr="00CE4911">
        <w:rPr>
          <w:rFonts w:ascii="Arial" w:hAnsi="Arial"/>
          <w:sz w:val="20"/>
          <w:szCs w:val="20"/>
        </w:rPr>
        <w:t xml:space="preserve">se serait établie à </w:t>
      </w:r>
      <w:r w:rsidR="00094655">
        <w:rPr>
          <w:rFonts w:ascii="Arial" w:hAnsi="Arial"/>
          <w:sz w:val="20"/>
          <w:szCs w:val="20"/>
        </w:rPr>
        <w:t>2</w:t>
      </w:r>
      <w:r w:rsidR="00B3211A">
        <w:rPr>
          <w:rFonts w:ascii="Arial" w:hAnsi="Arial"/>
          <w:sz w:val="20"/>
          <w:szCs w:val="20"/>
        </w:rPr>
        <w:t>,</w:t>
      </w:r>
      <w:r w:rsidR="001E4227">
        <w:rPr>
          <w:rFonts w:ascii="Arial" w:hAnsi="Arial"/>
          <w:sz w:val="20"/>
          <w:szCs w:val="20"/>
        </w:rPr>
        <w:t>3</w:t>
      </w:r>
      <w:r w:rsidR="0097276B" w:rsidRPr="00CE4911">
        <w:rPr>
          <w:rFonts w:ascii="Arial" w:hAnsi="Arial"/>
          <w:sz w:val="20"/>
          <w:szCs w:val="20"/>
        </w:rPr>
        <w:t xml:space="preserve">%, au </w:t>
      </w:r>
      <w:r w:rsidR="00A051FE">
        <w:rPr>
          <w:rFonts w:ascii="Arial" w:hAnsi="Arial"/>
          <w:sz w:val="20"/>
          <w:szCs w:val="20"/>
        </w:rPr>
        <w:t>premier trimestre 2019</w:t>
      </w:r>
      <w:r w:rsidR="0097276B" w:rsidRPr="00CE4911">
        <w:rPr>
          <w:rFonts w:ascii="Arial" w:hAnsi="Arial"/>
          <w:sz w:val="20"/>
          <w:szCs w:val="20"/>
        </w:rPr>
        <w:t xml:space="preserve">, au lieu de </w:t>
      </w:r>
      <w:r w:rsidR="00FC7F44">
        <w:rPr>
          <w:rFonts w:ascii="Arial" w:hAnsi="Arial"/>
          <w:sz w:val="20"/>
          <w:szCs w:val="20"/>
        </w:rPr>
        <w:t>+</w:t>
      </w:r>
      <w:r w:rsidR="00B136CC">
        <w:rPr>
          <w:rFonts w:ascii="Arial" w:hAnsi="Arial"/>
          <w:sz w:val="20"/>
          <w:szCs w:val="20"/>
        </w:rPr>
        <w:t>3</w:t>
      </w:r>
      <w:r w:rsidR="008D32C3">
        <w:rPr>
          <w:rFonts w:ascii="Arial" w:hAnsi="Arial"/>
          <w:sz w:val="20"/>
          <w:szCs w:val="20"/>
        </w:rPr>
        <w:t>,</w:t>
      </w:r>
      <w:r w:rsidR="00B136CC">
        <w:rPr>
          <w:rFonts w:ascii="Arial" w:hAnsi="Arial"/>
          <w:sz w:val="20"/>
          <w:szCs w:val="20"/>
        </w:rPr>
        <w:t>3</w:t>
      </w:r>
      <w:r w:rsidR="0097276B" w:rsidRPr="00CE4911">
        <w:rPr>
          <w:rFonts w:ascii="Arial" w:hAnsi="Arial"/>
          <w:sz w:val="20"/>
          <w:szCs w:val="20"/>
        </w:rPr>
        <w:t>%</w:t>
      </w:r>
      <w:r w:rsidR="003F2933" w:rsidRPr="00CE4911">
        <w:rPr>
          <w:rFonts w:ascii="Arial" w:hAnsi="Arial"/>
          <w:sz w:val="20"/>
          <w:szCs w:val="20"/>
        </w:rPr>
        <w:t xml:space="preserve"> </w:t>
      </w:r>
      <w:r w:rsidR="00DD47FC">
        <w:rPr>
          <w:rFonts w:ascii="Arial" w:hAnsi="Arial"/>
          <w:sz w:val="20"/>
          <w:szCs w:val="20"/>
        </w:rPr>
        <w:t>un</w:t>
      </w:r>
      <w:r w:rsidR="00B136CC">
        <w:rPr>
          <w:rFonts w:ascii="Arial" w:hAnsi="Arial"/>
          <w:sz w:val="20"/>
          <w:szCs w:val="20"/>
        </w:rPr>
        <w:t>e</w:t>
      </w:r>
      <w:r w:rsidR="00DD47FC">
        <w:rPr>
          <w:rFonts w:ascii="Arial" w:hAnsi="Arial"/>
          <w:sz w:val="20"/>
          <w:szCs w:val="20"/>
        </w:rPr>
        <w:t xml:space="preserve"> an</w:t>
      </w:r>
      <w:r w:rsidR="00B136CC">
        <w:rPr>
          <w:rFonts w:ascii="Arial" w:hAnsi="Arial"/>
          <w:sz w:val="20"/>
          <w:szCs w:val="20"/>
        </w:rPr>
        <w:t>née</w:t>
      </w:r>
      <w:r w:rsidR="00DD47FC">
        <w:rPr>
          <w:rFonts w:ascii="Arial" w:hAnsi="Arial"/>
          <w:sz w:val="20"/>
          <w:szCs w:val="20"/>
        </w:rPr>
        <w:t xml:space="preserve"> auparavant</w:t>
      </w:r>
      <w:r w:rsidR="0097276B" w:rsidRPr="00CE4911">
        <w:rPr>
          <w:rFonts w:ascii="Arial" w:hAnsi="Arial"/>
          <w:sz w:val="20"/>
          <w:szCs w:val="20"/>
        </w:rPr>
        <w:t xml:space="preserve">. </w:t>
      </w:r>
    </w:p>
    <w:p w:rsidR="00E73CCF" w:rsidRDefault="00E73CCF" w:rsidP="00F53071">
      <w:pPr>
        <w:jc w:val="both"/>
        <w:rPr>
          <w:rFonts w:ascii="Arial" w:hAnsi="Arial" w:cs="Arial"/>
          <w:b/>
          <w:bCs/>
          <w:color w:val="800000"/>
          <w:sz w:val="20"/>
          <w:szCs w:val="20"/>
        </w:rPr>
      </w:pPr>
    </w:p>
    <w:p w:rsidR="001E49CE" w:rsidRDefault="001E49CE" w:rsidP="00C722EB">
      <w:pPr>
        <w:jc w:val="both"/>
        <w:rPr>
          <w:rFonts w:ascii="Arial" w:hAnsi="Arial" w:cs="Arial"/>
          <w:b/>
          <w:bCs/>
          <w:color w:val="800000"/>
          <w:sz w:val="20"/>
          <w:szCs w:val="20"/>
        </w:rPr>
      </w:pPr>
    </w:p>
    <w:p w:rsidR="00582CCF" w:rsidRPr="0032666F" w:rsidRDefault="003E3668" w:rsidP="00CF61CB">
      <w:pPr>
        <w:jc w:val="both"/>
        <w:rPr>
          <w:rFonts w:ascii="Arial" w:hAnsi="Arial" w:cs="Arial"/>
          <w:b/>
          <w:bCs/>
          <w:color w:val="800000"/>
          <w:sz w:val="20"/>
          <w:szCs w:val="20"/>
        </w:rPr>
      </w:pPr>
      <w:r>
        <w:rPr>
          <w:rFonts w:ascii="Arial" w:hAnsi="Arial" w:cs="Arial"/>
          <w:b/>
          <w:bCs/>
          <w:color w:val="800000"/>
          <w:sz w:val="20"/>
          <w:szCs w:val="20"/>
        </w:rPr>
        <w:t xml:space="preserve">Poursuite de </w:t>
      </w:r>
      <w:r w:rsidR="00ED7ED0">
        <w:rPr>
          <w:rFonts w:ascii="Arial" w:hAnsi="Arial" w:cs="Arial"/>
          <w:b/>
          <w:bCs/>
          <w:color w:val="800000"/>
          <w:sz w:val="20"/>
          <w:szCs w:val="20"/>
        </w:rPr>
        <w:t xml:space="preserve">la </w:t>
      </w:r>
      <w:r>
        <w:rPr>
          <w:rFonts w:ascii="Arial" w:hAnsi="Arial" w:cs="Arial"/>
          <w:b/>
          <w:bCs/>
          <w:color w:val="800000"/>
          <w:sz w:val="20"/>
          <w:szCs w:val="20"/>
        </w:rPr>
        <w:t>modération</w:t>
      </w:r>
      <w:r w:rsidR="00C722EB">
        <w:rPr>
          <w:rFonts w:ascii="Arial" w:hAnsi="Arial" w:cs="Arial"/>
          <w:b/>
          <w:bCs/>
          <w:color w:val="800000"/>
          <w:sz w:val="20"/>
          <w:szCs w:val="20"/>
        </w:rPr>
        <w:t xml:space="preserve"> de l’</w:t>
      </w:r>
      <w:r w:rsidR="00582CCF" w:rsidRPr="0032666F">
        <w:rPr>
          <w:rFonts w:ascii="Arial" w:hAnsi="Arial" w:cs="Arial"/>
          <w:b/>
          <w:bCs/>
          <w:color w:val="800000"/>
          <w:sz w:val="20"/>
          <w:szCs w:val="20"/>
        </w:rPr>
        <w:t>inflation</w:t>
      </w:r>
      <w:r>
        <w:rPr>
          <w:rFonts w:ascii="Arial" w:hAnsi="Arial" w:cs="Arial"/>
          <w:b/>
          <w:bCs/>
          <w:color w:val="800000"/>
          <w:sz w:val="20"/>
          <w:szCs w:val="20"/>
        </w:rPr>
        <w:t xml:space="preserve"> sous-jacente</w:t>
      </w:r>
      <w:r w:rsidR="00582CCF" w:rsidRPr="0032666F">
        <w:rPr>
          <w:rFonts w:ascii="Arial" w:hAnsi="Arial" w:cs="Arial"/>
          <w:b/>
          <w:bCs/>
          <w:color w:val="800000"/>
          <w:sz w:val="20"/>
          <w:szCs w:val="20"/>
        </w:rPr>
        <w:t xml:space="preserve"> </w:t>
      </w:r>
    </w:p>
    <w:p w:rsidR="00582CCF" w:rsidRDefault="00582CCF" w:rsidP="00031DA8">
      <w:pPr>
        <w:pStyle w:val="Titre2"/>
        <w:jc w:val="both"/>
        <w:rPr>
          <w:rFonts w:asciiTheme="minorBidi" w:hAnsiTheme="minorBidi" w:cstheme="minorBidi"/>
          <w:b w:val="0"/>
          <w:bCs w:val="0"/>
          <w:i w:val="0"/>
          <w:iCs w:val="0"/>
          <w:sz w:val="20"/>
          <w:szCs w:val="20"/>
        </w:rPr>
      </w:pPr>
      <w:r w:rsidRPr="00582CCF">
        <w:rPr>
          <w:rFonts w:asciiTheme="minorBidi" w:hAnsiTheme="minorBidi" w:cstheme="minorBidi"/>
          <w:b w:val="0"/>
          <w:bCs w:val="0"/>
          <w:i w:val="0"/>
          <w:iCs w:val="0"/>
          <w:sz w:val="20"/>
          <w:szCs w:val="20"/>
        </w:rPr>
        <w:t xml:space="preserve">Au premier trimestre 2019, les </w:t>
      </w:r>
      <w:r w:rsidRPr="00582CCF">
        <w:rPr>
          <w:rFonts w:asciiTheme="minorBidi" w:hAnsiTheme="minorBidi" w:cstheme="minorBidi"/>
          <w:i w:val="0"/>
          <w:iCs w:val="0"/>
          <w:sz w:val="20"/>
          <w:szCs w:val="20"/>
        </w:rPr>
        <w:t>prix à la consommation</w:t>
      </w:r>
      <w:r w:rsidRPr="00582CCF">
        <w:rPr>
          <w:rFonts w:asciiTheme="minorBidi" w:hAnsiTheme="minorBidi" w:cstheme="minorBidi"/>
          <w:b w:val="0"/>
          <w:bCs w:val="0"/>
          <w:i w:val="0"/>
          <w:iCs w:val="0"/>
          <w:sz w:val="20"/>
          <w:szCs w:val="20"/>
        </w:rPr>
        <w:t xml:space="preserve"> auraient </w:t>
      </w:r>
      <w:r w:rsidR="00CF61CB">
        <w:rPr>
          <w:rFonts w:asciiTheme="minorBidi" w:hAnsiTheme="minorBidi" w:cstheme="minorBidi"/>
          <w:b w:val="0"/>
          <w:bCs w:val="0"/>
          <w:i w:val="0"/>
          <w:iCs w:val="0"/>
          <w:sz w:val="20"/>
          <w:szCs w:val="20"/>
        </w:rPr>
        <w:t xml:space="preserve">quasiment stagné, suite, notamment, </w:t>
      </w:r>
      <w:r w:rsidRPr="00582CCF">
        <w:rPr>
          <w:rFonts w:asciiTheme="minorBidi" w:hAnsiTheme="minorBidi" w:cstheme="minorBidi"/>
          <w:b w:val="0"/>
          <w:bCs w:val="0"/>
          <w:i w:val="0"/>
          <w:iCs w:val="0"/>
          <w:sz w:val="20"/>
          <w:szCs w:val="20"/>
        </w:rPr>
        <w:t xml:space="preserve">au repli de 1,6% des prix des produits alimentaires, </w:t>
      </w:r>
      <w:r w:rsidR="00290A03">
        <w:rPr>
          <w:rFonts w:asciiTheme="minorBidi" w:hAnsiTheme="minorBidi" w:cstheme="minorBidi"/>
          <w:b w:val="0"/>
          <w:bCs w:val="0"/>
          <w:i w:val="0"/>
          <w:iCs w:val="0"/>
          <w:sz w:val="20"/>
          <w:szCs w:val="20"/>
        </w:rPr>
        <w:t>au lieu de +2,4% l’année passée</w:t>
      </w:r>
      <w:r w:rsidR="003E3668">
        <w:rPr>
          <w:rFonts w:asciiTheme="minorBidi" w:hAnsiTheme="minorBidi" w:cstheme="minorBidi"/>
          <w:b w:val="0"/>
          <w:bCs w:val="0"/>
          <w:i w:val="0"/>
          <w:iCs w:val="0"/>
          <w:sz w:val="20"/>
          <w:szCs w:val="20"/>
        </w:rPr>
        <w:t xml:space="preserve">. Les prix </w:t>
      </w:r>
      <w:r w:rsidRPr="00582CCF">
        <w:rPr>
          <w:rFonts w:asciiTheme="minorBidi" w:hAnsiTheme="minorBidi" w:cstheme="minorBidi"/>
          <w:b w:val="0"/>
          <w:bCs w:val="0"/>
          <w:i w:val="0"/>
          <w:iCs w:val="0"/>
          <w:sz w:val="20"/>
          <w:szCs w:val="20"/>
        </w:rPr>
        <w:t>des produits frais et de l’huile d’olive</w:t>
      </w:r>
      <w:r w:rsidR="003E3668">
        <w:rPr>
          <w:rFonts w:asciiTheme="minorBidi" w:hAnsiTheme="minorBidi" w:cstheme="minorBidi"/>
          <w:b w:val="0"/>
          <w:bCs w:val="0"/>
          <w:i w:val="0"/>
          <w:iCs w:val="0"/>
          <w:sz w:val="20"/>
          <w:szCs w:val="20"/>
        </w:rPr>
        <w:t xml:space="preserve"> </w:t>
      </w:r>
      <w:r w:rsidR="00ED7ED0">
        <w:rPr>
          <w:rFonts w:asciiTheme="minorBidi" w:hAnsiTheme="minorBidi" w:cstheme="minorBidi"/>
          <w:b w:val="0"/>
          <w:bCs w:val="0"/>
          <w:i w:val="0"/>
          <w:iCs w:val="0"/>
          <w:sz w:val="20"/>
          <w:szCs w:val="20"/>
        </w:rPr>
        <w:t>se seraient infléchis</w:t>
      </w:r>
      <w:r w:rsidRPr="00582CCF">
        <w:rPr>
          <w:rFonts w:asciiTheme="minorBidi" w:hAnsiTheme="minorBidi" w:cstheme="minorBidi"/>
          <w:b w:val="0"/>
          <w:bCs w:val="0"/>
          <w:i w:val="0"/>
          <w:iCs w:val="0"/>
          <w:sz w:val="20"/>
          <w:szCs w:val="20"/>
        </w:rPr>
        <w:t xml:space="preserve">, </w:t>
      </w:r>
      <w:r w:rsidR="003E3668">
        <w:rPr>
          <w:rFonts w:asciiTheme="minorBidi" w:hAnsiTheme="minorBidi" w:cstheme="minorBidi"/>
          <w:b w:val="0"/>
          <w:bCs w:val="0"/>
          <w:i w:val="0"/>
          <w:iCs w:val="0"/>
          <w:sz w:val="20"/>
          <w:szCs w:val="20"/>
        </w:rPr>
        <w:t>compensant l’augmentation</w:t>
      </w:r>
      <w:r w:rsidRPr="00582CCF">
        <w:rPr>
          <w:rFonts w:asciiTheme="minorBidi" w:hAnsiTheme="minorBidi" w:cstheme="minorBidi"/>
          <w:b w:val="0"/>
          <w:bCs w:val="0"/>
          <w:i w:val="0"/>
          <w:iCs w:val="0"/>
          <w:sz w:val="20"/>
          <w:szCs w:val="20"/>
        </w:rPr>
        <w:t xml:space="preserve"> de</w:t>
      </w:r>
      <w:r w:rsidR="00651E31">
        <w:rPr>
          <w:rFonts w:asciiTheme="minorBidi" w:hAnsiTheme="minorBidi" w:cstheme="minorBidi"/>
          <w:b w:val="0"/>
          <w:bCs w:val="0"/>
          <w:i w:val="0"/>
          <w:iCs w:val="0"/>
          <w:sz w:val="20"/>
          <w:szCs w:val="20"/>
        </w:rPr>
        <w:t>s prix du</w:t>
      </w:r>
      <w:r w:rsidRPr="00582CCF">
        <w:rPr>
          <w:rFonts w:asciiTheme="minorBidi" w:hAnsiTheme="minorBidi" w:cstheme="minorBidi"/>
          <w:b w:val="0"/>
          <w:bCs w:val="0"/>
          <w:i w:val="0"/>
          <w:iCs w:val="0"/>
          <w:sz w:val="20"/>
          <w:szCs w:val="20"/>
        </w:rPr>
        <w:t xml:space="preserve"> tabac. </w:t>
      </w:r>
      <w:r w:rsidRPr="00582CCF">
        <w:rPr>
          <w:rFonts w:asciiTheme="minorBidi" w:hAnsiTheme="minorBidi" w:cstheme="minorBidi"/>
          <w:b w:val="0"/>
          <w:bCs w:val="0"/>
          <w:i w:val="0"/>
          <w:iCs w:val="0"/>
          <w:sz w:val="20"/>
          <w:szCs w:val="20"/>
        </w:rPr>
        <w:lastRenderedPageBreak/>
        <w:t>Les prix des produits non-alimentaires auraient, pour leur part, décéléré</w:t>
      </w:r>
      <w:r w:rsidR="007E5D63">
        <w:rPr>
          <w:rFonts w:asciiTheme="minorBidi" w:hAnsiTheme="minorBidi" w:cstheme="minorBidi"/>
          <w:b w:val="0"/>
          <w:bCs w:val="0"/>
          <w:i w:val="0"/>
          <w:iCs w:val="0"/>
          <w:sz w:val="20"/>
          <w:szCs w:val="20"/>
        </w:rPr>
        <w:t>,</w:t>
      </w:r>
      <w:r w:rsidRPr="00582CCF">
        <w:rPr>
          <w:rFonts w:asciiTheme="minorBidi" w:hAnsiTheme="minorBidi" w:cstheme="minorBidi"/>
          <w:b w:val="0"/>
          <w:bCs w:val="0"/>
          <w:i w:val="0"/>
          <w:iCs w:val="0"/>
          <w:sz w:val="20"/>
          <w:szCs w:val="20"/>
        </w:rPr>
        <w:t xml:space="preserve"> marquant un accroissement de 0,9%, au lieu de +1,6% une année plus tôt, dans le sillage du repli des prix des produits énergétiques. L'inflation sous-jacente </w:t>
      </w:r>
      <w:r w:rsidRPr="00582CCF">
        <w:rPr>
          <w:rFonts w:ascii="Arial" w:eastAsia="Calibri" w:hAnsi="Arial" w:cs="Arial"/>
          <w:b w:val="0"/>
          <w:bCs w:val="0"/>
          <w:i w:val="0"/>
          <w:iCs w:val="0"/>
          <w:sz w:val="20"/>
          <w:szCs w:val="20"/>
        </w:rPr>
        <w:t xml:space="preserve">qui </w:t>
      </w:r>
      <w:r w:rsidRPr="00582CCF">
        <w:rPr>
          <w:rFonts w:ascii="Arial" w:eastAsia="Calibri" w:hAnsi="Arial" w:cs="Arial"/>
          <w:b w:val="0"/>
          <w:bCs w:val="0"/>
          <w:i w:val="0"/>
          <w:iCs w:val="0"/>
          <w:sz w:val="20"/>
          <w:szCs w:val="20"/>
          <w:lang w:eastAsia="en-US"/>
        </w:rPr>
        <w:t>exclut les tarifs publics</w:t>
      </w:r>
      <w:r w:rsidR="00031DA8">
        <w:rPr>
          <w:rFonts w:ascii="Arial" w:eastAsia="Calibri" w:hAnsi="Arial" w:cs="Arial"/>
          <w:b w:val="0"/>
          <w:bCs w:val="0"/>
          <w:i w:val="0"/>
          <w:iCs w:val="0"/>
          <w:sz w:val="20"/>
          <w:szCs w:val="20"/>
          <w:lang w:eastAsia="en-US"/>
        </w:rPr>
        <w:t xml:space="preserve"> et</w:t>
      </w:r>
      <w:r w:rsidRPr="00582CCF">
        <w:rPr>
          <w:rFonts w:ascii="Arial" w:eastAsia="Calibri" w:hAnsi="Arial" w:cs="Arial"/>
          <w:b w:val="0"/>
          <w:bCs w:val="0"/>
          <w:i w:val="0"/>
          <w:iCs w:val="0"/>
          <w:sz w:val="20"/>
          <w:szCs w:val="20"/>
          <w:lang w:eastAsia="en-US"/>
        </w:rPr>
        <w:t xml:space="preserve"> les produits frais</w:t>
      </w:r>
      <w:r w:rsidRPr="00582CCF">
        <w:rPr>
          <w:rFonts w:ascii="Arial" w:eastAsia="Calibri" w:hAnsi="Arial" w:cs="Arial"/>
          <w:i w:val="0"/>
          <w:iCs w:val="0"/>
          <w:sz w:val="20"/>
          <w:szCs w:val="20"/>
        </w:rPr>
        <w:t xml:space="preserve"> </w:t>
      </w:r>
      <w:r w:rsidRPr="00582CCF">
        <w:rPr>
          <w:rFonts w:ascii="Arial" w:eastAsia="Calibri" w:hAnsi="Arial" w:cs="Arial"/>
          <w:b w:val="0"/>
          <w:bCs w:val="0"/>
          <w:i w:val="0"/>
          <w:iCs w:val="0"/>
          <w:sz w:val="20"/>
          <w:szCs w:val="20"/>
        </w:rPr>
        <w:t>se</w:t>
      </w:r>
      <w:r w:rsidRPr="00582CCF">
        <w:rPr>
          <w:rFonts w:asciiTheme="minorBidi" w:hAnsiTheme="minorBidi" w:cstheme="minorBidi"/>
          <w:b w:val="0"/>
          <w:bCs w:val="0"/>
          <w:i w:val="0"/>
          <w:iCs w:val="0"/>
          <w:sz w:val="20"/>
          <w:szCs w:val="20"/>
        </w:rPr>
        <w:t xml:space="preserve">rait restée </w:t>
      </w:r>
      <w:r w:rsidR="006A6320">
        <w:rPr>
          <w:rFonts w:asciiTheme="minorBidi" w:hAnsiTheme="minorBidi" w:cstheme="minorBidi"/>
          <w:b w:val="0"/>
          <w:bCs w:val="0"/>
          <w:i w:val="0"/>
          <w:iCs w:val="0"/>
          <w:sz w:val="20"/>
          <w:szCs w:val="20"/>
        </w:rPr>
        <w:t>modérée,</w:t>
      </w:r>
      <w:r w:rsidRPr="00582CCF">
        <w:rPr>
          <w:rFonts w:asciiTheme="minorBidi" w:hAnsiTheme="minorBidi" w:cstheme="minorBidi"/>
          <w:b w:val="0"/>
          <w:bCs w:val="0"/>
          <w:i w:val="0"/>
          <w:iCs w:val="0"/>
          <w:sz w:val="20"/>
          <w:szCs w:val="20"/>
        </w:rPr>
        <w:t xml:space="preserve"> affichant une progression de 1%, en glissement annuel, soit le même rythme enregistré il y a une année.</w:t>
      </w:r>
    </w:p>
    <w:p w:rsidR="003E3668" w:rsidRPr="003E3668" w:rsidRDefault="003E3668" w:rsidP="003E3668"/>
    <w:p w:rsidR="0072744A" w:rsidRPr="00604C74" w:rsidRDefault="008C08BE" w:rsidP="00234672">
      <w:pPr>
        <w:jc w:val="both"/>
        <w:rPr>
          <w:rFonts w:ascii="Arial" w:hAnsi="Arial" w:cs="Arial"/>
          <w:b/>
          <w:bCs/>
          <w:color w:val="800000"/>
          <w:kern w:val="28"/>
          <w:sz w:val="20"/>
          <w:szCs w:val="20"/>
        </w:rPr>
      </w:pPr>
      <w:r>
        <w:rPr>
          <w:rFonts w:ascii="Arial" w:eastAsia="Calibri" w:hAnsi="Arial" w:cs="Arial"/>
          <w:sz w:val="20"/>
          <w:szCs w:val="20"/>
        </w:rPr>
        <w:t xml:space="preserve"> </w:t>
      </w:r>
      <w:r w:rsidR="0072744A" w:rsidRPr="00604C74">
        <w:rPr>
          <w:rFonts w:ascii="Arial" w:hAnsi="Arial" w:cs="Arial"/>
          <w:b/>
          <w:bCs/>
          <w:color w:val="800000"/>
          <w:kern w:val="28"/>
          <w:sz w:val="20"/>
          <w:szCs w:val="20"/>
        </w:rPr>
        <w:t>Amélioration des créances sur l’économie</w:t>
      </w:r>
    </w:p>
    <w:p w:rsidR="0072744A" w:rsidRPr="00604C74" w:rsidRDefault="0072744A" w:rsidP="0072744A">
      <w:pPr>
        <w:jc w:val="both"/>
        <w:rPr>
          <w:rFonts w:ascii="Arial" w:hAnsi="Arial" w:cs="Arial"/>
          <w:sz w:val="20"/>
          <w:szCs w:val="20"/>
        </w:rPr>
      </w:pPr>
    </w:p>
    <w:p w:rsidR="001F7D91" w:rsidRDefault="001F7D91" w:rsidP="00031DA8">
      <w:pPr>
        <w:jc w:val="both"/>
        <w:rPr>
          <w:rFonts w:ascii="Arial" w:hAnsi="Arial" w:cs="Arial"/>
          <w:sz w:val="20"/>
          <w:szCs w:val="20"/>
        </w:rPr>
      </w:pPr>
      <w:r w:rsidRPr="00604C74">
        <w:rPr>
          <w:rFonts w:ascii="Arial" w:hAnsi="Arial" w:cs="Arial"/>
          <w:sz w:val="20"/>
          <w:szCs w:val="20"/>
        </w:rPr>
        <w:t xml:space="preserve">Après </w:t>
      </w:r>
      <w:r>
        <w:rPr>
          <w:rFonts w:ascii="Arial" w:hAnsi="Arial" w:cs="Arial"/>
          <w:sz w:val="20"/>
          <w:szCs w:val="20"/>
        </w:rPr>
        <w:t xml:space="preserve">avoir ralenti depuis une année et </w:t>
      </w:r>
      <w:r w:rsidRPr="00604C74">
        <w:rPr>
          <w:rFonts w:ascii="Arial" w:hAnsi="Arial" w:cs="Arial"/>
          <w:sz w:val="20"/>
          <w:szCs w:val="20"/>
        </w:rPr>
        <w:t>demi, le</w:t>
      </w:r>
      <w:r>
        <w:rPr>
          <w:rFonts w:ascii="Arial" w:hAnsi="Arial" w:cs="Arial"/>
          <w:sz w:val="20"/>
          <w:szCs w:val="20"/>
        </w:rPr>
        <w:t xml:space="preserve"> rythme de croissance de</w:t>
      </w:r>
      <w:r w:rsidRPr="00604C74">
        <w:rPr>
          <w:rFonts w:ascii="Arial" w:hAnsi="Arial" w:cs="Arial"/>
          <w:sz w:val="20"/>
          <w:szCs w:val="20"/>
        </w:rPr>
        <w:t xml:space="preserve">s </w:t>
      </w:r>
      <w:r w:rsidRPr="001F7D91">
        <w:rPr>
          <w:rFonts w:ascii="Arial" w:hAnsi="Arial" w:cs="Arial"/>
          <w:b/>
          <w:bCs/>
          <w:sz w:val="20"/>
          <w:szCs w:val="20"/>
        </w:rPr>
        <w:t>créances sur l’économie</w:t>
      </w:r>
      <w:r w:rsidRPr="00604C74">
        <w:rPr>
          <w:rFonts w:ascii="Arial" w:hAnsi="Arial" w:cs="Arial"/>
          <w:sz w:val="20"/>
          <w:szCs w:val="20"/>
        </w:rPr>
        <w:t xml:space="preserve"> </w:t>
      </w:r>
      <w:r>
        <w:rPr>
          <w:rFonts w:ascii="Arial" w:hAnsi="Arial" w:cs="Arial"/>
          <w:sz w:val="20"/>
          <w:szCs w:val="20"/>
        </w:rPr>
        <w:t>se serait légèrement redressé, au premier trimestre 2019</w:t>
      </w:r>
      <w:r w:rsidRPr="00604C74">
        <w:rPr>
          <w:rFonts w:ascii="Arial" w:hAnsi="Arial" w:cs="Arial"/>
          <w:sz w:val="20"/>
          <w:szCs w:val="20"/>
        </w:rPr>
        <w:t>. L</w:t>
      </w:r>
      <w:r>
        <w:rPr>
          <w:rFonts w:ascii="Arial" w:hAnsi="Arial" w:cs="Arial"/>
          <w:sz w:val="20"/>
          <w:szCs w:val="20"/>
        </w:rPr>
        <w:t xml:space="preserve">eur </w:t>
      </w:r>
      <w:r w:rsidRPr="00604C74">
        <w:rPr>
          <w:rFonts w:ascii="Arial" w:hAnsi="Arial" w:cs="Arial"/>
          <w:sz w:val="20"/>
          <w:szCs w:val="20"/>
        </w:rPr>
        <w:t xml:space="preserve">encours aurait augmenté de 3,5%, au lieu de </w:t>
      </w:r>
      <w:r>
        <w:rPr>
          <w:rFonts w:ascii="Arial" w:hAnsi="Arial" w:cs="Arial"/>
          <w:sz w:val="20"/>
          <w:szCs w:val="20"/>
        </w:rPr>
        <w:t>+</w:t>
      </w:r>
      <w:r w:rsidRPr="00604C74">
        <w:rPr>
          <w:rFonts w:ascii="Arial" w:hAnsi="Arial" w:cs="Arial"/>
          <w:sz w:val="20"/>
          <w:szCs w:val="20"/>
        </w:rPr>
        <w:t xml:space="preserve">2,2% et </w:t>
      </w:r>
      <w:r>
        <w:rPr>
          <w:rFonts w:ascii="Arial" w:hAnsi="Arial" w:cs="Arial"/>
          <w:sz w:val="20"/>
          <w:szCs w:val="20"/>
        </w:rPr>
        <w:t>+</w:t>
      </w:r>
      <w:r w:rsidRPr="00604C74">
        <w:rPr>
          <w:rFonts w:ascii="Arial" w:hAnsi="Arial" w:cs="Arial"/>
          <w:sz w:val="20"/>
          <w:szCs w:val="20"/>
        </w:rPr>
        <w:t>3,4% aux deux derniers trimestres, tiré notamment par l’a</w:t>
      </w:r>
      <w:r w:rsidR="004A4DD3">
        <w:rPr>
          <w:rFonts w:ascii="Arial" w:hAnsi="Arial" w:cs="Arial"/>
          <w:sz w:val="20"/>
          <w:szCs w:val="20"/>
        </w:rPr>
        <w:t>ugmentation</w:t>
      </w:r>
      <w:r w:rsidRPr="00604C74">
        <w:rPr>
          <w:rFonts w:ascii="Arial" w:hAnsi="Arial" w:cs="Arial"/>
          <w:sz w:val="20"/>
          <w:szCs w:val="20"/>
        </w:rPr>
        <w:t xml:space="preserve"> des crédits de trésorerie des entreprises. Dans ce contexte, les taux d’intérêt sur le marché interbancaire se seraient stabilisés en moyenne à 2,27%, s’élevant de 2 points de base du niveau du taux d’intérêt directeur. Parallèlement, les taux auraient différemment </w:t>
      </w:r>
      <w:r>
        <w:rPr>
          <w:rFonts w:ascii="Arial" w:hAnsi="Arial" w:cs="Arial"/>
          <w:sz w:val="20"/>
          <w:szCs w:val="20"/>
        </w:rPr>
        <w:t>évolu</w:t>
      </w:r>
      <w:r w:rsidRPr="00604C74">
        <w:rPr>
          <w:rFonts w:ascii="Arial" w:hAnsi="Arial" w:cs="Arial"/>
          <w:sz w:val="20"/>
          <w:szCs w:val="20"/>
        </w:rPr>
        <w:t xml:space="preserve">é sur le marché des bons du Trésor. </w:t>
      </w:r>
      <w:r>
        <w:rPr>
          <w:rFonts w:ascii="Arial" w:hAnsi="Arial" w:cs="Arial"/>
          <w:sz w:val="20"/>
          <w:szCs w:val="20"/>
        </w:rPr>
        <w:t>L</w:t>
      </w:r>
      <w:r w:rsidRPr="00604C74">
        <w:rPr>
          <w:rFonts w:ascii="Arial" w:hAnsi="Arial" w:cs="Arial"/>
          <w:sz w:val="20"/>
          <w:szCs w:val="20"/>
        </w:rPr>
        <w:t xml:space="preserve">es taux d’intérêt à 1 an auraient augmenté, en moyenne et en variation annuelle, de 5 points de base. </w:t>
      </w:r>
      <w:r w:rsidR="004A4DD3">
        <w:rPr>
          <w:rFonts w:ascii="Arial" w:hAnsi="Arial" w:cs="Arial"/>
          <w:sz w:val="20"/>
          <w:szCs w:val="20"/>
        </w:rPr>
        <w:t>En revanche</w:t>
      </w:r>
      <w:r w:rsidRPr="00604C74">
        <w:rPr>
          <w:rFonts w:ascii="Arial" w:hAnsi="Arial" w:cs="Arial"/>
          <w:sz w:val="20"/>
          <w:szCs w:val="20"/>
        </w:rPr>
        <w:t>, ceux à 5 ans et à 10 ans auraient reculé de 1 et 3 points</w:t>
      </w:r>
      <w:r>
        <w:rPr>
          <w:rFonts w:ascii="Arial" w:hAnsi="Arial" w:cs="Arial"/>
          <w:sz w:val="20"/>
          <w:szCs w:val="20"/>
        </w:rPr>
        <w:t>,</w:t>
      </w:r>
      <w:r w:rsidRPr="00604C74">
        <w:rPr>
          <w:rFonts w:ascii="Arial" w:hAnsi="Arial" w:cs="Arial"/>
          <w:sz w:val="20"/>
          <w:szCs w:val="20"/>
        </w:rPr>
        <w:t xml:space="preserve"> respectivement. </w:t>
      </w:r>
    </w:p>
    <w:p w:rsidR="001F7D91" w:rsidRPr="00604C74" w:rsidRDefault="001F7D91" w:rsidP="001F7D91">
      <w:pPr>
        <w:jc w:val="both"/>
        <w:rPr>
          <w:rFonts w:ascii="Arial" w:hAnsi="Arial" w:cs="Arial"/>
          <w:sz w:val="20"/>
          <w:szCs w:val="20"/>
        </w:rPr>
      </w:pPr>
    </w:p>
    <w:p w:rsidR="0072744A" w:rsidRPr="00604C74" w:rsidRDefault="00E93F78" w:rsidP="001F7D91">
      <w:pPr>
        <w:jc w:val="both"/>
        <w:rPr>
          <w:rFonts w:ascii="Arial" w:hAnsi="Arial" w:cs="Arial"/>
          <w:sz w:val="20"/>
          <w:szCs w:val="20"/>
        </w:rPr>
      </w:pPr>
      <w:r>
        <w:rPr>
          <w:rFonts w:ascii="Arial" w:hAnsi="Arial" w:cs="Arial"/>
          <w:sz w:val="20"/>
          <w:szCs w:val="20"/>
        </w:rPr>
        <w:t>L</w:t>
      </w:r>
      <w:r w:rsidR="0072744A" w:rsidRPr="00604C74">
        <w:rPr>
          <w:rFonts w:ascii="Arial" w:hAnsi="Arial" w:cs="Arial"/>
          <w:sz w:val="20"/>
          <w:szCs w:val="20"/>
        </w:rPr>
        <w:t xml:space="preserve">a croissance de la masse monétaire se serait </w:t>
      </w:r>
      <w:r w:rsidR="001F7D91">
        <w:rPr>
          <w:rFonts w:ascii="Arial" w:hAnsi="Arial" w:cs="Arial"/>
          <w:sz w:val="20"/>
          <w:szCs w:val="20"/>
        </w:rPr>
        <w:t>établi</w:t>
      </w:r>
      <w:r w:rsidR="0072744A" w:rsidRPr="00604C74">
        <w:rPr>
          <w:rFonts w:ascii="Arial" w:hAnsi="Arial" w:cs="Arial"/>
          <w:sz w:val="20"/>
          <w:szCs w:val="20"/>
        </w:rPr>
        <w:t xml:space="preserve">e à 4%, </w:t>
      </w:r>
      <w:r w:rsidR="001F7D91">
        <w:rPr>
          <w:rFonts w:ascii="Arial" w:hAnsi="Arial" w:cs="Arial"/>
          <w:sz w:val="20"/>
          <w:szCs w:val="20"/>
        </w:rPr>
        <w:t>a</w:t>
      </w:r>
      <w:r w:rsidR="001F7D91" w:rsidRPr="00604C74">
        <w:rPr>
          <w:rFonts w:ascii="Arial" w:hAnsi="Arial" w:cs="Arial"/>
          <w:sz w:val="20"/>
          <w:szCs w:val="20"/>
        </w:rPr>
        <w:t>u premier trimestre 2019</w:t>
      </w:r>
      <w:r w:rsidR="001F7D91">
        <w:rPr>
          <w:rFonts w:ascii="Arial" w:hAnsi="Arial" w:cs="Arial"/>
          <w:sz w:val="20"/>
          <w:szCs w:val="20"/>
        </w:rPr>
        <w:t xml:space="preserve">, </w:t>
      </w:r>
      <w:r w:rsidR="0072744A" w:rsidRPr="00604C74">
        <w:rPr>
          <w:rFonts w:ascii="Arial" w:hAnsi="Arial" w:cs="Arial"/>
          <w:sz w:val="20"/>
          <w:szCs w:val="20"/>
        </w:rPr>
        <w:t xml:space="preserve">après +4,1% un trimestre auparavant. Le </w:t>
      </w:r>
      <w:r w:rsidR="0072744A" w:rsidRPr="001F7D91">
        <w:rPr>
          <w:rFonts w:ascii="Arial" w:hAnsi="Arial" w:cs="Arial"/>
          <w:sz w:val="20"/>
          <w:szCs w:val="20"/>
        </w:rPr>
        <w:t>besoin de liquidité</w:t>
      </w:r>
      <w:r w:rsidR="0072744A" w:rsidRPr="00604C74">
        <w:rPr>
          <w:rFonts w:ascii="Arial" w:hAnsi="Arial" w:cs="Arial"/>
          <w:sz w:val="20"/>
          <w:szCs w:val="20"/>
        </w:rPr>
        <w:t xml:space="preserve"> des banques se serait légèrement accru, à la suite, entre autre</w:t>
      </w:r>
      <w:r w:rsidR="0072744A">
        <w:rPr>
          <w:rFonts w:ascii="Arial" w:hAnsi="Arial" w:cs="Arial"/>
          <w:sz w:val="20"/>
          <w:szCs w:val="20"/>
        </w:rPr>
        <w:t>s</w:t>
      </w:r>
      <w:r w:rsidR="0072744A" w:rsidRPr="00604C74">
        <w:rPr>
          <w:rFonts w:ascii="Arial" w:hAnsi="Arial" w:cs="Arial"/>
          <w:sz w:val="20"/>
          <w:szCs w:val="20"/>
        </w:rPr>
        <w:t xml:space="preserve">, de la baisse des réserves internationales nettes. Celles-ci auraient reculé de 3,6%, </w:t>
      </w:r>
      <w:r w:rsidR="0072744A">
        <w:rPr>
          <w:rFonts w:ascii="Arial" w:hAnsi="Arial" w:cs="Arial"/>
          <w:sz w:val="20"/>
          <w:szCs w:val="20"/>
        </w:rPr>
        <w:t>au lieu d</w:t>
      </w:r>
      <w:r w:rsidR="001F7D91">
        <w:rPr>
          <w:rFonts w:ascii="Arial" w:hAnsi="Arial" w:cs="Arial"/>
          <w:sz w:val="20"/>
          <w:szCs w:val="20"/>
        </w:rPr>
        <w:t>e -</w:t>
      </w:r>
      <w:r w:rsidR="0072744A" w:rsidRPr="00604C74">
        <w:rPr>
          <w:rFonts w:ascii="Arial" w:hAnsi="Arial" w:cs="Arial"/>
          <w:sz w:val="20"/>
          <w:szCs w:val="20"/>
        </w:rPr>
        <w:t>4,1% un trimestre plus tôt. Les créances nettes sur l’administration centrale auraient poursuivi leur progression, marquant une hausse de 11,3% de l’endettement monétaire du Trésor.</w:t>
      </w:r>
    </w:p>
    <w:p w:rsidR="0072744A" w:rsidRPr="00604C74" w:rsidRDefault="0072744A" w:rsidP="0072744A">
      <w:pPr>
        <w:jc w:val="both"/>
        <w:rPr>
          <w:rFonts w:ascii="Arial" w:hAnsi="Arial" w:cs="Arial"/>
          <w:sz w:val="20"/>
          <w:szCs w:val="20"/>
        </w:rPr>
      </w:pPr>
    </w:p>
    <w:p w:rsidR="00F50A55" w:rsidRPr="009E1629" w:rsidRDefault="00B51F7F" w:rsidP="00F50A55">
      <w:pPr>
        <w:jc w:val="both"/>
        <w:rPr>
          <w:rFonts w:ascii="Arial" w:hAnsi="Arial" w:cs="Arial"/>
          <w:b/>
          <w:bCs/>
          <w:color w:val="800000"/>
          <w:kern w:val="28"/>
          <w:sz w:val="20"/>
          <w:szCs w:val="20"/>
        </w:rPr>
      </w:pPr>
      <w:r>
        <w:rPr>
          <w:rFonts w:ascii="Arial" w:hAnsi="Arial" w:cs="Arial"/>
          <w:b/>
          <w:bCs/>
          <w:color w:val="800000"/>
          <w:kern w:val="28"/>
          <w:sz w:val="20"/>
          <w:szCs w:val="20"/>
        </w:rPr>
        <w:t>C</w:t>
      </w:r>
      <w:r w:rsidR="00F50A55" w:rsidRPr="009E1629">
        <w:rPr>
          <w:rFonts w:ascii="Arial" w:hAnsi="Arial" w:cs="Arial"/>
          <w:b/>
          <w:bCs/>
          <w:color w:val="800000"/>
          <w:kern w:val="28"/>
          <w:sz w:val="20"/>
          <w:szCs w:val="20"/>
        </w:rPr>
        <w:t>orrection à la baisse des actions boursières</w:t>
      </w:r>
    </w:p>
    <w:p w:rsidR="00F50A55" w:rsidRPr="009E1629" w:rsidRDefault="00F50A55" w:rsidP="00F50A55">
      <w:pPr>
        <w:jc w:val="both"/>
        <w:rPr>
          <w:rFonts w:ascii="Arial" w:hAnsi="Arial" w:cs="Arial"/>
          <w:sz w:val="20"/>
          <w:szCs w:val="20"/>
        </w:rPr>
      </w:pPr>
    </w:p>
    <w:p w:rsidR="00F50A55" w:rsidRPr="009E1629" w:rsidRDefault="005E1F86" w:rsidP="00031DA8">
      <w:pPr>
        <w:jc w:val="both"/>
        <w:rPr>
          <w:rFonts w:ascii="Arial" w:hAnsi="Arial" w:cs="Arial"/>
          <w:sz w:val="20"/>
          <w:szCs w:val="20"/>
        </w:rPr>
      </w:pPr>
      <w:r>
        <w:rPr>
          <w:rFonts w:ascii="Arial" w:hAnsi="Arial" w:cs="Arial"/>
          <w:noProof/>
          <w:sz w:val="20"/>
          <w:szCs w:val="20"/>
        </w:rPr>
        <w:drawing>
          <wp:anchor distT="0" distB="0" distL="114300" distR="114300" simplePos="0" relativeHeight="251678208" behindDoc="0" locked="0" layoutInCell="1" allowOverlap="1">
            <wp:simplePos x="0" y="0"/>
            <wp:positionH relativeFrom="column">
              <wp:posOffset>4490720</wp:posOffset>
            </wp:positionH>
            <wp:positionV relativeFrom="paragraph">
              <wp:posOffset>285115</wp:posOffset>
            </wp:positionV>
            <wp:extent cx="2058670" cy="1727200"/>
            <wp:effectExtent l="19050" t="0" r="0" b="0"/>
            <wp:wrapSquare wrapText="bothSides"/>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58670" cy="1727200"/>
                    </a:xfrm>
                    <a:prstGeom prst="rect">
                      <a:avLst/>
                    </a:prstGeom>
                    <a:noFill/>
                    <a:ln w="9525">
                      <a:noFill/>
                      <a:miter lim="800000"/>
                      <a:headEnd/>
                      <a:tailEnd/>
                    </a:ln>
                  </pic:spPr>
                </pic:pic>
              </a:graphicData>
            </a:graphic>
          </wp:anchor>
        </w:drawing>
      </w:r>
      <w:r w:rsidR="00F50A55" w:rsidRPr="009E1629">
        <w:rPr>
          <w:rFonts w:ascii="Arial" w:hAnsi="Arial" w:cs="Arial"/>
          <w:sz w:val="20"/>
          <w:szCs w:val="20"/>
        </w:rPr>
        <w:t xml:space="preserve">La pression baissière sur le </w:t>
      </w:r>
      <w:r w:rsidR="00F50A55" w:rsidRPr="00660491">
        <w:rPr>
          <w:rFonts w:ascii="Arial" w:hAnsi="Arial" w:cs="Arial"/>
          <w:b/>
          <w:bCs/>
          <w:sz w:val="20"/>
          <w:szCs w:val="20"/>
        </w:rPr>
        <w:t>marché des actions</w:t>
      </w:r>
      <w:r w:rsidR="00F50A55" w:rsidRPr="009E1629">
        <w:rPr>
          <w:rFonts w:ascii="Arial" w:hAnsi="Arial" w:cs="Arial"/>
          <w:sz w:val="20"/>
          <w:szCs w:val="20"/>
        </w:rPr>
        <w:t xml:space="preserve"> </w:t>
      </w:r>
      <w:r w:rsidR="003D4A3E">
        <w:rPr>
          <w:rFonts w:ascii="Arial" w:hAnsi="Arial" w:cs="Arial"/>
          <w:sz w:val="20"/>
          <w:szCs w:val="20"/>
        </w:rPr>
        <w:t>se serait</w:t>
      </w:r>
      <w:r w:rsidR="00F50A55" w:rsidRPr="009E1629">
        <w:rPr>
          <w:rFonts w:ascii="Arial" w:hAnsi="Arial" w:cs="Arial"/>
          <w:sz w:val="20"/>
          <w:szCs w:val="20"/>
        </w:rPr>
        <w:t xml:space="preserve"> </w:t>
      </w:r>
      <w:r w:rsidR="003D4A3E">
        <w:rPr>
          <w:rFonts w:ascii="Arial" w:hAnsi="Arial" w:cs="Arial"/>
          <w:sz w:val="20"/>
          <w:szCs w:val="20"/>
        </w:rPr>
        <w:t>poursuivie</w:t>
      </w:r>
      <w:r w:rsidR="00F50A55" w:rsidRPr="009E1629">
        <w:rPr>
          <w:rFonts w:ascii="Arial" w:hAnsi="Arial" w:cs="Arial"/>
          <w:sz w:val="20"/>
          <w:szCs w:val="20"/>
        </w:rPr>
        <w:t xml:space="preserve"> au premier trimestre 2019. La correction des valeurs cotées se serait accéléré</w:t>
      </w:r>
      <w:r w:rsidR="003D4A3E">
        <w:rPr>
          <w:rFonts w:ascii="Arial" w:hAnsi="Arial" w:cs="Arial"/>
          <w:sz w:val="20"/>
          <w:szCs w:val="20"/>
        </w:rPr>
        <w:t>e</w:t>
      </w:r>
      <w:r w:rsidR="00F50A55" w:rsidRPr="009E1629">
        <w:rPr>
          <w:rFonts w:ascii="Arial" w:hAnsi="Arial" w:cs="Arial"/>
          <w:sz w:val="20"/>
          <w:szCs w:val="20"/>
        </w:rPr>
        <w:t xml:space="preserve">, dans un environnement </w:t>
      </w:r>
      <w:r w:rsidR="00F50A55">
        <w:rPr>
          <w:rFonts w:ascii="Arial" w:hAnsi="Arial" w:cs="Arial"/>
          <w:sz w:val="20"/>
          <w:szCs w:val="20"/>
        </w:rPr>
        <w:t>caractérisé</w:t>
      </w:r>
      <w:r w:rsidR="00F50A55" w:rsidRPr="009E1629">
        <w:rPr>
          <w:rFonts w:ascii="Arial" w:hAnsi="Arial" w:cs="Arial"/>
          <w:sz w:val="20"/>
          <w:szCs w:val="20"/>
        </w:rPr>
        <w:t xml:space="preserve"> par un niveau bas des taux d’intérêt</w:t>
      </w:r>
      <w:r w:rsidR="004C309D">
        <w:rPr>
          <w:rFonts w:ascii="Arial" w:hAnsi="Arial" w:cs="Arial"/>
          <w:sz w:val="20"/>
          <w:szCs w:val="20"/>
        </w:rPr>
        <w:t xml:space="preserve"> bancaires</w:t>
      </w:r>
      <w:r w:rsidR="00F50A55" w:rsidRPr="009E1629">
        <w:rPr>
          <w:rFonts w:ascii="Arial" w:hAnsi="Arial" w:cs="Arial"/>
          <w:sz w:val="20"/>
          <w:szCs w:val="20"/>
        </w:rPr>
        <w:t xml:space="preserve">. Les indices boursiers auraient </w:t>
      </w:r>
      <w:r w:rsidR="00CF61CB">
        <w:rPr>
          <w:rFonts w:ascii="Arial" w:hAnsi="Arial" w:cs="Arial"/>
          <w:sz w:val="20"/>
          <w:szCs w:val="20"/>
        </w:rPr>
        <w:t>connu</w:t>
      </w:r>
      <w:r w:rsidR="00F50A55" w:rsidRPr="009E1629">
        <w:rPr>
          <w:rFonts w:ascii="Arial" w:hAnsi="Arial" w:cs="Arial"/>
          <w:sz w:val="20"/>
          <w:szCs w:val="20"/>
        </w:rPr>
        <w:t xml:space="preserve"> des replis significatifs, </w:t>
      </w:r>
      <w:r w:rsidR="00CF61CB">
        <w:rPr>
          <w:rFonts w:ascii="Arial" w:hAnsi="Arial" w:cs="Arial"/>
          <w:sz w:val="20"/>
          <w:szCs w:val="20"/>
        </w:rPr>
        <w:t>marquant un retour à leurs</w:t>
      </w:r>
      <w:r w:rsidR="00F50A55" w:rsidRPr="009E1629">
        <w:rPr>
          <w:rFonts w:ascii="Arial" w:hAnsi="Arial" w:cs="Arial"/>
          <w:sz w:val="20"/>
          <w:szCs w:val="20"/>
        </w:rPr>
        <w:t xml:space="preserve"> niveaux </w:t>
      </w:r>
      <w:r w:rsidR="00CF61CB">
        <w:rPr>
          <w:rFonts w:ascii="Arial" w:hAnsi="Arial" w:cs="Arial"/>
          <w:sz w:val="20"/>
          <w:szCs w:val="20"/>
        </w:rPr>
        <w:t xml:space="preserve">enregistrés au cours </w:t>
      </w:r>
      <w:r w:rsidR="00F50A55" w:rsidRPr="009E1629">
        <w:rPr>
          <w:rFonts w:ascii="Arial" w:hAnsi="Arial" w:cs="Arial"/>
          <w:sz w:val="20"/>
          <w:szCs w:val="20"/>
        </w:rPr>
        <w:t>de l’année 2016. Les indices MASI et MADEX auraient reculé</w:t>
      </w:r>
      <w:r w:rsidR="000C770B">
        <w:rPr>
          <w:rFonts w:ascii="Arial" w:hAnsi="Arial" w:cs="Arial"/>
          <w:sz w:val="20"/>
          <w:szCs w:val="20"/>
        </w:rPr>
        <w:t>, respectivement,</w:t>
      </w:r>
      <w:r w:rsidR="00F50A55" w:rsidRPr="009E1629">
        <w:rPr>
          <w:rFonts w:ascii="Arial" w:hAnsi="Arial" w:cs="Arial"/>
          <w:sz w:val="20"/>
          <w:szCs w:val="20"/>
        </w:rPr>
        <w:t xml:space="preserve"> de 1</w:t>
      </w:r>
      <w:r w:rsidR="000C770B">
        <w:rPr>
          <w:rFonts w:ascii="Arial" w:hAnsi="Arial" w:cs="Arial"/>
          <w:sz w:val="20"/>
          <w:szCs w:val="20"/>
        </w:rPr>
        <w:t>6</w:t>
      </w:r>
      <w:r w:rsidR="00F50A55" w:rsidRPr="009E1629">
        <w:rPr>
          <w:rFonts w:ascii="Arial" w:hAnsi="Arial" w:cs="Arial"/>
          <w:sz w:val="20"/>
          <w:szCs w:val="20"/>
        </w:rPr>
        <w:t>,</w:t>
      </w:r>
      <w:r w:rsidR="000C770B">
        <w:rPr>
          <w:rFonts w:ascii="Arial" w:hAnsi="Arial" w:cs="Arial"/>
          <w:sz w:val="20"/>
          <w:szCs w:val="20"/>
        </w:rPr>
        <w:t>5</w:t>
      </w:r>
      <w:r w:rsidR="00F50A55" w:rsidRPr="009E1629">
        <w:rPr>
          <w:rFonts w:ascii="Arial" w:hAnsi="Arial" w:cs="Arial"/>
          <w:sz w:val="20"/>
          <w:szCs w:val="20"/>
        </w:rPr>
        <w:t xml:space="preserve">% </w:t>
      </w:r>
      <w:r w:rsidR="000C770B">
        <w:rPr>
          <w:rFonts w:ascii="Arial" w:hAnsi="Arial" w:cs="Arial"/>
          <w:sz w:val="20"/>
          <w:szCs w:val="20"/>
        </w:rPr>
        <w:t>et 16,6%</w:t>
      </w:r>
      <w:r w:rsidR="00F50A55" w:rsidRPr="009E1629">
        <w:rPr>
          <w:rFonts w:ascii="Arial" w:hAnsi="Arial" w:cs="Arial"/>
          <w:sz w:val="20"/>
          <w:szCs w:val="20"/>
        </w:rPr>
        <w:t xml:space="preserve">, en glissements annuels, après des baisses de 8,3% et 8,6%, </w:t>
      </w:r>
      <w:r w:rsidR="00F50A55">
        <w:rPr>
          <w:rFonts w:ascii="Arial" w:hAnsi="Arial" w:cs="Arial"/>
          <w:sz w:val="20"/>
          <w:szCs w:val="20"/>
        </w:rPr>
        <w:t>au</w:t>
      </w:r>
      <w:r w:rsidR="00F50A55" w:rsidRPr="009E1629">
        <w:rPr>
          <w:rFonts w:ascii="Arial" w:hAnsi="Arial" w:cs="Arial"/>
          <w:sz w:val="20"/>
          <w:szCs w:val="20"/>
        </w:rPr>
        <w:t xml:space="preserve"> trimestre précédent. La capitalisation boursière aurait, de ce fait, régressé de 7,1% </w:t>
      </w:r>
      <w:r w:rsidR="00F50A55">
        <w:rPr>
          <w:rFonts w:ascii="Arial" w:hAnsi="Arial" w:cs="Arial"/>
          <w:sz w:val="20"/>
          <w:szCs w:val="20"/>
        </w:rPr>
        <w:t>et</w:t>
      </w:r>
      <w:r w:rsidR="00F50A55" w:rsidRPr="009E1629">
        <w:rPr>
          <w:rFonts w:ascii="Arial" w:hAnsi="Arial" w:cs="Arial"/>
          <w:sz w:val="20"/>
          <w:szCs w:val="20"/>
        </w:rPr>
        <w:t xml:space="preserve"> 1</w:t>
      </w:r>
      <w:r w:rsidR="000C770B">
        <w:rPr>
          <w:rFonts w:ascii="Arial" w:hAnsi="Arial" w:cs="Arial"/>
          <w:sz w:val="20"/>
          <w:szCs w:val="20"/>
        </w:rPr>
        <w:t>5</w:t>
      </w:r>
      <w:r w:rsidR="00F50A55" w:rsidRPr="009E1629">
        <w:rPr>
          <w:rFonts w:ascii="Arial" w:hAnsi="Arial" w:cs="Arial"/>
          <w:sz w:val="20"/>
          <w:szCs w:val="20"/>
        </w:rPr>
        <w:t xml:space="preserve">% entre </w:t>
      </w:r>
      <w:r w:rsidR="00F50A55">
        <w:rPr>
          <w:rFonts w:ascii="Arial" w:hAnsi="Arial" w:cs="Arial"/>
          <w:sz w:val="20"/>
          <w:szCs w:val="20"/>
        </w:rPr>
        <w:t xml:space="preserve">les </w:t>
      </w:r>
      <w:r w:rsidR="00F50A55" w:rsidRPr="009E1629">
        <w:rPr>
          <w:rFonts w:ascii="Arial" w:hAnsi="Arial" w:cs="Arial"/>
          <w:sz w:val="20"/>
          <w:szCs w:val="20"/>
        </w:rPr>
        <w:t>deux trimestres successifs. Ces évolutions traduiraient, principalement, le repli des cours boursiers des secteurs de la promotion immobilière, des ingénieries et des biens d’équipement industriels, de la chimie, des mines et de la sylviculture et papier. Pris dans un</w:t>
      </w:r>
      <w:r w:rsidR="00031DA8">
        <w:rPr>
          <w:rFonts w:ascii="Arial" w:hAnsi="Arial" w:cs="Arial"/>
          <w:sz w:val="20"/>
          <w:szCs w:val="20"/>
        </w:rPr>
        <w:t>e phase</w:t>
      </w:r>
      <w:r w:rsidR="00F50A55" w:rsidRPr="009E1629">
        <w:rPr>
          <w:rFonts w:ascii="Arial" w:hAnsi="Arial" w:cs="Arial"/>
          <w:sz w:val="20"/>
          <w:szCs w:val="20"/>
        </w:rPr>
        <w:t xml:space="preserve"> baissi</w:t>
      </w:r>
      <w:r w:rsidR="00031DA8">
        <w:rPr>
          <w:rFonts w:ascii="Arial" w:hAnsi="Arial" w:cs="Arial"/>
          <w:sz w:val="20"/>
          <w:szCs w:val="20"/>
        </w:rPr>
        <w:t>è</w:t>
      </w:r>
      <w:r w:rsidR="00F50A55" w:rsidRPr="009E1629">
        <w:rPr>
          <w:rFonts w:ascii="Arial" w:hAnsi="Arial" w:cs="Arial"/>
          <w:sz w:val="20"/>
          <w:szCs w:val="20"/>
        </w:rPr>
        <w:t>r</w:t>
      </w:r>
      <w:r w:rsidR="00031DA8">
        <w:rPr>
          <w:rFonts w:ascii="Arial" w:hAnsi="Arial" w:cs="Arial"/>
          <w:sz w:val="20"/>
          <w:szCs w:val="20"/>
        </w:rPr>
        <w:t>e</w:t>
      </w:r>
      <w:r w:rsidR="00F50A55" w:rsidRPr="009E1629">
        <w:rPr>
          <w:rFonts w:ascii="Arial" w:hAnsi="Arial" w:cs="Arial"/>
          <w:sz w:val="20"/>
          <w:szCs w:val="20"/>
        </w:rPr>
        <w:t xml:space="preserve">, le marché boursier n’aurait pas offert assez d’intérêt aux investisseurs qui auraient pris des positions globalement vendeuses. Le volume des transactions y enregistré aurait accusé une </w:t>
      </w:r>
      <w:r w:rsidR="0075790C">
        <w:rPr>
          <w:rFonts w:ascii="Arial" w:hAnsi="Arial" w:cs="Arial"/>
          <w:sz w:val="20"/>
          <w:szCs w:val="20"/>
        </w:rPr>
        <w:t>baiss</w:t>
      </w:r>
      <w:r w:rsidR="00F50A55" w:rsidRPr="009E1629">
        <w:rPr>
          <w:rFonts w:ascii="Arial" w:hAnsi="Arial" w:cs="Arial"/>
          <w:sz w:val="20"/>
          <w:szCs w:val="20"/>
        </w:rPr>
        <w:t>e de 2</w:t>
      </w:r>
      <w:r w:rsidR="000C770B">
        <w:rPr>
          <w:rFonts w:ascii="Arial" w:hAnsi="Arial" w:cs="Arial"/>
          <w:sz w:val="20"/>
          <w:szCs w:val="20"/>
        </w:rPr>
        <w:t>1</w:t>
      </w:r>
      <w:r w:rsidR="00F50A55" w:rsidRPr="009E1629">
        <w:rPr>
          <w:rFonts w:ascii="Arial" w:hAnsi="Arial" w:cs="Arial"/>
          <w:sz w:val="20"/>
          <w:szCs w:val="20"/>
        </w:rPr>
        <w:t>,</w:t>
      </w:r>
      <w:r w:rsidR="000C770B">
        <w:rPr>
          <w:rFonts w:ascii="Arial" w:hAnsi="Arial" w:cs="Arial"/>
          <w:sz w:val="20"/>
          <w:szCs w:val="20"/>
        </w:rPr>
        <w:t>6</w:t>
      </w:r>
      <w:r w:rsidR="00F50A55" w:rsidRPr="009E1629">
        <w:rPr>
          <w:rFonts w:ascii="Arial" w:hAnsi="Arial" w:cs="Arial"/>
          <w:sz w:val="20"/>
          <w:szCs w:val="20"/>
        </w:rPr>
        <w:t xml:space="preserve">%, en variation annuelle. </w:t>
      </w:r>
    </w:p>
    <w:p w:rsidR="00945F3D" w:rsidRDefault="00945F3D" w:rsidP="00C6646C">
      <w:pPr>
        <w:jc w:val="both"/>
        <w:rPr>
          <w:rFonts w:ascii="Arial" w:hAnsi="Arial" w:cs="Arial"/>
          <w:b/>
          <w:bCs/>
          <w:color w:val="800000"/>
          <w:kern w:val="28"/>
          <w:sz w:val="20"/>
          <w:szCs w:val="20"/>
        </w:rPr>
      </w:pPr>
    </w:p>
    <w:p w:rsidR="002F11A1" w:rsidRDefault="002F11A1" w:rsidP="00C6646C">
      <w:pPr>
        <w:jc w:val="both"/>
        <w:rPr>
          <w:rFonts w:ascii="Arial" w:hAnsi="Arial" w:cs="Arial"/>
          <w:b/>
          <w:bCs/>
          <w:color w:val="800000"/>
          <w:kern w:val="28"/>
          <w:sz w:val="20"/>
          <w:szCs w:val="20"/>
        </w:rPr>
      </w:pPr>
    </w:p>
    <w:p w:rsidR="0097276B" w:rsidRDefault="00C6646C" w:rsidP="0031429A">
      <w:pPr>
        <w:jc w:val="both"/>
        <w:rPr>
          <w:rFonts w:ascii="Arial" w:hAnsi="Arial" w:cs="Arial"/>
          <w:b/>
          <w:bCs/>
          <w:color w:val="800000"/>
          <w:kern w:val="28"/>
          <w:sz w:val="20"/>
          <w:szCs w:val="20"/>
        </w:rPr>
      </w:pPr>
      <w:r>
        <w:rPr>
          <w:rFonts w:ascii="Arial" w:hAnsi="Arial" w:cs="Arial"/>
          <w:b/>
          <w:bCs/>
          <w:color w:val="800000"/>
          <w:kern w:val="28"/>
          <w:sz w:val="20"/>
          <w:szCs w:val="20"/>
        </w:rPr>
        <w:t xml:space="preserve">Poursuite </w:t>
      </w:r>
      <w:r w:rsidR="0031429A">
        <w:rPr>
          <w:rFonts w:ascii="Arial" w:hAnsi="Arial" w:cs="Arial"/>
          <w:b/>
          <w:bCs/>
          <w:color w:val="800000"/>
          <w:kern w:val="28"/>
          <w:sz w:val="20"/>
          <w:szCs w:val="20"/>
        </w:rPr>
        <w:t>de la modération</w:t>
      </w:r>
      <w:r w:rsidR="00B56EBC">
        <w:rPr>
          <w:rFonts w:ascii="Arial" w:hAnsi="Arial" w:cs="Arial"/>
          <w:b/>
          <w:bCs/>
          <w:color w:val="800000"/>
          <w:kern w:val="28"/>
          <w:sz w:val="20"/>
          <w:szCs w:val="20"/>
        </w:rPr>
        <w:t xml:space="preserve"> de</w:t>
      </w:r>
      <w:r w:rsidR="00975EB6">
        <w:rPr>
          <w:rFonts w:ascii="Arial" w:hAnsi="Arial" w:cs="Arial"/>
          <w:b/>
          <w:bCs/>
          <w:color w:val="800000"/>
          <w:kern w:val="28"/>
          <w:sz w:val="20"/>
          <w:szCs w:val="20"/>
        </w:rPr>
        <w:t xml:space="preserve"> </w:t>
      </w:r>
      <w:r w:rsidR="00B10EA4">
        <w:rPr>
          <w:rFonts w:ascii="Arial" w:hAnsi="Arial" w:cs="Arial"/>
          <w:b/>
          <w:bCs/>
          <w:color w:val="800000"/>
          <w:kern w:val="28"/>
          <w:sz w:val="20"/>
          <w:szCs w:val="20"/>
        </w:rPr>
        <w:t xml:space="preserve">la </w:t>
      </w:r>
      <w:r w:rsidR="0038690B">
        <w:rPr>
          <w:rFonts w:ascii="Arial" w:hAnsi="Arial" w:cs="Arial"/>
          <w:b/>
          <w:bCs/>
          <w:color w:val="800000"/>
          <w:kern w:val="28"/>
          <w:sz w:val="20"/>
          <w:szCs w:val="20"/>
        </w:rPr>
        <w:t>croissance</w:t>
      </w:r>
      <w:r w:rsidR="00975EB6">
        <w:rPr>
          <w:rFonts w:ascii="Arial" w:hAnsi="Arial" w:cs="Arial"/>
          <w:b/>
          <w:bCs/>
          <w:color w:val="800000"/>
          <w:kern w:val="28"/>
          <w:sz w:val="20"/>
          <w:szCs w:val="20"/>
        </w:rPr>
        <w:t xml:space="preserve"> </w:t>
      </w:r>
      <w:r w:rsidR="00B10EA4">
        <w:rPr>
          <w:rFonts w:ascii="Arial" w:hAnsi="Arial" w:cs="Arial"/>
          <w:b/>
          <w:bCs/>
          <w:color w:val="800000"/>
          <w:kern w:val="28"/>
          <w:sz w:val="20"/>
          <w:szCs w:val="20"/>
        </w:rPr>
        <w:t xml:space="preserve">économique </w:t>
      </w:r>
      <w:r w:rsidR="0097276B">
        <w:rPr>
          <w:rFonts w:ascii="Arial" w:hAnsi="Arial" w:cs="Arial"/>
          <w:b/>
          <w:bCs/>
          <w:color w:val="800000"/>
          <w:kern w:val="28"/>
          <w:sz w:val="20"/>
          <w:szCs w:val="20"/>
        </w:rPr>
        <w:t xml:space="preserve">au </w:t>
      </w:r>
      <w:r w:rsidR="0097276B" w:rsidRPr="001640A8">
        <w:rPr>
          <w:rFonts w:ascii="Arial" w:hAnsi="Arial" w:cs="Arial"/>
          <w:b/>
          <w:bCs/>
          <w:color w:val="800000"/>
          <w:kern w:val="28"/>
          <w:sz w:val="20"/>
          <w:szCs w:val="20"/>
        </w:rPr>
        <w:t xml:space="preserve"> </w:t>
      </w:r>
      <w:r w:rsidR="00C27732">
        <w:rPr>
          <w:rFonts w:ascii="Arial" w:hAnsi="Arial" w:cs="Arial"/>
          <w:b/>
          <w:bCs/>
          <w:color w:val="800000"/>
          <w:kern w:val="28"/>
          <w:sz w:val="20"/>
          <w:szCs w:val="20"/>
        </w:rPr>
        <w:t>deuxième</w:t>
      </w:r>
      <w:r w:rsidR="00954A9F">
        <w:rPr>
          <w:rFonts w:ascii="Arial" w:hAnsi="Arial" w:cs="Arial"/>
          <w:b/>
          <w:bCs/>
          <w:color w:val="800000"/>
          <w:kern w:val="28"/>
          <w:sz w:val="20"/>
          <w:szCs w:val="20"/>
        </w:rPr>
        <w:t xml:space="preserve"> </w:t>
      </w:r>
      <w:r w:rsidR="0097276B" w:rsidRPr="001640A8">
        <w:rPr>
          <w:rFonts w:ascii="Arial" w:hAnsi="Arial" w:cs="Arial"/>
          <w:b/>
          <w:bCs/>
          <w:color w:val="800000"/>
          <w:kern w:val="28"/>
          <w:sz w:val="20"/>
          <w:szCs w:val="20"/>
        </w:rPr>
        <w:t>trimestre 201</w:t>
      </w:r>
      <w:r w:rsidR="00954A9F">
        <w:rPr>
          <w:rFonts w:ascii="Arial" w:hAnsi="Arial" w:cs="Arial"/>
          <w:b/>
          <w:bCs/>
          <w:color w:val="800000"/>
          <w:kern w:val="28"/>
          <w:sz w:val="20"/>
          <w:szCs w:val="20"/>
        </w:rPr>
        <w:t>9</w:t>
      </w:r>
    </w:p>
    <w:p w:rsidR="0097276B" w:rsidRDefault="0097276B" w:rsidP="0032191A">
      <w:pPr>
        <w:jc w:val="both"/>
        <w:rPr>
          <w:rFonts w:ascii="Arial" w:hAnsi="Arial" w:cs="Arial"/>
          <w:b/>
          <w:bCs/>
          <w:color w:val="800000"/>
          <w:kern w:val="28"/>
          <w:sz w:val="20"/>
          <w:szCs w:val="20"/>
        </w:rPr>
      </w:pPr>
    </w:p>
    <w:p w:rsidR="00234672" w:rsidRDefault="00234672" w:rsidP="00234672">
      <w:pPr>
        <w:jc w:val="both"/>
        <w:rPr>
          <w:rFonts w:ascii="Arial" w:hAnsi="Arial" w:cs="Arial"/>
          <w:sz w:val="20"/>
          <w:szCs w:val="20"/>
        </w:rPr>
      </w:pPr>
      <w:r w:rsidRPr="00515E01">
        <w:rPr>
          <w:rFonts w:ascii="Arial" w:hAnsi="Arial" w:cs="Arial"/>
          <w:sz w:val="20"/>
          <w:szCs w:val="20"/>
        </w:rPr>
        <w:t xml:space="preserve">La </w:t>
      </w:r>
      <w:r w:rsidRPr="00234672">
        <w:rPr>
          <w:rFonts w:ascii="Arial" w:hAnsi="Arial" w:cs="Arial"/>
          <w:b/>
          <w:bCs/>
          <w:sz w:val="20"/>
          <w:szCs w:val="20"/>
        </w:rPr>
        <w:t>croissance économique</w:t>
      </w:r>
      <w:r w:rsidRPr="00515E01">
        <w:rPr>
          <w:rFonts w:ascii="Arial" w:hAnsi="Arial" w:cs="Arial"/>
          <w:sz w:val="20"/>
          <w:szCs w:val="20"/>
        </w:rPr>
        <w:t xml:space="preserve"> devrait rester modérée au deuxième trimestre 2019, pâtissant du repli </w:t>
      </w:r>
      <w:r>
        <w:rPr>
          <w:rFonts w:ascii="Arial" w:hAnsi="Arial" w:cs="Arial"/>
          <w:sz w:val="20"/>
          <w:szCs w:val="20"/>
        </w:rPr>
        <w:t xml:space="preserve">moins accentué </w:t>
      </w:r>
      <w:r w:rsidRPr="00515E01">
        <w:rPr>
          <w:rFonts w:ascii="Arial" w:hAnsi="Arial" w:cs="Arial"/>
          <w:sz w:val="20"/>
          <w:szCs w:val="20"/>
        </w:rPr>
        <w:t>de la valeur ajoutée agricole</w:t>
      </w:r>
      <w:r>
        <w:rPr>
          <w:rFonts w:ascii="Arial" w:hAnsi="Arial" w:cs="Arial"/>
          <w:sz w:val="20"/>
          <w:szCs w:val="20"/>
        </w:rPr>
        <w:t xml:space="preserve"> (-4,3%, en variation annuelle). La </w:t>
      </w:r>
      <w:r w:rsidRPr="00515E01">
        <w:rPr>
          <w:rFonts w:ascii="Arial" w:hAnsi="Arial" w:cs="Arial"/>
          <w:sz w:val="20"/>
          <w:szCs w:val="20"/>
        </w:rPr>
        <w:t xml:space="preserve">production animale </w:t>
      </w:r>
      <w:r>
        <w:rPr>
          <w:rFonts w:ascii="Arial" w:hAnsi="Arial" w:cs="Arial"/>
          <w:sz w:val="20"/>
          <w:szCs w:val="20"/>
        </w:rPr>
        <w:t xml:space="preserve">serait </w:t>
      </w:r>
      <w:r w:rsidRPr="00515E01">
        <w:rPr>
          <w:rFonts w:ascii="Arial" w:hAnsi="Arial" w:cs="Arial"/>
          <w:sz w:val="20"/>
          <w:szCs w:val="20"/>
        </w:rPr>
        <w:t xml:space="preserve">favorisée par une </w:t>
      </w:r>
      <w:r>
        <w:rPr>
          <w:rFonts w:ascii="Arial" w:hAnsi="Arial" w:cs="Arial"/>
          <w:sz w:val="20"/>
          <w:szCs w:val="20"/>
        </w:rPr>
        <w:t>hausse</w:t>
      </w:r>
      <w:r w:rsidRPr="00515E01">
        <w:rPr>
          <w:rFonts w:ascii="Arial" w:hAnsi="Arial" w:cs="Arial"/>
          <w:sz w:val="20"/>
          <w:szCs w:val="20"/>
        </w:rPr>
        <w:t xml:space="preserve"> conjuguée des abattages du grand cheptel et de l’aviculture</w:t>
      </w:r>
      <w:r>
        <w:rPr>
          <w:rFonts w:ascii="Arial" w:hAnsi="Arial" w:cs="Arial"/>
          <w:sz w:val="20"/>
          <w:szCs w:val="20"/>
        </w:rPr>
        <w:t xml:space="preserve"> et l</w:t>
      </w:r>
      <w:r w:rsidRPr="00515E01">
        <w:rPr>
          <w:rFonts w:ascii="Arial" w:hAnsi="Arial" w:cs="Arial"/>
          <w:sz w:val="20"/>
          <w:szCs w:val="20"/>
        </w:rPr>
        <w:t xml:space="preserve">a contraction de la production végétale </w:t>
      </w:r>
      <w:r>
        <w:rPr>
          <w:rFonts w:ascii="Arial" w:hAnsi="Arial" w:cs="Arial"/>
          <w:sz w:val="20"/>
          <w:szCs w:val="20"/>
        </w:rPr>
        <w:t>s’atténuerait légèrement</w:t>
      </w:r>
      <w:r w:rsidRPr="00515E01">
        <w:rPr>
          <w:rFonts w:ascii="Arial" w:hAnsi="Arial" w:cs="Arial"/>
          <w:sz w:val="20"/>
          <w:szCs w:val="20"/>
        </w:rPr>
        <w:t>, grâce à un redressement probable des cultures maraichères</w:t>
      </w:r>
      <w:r>
        <w:rPr>
          <w:rFonts w:ascii="Arial" w:hAnsi="Arial" w:cs="Arial"/>
          <w:sz w:val="20"/>
          <w:szCs w:val="20"/>
        </w:rPr>
        <w:t>.</w:t>
      </w:r>
    </w:p>
    <w:p w:rsidR="008A604A" w:rsidRPr="009D0552" w:rsidRDefault="008A604A" w:rsidP="00527EE8">
      <w:pPr>
        <w:jc w:val="both"/>
        <w:rPr>
          <w:rFonts w:ascii="Arial" w:hAnsi="Arial" w:cs="Arial"/>
          <w:sz w:val="20"/>
          <w:szCs w:val="20"/>
        </w:rPr>
      </w:pPr>
    </w:p>
    <w:p w:rsidR="00F97E82" w:rsidRDefault="00947C72" w:rsidP="00031DA8">
      <w:pPr>
        <w:jc w:val="both"/>
        <w:rPr>
          <w:rFonts w:ascii="Arial" w:hAnsi="Arial" w:cs="Arial"/>
          <w:iCs/>
          <w:sz w:val="20"/>
          <w:szCs w:val="20"/>
          <w:lang w:eastAsia="en-US"/>
        </w:rPr>
      </w:pPr>
      <w:r>
        <w:rPr>
          <w:rFonts w:ascii="Arial" w:hAnsi="Arial" w:cs="Arial"/>
          <w:iCs/>
          <w:noProof/>
          <w:sz w:val="20"/>
          <w:szCs w:val="20"/>
        </w:rPr>
        <w:drawing>
          <wp:anchor distT="0" distB="0" distL="114300" distR="114300" simplePos="0" relativeHeight="251685376" behindDoc="0" locked="0" layoutInCell="1" allowOverlap="1">
            <wp:simplePos x="0" y="0"/>
            <wp:positionH relativeFrom="column">
              <wp:posOffset>4549140</wp:posOffset>
            </wp:positionH>
            <wp:positionV relativeFrom="paragraph">
              <wp:posOffset>313690</wp:posOffset>
            </wp:positionV>
            <wp:extent cx="2000885" cy="1620520"/>
            <wp:effectExtent l="19050" t="0" r="0" b="0"/>
            <wp:wrapSquare wrapText="bothSides"/>
            <wp:docPr id="1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2000885" cy="1620520"/>
                    </a:xfrm>
                    <a:prstGeom prst="rect">
                      <a:avLst/>
                    </a:prstGeom>
                    <a:noFill/>
                    <a:ln w="9525">
                      <a:noFill/>
                      <a:miter lim="800000"/>
                      <a:headEnd/>
                      <a:tailEnd/>
                    </a:ln>
                  </pic:spPr>
                </pic:pic>
              </a:graphicData>
            </a:graphic>
          </wp:anchor>
        </w:drawing>
      </w:r>
      <w:r w:rsidR="00F97E82" w:rsidRPr="005B6933">
        <w:rPr>
          <w:rFonts w:ascii="Arial" w:hAnsi="Arial" w:cs="Arial"/>
          <w:iCs/>
          <w:sz w:val="20"/>
          <w:szCs w:val="20"/>
          <w:lang w:eastAsia="en-US"/>
        </w:rPr>
        <w:t xml:space="preserve">Hors agriculture, l’activité économique évoluerait dans un contexte international marqué par une atténuation progressive des incertitudes commerciales et politiques, de nature à affecter </w:t>
      </w:r>
      <w:r w:rsidR="00031DA8" w:rsidRPr="005B6933">
        <w:rPr>
          <w:rFonts w:ascii="Arial" w:hAnsi="Arial" w:cs="Arial"/>
          <w:iCs/>
          <w:sz w:val="20"/>
          <w:szCs w:val="20"/>
          <w:lang w:eastAsia="en-US"/>
        </w:rPr>
        <w:t xml:space="preserve">moins </w:t>
      </w:r>
      <w:r w:rsidR="00031DA8">
        <w:rPr>
          <w:rFonts w:ascii="Arial" w:hAnsi="Arial" w:cs="Arial"/>
          <w:iCs/>
          <w:sz w:val="20"/>
          <w:szCs w:val="20"/>
          <w:lang w:eastAsia="en-US"/>
        </w:rPr>
        <w:t xml:space="preserve">sensiblement </w:t>
      </w:r>
      <w:r w:rsidR="00F97E82" w:rsidRPr="005B6933">
        <w:rPr>
          <w:rFonts w:ascii="Arial" w:hAnsi="Arial" w:cs="Arial"/>
          <w:iCs/>
          <w:sz w:val="20"/>
          <w:szCs w:val="20"/>
          <w:lang w:eastAsia="en-US"/>
        </w:rPr>
        <w:t xml:space="preserve">le commerce mondial qui progresserait de 2,1%, en variation annuelle. Toutefois, les échanges commerciaux resteraient  tributaires d'éventuelles restrictions douanières de la part des Etats-Unis et de la Chine et de l'issue du Brexit qui pourraient les pénaliser. Par ailleurs, les politiques budgétaires expansionnistes mises en place dans plusieurs pays de la zone euro (Espagne, Italie, France, Allemagne) permettraient de soutenir la demande intérieure. L'aboutissement des négociations sur le Brexit et le climat d'attentisme pourraient, cependant, affecter davantage les investissements et générer de l'inquiétude sur les marchés financiers. Les pressions inflationnistes, quant à elles, resteraient subordonnées à l'évolution des cours des matières premières énergétiques sur le marché mondial. En zone euro, l'inflation devrait rester contenue et se limiterait à 1,2%. </w:t>
      </w:r>
    </w:p>
    <w:p w:rsidR="00947C72" w:rsidRPr="005B6933" w:rsidRDefault="00947C72" w:rsidP="00F97E82">
      <w:pPr>
        <w:jc w:val="both"/>
        <w:rPr>
          <w:rFonts w:ascii="Arial" w:hAnsi="Arial" w:cs="Arial"/>
          <w:iCs/>
          <w:sz w:val="20"/>
          <w:szCs w:val="20"/>
          <w:lang w:eastAsia="en-US"/>
        </w:rPr>
      </w:pPr>
    </w:p>
    <w:p w:rsidR="005104BC" w:rsidRDefault="00C2750A" w:rsidP="004A67FC">
      <w:pPr>
        <w:jc w:val="both"/>
        <w:rPr>
          <w:rFonts w:ascii="Arial" w:hAnsi="Arial" w:cs="Arial"/>
          <w:sz w:val="20"/>
          <w:szCs w:val="20"/>
          <w:rtl/>
        </w:rPr>
      </w:pPr>
      <w:r w:rsidRPr="00C2750A">
        <w:rPr>
          <w:rFonts w:ascii="Arial" w:hAnsi="Arial" w:cs="Arial"/>
          <w:sz w:val="20"/>
          <w:szCs w:val="20"/>
        </w:rPr>
        <w:t>Dans ce contexte, la demande mondiale adressée au Maroc devrait enregistrer une hausse de 2,9%, en variation annuelle.</w:t>
      </w:r>
      <w:r>
        <w:rPr>
          <w:rFonts w:ascii="Arial" w:hAnsi="Arial" w:cs="Arial"/>
          <w:sz w:val="20"/>
          <w:szCs w:val="20"/>
        </w:rPr>
        <w:t xml:space="preserve"> </w:t>
      </w:r>
      <w:r w:rsidR="000566DE">
        <w:rPr>
          <w:rFonts w:ascii="Arial" w:hAnsi="Arial" w:cs="Arial"/>
          <w:sz w:val="20"/>
          <w:szCs w:val="20"/>
        </w:rPr>
        <w:t xml:space="preserve">Cette </w:t>
      </w:r>
      <w:r w:rsidR="0021248F">
        <w:rPr>
          <w:rFonts w:ascii="Arial" w:hAnsi="Arial" w:cs="Arial"/>
          <w:sz w:val="20"/>
          <w:szCs w:val="20"/>
        </w:rPr>
        <w:t>amélioration</w:t>
      </w:r>
      <w:r w:rsidR="000566DE">
        <w:rPr>
          <w:rFonts w:ascii="Arial" w:hAnsi="Arial" w:cs="Arial"/>
          <w:sz w:val="20"/>
          <w:szCs w:val="20"/>
        </w:rPr>
        <w:t xml:space="preserve"> profiterait, notamment</w:t>
      </w:r>
      <w:r w:rsidR="00DF72FC">
        <w:rPr>
          <w:rFonts w:ascii="Arial" w:hAnsi="Arial" w:cs="Arial"/>
          <w:sz w:val="20"/>
          <w:szCs w:val="20"/>
        </w:rPr>
        <w:t>,</w:t>
      </w:r>
      <w:r w:rsidR="000566DE">
        <w:rPr>
          <w:rFonts w:ascii="Arial" w:hAnsi="Arial" w:cs="Arial"/>
          <w:sz w:val="20"/>
          <w:szCs w:val="20"/>
        </w:rPr>
        <w:t xml:space="preserve"> au</w:t>
      </w:r>
      <w:r w:rsidR="004A67FC">
        <w:rPr>
          <w:rFonts w:ascii="Arial" w:hAnsi="Arial" w:cs="Arial"/>
          <w:sz w:val="20"/>
          <w:szCs w:val="20"/>
        </w:rPr>
        <w:t xml:space="preserve"> secteur secondaire</w:t>
      </w:r>
      <w:r w:rsidR="000566DE">
        <w:rPr>
          <w:rFonts w:ascii="Arial" w:hAnsi="Arial" w:cs="Arial"/>
          <w:sz w:val="20"/>
          <w:szCs w:val="20"/>
        </w:rPr>
        <w:t xml:space="preserve"> dont la croissance s’établirait à </w:t>
      </w:r>
      <w:r w:rsidR="00786ED3">
        <w:rPr>
          <w:rFonts w:ascii="Arial" w:hAnsi="Arial" w:cs="Arial" w:hint="cs"/>
          <w:sz w:val="20"/>
          <w:szCs w:val="20"/>
          <w:rtl/>
        </w:rPr>
        <w:t>3</w:t>
      </w:r>
      <w:r w:rsidR="00A44FD8">
        <w:rPr>
          <w:rFonts w:ascii="Arial" w:hAnsi="Arial" w:cs="Arial"/>
          <w:sz w:val="20"/>
          <w:szCs w:val="20"/>
        </w:rPr>
        <w:t>,</w:t>
      </w:r>
      <w:r w:rsidR="004A67FC">
        <w:rPr>
          <w:rFonts w:ascii="Arial" w:hAnsi="Arial" w:cs="Arial"/>
          <w:sz w:val="20"/>
          <w:szCs w:val="20"/>
        </w:rPr>
        <w:t>2</w:t>
      </w:r>
      <w:r w:rsidR="00936A58" w:rsidRPr="00936A58">
        <w:rPr>
          <w:rFonts w:ascii="Arial" w:hAnsi="Arial" w:cs="Arial"/>
          <w:sz w:val="20"/>
          <w:szCs w:val="20"/>
        </w:rPr>
        <w:t xml:space="preserve">%, au </w:t>
      </w:r>
      <w:r w:rsidR="00C27732">
        <w:rPr>
          <w:rFonts w:ascii="Arial" w:hAnsi="Arial" w:cs="Arial"/>
          <w:sz w:val="20"/>
          <w:szCs w:val="20"/>
        </w:rPr>
        <w:t>deuxième</w:t>
      </w:r>
      <w:r w:rsidR="00936A58" w:rsidRPr="00936A58">
        <w:rPr>
          <w:rFonts w:ascii="Arial" w:hAnsi="Arial" w:cs="Arial"/>
          <w:sz w:val="20"/>
          <w:szCs w:val="20"/>
        </w:rPr>
        <w:t xml:space="preserve"> trimestre 201</w:t>
      </w:r>
      <w:r w:rsidR="00954A9F">
        <w:rPr>
          <w:rFonts w:ascii="Arial" w:hAnsi="Arial" w:cs="Arial"/>
          <w:sz w:val="20"/>
          <w:szCs w:val="20"/>
        </w:rPr>
        <w:t>9</w:t>
      </w:r>
      <w:r w:rsidR="000566DE">
        <w:rPr>
          <w:rFonts w:ascii="Arial" w:hAnsi="Arial" w:cs="Arial"/>
          <w:sz w:val="20"/>
          <w:szCs w:val="20"/>
        </w:rPr>
        <w:t xml:space="preserve">. </w:t>
      </w:r>
      <w:r w:rsidR="002155FC" w:rsidRPr="00936A58">
        <w:rPr>
          <w:rFonts w:ascii="Arial" w:hAnsi="Arial" w:cs="Arial"/>
          <w:sz w:val="20"/>
          <w:szCs w:val="20"/>
        </w:rPr>
        <w:t xml:space="preserve">Quant au secteur tertiaire, sa valeur ajoutée croîtrait </w:t>
      </w:r>
      <w:r w:rsidR="002155FC" w:rsidRPr="00B14750">
        <w:rPr>
          <w:rFonts w:ascii="Arial" w:hAnsi="Arial" w:cs="Arial"/>
          <w:sz w:val="20"/>
          <w:szCs w:val="20"/>
        </w:rPr>
        <w:t>de 3</w:t>
      </w:r>
      <w:r w:rsidR="00786ED3" w:rsidRPr="00B14750">
        <w:rPr>
          <w:rFonts w:ascii="Arial" w:hAnsi="Arial" w:cs="Arial"/>
          <w:sz w:val="20"/>
          <w:szCs w:val="20"/>
        </w:rPr>
        <w:t>,</w:t>
      </w:r>
      <w:r w:rsidR="005C7618">
        <w:rPr>
          <w:rFonts w:ascii="Arial" w:hAnsi="Arial" w:cs="Arial"/>
          <w:sz w:val="20"/>
          <w:szCs w:val="20"/>
        </w:rPr>
        <w:t>1</w:t>
      </w:r>
      <w:r w:rsidR="002155FC" w:rsidRPr="00B14750">
        <w:rPr>
          <w:rFonts w:ascii="Arial" w:hAnsi="Arial" w:cs="Arial"/>
          <w:sz w:val="20"/>
          <w:szCs w:val="20"/>
        </w:rPr>
        <w:t xml:space="preserve">%, contribuant pour </w:t>
      </w:r>
      <w:r w:rsidR="005C7618">
        <w:rPr>
          <w:rFonts w:ascii="Arial" w:hAnsi="Arial" w:cs="Arial"/>
          <w:sz w:val="20"/>
          <w:szCs w:val="20"/>
        </w:rPr>
        <w:t>1</w:t>
      </w:r>
      <w:r w:rsidR="002155FC" w:rsidRPr="00B14750">
        <w:rPr>
          <w:rFonts w:ascii="Arial" w:hAnsi="Arial" w:cs="Arial"/>
          <w:sz w:val="20"/>
          <w:szCs w:val="20"/>
        </w:rPr>
        <w:t>,</w:t>
      </w:r>
      <w:r w:rsidR="005C7618">
        <w:rPr>
          <w:rFonts w:ascii="Arial" w:hAnsi="Arial" w:cs="Arial"/>
          <w:sz w:val="20"/>
          <w:szCs w:val="20"/>
        </w:rPr>
        <w:t>5</w:t>
      </w:r>
      <w:r w:rsidR="002155FC" w:rsidRPr="00B14750">
        <w:rPr>
          <w:rFonts w:ascii="Arial" w:hAnsi="Arial" w:cs="Arial"/>
          <w:sz w:val="20"/>
          <w:szCs w:val="20"/>
        </w:rPr>
        <w:t xml:space="preserve"> point à la croissance globale du PIB.</w:t>
      </w:r>
      <w:r w:rsidR="005104BC" w:rsidRPr="00B14750">
        <w:rPr>
          <w:rFonts w:ascii="Arial" w:hAnsi="Arial" w:cs="Arial"/>
          <w:sz w:val="20"/>
          <w:szCs w:val="20"/>
        </w:rPr>
        <w:t xml:space="preserve"> </w:t>
      </w:r>
    </w:p>
    <w:p w:rsidR="007A011E" w:rsidRPr="00B14750" w:rsidRDefault="007A011E" w:rsidP="002F11A1">
      <w:pPr>
        <w:jc w:val="both"/>
        <w:rPr>
          <w:rFonts w:ascii="Arial" w:hAnsi="Arial" w:cs="Arial"/>
          <w:sz w:val="20"/>
          <w:szCs w:val="20"/>
        </w:rPr>
      </w:pPr>
    </w:p>
    <w:p w:rsidR="00F64221" w:rsidRPr="00936A58" w:rsidRDefault="002C3866" w:rsidP="00C13B39">
      <w:pPr>
        <w:jc w:val="both"/>
        <w:rPr>
          <w:rFonts w:ascii="Arial" w:hAnsi="Arial" w:cs="Arial"/>
          <w:sz w:val="20"/>
          <w:szCs w:val="20"/>
        </w:rPr>
      </w:pPr>
      <w:r>
        <w:rPr>
          <w:rFonts w:ascii="Arial" w:hAnsi="Arial" w:cs="Arial"/>
          <w:sz w:val="20"/>
          <w:szCs w:val="20"/>
        </w:rPr>
        <w:t>Globalement</w:t>
      </w:r>
      <w:r w:rsidR="00F21672">
        <w:rPr>
          <w:rFonts w:ascii="Arial" w:hAnsi="Arial" w:cs="Arial"/>
          <w:sz w:val="20"/>
          <w:szCs w:val="20"/>
        </w:rPr>
        <w:t xml:space="preserve">, </w:t>
      </w:r>
      <w:r w:rsidR="00F21672" w:rsidRPr="00936A58">
        <w:rPr>
          <w:rFonts w:ascii="Arial" w:hAnsi="Arial" w:cs="Arial"/>
          <w:sz w:val="20"/>
          <w:szCs w:val="20"/>
        </w:rPr>
        <w:t>l</w:t>
      </w:r>
      <w:r w:rsidR="00791F67">
        <w:rPr>
          <w:rFonts w:ascii="Arial" w:hAnsi="Arial" w:cs="Arial"/>
          <w:sz w:val="20"/>
          <w:szCs w:val="20"/>
        </w:rPr>
        <w:t xml:space="preserve">a </w:t>
      </w:r>
      <w:r w:rsidR="00791F67" w:rsidRPr="00B27BD7">
        <w:rPr>
          <w:rFonts w:ascii="Arial" w:hAnsi="Arial" w:cs="Arial"/>
          <w:sz w:val="20"/>
          <w:szCs w:val="20"/>
        </w:rPr>
        <w:t>valeur ajoutée</w:t>
      </w:r>
      <w:r w:rsidR="00F21672" w:rsidRPr="00B27BD7">
        <w:rPr>
          <w:rFonts w:ascii="Arial" w:hAnsi="Arial" w:cs="Arial"/>
          <w:sz w:val="20"/>
          <w:szCs w:val="20"/>
        </w:rPr>
        <w:t xml:space="preserve"> </w:t>
      </w:r>
      <w:r w:rsidR="00791F67" w:rsidRPr="00B27BD7">
        <w:rPr>
          <w:rFonts w:ascii="Arial" w:hAnsi="Arial" w:cs="Arial"/>
          <w:sz w:val="20"/>
          <w:szCs w:val="20"/>
        </w:rPr>
        <w:t>hors a</w:t>
      </w:r>
      <w:r w:rsidR="00F21672" w:rsidRPr="00B27BD7">
        <w:rPr>
          <w:rFonts w:ascii="Arial" w:hAnsi="Arial" w:cs="Arial"/>
          <w:sz w:val="20"/>
          <w:szCs w:val="20"/>
        </w:rPr>
        <w:t>gric</w:t>
      </w:r>
      <w:r w:rsidR="00791F67" w:rsidRPr="00B27BD7">
        <w:rPr>
          <w:rFonts w:ascii="Arial" w:hAnsi="Arial" w:cs="Arial"/>
          <w:sz w:val="20"/>
          <w:szCs w:val="20"/>
        </w:rPr>
        <w:t>ulture</w:t>
      </w:r>
      <w:r w:rsidR="00F21672" w:rsidRPr="00936A58">
        <w:rPr>
          <w:rFonts w:ascii="Arial" w:hAnsi="Arial" w:cs="Arial"/>
          <w:sz w:val="20"/>
          <w:szCs w:val="20"/>
        </w:rPr>
        <w:t xml:space="preserve"> s’améliorerait de </w:t>
      </w:r>
      <w:r w:rsidR="005259E6">
        <w:rPr>
          <w:rFonts w:ascii="Arial" w:hAnsi="Arial" w:cs="Arial"/>
          <w:sz w:val="20"/>
          <w:szCs w:val="20"/>
        </w:rPr>
        <w:t>3</w:t>
      </w:r>
      <w:r w:rsidR="00F21672" w:rsidRPr="00936A58">
        <w:rPr>
          <w:rFonts w:ascii="Arial" w:hAnsi="Arial" w:cs="Arial"/>
          <w:sz w:val="20"/>
          <w:szCs w:val="20"/>
        </w:rPr>
        <w:t>,</w:t>
      </w:r>
      <w:r w:rsidR="00C13B39">
        <w:rPr>
          <w:rFonts w:ascii="Arial" w:hAnsi="Arial" w:cs="Arial" w:hint="cs"/>
          <w:sz w:val="20"/>
          <w:szCs w:val="20"/>
          <w:rtl/>
        </w:rPr>
        <w:t>3</w:t>
      </w:r>
      <w:r w:rsidR="00F21672" w:rsidRPr="00936A58">
        <w:rPr>
          <w:rFonts w:ascii="Arial" w:hAnsi="Arial" w:cs="Arial"/>
          <w:sz w:val="20"/>
          <w:szCs w:val="20"/>
        </w:rPr>
        <w:t xml:space="preserve">% au </w:t>
      </w:r>
      <w:r w:rsidR="00C27732">
        <w:rPr>
          <w:rFonts w:ascii="Arial" w:hAnsi="Arial" w:cs="Arial"/>
          <w:sz w:val="20"/>
          <w:szCs w:val="20"/>
        </w:rPr>
        <w:t>deuxième</w:t>
      </w:r>
      <w:r w:rsidR="00F21672" w:rsidRPr="00936A58">
        <w:rPr>
          <w:rFonts w:ascii="Arial" w:hAnsi="Arial" w:cs="Arial"/>
          <w:sz w:val="20"/>
          <w:szCs w:val="20"/>
        </w:rPr>
        <w:t xml:space="preserve"> trimestre 201</w:t>
      </w:r>
      <w:r w:rsidR="00954A9F">
        <w:rPr>
          <w:rFonts w:ascii="Arial" w:hAnsi="Arial" w:cs="Arial"/>
          <w:sz w:val="20"/>
          <w:szCs w:val="20"/>
        </w:rPr>
        <w:t>9</w:t>
      </w:r>
      <w:r w:rsidR="005965D9">
        <w:rPr>
          <w:rFonts w:ascii="Arial" w:hAnsi="Arial" w:cs="Arial"/>
          <w:sz w:val="20"/>
          <w:szCs w:val="20"/>
        </w:rPr>
        <w:t>.</w:t>
      </w:r>
      <w:r w:rsidR="00A55655">
        <w:rPr>
          <w:rFonts w:ascii="Arial" w:hAnsi="Arial" w:cs="Arial"/>
          <w:sz w:val="20"/>
          <w:szCs w:val="20"/>
        </w:rPr>
        <w:t xml:space="preserve"> </w:t>
      </w:r>
      <w:r w:rsidR="00F21672">
        <w:rPr>
          <w:rFonts w:ascii="Arial" w:hAnsi="Arial" w:cs="Arial"/>
          <w:sz w:val="20"/>
          <w:szCs w:val="20"/>
        </w:rPr>
        <w:t xml:space="preserve">Compte tenu d’une </w:t>
      </w:r>
      <w:r w:rsidR="00EE361E">
        <w:rPr>
          <w:rFonts w:ascii="Arial" w:hAnsi="Arial" w:cs="Arial"/>
          <w:sz w:val="20"/>
          <w:szCs w:val="20"/>
        </w:rPr>
        <w:t>ré</w:t>
      </w:r>
      <w:r w:rsidR="00F21672">
        <w:rPr>
          <w:rFonts w:ascii="Arial" w:hAnsi="Arial" w:cs="Arial"/>
          <w:sz w:val="20"/>
          <w:szCs w:val="20"/>
        </w:rPr>
        <w:t xml:space="preserve">gression de </w:t>
      </w:r>
      <w:r w:rsidR="006949DF">
        <w:rPr>
          <w:rFonts w:ascii="Arial" w:hAnsi="Arial" w:cs="Arial"/>
          <w:sz w:val="20"/>
          <w:szCs w:val="20"/>
        </w:rPr>
        <w:t>4</w:t>
      </w:r>
      <w:r w:rsidR="00F21672">
        <w:rPr>
          <w:rFonts w:ascii="Arial" w:hAnsi="Arial" w:cs="Arial"/>
          <w:sz w:val="20"/>
          <w:szCs w:val="20"/>
        </w:rPr>
        <w:t>,</w:t>
      </w:r>
      <w:r w:rsidR="006949DF">
        <w:rPr>
          <w:rFonts w:ascii="Arial" w:hAnsi="Arial" w:cs="Arial"/>
          <w:sz w:val="20"/>
          <w:szCs w:val="20"/>
        </w:rPr>
        <w:t>3</w:t>
      </w:r>
      <w:r w:rsidR="00F21672">
        <w:rPr>
          <w:rFonts w:ascii="Arial" w:hAnsi="Arial" w:cs="Arial"/>
          <w:sz w:val="20"/>
          <w:szCs w:val="20"/>
        </w:rPr>
        <w:t>% de l</w:t>
      </w:r>
      <w:r w:rsidR="00F64221">
        <w:rPr>
          <w:rFonts w:ascii="Arial" w:hAnsi="Arial" w:cs="Arial"/>
          <w:sz w:val="20"/>
          <w:szCs w:val="20"/>
        </w:rPr>
        <w:t xml:space="preserve">a valeur ajoutée </w:t>
      </w:r>
      <w:r w:rsidR="00F64221" w:rsidRPr="002A1388">
        <w:rPr>
          <w:rFonts w:ascii="Arial" w:hAnsi="Arial" w:cs="Arial"/>
          <w:sz w:val="20"/>
          <w:szCs w:val="20"/>
        </w:rPr>
        <w:t>agricole</w:t>
      </w:r>
      <w:r w:rsidR="00F21672" w:rsidRPr="004535A6">
        <w:rPr>
          <w:rFonts w:ascii="Arial" w:hAnsi="Arial" w:cs="Arial"/>
          <w:sz w:val="20"/>
          <w:szCs w:val="20"/>
        </w:rPr>
        <w:t xml:space="preserve">, </w:t>
      </w:r>
      <w:r w:rsidR="00C510E0" w:rsidRPr="004535A6">
        <w:rPr>
          <w:rFonts w:ascii="Arial" w:hAnsi="Arial" w:cs="Arial"/>
          <w:sz w:val="20"/>
          <w:szCs w:val="20"/>
        </w:rPr>
        <w:t xml:space="preserve">la </w:t>
      </w:r>
      <w:r w:rsidR="00C510E0" w:rsidRPr="004535A6">
        <w:rPr>
          <w:rFonts w:ascii="Arial" w:hAnsi="Arial" w:cs="Arial"/>
          <w:b/>
          <w:bCs/>
          <w:sz w:val="20"/>
          <w:szCs w:val="20"/>
        </w:rPr>
        <w:t>croissance économique nationale</w:t>
      </w:r>
      <w:r w:rsidR="00C510E0" w:rsidRPr="004535A6">
        <w:rPr>
          <w:rFonts w:ascii="Arial" w:hAnsi="Arial" w:cs="Arial"/>
          <w:sz w:val="20"/>
          <w:szCs w:val="20"/>
        </w:rPr>
        <w:t xml:space="preserve"> serait de</w:t>
      </w:r>
      <w:r w:rsidR="00936A58" w:rsidRPr="00936A58">
        <w:rPr>
          <w:rFonts w:ascii="Arial" w:hAnsi="Arial" w:cs="Arial"/>
          <w:sz w:val="20"/>
          <w:szCs w:val="20"/>
        </w:rPr>
        <w:t xml:space="preserve"> </w:t>
      </w:r>
      <w:r w:rsidR="00B53C3F">
        <w:rPr>
          <w:rFonts w:ascii="Arial" w:hAnsi="Arial" w:cs="Arial"/>
          <w:sz w:val="20"/>
          <w:szCs w:val="20"/>
        </w:rPr>
        <w:t>2,</w:t>
      </w:r>
      <w:r w:rsidR="00A44FD8">
        <w:rPr>
          <w:rFonts w:ascii="Arial" w:hAnsi="Arial" w:cs="Arial"/>
          <w:sz w:val="20"/>
          <w:szCs w:val="20"/>
        </w:rPr>
        <w:t>4</w:t>
      </w:r>
      <w:r w:rsidR="00936A58" w:rsidRPr="00936A58">
        <w:rPr>
          <w:rFonts w:ascii="Arial" w:hAnsi="Arial" w:cs="Arial"/>
          <w:sz w:val="20"/>
          <w:szCs w:val="20"/>
        </w:rPr>
        <w:t>%</w:t>
      </w:r>
      <w:r w:rsidR="00C510E0">
        <w:rPr>
          <w:rFonts w:ascii="Arial" w:hAnsi="Arial" w:cs="Arial"/>
          <w:sz w:val="20"/>
          <w:szCs w:val="20"/>
        </w:rPr>
        <w:t xml:space="preserve">, au </w:t>
      </w:r>
      <w:r w:rsidR="005259E6">
        <w:rPr>
          <w:rFonts w:ascii="Arial" w:hAnsi="Arial" w:cs="Arial"/>
          <w:sz w:val="20"/>
          <w:szCs w:val="20"/>
        </w:rPr>
        <w:t>deuxième</w:t>
      </w:r>
      <w:r w:rsidR="00C510E0">
        <w:rPr>
          <w:rFonts w:ascii="Arial" w:hAnsi="Arial" w:cs="Arial"/>
          <w:sz w:val="20"/>
          <w:szCs w:val="20"/>
        </w:rPr>
        <w:t xml:space="preserve"> trimestre 201</w:t>
      </w:r>
      <w:r w:rsidR="00954A9F">
        <w:rPr>
          <w:rFonts w:ascii="Arial" w:hAnsi="Arial" w:cs="Arial"/>
          <w:sz w:val="20"/>
          <w:szCs w:val="20"/>
        </w:rPr>
        <w:t>9</w:t>
      </w:r>
      <w:r w:rsidR="00FA6910">
        <w:rPr>
          <w:rFonts w:ascii="Arial" w:hAnsi="Arial" w:cs="Arial"/>
          <w:sz w:val="20"/>
          <w:szCs w:val="20"/>
        </w:rPr>
        <w:t xml:space="preserve">, au lieu de </w:t>
      </w:r>
      <w:r w:rsidR="0004531B">
        <w:rPr>
          <w:rFonts w:ascii="Arial" w:hAnsi="Arial" w:cs="Arial"/>
          <w:sz w:val="20"/>
          <w:szCs w:val="20"/>
        </w:rPr>
        <w:t>+</w:t>
      </w:r>
      <w:r w:rsidR="005259E6">
        <w:rPr>
          <w:rFonts w:ascii="Arial" w:hAnsi="Arial" w:cs="Arial"/>
          <w:sz w:val="20"/>
          <w:szCs w:val="20"/>
        </w:rPr>
        <w:t>2</w:t>
      </w:r>
      <w:r w:rsidR="009220DD">
        <w:rPr>
          <w:rFonts w:ascii="Arial" w:hAnsi="Arial" w:cs="Arial"/>
          <w:sz w:val="20"/>
          <w:szCs w:val="20"/>
        </w:rPr>
        <w:t>,</w:t>
      </w:r>
      <w:r w:rsidR="005259E6">
        <w:rPr>
          <w:rFonts w:ascii="Arial" w:hAnsi="Arial" w:cs="Arial"/>
          <w:sz w:val="20"/>
          <w:szCs w:val="20"/>
        </w:rPr>
        <w:t>5</w:t>
      </w:r>
      <w:r w:rsidR="00FA6910">
        <w:rPr>
          <w:rFonts w:ascii="Arial" w:hAnsi="Arial" w:cs="Arial"/>
          <w:sz w:val="20"/>
          <w:szCs w:val="20"/>
        </w:rPr>
        <w:t xml:space="preserve">% </w:t>
      </w:r>
      <w:r w:rsidR="000910ED">
        <w:rPr>
          <w:rFonts w:ascii="Arial" w:hAnsi="Arial" w:cs="Arial"/>
          <w:sz w:val="20"/>
          <w:szCs w:val="20"/>
        </w:rPr>
        <w:t xml:space="preserve">la même période </w:t>
      </w:r>
      <w:r w:rsidR="00FA6910">
        <w:rPr>
          <w:rFonts w:ascii="Arial" w:hAnsi="Arial" w:cs="Arial"/>
          <w:sz w:val="20"/>
          <w:szCs w:val="20"/>
        </w:rPr>
        <w:t>un</w:t>
      </w:r>
      <w:r w:rsidR="009220DD">
        <w:rPr>
          <w:rFonts w:ascii="Arial" w:hAnsi="Arial" w:cs="Arial"/>
          <w:sz w:val="20"/>
          <w:szCs w:val="20"/>
        </w:rPr>
        <w:t>e année</w:t>
      </w:r>
      <w:r w:rsidR="00FA6910">
        <w:rPr>
          <w:rFonts w:ascii="Arial" w:hAnsi="Arial" w:cs="Arial"/>
          <w:sz w:val="20"/>
          <w:szCs w:val="20"/>
        </w:rPr>
        <w:t xml:space="preserve"> auparavant</w:t>
      </w:r>
      <w:r w:rsidR="003A0007">
        <w:rPr>
          <w:rFonts w:ascii="Arial" w:hAnsi="Arial" w:cs="Arial"/>
          <w:sz w:val="20"/>
          <w:szCs w:val="20"/>
        </w:rPr>
        <w:t>.</w:t>
      </w:r>
      <w:r w:rsidR="003B2761">
        <w:rPr>
          <w:rFonts w:ascii="Arial" w:hAnsi="Arial" w:cs="Arial"/>
          <w:sz w:val="20"/>
          <w:szCs w:val="20"/>
        </w:rPr>
        <w:t xml:space="preserve"> </w:t>
      </w:r>
    </w:p>
    <w:sectPr w:rsidR="00F64221" w:rsidRPr="00936A58" w:rsidSect="00C011C4">
      <w:footerReference w:type="even" r:id="rId19"/>
      <w:footerReference w:type="default" r:id="rId20"/>
      <w:headerReference w:type="first" r:id="rId21"/>
      <w:footerReference w:type="first" r:id="rId22"/>
      <w:pgSz w:w="11906" w:h="16838"/>
      <w:pgMar w:top="993" w:right="849" w:bottom="1276"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DDB" w:rsidRDefault="00222DDB">
      <w:r>
        <w:separator/>
      </w:r>
    </w:p>
  </w:endnote>
  <w:endnote w:type="continuationSeparator" w:id="1">
    <w:p w:rsidR="00222DDB" w:rsidRDefault="00222D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DB090F" w:rsidP="00CB05C8">
    <w:pPr>
      <w:pStyle w:val="Pieddepage"/>
      <w:framePr w:wrap="auto" w:vAnchor="text" w:hAnchor="margin" w:xAlign="center" w:y="1"/>
      <w:rPr>
        <w:rStyle w:val="Numrodepage"/>
      </w:rPr>
    </w:pPr>
    <w:r>
      <w:rPr>
        <w:rStyle w:val="Numrodepage"/>
      </w:rPr>
      <w:fldChar w:fldCharType="begin"/>
    </w:r>
    <w:r w:rsidR="0097276B">
      <w:rPr>
        <w:rStyle w:val="Numrodepage"/>
      </w:rPr>
      <w:instrText xml:space="preserve">PAGE  </w:instrText>
    </w:r>
    <w:r>
      <w:rPr>
        <w:rStyle w:val="Numrodepage"/>
      </w:rPr>
      <w:fldChar w:fldCharType="end"/>
    </w:r>
  </w:p>
  <w:p w:rsidR="0097276B" w:rsidRDefault="0097276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Pr="006D7FA4" w:rsidRDefault="00DB090F"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0097276B" w:rsidRPr="006D7FA4">
      <w:rPr>
        <w:rStyle w:val="Numrodepage"/>
        <w:sz w:val="20"/>
        <w:szCs w:val="20"/>
      </w:rPr>
      <w:instrText xml:space="preserve">PAGE  </w:instrText>
    </w:r>
    <w:r w:rsidRPr="006D7FA4">
      <w:rPr>
        <w:rStyle w:val="Numrodepage"/>
        <w:sz w:val="20"/>
        <w:szCs w:val="20"/>
      </w:rPr>
      <w:fldChar w:fldCharType="separate"/>
    </w:r>
    <w:r w:rsidR="00B409D7">
      <w:rPr>
        <w:rStyle w:val="Numrodepage"/>
        <w:noProof/>
        <w:sz w:val="20"/>
        <w:szCs w:val="20"/>
      </w:rPr>
      <w:t>4</w:t>
    </w:r>
    <w:r w:rsidRPr="006D7FA4">
      <w:rPr>
        <w:rStyle w:val="Numrodepage"/>
        <w:sz w:val="20"/>
        <w:szCs w:val="20"/>
      </w:rPr>
      <w:fldChar w:fldCharType="end"/>
    </w:r>
    <w:r w:rsidR="0097276B" w:rsidRPr="006D7FA4">
      <w:rPr>
        <w:rStyle w:val="Numrodepage"/>
        <w:sz w:val="20"/>
        <w:szCs w:val="20"/>
      </w:rPr>
      <w:t>/</w:t>
    </w:r>
    <w:r w:rsidRPr="006D7FA4">
      <w:rPr>
        <w:rStyle w:val="Numrodepage"/>
        <w:sz w:val="20"/>
        <w:szCs w:val="20"/>
      </w:rPr>
      <w:fldChar w:fldCharType="begin"/>
    </w:r>
    <w:r w:rsidR="0097276B" w:rsidRPr="006D7FA4">
      <w:rPr>
        <w:rStyle w:val="Numrodepage"/>
        <w:sz w:val="20"/>
        <w:szCs w:val="20"/>
      </w:rPr>
      <w:instrText xml:space="preserve"> NUMPAGES </w:instrText>
    </w:r>
    <w:r w:rsidRPr="006D7FA4">
      <w:rPr>
        <w:rStyle w:val="Numrodepage"/>
        <w:sz w:val="20"/>
        <w:szCs w:val="20"/>
      </w:rPr>
      <w:fldChar w:fldCharType="separate"/>
    </w:r>
    <w:r w:rsidR="00B409D7">
      <w:rPr>
        <w:rStyle w:val="Numrodepage"/>
        <w:noProof/>
        <w:sz w:val="20"/>
        <w:szCs w:val="20"/>
      </w:rPr>
      <w:t>5</w:t>
    </w:r>
    <w:r w:rsidRPr="006D7FA4">
      <w:rPr>
        <w:rStyle w:val="Numrodepage"/>
        <w:sz w:val="20"/>
        <w:szCs w:val="20"/>
      </w:rPr>
      <w:fldChar w:fldCharType="end"/>
    </w:r>
  </w:p>
  <w:p w:rsidR="0097276B" w:rsidRDefault="0097276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DB090F">
    <w:pPr>
      <w:pStyle w:val="Pieddepage"/>
    </w:pPr>
    <w:r>
      <w:rPr>
        <w:noProof/>
      </w:rPr>
      <w:pict>
        <v:shapetype id="_x0000_t202" coordsize="21600,21600" o:spt="202" path="m,l,21600r21600,l21600,xe">
          <v:stroke joinstyle="miter"/>
          <v:path gradientshapeok="t" o:connecttype="rect"/>
        </v:shapetype>
        <v:shape id="Text Box 5" o:spid="_x0000_s2051" type="#_x0000_t202" style="position:absolute;margin-left:0;margin-top:-15.45pt;width:4in;height:17.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" stroked="f">
          <v:textbox style="mso-next-textbox:#Text Box 5">
            <w:txbxContent>
              <w:p w:rsidR="0097276B" w:rsidRPr="00773F09" w:rsidRDefault="0097276B" w:rsidP="009C7695">
                <w:pPr>
                  <w:rPr>
                    <w:rFonts w:ascii="Arial" w:hAnsi="Arial" w:cs="Arial"/>
                    <w:color w:val="993366"/>
                    <w:sz w:val="20"/>
                    <w:szCs w:val="20"/>
                    <w:lang w:val="en-US"/>
                  </w:rPr>
                </w:pPr>
                <w:r w:rsidRPr="00350C40">
                  <w:rPr>
                    <w:rFonts w:ascii="Arial" w:hAnsi="Arial" w:cs="Arial"/>
                    <w:color w:val="993366"/>
                    <w:sz w:val="18"/>
                    <w:szCs w:val="18"/>
                    <w:lang w:val="en-US"/>
                  </w:rPr>
                  <w:t xml:space="preserve">Ilot 31-3, secteur 16, Hay Riad, 10001, Rabat - Maroc </w:t>
                </w:r>
                <w:r w:rsidR="009C7695">
                  <w:rPr>
                    <w:rFonts w:ascii="Arial" w:hAnsi="Arial" w:cs="Arial"/>
                    <w:color w:val="993366"/>
                    <w:sz w:val="18"/>
                    <w:szCs w:val="18"/>
                    <w:lang w:val="en-US"/>
                  </w:rPr>
                  <w:t xml:space="preserve">  </w:t>
                </w:r>
                <w:r w:rsidRPr="00350C40">
                  <w:rPr>
                    <w:rFonts w:ascii="Arial" w:hAnsi="Arial" w:cs="Arial"/>
                    <w:color w:val="993366"/>
                    <w:sz w:val="18"/>
                    <w:szCs w:val="18"/>
                    <w:lang w:val="en-US"/>
                  </w:rPr>
                  <w:t xml:space="preserve">BP : </w:t>
                </w:r>
                <w:r w:rsidR="009C7695">
                  <w:rPr>
                    <w:rFonts w:ascii="Arial" w:hAnsi="Arial" w:cs="Arial"/>
                    <w:color w:val="993366"/>
                    <w:sz w:val="18"/>
                    <w:szCs w:val="18"/>
                    <w:lang w:val="en-US"/>
                  </w:rPr>
                  <w:t xml:space="preserve">      </w:t>
                </w:r>
                <w:r w:rsidRPr="00350C40">
                  <w:rPr>
                    <w:rFonts w:ascii="Arial" w:hAnsi="Arial" w:cs="Arial"/>
                    <w:color w:val="993366"/>
                    <w:sz w:val="18"/>
                    <w:szCs w:val="18"/>
                    <w:lang w:val="en-US"/>
                  </w:rPr>
                  <w:t xml:space="preserve">178 </w:t>
                </w:r>
              </w:p>
            </w:txbxContent>
          </v:textbox>
        </v:shape>
      </w:pict>
    </w:r>
    <w:r>
      <w:rPr>
        <w:noProof/>
      </w:rPr>
      <w:pict>
        <v:shape id="Text Box 6" o:spid="_x0000_s2050" type="#_x0000_t202" style="position:absolute;margin-left:12.45pt;margin-top:2.05pt;width:185.55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s9gwIAABY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" stroked="f">
          <v:textbox style="mso-next-textbox:#Text Box 6">
            <w:txbxContent>
              <w:p w:rsidR="0097276B" w:rsidRPr="00F94487" w:rsidRDefault="0097276B" w:rsidP="009C7695">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 xml:space="preserve"> </w:t>
                </w:r>
                <w:r w:rsidR="009C7695">
                  <w:rPr>
                    <w:rFonts w:ascii="Arial" w:hAnsi="Arial" w:cs="Arial"/>
                    <w:color w:val="993366"/>
                    <w:sz w:val="18"/>
                    <w:szCs w:val="18"/>
                  </w:rPr>
                  <w:t xml:space="preserve">          </w:t>
                </w:r>
                <w:r w:rsidRPr="00350C40">
                  <w:rPr>
                    <w:rFonts w:ascii="Arial" w:hAnsi="Arial" w:cs="Arial"/>
                    <w:color w:val="993366"/>
                    <w:sz w:val="18"/>
                    <w:szCs w:val="18"/>
                  </w:rPr>
                  <w:t>–</w:t>
                </w:r>
                <w:r w:rsidR="009C7695">
                  <w:rPr>
                    <w:rFonts w:ascii="Arial" w:hAnsi="Arial" w:cs="Arial"/>
                    <w:color w:val="993366"/>
                    <w:sz w:val="18"/>
                    <w:szCs w:val="18"/>
                  </w:rPr>
                  <w:t xml:space="preserve">  </w:t>
                </w:r>
                <w:r w:rsidRPr="00350C40">
                  <w:rPr>
                    <w:rFonts w:ascii="Arial" w:hAnsi="Arial" w:cs="Arial"/>
                    <w:color w:val="993366"/>
                    <w:sz w:val="18"/>
                    <w:szCs w:val="18"/>
                  </w:rPr>
                  <w:t>Fax</w:t>
                </w:r>
                <w:r>
                  <w:rPr>
                    <w:rFonts w:ascii="Arial" w:hAnsi="Arial" w:cs="Arial"/>
                    <w:color w:val="993366"/>
                    <w:sz w:val="20"/>
                    <w:szCs w:val="20"/>
                  </w:rPr>
                  <w:t xml:space="preserve"> : </w:t>
                </w:r>
              </w:p>
            </w:txbxContent>
          </v:textbox>
        </v:shape>
      </w:pict>
    </w:r>
    <w:r>
      <w:rPr>
        <w:noProof/>
      </w:rPr>
      <w:pict>
        <v:shape id="Text Box 2" o:spid="_x0000_s2054" type="#_x0000_t202" style="position:absolute;margin-left:198pt;margin-top:20.55pt;width:90pt;height: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qsAIAALk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" filled="f" stroked="f">
          <v:textbox style="mso-next-textbox:#Text Box 2">
            <w:txbxContent>
              <w:p w:rsidR="0097276B" w:rsidRPr="00350C40" w:rsidRDefault="0097276B" w:rsidP="009C7695">
                <w:pPr>
                  <w:jc w:val="cente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Text Box 3" o:spid="_x0000_s2053" type="#_x0000_t202" style="position:absolute;margin-left:191.1pt;margin-top:2.55pt;width:105.9pt;height:37.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" stroked="f">
          <v:textbox style="mso-next-textbox:#Text Box 3">
            <w:txbxContent>
              <w:p w:rsidR="0097276B" w:rsidRPr="00350C40" w:rsidRDefault="0097276B"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Text Box 4" o:spid="_x0000_s2052" type="#_x0000_t202" style="position:absolute;margin-left:252pt;margin-top:-15.45pt;width:258.35pt;height:18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m2cgwIAABc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" stroked="f">
          <v:textbox style="mso-next-textbox:#Text Box 4">
            <w:txbxContent>
              <w:p w:rsidR="0097276B" w:rsidRPr="00773F09" w:rsidRDefault="0097276B" w:rsidP="009C7695">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w:t>
                </w:r>
                <w:r w:rsidR="009C7695">
                  <w:rPr>
                    <w:rFonts w:ascii="Arial" w:hAnsi="Arial" w:cs="Arial"/>
                    <w:color w:val="993366"/>
                    <w:sz w:val="18"/>
                    <w:szCs w:val="18"/>
                    <w:lang w:bidi="ar-MA"/>
                  </w:rPr>
                  <w:t xml:space="preserve"> </w:t>
                </w:r>
                <w:r w:rsidRPr="00350C40">
                  <w:rPr>
                    <w:rFonts w:ascii="Arial" w:hAnsi="Arial" w:cs="Arial"/>
                    <w:color w:val="993366"/>
                    <w:sz w:val="18"/>
                    <w:szCs w:val="18"/>
                    <w:rtl/>
                    <w:lang w:bidi="ar-MA"/>
                  </w:rPr>
                  <w:t>–</w:t>
                </w:r>
                <w:r w:rsidR="009C7695">
                  <w:rPr>
                    <w:rFonts w:ascii="Arial" w:hAnsi="Arial" w:cs="Arial"/>
                    <w:color w:val="993366"/>
                    <w:sz w:val="18"/>
                    <w:szCs w:val="18"/>
                    <w:lang w:bidi="ar-MA"/>
                  </w:rPr>
                  <w:t xml:space="preserve"> </w:t>
                </w:r>
                <w:r w:rsidRPr="00350C40">
                  <w:rPr>
                    <w:rFonts w:ascii="Arial" w:hAnsi="Arial" w:cs="Arial"/>
                    <w:color w:val="993366"/>
                    <w:sz w:val="18"/>
                    <w:szCs w:val="18"/>
                    <w:rtl/>
                    <w:lang w:bidi="ar-MA"/>
                  </w:rPr>
                  <w:t>المغرب</w:t>
                </w:r>
                <w:r w:rsidR="009C7695">
                  <w:rPr>
                    <w:rFonts w:ascii="Arial" w:hAnsi="Arial" w:cs="Arial"/>
                    <w:color w:val="993366"/>
                    <w:sz w:val="18"/>
                    <w:szCs w:val="18"/>
                    <w:lang w:bidi="ar-MA"/>
                  </w:rPr>
                  <w:t xml:space="preserve">  </w:t>
                </w:r>
                <w:r w:rsidRPr="00350C40">
                  <w:rPr>
                    <w:rFonts w:ascii="Arial" w:hAnsi="Arial" w:cs="Arial"/>
                    <w:color w:val="993366"/>
                    <w:sz w:val="18"/>
                    <w:szCs w:val="18"/>
                    <w:rtl/>
                    <w:lang w:bidi="ar-MA"/>
                  </w:rPr>
                  <w:t>ص.</w:t>
                </w:r>
                <w:r>
                  <w:rPr>
                    <w:rFonts w:ascii="Arial" w:hAnsi="Arial" w:cs="Arial"/>
                    <w:color w:val="993366"/>
                    <w:sz w:val="20"/>
                    <w:szCs w:val="20"/>
                    <w:rtl/>
                    <w:lang w:bidi="ar-MA"/>
                  </w:rPr>
                  <w:t>ب</w:t>
                </w:r>
                <w:r w:rsidR="009C7695">
                  <w:rPr>
                    <w:rFonts w:ascii="Arial" w:hAnsi="Arial" w:cs="Arial"/>
                    <w:color w:val="993366"/>
                    <w:sz w:val="20"/>
                    <w:szCs w:val="20"/>
                    <w:lang w:bidi="ar-MA"/>
                  </w:rPr>
                  <w:t xml:space="preserve"> : </w:t>
                </w:r>
              </w:p>
            </w:txbxContent>
          </v:textbox>
        </v:shape>
      </w:pict>
    </w:r>
    <w:r>
      <w:rPr>
        <w:noProof/>
      </w:rPr>
      <w:pict>
        <v:shape id="Text Box 7" o:spid="_x0000_s2049" type="#_x0000_t202" style="position:absolute;margin-left:4in;margin-top:2.05pt;width:210.55pt;height:37.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1SNhA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" stroked="f">
          <v:textbox style="mso-next-textbox:#Text Box 7">
            <w:txbxContent>
              <w:p w:rsidR="0097276B" w:rsidRPr="00350C40" w:rsidRDefault="0097276B" w:rsidP="009C7695">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الهاتف : 04 69 57 37 05   (212+)</w:t>
                </w:r>
                <w:r w:rsidR="009C7695">
                  <w:rPr>
                    <w:rFonts w:ascii="Arial" w:hAnsi="Arial" w:cs="Arial"/>
                    <w:color w:val="993366"/>
                    <w:sz w:val="18"/>
                    <w:szCs w:val="18"/>
                    <w:lang w:bidi="ar-MA"/>
                  </w:rPr>
                  <w:t xml:space="preserve">      </w:t>
                </w:r>
                <w:r w:rsidRPr="00350C40">
                  <w:rPr>
                    <w:rFonts w:ascii="Arial" w:hAnsi="Arial" w:cs="Arial"/>
                    <w:color w:val="993366"/>
                    <w:sz w:val="18"/>
                    <w:szCs w:val="18"/>
                    <w:rtl/>
                    <w:lang w:bidi="ar-MA"/>
                  </w:rPr>
                  <w:t xml:space="preserve"> </w:t>
                </w:r>
                <w:r w:rsidR="009C7695">
                  <w:rPr>
                    <w:rFonts w:ascii="Arial" w:hAnsi="Arial" w:cs="Arial"/>
                    <w:color w:val="993366"/>
                    <w:sz w:val="18"/>
                    <w:szCs w:val="18"/>
                    <w:lang w:bidi="ar-MA"/>
                  </w:rPr>
                  <w:t xml:space="preserve">     </w:t>
                </w:r>
                <w:r w:rsidRPr="00350C40">
                  <w:rPr>
                    <w:rFonts w:ascii="Arial" w:hAnsi="Arial" w:cs="Arial"/>
                    <w:color w:val="993366"/>
                    <w:sz w:val="18"/>
                    <w:szCs w:val="18"/>
                    <w:rtl/>
                    <w:lang w:bidi="ar-MA"/>
                  </w:rPr>
                  <w:t xml:space="preserve">– </w:t>
                </w:r>
                <w:r w:rsidR="009C7695">
                  <w:rPr>
                    <w:rFonts w:ascii="Arial" w:hAnsi="Arial" w:cs="Arial"/>
                    <w:color w:val="993366"/>
                    <w:sz w:val="18"/>
                    <w:szCs w:val="18"/>
                    <w:lang w:bidi="ar-MA"/>
                  </w:rPr>
                  <w:t xml:space="preserve"> </w:t>
                </w:r>
                <w:r w:rsidRPr="00350C40">
                  <w:rPr>
                    <w:rFonts w:ascii="Arial" w:hAnsi="Arial" w:cs="Arial"/>
                    <w:color w:val="993366"/>
                    <w:sz w:val="18"/>
                    <w:szCs w:val="18"/>
                    <w:rtl/>
                    <w:lang w:bidi="ar-MA"/>
                  </w:rPr>
                  <w:t>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DDB" w:rsidRDefault="00222DDB">
      <w:r>
        <w:separator/>
      </w:r>
    </w:p>
  </w:footnote>
  <w:footnote w:type="continuationSeparator" w:id="1">
    <w:p w:rsidR="00222DDB" w:rsidRDefault="00222D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CA7465" w:rsidP="001C7C18">
    <w:pPr>
      <w:pStyle w:val="En-tte"/>
    </w:pPr>
    <w:r>
      <w:rPr>
        <w:noProof/>
      </w:rPr>
      <w:drawing>
        <wp:anchor distT="0" distB="0" distL="114300" distR="114300" simplePos="0" relativeHeight="251660800" behindDoc="0" locked="0" layoutInCell="1" allowOverlap="1">
          <wp:simplePos x="0" y="0"/>
          <wp:positionH relativeFrom="column">
            <wp:posOffset>-989330</wp:posOffset>
          </wp:positionH>
          <wp:positionV relativeFrom="paragraph">
            <wp:posOffset>-150495</wp:posOffset>
          </wp:positionV>
          <wp:extent cx="8707755" cy="5039995"/>
          <wp:effectExtent l="19050" t="0" r="0" b="0"/>
          <wp:wrapNone/>
          <wp:docPr id="8"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7755" cy="50399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ctiveWritingStyle w:appName="MSWord" w:lang="ar-MA" w:vendorID="64" w:dllVersion="131078" w:nlCheck="1" w:checkStyle="0"/>
  <w:activeWritingStyle w:appName="MSWord" w:lang="fr-FR" w:vendorID="64" w:dllVersion="131078" w:nlCheck="1" w:checkStyle="1"/>
  <w:activeWritingStyle w:appName="MSWord" w:lang="en-US" w:vendorID="64" w:dllVersion="131078" w:nlCheck="1" w:checkStyle="1"/>
  <w:stylePaneFormatFilter w:val="3F01"/>
  <w:defaultTabStop w:val="708"/>
  <w:hyphenationZone w:val="425"/>
  <w:doNotHyphenateCaps/>
  <w:characterSpacingControl w:val="doNotCompress"/>
  <w:doNotValidateAgainstSchema/>
  <w:doNotDemarcateInvalidXml/>
  <w:hdrShapeDefaults>
    <o:shapedefaults v:ext="edit" spidmax="82946"/>
    <o:shapelayout v:ext="edit">
      <o:idmap v:ext="edit" data="2"/>
    </o:shapelayout>
  </w:hdrShapeDefaults>
  <w:footnotePr>
    <w:footnote w:id="0"/>
    <w:footnote w:id="1"/>
  </w:footnotePr>
  <w:endnotePr>
    <w:endnote w:id="0"/>
    <w:endnote w:id="1"/>
  </w:endnotePr>
  <w:compat/>
  <w:rsids>
    <w:rsidRoot w:val="00A7067D"/>
    <w:rsid w:val="000005D6"/>
    <w:rsid w:val="00000BA6"/>
    <w:rsid w:val="000017C7"/>
    <w:rsid w:val="00001D6D"/>
    <w:rsid w:val="00001D8E"/>
    <w:rsid w:val="00002517"/>
    <w:rsid w:val="000025B3"/>
    <w:rsid w:val="00002878"/>
    <w:rsid w:val="00002CA4"/>
    <w:rsid w:val="00003123"/>
    <w:rsid w:val="00003529"/>
    <w:rsid w:val="00003781"/>
    <w:rsid w:val="000037BD"/>
    <w:rsid w:val="00003B57"/>
    <w:rsid w:val="0000471A"/>
    <w:rsid w:val="0000510A"/>
    <w:rsid w:val="00005213"/>
    <w:rsid w:val="00006110"/>
    <w:rsid w:val="00006244"/>
    <w:rsid w:val="000064D1"/>
    <w:rsid w:val="00006EB1"/>
    <w:rsid w:val="00006EB7"/>
    <w:rsid w:val="00006EDF"/>
    <w:rsid w:val="00007079"/>
    <w:rsid w:val="00007544"/>
    <w:rsid w:val="00007945"/>
    <w:rsid w:val="00007F2B"/>
    <w:rsid w:val="0001024A"/>
    <w:rsid w:val="00010615"/>
    <w:rsid w:val="00010C4A"/>
    <w:rsid w:val="00010DAF"/>
    <w:rsid w:val="00010FFC"/>
    <w:rsid w:val="000114B3"/>
    <w:rsid w:val="000115A6"/>
    <w:rsid w:val="000119BC"/>
    <w:rsid w:val="00011B9F"/>
    <w:rsid w:val="00011C2F"/>
    <w:rsid w:val="00011EB7"/>
    <w:rsid w:val="0001202E"/>
    <w:rsid w:val="0001207A"/>
    <w:rsid w:val="0001261B"/>
    <w:rsid w:val="000134E6"/>
    <w:rsid w:val="000135FC"/>
    <w:rsid w:val="0001390E"/>
    <w:rsid w:val="000139AC"/>
    <w:rsid w:val="00013A7F"/>
    <w:rsid w:val="00013C22"/>
    <w:rsid w:val="00013C37"/>
    <w:rsid w:val="00013D86"/>
    <w:rsid w:val="00013F33"/>
    <w:rsid w:val="00014298"/>
    <w:rsid w:val="000147FB"/>
    <w:rsid w:val="00014A7D"/>
    <w:rsid w:val="00014BF3"/>
    <w:rsid w:val="00014C35"/>
    <w:rsid w:val="00014FD6"/>
    <w:rsid w:val="000150B8"/>
    <w:rsid w:val="00015111"/>
    <w:rsid w:val="00015113"/>
    <w:rsid w:val="000151F6"/>
    <w:rsid w:val="000152BC"/>
    <w:rsid w:val="000152DE"/>
    <w:rsid w:val="000161BD"/>
    <w:rsid w:val="000162C9"/>
    <w:rsid w:val="000166FE"/>
    <w:rsid w:val="00016BD3"/>
    <w:rsid w:val="000171F0"/>
    <w:rsid w:val="0001761A"/>
    <w:rsid w:val="000178C1"/>
    <w:rsid w:val="00017B37"/>
    <w:rsid w:val="00017FF8"/>
    <w:rsid w:val="000205FA"/>
    <w:rsid w:val="00020B70"/>
    <w:rsid w:val="000211C4"/>
    <w:rsid w:val="000214AF"/>
    <w:rsid w:val="0002158D"/>
    <w:rsid w:val="00021C8C"/>
    <w:rsid w:val="00021F86"/>
    <w:rsid w:val="00022013"/>
    <w:rsid w:val="000223AA"/>
    <w:rsid w:val="000223DD"/>
    <w:rsid w:val="0002259B"/>
    <w:rsid w:val="000229BA"/>
    <w:rsid w:val="0002327D"/>
    <w:rsid w:val="00024095"/>
    <w:rsid w:val="00024268"/>
    <w:rsid w:val="0002444F"/>
    <w:rsid w:val="00024574"/>
    <w:rsid w:val="000245ED"/>
    <w:rsid w:val="0002477A"/>
    <w:rsid w:val="000247DC"/>
    <w:rsid w:val="00024901"/>
    <w:rsid w:val="00024945"/>
    <w:rsid w:val="00024B06"/>
    <w:rsid w:val="00024FBE"/>
    <w:rsid w:val="00025026"/>
    <w:rsid w:val="0002516D"/>
    <w:rsid w:val="00025552"/>
    <w:rsid w:val="00025B47"/>
    <w:rsid w:val="00025D9E"/>
    <w:rsid w:val="00025DC7"/>
    <w:rsid w:val="000266D8"/>
    <w:rsid w:val="0002686C"/>
    <w:rsid w:val="00026D88"/>
    <w:rsid w:val="000270E0"/>
    <w:rsid w:val="0002751B"/>
    <w:rsid w:val="000275DD"/>
    <w:rsid w:val="0002766D"/>
    <w:rsid w:val="00027850"/>
    <w:rsid w:val="00027B99"/>
    <w:rsid w:val="000301D2"/>
    <w:rsid w:val="0003099D"/>
    <w:rsid w:val="00031B9A"/>
    <w:rsid w:val="00031D25"/>
    <w:rsid w:val="00031DA8"/>
    <w:rsid w:val="00032582"/>
    <w:rsid w:val="00032899"/>
    <w:rsid w:val="00032E99"/>
    <w:rsid w:val="0003300A"/>
    <w:rsid w:val="00033123"/>
    <w:rsid w:val="0003349D"/>
    <w:rsid w:val="00033F19"/>
    <w:rsid w:val="0003420B"/>
    <w:rsid w:val="000344E3"/>
    <w:rsid w:val="0003456C"/>
    <w:rsid w:val="00034671"/>
    <w:rsid w:val="000348FD"/>
    <w:rsid w:val="00034EAB"/>
    <w:rsid w:val="00034EE3"/>
    <w:rsid w:val="00034EE5"/>
    <w:rsid w:val="0003559E"/>
    <w:rsid w:val="0003561F"/>
    <w:rsid w:val="00035FA3"/>
    <w:rsid w:val="000365D0"/>
    <w:rsid w:val="0003680E"/>
    <w:rsid w:val="00036A9C"/>
    <w:rsid w:val="00036CA6"/>
    <w:rsid w:val="00037668"/>
    <w:rsid w:val="00037B80"/>
    <w:rsid w:val="000405AC"/>
    <w:rsid w:val="000408C3"/>
    <w:rsid w:val="00040953"/>
    <w:rsid w:val="00040D62"/>
    <w:rsid w:val="00041285"/>
    <w:rsid w:val="00041524"/>
    <w:rsid w:val="000415AD"/>
    <w:rsid w:val="0004185B"/>
    <w:rsid w:val="000425ED"/>
    <w:rsid w:val="0004281E"/>
    <w:rsid w:val="00042974"/>
    <w:rsid w:val="00042C94"/>
    <w:rsid w:val="0004311A"/>
    <w:rsid w:val="00043186"/>
    <w:rsid w:val="000431D8"/>
    <w:rsid w:val="0004391D"/>
    <w:rsid w:val="00043DE6"/>
    <w:rsid w:val="00044358"/>
    <w:rsid w:val="0004444E"/>
    <w:rsid w:val="0004447B"/>
    <w:rsid w:val="0004487A"/>
    <w:rsid w:val="000448E5"/>
    <w:rsid w:val="00044A2A"/>
    <w:rsid w:val="00044A9F"/>
    <w:rsid w:val="00044D29"/>
    <w:rsid w:val="00044D54"/>
    <w:rsid w:val="00044F23"/>
    <w:rsid w:val="00044FEE"/>
    <w:rsid w:val="0004531B"/>
    <w:rsid w:val="0004533B"/>
    <w:rsid w:val="00045461"/>
    <w:rsid w:val="00045579"/>
    <w:rsid w:val="0004624E"/>
    <w:rsid w:val="00046322"/>
    <w:rsid w:val="00046404"/>
    <w:rsid w:val="000464D3"/>
    <w:rsid w:val="000466FD"/>
    <w:rsid w:val="00046C0A"/>
    <w:rsid w:val="00046DEC"/>
    <w:rsid w:val="00046F56"/>
    <w:rsid w:val="0004718B"/>
    <w:rsid w:val="00047ECA"/>
    <w:rsid w:val="000500AF"/>
    <w:rsid w:val="000500E6"/>
    <w:rsid w:val="00050A6E"/>
    <w:rsid w:val="00050B69"/>
    <w:rsid w:val="00051098"/>
    <w:rsid w:val="000510D6"/>
    <w:rsid w:val="00051106"/>
    <w:rsid w:val="0005135E"/>
    <w:rsid w:val="00051689"/>
    <w:rsid w:val="00051923"/>
    <w:rsid w:val="0005275C"/>
    <w:rsid w:val="0005286C"/>
    <w:rsid w:val="000528D8"/>
    <w:rsid w:val="00052A57"/>
    <w:rsid w:val="00052AEA"/>
    <w:rsid w:val="00053171"/>
    <w:rsid w:val="000534D0"/>
    <w:rsid w:val="00053736"/>
    <w:rsid w:val="000543FD"/>
    <w:rsid w:val="00054B65"/>
    <w:rsid w:val="00054BDD"/>
    <w:rsid w:val="00054C6C"/>
    <w:rsid w:val="00054F53"/>
    <w:rsid w:val="000550D8"/>
    <w:rsid w:val="0005517A"/>
    <w:rsid w:val="000551FC"/>
    <w:rsid w:val="000554EE"/>
    <w:rsid w:val="000558C2"/>
    <w:rsid w:val="00055C1A"/>
    <w:rsid w:val="00055D92"/>
    <w:rsid w:val="000566DE"/>
    <w:rsid w:val="000568AD"/>
    <w:rsid w:val="00056FFA"/>
    <w:rsid w:val="000570B2"/>
    <w:rsid w:val="0005775E"/>
    <w:rsid w:val="000579D0"/>
    <w:rsid w:val="00057B97"/>
    <w:rsid w:val="000601D4"/>
    <w:rsid w:val="000602E9"/>
    <w:rsid w:val="00060321"/>
    <w:rsid w:val="00060436"/>
    <w:rsid w:val="00060601"/>
    <w:rsid w:val="000606EF"/>
    <w:rsid w:val="00060896"/>
    <w:rsid w:val="00060E08"/>
    <w:rsid w:val="00060F0D"/>
    <w:rsid w:val="00061060"/>
    <w:rsid w:val="00061164"/>
    <w:rsid w:val="00061CE4"/>
    <w:rsid w:val="0006213D"/>
    <w:rsid w:val="0006264E"/>
    <w:rsid w:val="00062880"/>
    <w:rsid w:val="000628A8"/>
    <w:rsid w:val="00062925"/>
    <w:rsid w:val="00062AFD"/>
    <w:rsid w:val="000632C2"/>
    <w:rsid w:val="000633F7"/>
    <w:rsid w:val="0006348D"/>
    <w:rsid w:val="0006383C"/>
    <w:rsid w:val="00064386"/>
    <w:rsid w:val="0006442F"/>
    <w:rsid w:val="00064B5C"/>
    <w:rsid w:val="00064BCC"/>
    <w:rsid w:val="0006553F"/>
    <w:rsid w:val="00065712"/>
    <w:rsid w:val="000658EF"/>
    <w:rsid w:val="00065935"/>
    <w:rsid w:val="00065F87"/>
    <w:rsid w:val="00065FE2"/>
    <w:rsid w:val="00066303"/>
    <w:rsid w:val="00066C89"/>
    <w:rsid w:val="00066D6B"/>
    <w:rsid w:val="00066E4B"/>
    <w:rsid w:val="000671B0"/>
    <w:rsid w:val="000674D7"/>
    <w:rsid w:val="00070037"/>
    <w:rsid w:val="00070595"/>
    <w:rsid w:val="00070861"/>
    <w:rsid w:val="00071EFF"/>
    <w:rsid w:val="000721C3"/>
    <w:rsid w:val="00072320"/>
    <w:rsid w:val="000723B5"/>
    <w:rsid w:val="000725B3"/>
    <w:rsid w:val="000728D2"/>
    <w:rsid w:val="000728FA"/>
    <w:rsid w:val="00072B60"/>
    <w:rsid w:val="00072B88"/>
    <w:rsid w:val="00072EBF"/>
    <w:rsid w:val="000730EC"/>
    <w:rsid w:val="000732CB"/>
    <w:rsid w:val="0007340C"/>
    <w:rsid w:val="00073805"/>
    <w:rsid w:val="00074130"/>
    <w:rsid w:val="00074314"/>
    <w:rsid w:val="00074401"/>
    <w:rsid w:val="00074FD0"/>
    <w:rsid w:val="00074FF0"/>
    <w:rsid w:val="000754E3"/>
    <w:rsid w:val="00075616"/>
    <w:rsid w:val="00075B34"/>
    <w:rsid w:val="00075C38"/>
    <w:rsid w:val="00075F5C"/>
    <w:rsid w:val="000761D8"/>
    <w:rsid w:val="00076587"/>
    <w:rsid w:val="00076AC1"/>
    <w:rsid w:val="0007711B"/>
    <w:rsid w:val="0007757C"/>
    <w:rsid w:val="0007798B"/>
    <w:rsid w:val="00077D70"/>
    <w:rsid w:val="000801F4"/>
    <w:rsid w:val="0008035D"/>
    <w:rsid w:val="0008084B"/>
    <w:rsid w:val="000808D0"/>
    <w:rsid w:val="00080A06"/>
    <w:rsid w:val="00081456"/>
    <w:rsid w:val="00081BE5"/>
    <w:rsid w:val="00081DB6"/>
    <w:rsid w:val="000821F2"/>
    <w:rsid w:val="000824CD"/>
    <w:rsid w:val="00082561"/>
    <w:rsid w:val="000827BA"/>
    <w:rsid w:val="00082856"/>
    <w:rsid w:val="00082F34"/>
    <w:rsid w:val="000832C9"/>
    <w:rsid w:val="0008339B"/>
    <w:rsid w:val="0008388A"/>
    <w:rsid w:val="000839B9"/>
    <w:rsid w:val="000842CE"/>
    <w:rsid w:val="000847F4"/>
    <w:rsid w:val="0008484E"/>
    <w:rsid w:val="000848D2"/>
    <w:rsid w:val="0008495C"/>
    <w:rsid w:val="00084B30"/>
    <w:rsid w:val="00084E9D"/>
    <w:rsid w:val="00085524"/>
    <w:rsid w:val="00085895"/>
    <w:rsid w:val="000859F9"/>
    <w:rsid w:val="00085DC6"/>
    <w:rsid w:val="00085E86"/>
    <w:rsid w:val="00085FAB"/>
    <w:rsid w:val="0008606C"/>
    <w:rsid w:val="000862E0"/>
    <w:rsid w:val="000873C3"/>
    <w:rsid w:val="00087554"/>
    <w:rsid w:val="00087F93"/>
    <w:rsid w:val="00090012"/>
    <w:rsid w:val="000900E8"/>
    <w:rsid w:val="00090590"/>
    <w:rsid w:val="0009062C"/>
    <w:rsid w:val="000906B8"/>
    <w:rsid w:val="00090769"/>
    <w:rsid w:val="000909E7"/>
    <w:rsid w:val="00090C3A"/>
    <w:rsid w:val="00090DED"/>
    <w:rsid w:val="00091017"/>
    <w:rsid w:val="000910ED"/>
    <w:rsid w:val="000913B3"/>
    <w:rsid w:val="00091532"/>
    <w:rsid w:val="00091A3B"/>
    <w:rsid w:val="00091D36"/>
    <w:rsid w:val="000921CD"/>
    <w:rsid w:val="00092466"/>
    <w:rsid w:val="00092EFE"/>
    <w:rsid w:val="000931A9"/>
    <w:rsid w:val="000931F8"/>
    <w:rsid w:val="000935C8"/>
    <w:rsid w:val="00093B91"/>
    <w:rsid w:val="00093F9E"/>
    <w:rsid w:val="00094498"/>
    <w:rsid w:val="00094655"/>
    <w:rsid w:val="00094694"/>
    <w:rsid w:val="00094710"/>
    <w:rsid w:val="00094806"/>
    <w:rsid w:val="0009549D"/>
    <w:rsid w:val="0009560D"/>
    <w:rsid w:val="00095E4E"/>
    <w:rsid w:val="00096088"/>
    <w:rsid w:val="00096239"/>
    <w:rsid w:val="00096A77"/>
    <w:rsid w:val="00096CD1"/>
    <w:rsid w:val="00096CE5"/>
    <w:rsid w:val="00097007"/>
    <w:rsid w:val="0009781A"/>
    <w:rsid w:val="00097D9C"/>
    <w:rsid w:val="00097FF5"/>
    <w:rsid w:val="000A0205"/>
    <w:rsid w:val="000A0209"/>
    <w:rsid w:val="000A068A"/>
    <w:rsid w:val="000A0948"/>
    <w:rsid w:val="000A0D23"/>
    <w:rsid w:val="000A11E5"/>
    <w:rsid w:val="000A141E"/>
    <w:rsid w:val="000A1CCD"/>
    <w:rsid w:val="000A1DAF"/>
    <w:rsid w:val="000A1E2C"/>
    <w:rsid w:val="000A3264"/>
    <w:rsid w:val="000A342C"/>
    <w:rsid w:val="000A3468"/>
    <w:rsid w:val="000A34BE"/>
    <w:rsid w:val="000A3B54"/>
    <w:rsid w:val="000A3BE9"/>
    <w:rsid w:val="000A4141"/>
    <w:rsid w:val="000A4C3D"/>
    <w:rsid w:val="000A4CF5"/>
    <w:rsid w:val="000A4E25"/>
    <w:rsid w:val="000A4F68"/>
    <w:rsid w:val="000A51AD"/>
    <w:rsid w:val="000A5547"/>
    <w:rsid w:val="000A62B6"/>
    <w:rsid w:val="000A6449"/>
    <w:rsid w:val="000A6476"/>
    <w:rsid w:val="000A66F7"/>
    <w:rsid w:val="000A6F23"/>
    <w:rsid w:val="000A6F7B"/>
    <w:rsid w:val="000A7249"/>
    <w:rsid w:val="000A7281"/>
    <w:rsid w:val="000A7660"/>
    <w:rsid w:val="000A79CD"/>
    <w:rsid w:val="000B0102"/>
    <w:rsid w:val="000B0183"/>
    <w:rsid w:val="000B01F4"/>
    <w:rsid w:val="000B0626"/>
    <w:rsid w:val="000B07C1"/>
    <w:rsid w:val="000B08E9"/>
    <w:rsid w:val="000B091D"/>
    <w:rsid w:val="000B0F43"/>
    <w:rsid w:val="000B0F81"/>
    <w:rsid w:val="000B106E"/>
    <w:rsid w:val="000B12C2"/>
    <w:rsid w:val="000B1319"/>
    <w:rsid w:val="000B1DE6"/>
    <w:rsid w:val="000B241E"/>
    <w:rsid w:val="000B2498"/>
    <w:rsid w:val="000B28B6"/>
    <w:rsid w:val="000B2A3E"/>
    <w:rsid w:val="000B2C49"/>
    <w:rsid w:val="000B2C65"/>
    <w:rsid w:val="000B3183"/>
    <w:rsid w:val="000B31FB"/>
    <w:rsid w:val="000B3843"/>
    <w:rsid w:val="000B4618"/>
    <w:rsid w:val="000B46AD"/>
    <w:rsid w:val="000B56FE"/>
    <w:rsid w:val="000B711F"/>
    <w:rsid w:val="000B717A"/>
    <w:rsid w:val="000B71A7"/>
    <w:rsid w:val="000B71DE"/>
    <w:rsid w:val="000B797F"/>
    <w:rsid w:val="000B79D4"/>
    <w:rsid w:val="000C0879"/>
    <w:rsid w:val="000C0BF6"/>
    <w:rsid w:val="000C111B"/>
    <w:rsid w:val="000C1271"/>
    <w:rsid w:val="000C15E5"/>
    <w:rsid w:val="000C1880"/>
    <w:rsid w:val="000C1AAC"/>
    <w:rsid w:val="000C2555"/>
    <w:rsid w:val="000C291A"/>
    <w:rsid w:val="000C29D8"/>
    <w:rsid w:val="000C2DCE"/>
    <w:rsid w:val="000C2F16"/>
    <w:rsid w:val="000C30D9"/>
    <w:rsid w:val="000C3365"/>
    <w:rsid w:val="000C3419"/>
    <w:rsid w:val="000C36F2"/>
    <w:rsid w:val="000C379A"/>
    <w:rsid w:val="000C3807"/>
    <w:rsid w:val="000C3C2B"/>
    <w:rsid w:val="000C3D76"/>
    <w:rsid w:val="000C3ED5"/>
    <w:rsid w:val="000C3F6E"/>
    <w:rsid w:val="000C4271"/>
    <w:rsid w:val="000C467D"/>
    <w:rsid w:val="000C48BD"/>
    <w:rsid w:val="000C4C8C"/>
    <w:rsid w:val="000C4E56"/>
    <w:rsid w:val="000C509F"/>
    <w:rsid w:val="000C50CD"/>
    <w:rsid w:val="000C52F2"/>
    <w:rsid w:val="000C52FB"/>
    <w:rsid w:val="000C544D"/>
    <w:rsid w:val="000C55E1"/>
    <w:rsid w:val="000C5C87"/>
    <w:rsid w:val="000C5E10"/>
    <w:rsid w:val="000C5E54"/>
    <w:rsid w:val="000C6219"/>
    <w:rsid w:val="000C672C"/>
    <w:rsid w:val="000C68E3"/>
    <w:rsid w:val="000C69DF"/>
    <w:rsid w:val="000C6BAB"/>
    <w:rsid w:val="000C6DDA"/>
    <w:rsid w:val="000C6ED9"/>
    <w:rsid w:val="000C7682"/>
    <w:rsid w:val="000C76B5"/>
    <w:rsid w:val="000C770B"/>
    <w:rsid w:val="000C7A76"/>
    <w:rsid w:val="000C7E13"/>
    <w:rsid w:val="000D0202"/>
    <w:rsid w:val="000D04BB"/>
    <w:rsid w:val="000D0544"/>
    <w:rsid w:val="000D0EDD"/>
    <w:rsid w:val="000D13F1"/>
    <w:rsid w:val="000D1406"/>
    <w:rsid w:val="000D1585"/>
    <w:rsid w:val="000D1756"/>
    <w:rsid w:val="000D19DC"/>
    <w:rsid w:val="000D1CBD"/>
    <w:rsid w:val="000D1D9A"/>
    <w:rsid w:val="000D1F90"/>
    <w:rsid w:val="000D2442"/>
    <w:rsid w:val="000D25AF"/>
    <w:rsid w:val="000D2930"/>
    <w:rsid w:val="000D2EA1"/>
    <w:rsid w:val="000D354F"/>
    <w:rsid w:val="000D3623"/>
    <w:rsid w:val="000D3736"/>
    <w:rsid w:val="000D3FC6"/>
    <w:rsid w:val="000D403A"/>
    <w:rsid w:val="000D4277"/>
    <w:rsid w:val="000D4B12"/>
    <w:rsid w:val="000D5297"/>
    <w:rsid w:val="000D53E5"/>
    <w:rsid w:val="000D57C6"/>
    <w:rsid w:val="000D595F"/>
    <w:rsid w:val="000D5971"/>
    <w:rsid w:val="000D6113"/>
    <w:rsid w:val="000D6400"/>
    <w:rsid w:val="000D6907"/>
    <w:rsid w:val="000D6980"/>
    <w:rsid w:val="000D6F0F"/>
    <w:rsid w:val="000D6F67"/>
    <w:rsid w:val="000D6F73"/>
    <w:rsid w:val="000D6F94"/>
    <w:rsid w:val="000D7304"/>
    <w:rsid w:val="000D75CE"/>
    <w:rsid w:val="000D7611"/>
    <w:rsid w:val="000D7ACC"/>
    <w:rsid w:val="000D7B58"/>
    <w:rsid w:val="000D7B8B"/>
    <w:rsid w:val="000D7D4A"/>
    <w:rsid w:val="000D7D65"/>
    <w:rsid w:val="000D7F7C"/>
    <w:rsid w:val="000E01FC"/>
    <w:rsid w:val="000E05BC"/>
    <w:rsid w:val="000E0614"/>
    <w:rsid w:val="000E1618"/>
    <w:rsid w:val="000E1C51"/>
    <w:rsid w:val="000E1D64"/>
    <w:rsid w:val="000E21D3"/>
    <w:rsid w:val="000E26F5"/>
    <w:rsid w:val="000E2711"/>
    <w:rsid w:val="000E29D8"/>
    <w:rsid w:val="000E2B65"/>
    <w:rsid w:val="000E3E08"/>
    <w:rsid w:val="000E41EC"/>
    <w:rsid w:val="000E485F"/>
    <w:rsid w:val="000E4CB6"/>
    <w:rsid w:val="000E4E59"/>
    <w:rsid w:val="000E4FE5"/>
    <w:rsid w:val="000E5A13"/>
    <w:rsid w:val="000E631F"/>
    <w:rsid w:val="000E6811"/>
    <w:rsid w:val="000E698E"/>
    <w:rsid w:val="000E6AF3"/>
    <w:rsid w:val="000E6F47"/>
    <w:rsid w:val="000E714E"/>
    <w:rsid w:val="000E7503"/>
    <w:rsid w:val="000E7614"/>
    <w:rsid w:val="000E76A1"/>
    <w:rsid w:val="000E7917"/>
    <w:rsid w:val="000E7C55"/>
    <w:rsid w:val="000E7D34"/>
    <w:rsid w:val="000E7DA8"/>
    <w:rsid w:val="000E7EFA"/>
    <w:rsid w:val="000F0E30"/>
    <w:rsid w:val="000F0F00"/>
    <w:rsid w:val="000F0F24"/>
    <w:rsid w:val="000F101D"/>
    <w:rsid w:val="000F11B3"/>
    <w:rsid w:val="000F129A"/>
    <w:rsid w:val="000F1BCA"/>
    <w:rsid w:val="000F29FB"/>
    <w:rsid w:val="000F2BD2"/>
    <w:rsid w:val="000F2C69"/>
    <w:rsid w:val="000F3330"/>
    <w:rsid w:val="000F33E1"/>
    <w:rsid w:val="000F3768"/>
    <w:rsid w:val="000F3899"/>
    <w:rsid w:val="000F4256"/>
    <w:rsid w:val="000F42B2"/>
    <w:rsid w:val="000F4582"/>
    <w:rsid w:val="000F476D"/>
    <w:rsid w:val="000F605C"/>
    <w:rsid w:val="000F64F3"/>
    <w:rsid w:val="000F6533"/>
    <w:rsid w:val="000F6A4A"/>
    <w:rsid w:val="000F6D6C"/>
    <w:rsid w:val="000F6E2A"/>
    <w:rsid w:val="000F6E40"/>
    <w:rsid w:val="000F7023"/>
    <w:rsid w:val="000F765F"/>
    <w:rsid w:val="000F76C6"/>
    <w:rsid w:val="000F7A90"/>
    <w:rsid w:val="000F7BF1"/>
    <w:rsid w:val="000F7C56"/>
    <w:rsid w:val="00100069"/>
    <w:rsid w:val="0010029B"/>
    <w:rsid w:val="00100944"/>
    <w:rsid w:val="00100AF5"/>
    <w:rsid w:val="00100CF6"/>
    <w:rsid w:val="0010121C"/>
    <w:rsid w:val="0010176B"/>
    <w:rsid w:val="00101A1F"/>
    <w:rsid w:val="00101EAA"/>
    <w:rsid w:val="00102385"/>
    <w:rsid w:val="00103315"/>
    <w:rsid w:val="00103353"/>
    <w:rsid w:val="001035A6"/>
    <w:rsid w:val="001035EB"/>
    <w:rsid w:val="001036A2"/>
    <w:rsid w:val="0010414A"/>
    <w:rsid w:val="00104151"/>
    <w:rsid w:val="001043ED"/>
    <w:rsid w:val="0010454D"/>
    <w:rsid w:val="0010474F"/>
    <w:rsid w:val="00104865"/>
    <w:rsid w:val="00104A16"/>
    <w:rsid w:val="00104A59"/>
    <w:rsid w:val="00105259"/>
    <w:rsid w:val="00105452"/>
    <w:rsid w:val="0010548F"/>
    <w:rsid w:val="00105497"/>
    <w:rsid w:val="001056ED"/>
    <w:rsid w:val="0010587F"/>
    <w:rsid w:val="001063C7"/>
    <w:rsid w:val="00106B8D"/>
    <w:rsid w:val="00106FC0"/>
    <w:rsid w:val="00107113"/>
    <w:rsid w:val="0010714B"/>
    <w:rsid w:val="00107170"/>
    <w:rsid w:val="00107751"/>
    <w:rsid w:val="00107A4F"/>
    <w:rsid w:val="0011075B"/>
    <w:rsid w:val="00110AD7"/>
    <w:rsid w:val="00110B8D"/>
    <w:rsid w:val="00110C63"/>
    <w:rsid w:val="001115DA"/>
    <w:rsid w:val="0011192F"/>
    <w:rsid w:val="00111A12"/>
    <w:rsid w:val="00111B36"/>
    <w:rsid w:val="00111FE3"/>
    <w:rsid w:val="0011249B"/>
    <w:rsid w:val="0011266E"/>
    <w:rsid w:val="00112E06"/>
    <w:rsid w:val="00113142"/>
    <w:rsid w:val="001134AF"/>
    <w:rsid w:val="00113928"/>
    <w:rsid w:val="00113BA3"/>
    <w:rsid w:val="00113D02"/>
    <w:rsid w:val="00114033"/>
    <w:rsid w:val="00114209"/>
    <w:rsid w:val="00114235"/>
    <w:rsid w:val="00114A43"/>
    <w:rsid w:val="00114C6B"/>
    <w:rsid w:val="00114C7E"/>
    <w:rsid w:val="00115490"/>
    <w:rsid w:val="001155EE"/>
    <w:rsid w:val="00115709"/>
    <w:rsid w:val="00115798"/>
    <w:rsid w:val="00115AC1"/>
    <w:rsid w:val="00116124"/>
    <w:rsid w:val="001164AC"/>
    <w:rsid w:val="00116A90"/>
    <w:rsid w:val="00116B4A"/>
    <w:rsid w:val="0011730B"/>
    <w:rsid w:val="001174BE"/>
    <w:rsid w:val="001178E8"/>
    <w:rsid w:val="00117CCB"/>
    <w:rsid w:val="0012006B"/>
    <w:rsid w:val="001200E8"/>
    <w:rsid w:val="001201BB"/>
    <w:rsid w:val="0012067C"/>
    <w:rsid w:val="00120AF1"/>
    <w:rsid w:val="00120AF9"/>
    <w:rsid w:val="00120BC3"/>
    <w:rsid w:val="00120BD7"/>
    <w:rsid w:val="00120CC5"/>
    <w:rsid w:val="00121C07"/>
    <w:rsid w:val="00122001"/>
    <w:rsid w:val="00122298"/>
    <w:rsid w:val="001222E9"/>
    <w:rsid w:val="0012250D"/>
    <w:rsid w:val="0012265F"/>
    <w:rsid w:val="001227D1"/>
    <w:rsid w:val="00122813"/>
    <w:rsid w:val="00122A75"/>
    <w:rsid w:val="00122C48"/>
    <w:rsid w:val="00123512"/>
    <w:rsid w:val="00124572"/>
    <w:rsid w:val="001247F6"/>
    <w:rsid w:val="00124CD0"/>
    <w:rsid w:val="00124D01"/>
    <w:rsid w:val="00124D81"/>
    <w:rsid w:val="00124DEE"/>
    <w:rsid w:val="0012515E"/>
    <w:rsid w:val="0012549C"/>
    <w:rsid w:val="00125A1B"/>
    <w:rsid w:val="00126059"/>
    <w:rsid w:val="0012616E"/>
    <w:rsid w:val="001264CB"/>
    <w:rsid w:val="0012690A"/>
    <w:rsid w:val="00126B15"/>
    <w:rsid w:val="00127635"/>
    <w:rsid w:val="00127861"/>
    <w:rsid w:val="00127B2D"/>
    <w:rsid w:val="00127BB0"/>
    <w:rsid w:val="00127C34"/>
    <w:rsid w:val="00127C36"/>
    <w:rsid w:val="0013025A"/>
    <w:rsid w:val="00130421"/>
    <w:rsid w:val="001305AD"/>
    <w:rsid w:val="00130A54"/>
    <w:rsid w:val="00130C4A"/>
    <w:rsid w:val="00131257"/>
    <w:rsid w:val="00131839"/>
    <w:rsid w:val="00132203"/>
    <w:rsid w:val="001322B6"/>
    <w:rsid w:val="00132700"/>
    <w:rsid w:val="00132AE5"/>
    <w:rsid w:val="00132D5E"/>
    <w:rsid w:val="00132DD9"/>
    <w:rsid w:val="00132F46"/>
    <w:rsid w:val="001330FB"/>
    <w:rsid w:val="00133181"/>
    <w:rsid w:val="001334EE"/>
    <w:rsid w:val="00133879"/>
    <w:rsid w:val="0013390F"/>
    <w:rsid w:val="00133A30"/>
    <w:rsid w:val="00133C95"/>
    <w:rsid w:val="001343D8"/>
    <w:rsid w:val="00134611"/>
    <w:rsid w:val="001348AD"/>
    <w:rsid w:val="0013497A"/>
    <w:rsid w:val="00134ACB"/>
    <w:rsid w:val="0013515A"/>
    <w:rsid w:val="0013554E"/>
    <w:rsid w:val="00135840"/>
    <w:rsid w:val="00135CDC"/>
    <w:rsid w:val="00135E71"/>
    <w:rsid w:val="00136243"/>
    <w:rsid w:val="001363AC"/>
    <w:rsid w:val="001364F4"/>
    <w:rsid w:val="001365F9"/>
    <w:rsid w:val="00136AE5"/>
    <w:rsid w:val="00136E62"/>
    <w:rsid w:val="00136E6A"/>
    <w:rsid w:val="00136F4D"/>
    <w:rsid w:val="00137169"/>
    <w:rsid w:val="00137652"/>
    <w:rsid w:val="001379C2"/>
    <w:rsid w:val="00137BD3"/>
    <w:rsid w:val="00137CAD"/>
    <w:rsid w:val="00137D8F"/>
    <w:rsid w:val="00137FF2"/>
    <w:rsid w:val="00140182"/>
    <w:rsid w:val="001404C2"/>
    <w:rsid w:val="00140CD2"/>
    <w:rsid w:val="00140E1A"/>
    <w:rsid w:val="00141170"/>
    <w:rsid w:val="00141592"/>
    <w:rsid w:val="00141788"/>
    <w:rsid w:val="001417D4"/>
    <w:rsid w:val="00141D26"/>
    <w:rsid w:val="0014289F"/>
    <w:rsid w:val="0014338E"/>
    <w:rsid w:val="0014360D"/>
    <w:rsid w:val="001437B0"/>
    <w:rsid w:val="00143BBC"/>
    <w:rsid w:val="00144480"/>
    <w:rsid w:val="00144578"/>
    <w:rsid w:val="0014485F"/>
    <w:rsid w:val="00144B79"/>
    <w:rsid w:val="00145A0E"/>
    <w:rsid w:val="00145C07"/>
    <w:rsid w:val="00145EE4"/>
    <w:rsid w:val="00145F4D"/>
    <w:rsid w:val="00146C7E"/>
    <w:rsid w:val="00147262"/>
    <w:rsid w:val="00147283"/>
    <w:rsid w:val="001472F8"/>
    <w:rsid w:val="0014749F"/>
    <w:rsid w:val="00147EEB"/>
    <w:rsid w:val="0015075E"/>
    <w:rsid w:val="00150C13"/>
    <w:rsid w:val="00150E32"/>
    <w:rsid w:val="00151281"/>
    <w:rsid w:val="00151B07"/>
    <w:rsid w:val="00151FA7"/>
    <w:rsid w:val="00152095"/>
    <w:rsid w:val="001522F1"/>
    <w:rsid w:val="001525A5"/>
    <w:rsid w:val="001525CA"/>
    <w:rsid w:val="00152858"/>
    <w:rsid w:val="001529A7"/>
    <w:rsid w:val="001534CE"/>
    <w:rsid w:val="00153A6D"/>
    <w:rsid w:val="00153DC3"/>
    <w:rsid w:val="00153DC7"/>
    <w:rsid w:val="001541B1"/>
    <w:rsid w:val="001545FC"/>
    <w:rsid w:val="001547A3"/>
    <w:rsid w:val="00154A61"/>
    <w:rsid w:val="00154B18"/>
    <w:rsid w:val="00154B64"/>
    <w:rsid w:val="00154B92"/>
    <w:rsid w:val="00155095"/>
    <w:rsid w:val="00155EBB"/>
    <w:rsid w:val="0015633D"/>
    <w:rsid w:val="001563BE"/>
    <w:rsid w:val="001563CC"/>
    <w:rsid w:val="0015643E"/>
    <w:rsid w:val="001565C3"/>
    <w:rsid w:val="0015676A"/>
    <w:rsid w:val="00156B63"/>
    <w:rsid w:val="00156B7B"/>
    <w:rsid w:val="00156C44"/>
    <w:rsid w:val="00156CEC"/>
    <w:rsid w:val="00156D6D"/>
    <w:rsid w:val="001574BF"/>
    <w:rsid w:val="00157569"/>
    <w:rsid w:val="00157BF8"/>
    <w:rsid w:val="00157DEC"/>
    <w:rsid w:val="00157E9B"/>
    <w:rsid w:val="001600E5"/>
    <w:rsid w:val="00160B88"/>
    <w:rsid w:val="00160D0F"/>
    <w:rsid w:val="00161678"/>
    <w:rsid w:val="00162421"/>
    <w:rsid w:val="0016271E"/>
    <w:rsid w:val="00162A89"/>
    <w:rsid w:val="00162BD9"/>
    <w:rsid w:val="00162E2E"/>
    <w:rsid w:val="00163073"/>
    <w:rsid w:val="001630F0"/>
    <w:rsid w:val="00163242"/>
    <w:rsid w:val="0016342D"/>
    <w:rsid w:val="001634DC"/>
    <w:rsid w:val="0016363C"/>
    <w:rsid w:val="00163F02"/>
    <w:rsid w:val="001640A8"/>
    <w:rsid w:val="001640AC"/>
    <w:rsid w:val="00164E14"/>
    <w:rsid w:val="0016504E"/>
    <w:rsid w:val="00165D57"/>
    <w:rsid w:val="0016600B"/>
    <w:rsid w:val="0016605D"/>
    <w:rsid w:val="00166479"/>
    <w:rsid w:val="0016658F"/>
    <w:rsid w:val="001666F0"/>
    <w:rsid w:val="00167CD8"/>
    <w:rsid w:val="00167F77"/>
    <w:rsid w:val="001701C0"/>
    <w:rsid w:val="001704B7"/>
    <w:rsid w:val="00170E5C"/>
    <w:rsid w:val="00171020"/>
    <w:rsid w:val="00171065"/>
    <w:rsid w:val="001712FF"/>
    <w:rsid w:val="00171484"/>
    <w:rsid w:val="00171694"/>
    <w:rsid w:val="00171B90"/>
    <w:rsid w:val="00171D37"/>
    <w:rsid w:val="00172514"/>
    <w:rsid w:val="001726B1"/>
    <w:rsid w:val="00172D78"/>
    <w:rsid w:val="001732B6"/>
    <w:rsid w:val="00173482"/>
    <w:rsid w:val="001735DE"/>
    <w:rsid w:val="001736E1"/>
    <w:rsid w:val="001739F3"/>
    <w:rsid w:val="00173BFF"/>
    <w:rsid w:val="00173DF2"/>
    <w:rsid w:val="00173E34"/>
    <w:rsid w:val="001741F2"/>
    <w:rsid w:val="00174719"/>
    <w:rsid w:val="00174F4F"/>
    <w:rsid w:val="0017502C"/>
    <w:rsid w:val="00175540"/>
    <w:rsid w:val="00175A92"/>
    <w:rsid w:val="00175B80"/>
    <w:rsid w:val="0017603A"/>
    <w:rsid w:val="00176051"/>
    <w:rsid w:val="00176842"/>
    <w:rsid w:val="00176B63"/>
    <w:rsid w:val="00176C25"/>
    <w:rsid w:val="00176CC0"/>
    <w:rsid w:val="00176F41"/>
    <w:rsid w:val="00176FC3"/>
    <w:rsid w:val="00177956"/>
    <w:rsid w:val="00177BC9"/>
    <w:rsid w:val="00177C97"/>
    <w:rsid w:val="00177EC0"/>
    <w:rsid w:val="0018006D"/>
    <w:rsid w:val="00180277"/>
    <w:rsid w:val="001818AB"/>
    <w:rsid w:val="00181EFF"/>
    <w:rsid w:val="0018221C"/>
    <w:rsid w:val="0018259A"/>
    <w:rsid w:val="00182841"/>
    <w:rsid w:val="001828C4"/>
    <w:rsid w:val="00182DF2"/>
    <w:rsid w:val="00182DF5"/>
    <w:rsid w:val="00183006"/>
    <w:rsid w:val="0018312D"/>
    <w:rsid w:val="00183325"/>
    <w:rsid w:val="001835A9"/>
    <w:rsid w:val="00183612"/>
    <w:rsid w:val="001839FB"/>
    <w:rsid w:val="0018413F"/>
    <w:rsid w:val="0018461F"/>
    <w:rsid w:val="00185BC2"/>
    <w:rsid w:val="00185D58"/>
    <w:rsid w:val="00185D73"/>
    <w:rsid w:val="0018601D"/>
    <w:rsid w:val="00186202"/>
    <w:rsid w:val="00186D74"/>
    <w:rsid w:val="00186DD8"/>
    <w:rsid w:val="00186E82"/>
    <w:rsid w:val="001873B4"/>
    <w:rsid w:val="001878FD"/>
    <w:rsid w:val="00187BC3"/>
    <w:rsid w:val="00190068"/>
    <w:rsid w:val="0019029B"/>
    <w:rsid w:val="00190A05"/>
    <w:rsid w:val="00190FF5"/>
    <w:rsid w:val="0019122F"/>
    <w:rsid w:val="0019172A"/>
    <w:rsid w:val="00191FD1"/>
    <w:rsid w:val="00192295"/>
    <w:rsid w:val="00193188"/>
    <w:rsid w:val="00193485"/>
    <w:rsid w:val="0019380C"/>
    <w:rsid w:val="00193D92"/>
    <w:rsid w:val="001941E5"/>
    <w:rsid w:val="00194390"/>
    <w:rsid w:val="00194927"/>
    <w:rsid w:val="00194B01"/>
    <w:rsid w:val="00194FAC"/>
    <w:rsid w:val="00195392"/>
    <w:rsid w:val="0019592D"/>
    <w:rsid w:val="00196310"/>
    <w:rsid w:val="001969FA"/>
    <w:rsid w:val="00196CF2"/>
    <w:rsid w:val="00196FED"/>
    <w:rsid w:val="0019727D"/>
    <w:rsid w:val="001A037A"/>
    <w:rsid w:val="001A0449"/>
    <w:rsid w:val="001A075E"/>
    <w:rsid w:val="001A1A9C"/>
    <w:rsid w:val="001A1B4C"/>
    <w:rsid w:val="001A1BE0"/>
    <w:rsid w:val="001A3011"/>
    <w:rsid w:val="001A309F"/>
    <w:rsid w:val="001A33DE"/>
    <w:rsid w:val="001A3C55"/>
    <w:rsid w:val="001A3E80"/>
    <w:rsid w:val="001A4339"/>
    <w:rsid w:val="001A447C"/>
    <w:rsid w:val="001A4A63"/>
    <w:rsid w:val="001A4DC4"/>
    <w:rsid w:val="001A4FEF"/>
    <w:rsid w:val="001A5156"/>
    <w:rsid w:val="001A614A"/>
    <w:rsid w:val="001A68AB"/>
    <w:rsid w:val="001A7093"/>
    <w:rsid w:val="001A711D"/>
    <w:rsid w:val="001A7936"/>
    <w:rsid w:val="001A7C7E"/>
    <w:rsid w:val="001B081E"/>
    <w:rsid w:val="001B0903"/>
    <w:rsid w:val="001B0A39"/>
    <w:rsid w:val="001B0CBD"/>
    <w:rsid w:val="001B0DD2"/>
    <w:rsid w:val="001B110A"/>
    <w:rsid w:val="001B12AF"/>
    <w:rsid w:val="001B1827"/>
    <w:rsid w:val="001B191E"/>
    <w:rsid w:val="001B1A97"/>
    <w:rsid w:val="001B1AEF"/>
    <w:rsid w:val="001B1D9A"/>
    <w:rsid w:val="001B2B15"/>
    <w:rsid w:val="001B2BE8"/>
    <w:rsid w:val="001B2E7B"/>
    <w:rsid w:val="001B2FF8"/>
    <w:rsid w:val="001B31CB"/>
    <w:rsid w:val="001B32E2"/>
    <w:rsid w:val="001B355E"/>
    <w:rsid w:val="001B3DD2"/>
    <w:rsid w:val="001B3E09"/>
    <w:rsid w:val="001B401E"/>
    <w:rsid w:val="001B40CB"/>
    <w:rsid w:val="001B42E2"/>
    <w:rsid w:val="001B430A"/>
    <w:rsid w:val="001B4329"/>
    <w:rsid w:val="001B4542"/>
    <w:rsid w:val="001B4E03"/>
    <w:rsid w:val="001B5011"/>
    <w:rsid w:val="001B506B"/>
    <w:rsid w:val="001B5072"/>
    <w:rsid w:val="001B50DF"/>
    <w:rsid w:val="001B6286"/>
    <w:rsid w:val="001B6A8F"/>
    <w:rsid w:val="001B6D2A"/>
    <w:rsid w:val="001B6D9B"/>
    <w:rsid w:val="001B6EC9"/>
    <w:rsid w:val="001B6F64"/>
    <w:rsid w:val="001B7336"/>
    <w:rsid w:val="001C006D"/>
    <w:rsid w:val="001C0375"/>
    <w:rsid w:val="001C07A5"/>
    <w:rsid w:val="001C0E3D"/>
    <w:rsid w:val="001C117E"/>
    <w:rsid w:val="001C1207"/>
    <w:rsid w:val="001C1435"/>
    <w:rsid w:val="001C1CF4"/>
    <w:rsid w:val="001C1EDB"/>
    <w:rsid w:val="001C1F61"/>
    <w:rsid w:val="001C2196"/>
    <w:rsid w:val="001C251E"/>
    <w:rsid w:val="001C2876"/>
    <w:rsid w:val="001C2B14"/>
    <w:rsid w:val="001C2D08"/>
    <w:rsid w:val="001C2DE1"/>
    <w:rsid w:val="001C2DFD"/>
    <w:rsid w:val="001C2F4A"/>
    <w:rsid w:val="001C2FA8"/>
    <w:rsid w:val="001C3687"/>
    <w:rsid w:val="001C38C6"/>
    <w:rsid w:val="001C3920"/>
    <w:rsid w:val="001C393F"/>
    <w:rsid w:val="001C396D"/>
    <w:rsid w:val="001C42B6"/>
    <w:rsid w:val="001C4793"/>
    <w:rsid w:val="001C4A4F"/>
    <w:rsid w:val="001C4BE1"/>
    <w:rsid w:val="001C51D8"/>
    <w:rsid w:val="001C58AD"/>
    <w:rsid w:val="001C5963"/>
    <w:rsid w:val="001C5E9E"/>
    <w:rsid w:val="001C6191"/>
    <w:rsid w:val="001C6199"/>
    <w:rsid w:val="001C62AD"/>
    <w:rsid w:val="001C6705"/>
    <w:rsid w:val="001C6D03"/>
    <w:rsid w:val="001C6E90"/>
    <w:rsid w:val="001C7200"/>
    <w:rsid w:val="001C74AC"/>
    <w:rsid w:val="001C7C18"/>
    <w:rsid w:val="001D0340"/>
    <w:rsid w:val="001D0374"/>
    <w:rsid w:val="001D0712"/>
    <w:rsid w:val="001D07F7"/>
    <w:rsid w:val="001D08BB"/>
    <w:rsid w:val="001D0B13"/>
    <w:rsid w:val="001D0C90"/>
    <w:rsid w:val="001D0F1F"/>
    <w:rsid w:val="001D1847"/>
    <w:rsid w:val="001D18E1"/>
    <w:rsid w:val="001D1D0C"/>
    <w:rsid w:val="001D1FC0"/>
    <w:rsid w:val="001D2986"/>
    <w:rsid w:val="001D31CC"/>
    <w:rsid w:val="001D342E"/>
    <w:rsid w:val="001D34E6"/>
    <w:rsid w:val="001D3CEC"/>
    <w:rsid w:val="001D3F51"/>
    <w:rsid w:val="001D4041"/>
    <w:rsid w:val="001D4212"/>
    <w:rsid w:val="001D479B"/>
    <w:rsid w:val="001D4D7B"/>
    <w:rsid w:val="001D4DBB"/>
    <w:rsid w:val="001D55C1"/>
    <w:rsid w:val="001D57E1"/>
    <w:rsid w:val="001D67FA"/>
    <w:rsid w:val="001D6B6A"/>
    <w:rsid w:val="001D6DD2"/>
    <w:rsid w:val="001D72FF"/>
    <w:rsid w:val="001D7311"/>
    <w:rsid w:val="001D74B0"/>
    <w:rsid w:val="001D7A90"/>
    <w:rsid w:val="001E0012"/>
    <w:rsid w:val="001E04AA"/>
    <w:rsid w:val="001E05D5"/>
    <w:rsid w:val="001E0CBF"/>
    <w:rsid w:val="001E13F3"/>
    <w:rsid w:val="001E1405"/>
    <w:rsid w:val="001E1780"/>
    <w:rsid w:val="001E1FE8"/>
    <w:rsid w:val="001E21E4"/>
    <w:rsid w:val="001E2204"/>
    <w:rsid w:val="001E2469"/>
    <w:rsid w:val="001E29C3"/>
    <w:rsid w:val="001E2CAE"/>
    <w:rsid w:val="001E2E19"/>
    <w:rsid w:val="001E3168"/>
    <w:rsid w:val="001E3430"/>
    <w:rsid w:val="001E37B2"/>
    <w:rsid w:val="001E3B10"/>
    <w:rsid w:val="001E3CA2"/>
    <w:rsid w:val="001E3DF2"/>
    <w:rsid w:val="001E3E88"/>
    <w:rsid w:val="001E4227"/>
    <w:rsid w:val="001E457D"/>
    <w:rsid w:val="001E45D1"/>
    <w:rsid w:val="001E46D8"/>
    <w:rsid w:val="001E49CE"/>
    <w:rsid w:val="001E4A5F"/>
    <w:rsid w:val="001E4AC2"/>
    <w:rsid w:val="001E5579"/>
    <w:rsid w:val="001E5C77"/>
    <w:rsid w:val="001E5D17"/>
    <w:rsid w:val="001E6122"/>
    <w:rsid w:val="001E6432"/>
    <w:rsid w:val="001E7076"/>
    <w:rsid w:val="001E70D5"/>
    <w:rsid w:val="001E728E"/>
    <w:rsid w:val="001E75BA"/>
    <w:rsid w:val="001E7BE4"/>
    <w:rsid w:val="001E7E56"/>
    <w:rsid w:val="001F061C"/>
    <w:rsid w:val="001F0B5C"/>
    <w:rsid w:val="001F0D44"/>
    <w:rsid w:val="001F0ECC"/>
    <w:rsid w:val="001F10DB"/>
    <w:rsid w:val="001F1343"/>
    <w:rsid w:val="001F14E8"/>
    <w:rsid w:val="001F14FD"/>
    <w:rsid w:val="001F16E9"/>
    <w:rsid w:val="001F1B91"/>
    <w:rsid w:val="001F1F6F"/>
    <w:rsid w:val="001F2B62"/>
    <w:rsid w:val="001F2E6F"/>
    <w:rsid w:val="001F3315"/>
    <w:rsid w:val="001F3482"/>
    <w:rsid w:val="001F38DF"/>
    <w:rsid w:val="001F3A25"/>
    <w:rsid w:val="001F4836"/>
    <w:rsid w:val="001F4B9B"/>
    <w:rsid w:val="001F4E0B"/>
    <w:rsid w:val="001F4F2A"/>
    <w:rsid w:val="001F54B2"/>
    <w:rsid w:val="001F576A"/>
    <w:rsid w:val="001F5D94"/>
    <w:rsid w:val="001F5FFA"/>
    <w:rsid w:val="001F632E"/>
    <w:rsid w:val="001F67D5"/>
    <w:rsid w:val="001F69CF"/>
    <w:rsid w:val="001F6DCA"/>
    <w:rsid w:val="001F6EFC"/>
    <w:rsid w:val="001F6F75"/>
    <w:rsid w:val="001F6F8A"/>
    <w:rsid w:val="001F7291"/>
    <w:rsid w:val="001F74A8"/>
    <w:rsid w:val="001F760B"/>
    <w:rsid w:val="001F7C00"/>
    <w:rsid w:val="001F7D91"/>
    <w:rsid w:val="0020014E"/>
    <w:rsid w:val="00200A13"/>
    <w:rsid w:val="00200AB3"/>
    <w:rsid w:val="00200C0E"/>
    <w:rsid w:val="00200D02"/>
    <w:rsid w:val="002015A8"/>
    <w:rsid w:val="00201A20"/>
    <w:rsid w:val="00201D83"/>
    <w:rsid w:val="00202176"/>
    <w:rsid w:val="002021D7"/>
    <w:rsid w:val="00202523"/>
    <w:rsid w:val="002028D3"/>
    <w:rsid w:val="002028D5"/>
    <w:rsid w:val="00202CF1"/>
    <w:rsid w:val="00202CFF"/>
    <w:rsid w:val="00203BF4"/>
    <w:rsid w:val="00203E48"/>
    <w:rsid w:val="002042CD"/>
    <w:rsid w:val="00204307"/>
    <w:rsid w:val="00204366"/>
    <w:rsid w:val="002045F9"/>
    <w:rsid w:val="002048C2"/>
    <w:rsid w:val="00204C16"/>
    <w:rsid w:val="00204EAF"/>
    <w:rsid w:val="00204EC8"/>
    <w:rsid w:val="00204EF4"/>
    <w:rsid w:val="00204F0A"/>
    <w:rsid w:val="00205257"/>
    <w:rsid w:val="0020543C"/>
    <w:rsid w:val="00205484"/>
    <w:rsid w:val="00205A6A"/>
    <w:rsid w:val="002062EB"/>
    <w:rsid w:val="002063A8"/>
    <w:rsid w:val="00206591"/>
    <w:rsid w:val="00206659"/>
    <w:rsid w:val="00206B20"/>
    <w:rsid w:val="00206BAE"/>
    <w:rsid w:val="00206EAD"/>
    <w:rsid w:val="00207097"/>
    <w:rsid w:val="002076B5"/>
    <w:rsid w:val="002078F3"/>
    <w:rsid w:val="0021019B"/>
    <w:rsid w:val="00210221"/>
    <w:rsid w:val="0021027B"/>
    <w:rsid w:val="002103EF"/>
    <w:rsid w:val="00210504"/>
    <w:rsid w:val="00210576"/>
    <w:rsid w:val="00210C4C"/>
    <w:rsid w:val="0021194C"/>
    <w:rsid w:val="00211A62"/>
    <w:rsid w:val="00211BB6"/>
    <w:rsid w:val="0021248F"/>
    <w:rsid w:val="00212491"/>
    <w:rsid w:val="00213134"/>
    <w:rsid w:val="002134B6"/>
    <w:rsid w:val="00213925"/>
    <w:rsid w:val="002139B6"/>
    <w:rsid w:val="00213B90"/>
    <w:rsid w:val="0021417E"/>
    <w:rsid w:val="00214B72"/>
    <w:rsid w:val="00214F78"/>
    <w:rsid w:val="0021541E"/>
    <w:rsid w:val="002155FC"/>
    <w:rsid w:val="0021573C"/>
    <w:rsid w:val="002157EF"/>
    <w:rsid w:val="0021608C"/>
    <w:rsid w:val="00216D2A"/>
    <w:rsid w:val="00216D9D"/>
    <w:rsid w:val="00217187"/>
    <w:rsid w:val="0021782D"/>
    <w:rsid w:val="00217999"/>
    <w:rsid w:val="0022010C"/>
    <w:rsid w:val="00220131"/>
    <w:rsid w:val="00220549"/>
    <w:rsid w:val="00220739"/>
    <w:rsid w:val="002207AB"/>
    <w:rsid w:val="00220DF6"/>
    <w:rsid w:val="00221087"/>
    <w:rsid w:val="0022116C"/>
    <w:rsid w:val="00221633"/>
    <w:rsid w:val="0022170D"/>
    <w:rsid w:val="00222462"/>
    <w:rsid w:val="002226BF"/>
    <w:rsid w:val="00222936"/>
    <w:rsid w:val="0022299E"/>
    <w:rsid w:val="00222DDB"/>
    <w:rsid w:val="00223311"/>
    <w:rsid w:val="002235C6"/>
    <w:rsid w:val="00223874"/>
    <w:rsid w:val="00223B71"/>
    <w:rsid w:val="00223D57"/>
    <w:rsid w:val="00223DAD"/>
    <w:rsid w:val="0022444A"/>
    <w:rsid w:val="00224F7F"/>
    <w:rsid w:val="0022525E"/>
    <w:rsid w:val="002255B8"/>
    <w:rsid w:val="00225611"/>
    <w:rsid w:val="0022562A"/>
    <w:rsid w:val="0022597E"/>
    <w:rsid w:val="00226111"/>
    <w:rsid w:val="002267AE"/>
    <w:rsid w:val="00226BDC"/>
    <w:rsid w:val="0022776D"/>
    <w:rsid w:val="00227F0A"/>
    <w:rsid w:val="0023043F"/>
    <w:rsid w:val="0023061A"/>
    <w:rsid w:val="00230C16"/>
    <w:rsid w:val="00230C49"/>
    <w:rsid w:val="00230D38"/>
    <w:rsid w:val="00231293"/>
    <w:rsid w:val="002313AF"/>
    <w:rsid w:val="002315AA"/>
    <w:rsid w:val="002315AE"/>
    <w:rsid w:val="00231716"/>
    <w:rsid w:val="00231757"/>
    <w:rsid w:val="00231990"/>
    <w:rsid w:val="00232628"/>
    <w:rsid w:val="0023289B"/>
    <w:rsid w:val="00232927"/>
    <w:rsid w:val="00232AD6"/>
    <w:rsid w:val="00232C44"/>
    <w:rsid w:val="00232F1C"/>
    <w:rsid w:val="0023322D"/>
    <w:rsid w:val="00233328"/>
    <w:rsid w:val="002333F3"/>
    <w:rsid w:val="002334D2"/>
    <w:rsid w:val="00233515"/>
    <w:rsid w:val="0023373D"/>
    <w:rsid w:val="00233815"/>
    <w:rsid w:val="002339B2"/>
    <w:rsid w:val="00233F72"/>
    <w:rsid w:val="0023442A"/>
    <w:rsid w:val="00234672"/>
    <w:rsid w:val="0023494C"/>
    <w:rsid w:val="00234B63"/>
    <w:rsid w:val="00234CDC"/>
    <w:rsid w:val="00235418"/>
    <w:rsid w:val="00235903"/>
    <w:rsid w:val="00235E22"/>
    <w:rsid w:val="00235FAF"/>
    <w:rsid w:val="00236009"/>
    <w:rsid w:val="00236272"/>
    <w:rsid w:val="002363E9"/>
    <w:rsid w:val="0023650B"/>
    <w:rsid w:val="00236DF3"/>
    <w:rsid w:val="00237269"/>
    <w:rsid w:val="002373DD"/>
    <w:rsid w:val="002378E6"/>
    <w:rsid w:val="00237D78"/>
    <w:rsid w:val="00237FA9"/>
    <w:rsid w:val="00237FD4"/>
    <w:rsid w:val="00240C9A"/>
    <w:rsid w:val="00240CC6"/>
    <w:rsid w:val="00240FBB"/>
    <w:rsid w:val="00241064"/>
    <w:rsid w:val="00241292"/>
    <w:rsid w:val="00241484"/>
    <w:rsid w:val="00241925"/>
    <w:rsid w:val="002419BA"/>
    <w:rsid w:val="00241EFE"/>
    <w:rsid w:val="0024272F"/>
    <w:rsid w:val="002427A5"/>
    <w:rsid w:val="00242C76"/>
    <w:rsid w:val="00242CBE"/>
    <w:rsid w:val="002437EA"/>
    <w:rsid w:val="0024389A"/>
    <w:rsid w:val="00243C7A"/>
    <w:rsid w:val="00243DBD"/>
    <w:rsid w:val="00243E0E"/>
    <w:rsid w:val="00243E86"/>
    <w:rsid w:val="0024416E"/>
    <w:rsid w:val="00244218"/>
    <w:rsid w:val="00244367"/>
    <w:rsid w:val="002443AA"/>
    <w:rsid w:val="002444AA"/>
    <w:rsid w:val="00244652"/>
    <w:rsid w:val="002446C4"/>
    <w:rsid w:val="00244809"/>
    <w:rsid w:val="00244825"/>
    <w:rsid w:val="00244890"/>
    <w:rsid w:val="00244AAF"/>
    <w:rsid w:val="00244D2F"/>
    <w:rsid w:val="00244F63"/>
    <w:rsid w:val="00244FA3"/>
    <w:rsid w:val="00245041"/>
    <w:rsid w:val="0024586A"/>
    <w:rsid w:val="00245A25"/>
    <w:rsid w:val="00245A8B"/>
    <w:rsid w:val="00245D6E"/>
    <w:rsid w:val="002462D7"/>
    <w:rsid w:val="002462FC"/>
    <w:rsid w:val="002464E5"/>
    <w:rsid w:val="002465D0"/>
    <w:rsid w:val="00247069"/>
    <w:rsid w:val="0024744A"/>
    <w:rsid w:val="00247675"/>
    <w:rsid w:val="00247F25"/>
    <w:rsid w:val="00250801"/>
    <w:rsid w:val="00250998"/>
    <w:rsid w:val="00250D0A"/>
    <w:rsid w:val="002517C9"/>
    <w:rsid w:val="0025220D"/>
    <w:rsid w:val="00252581"/>
    <w:rsid w:val="00252C3C"/>
    <w:rsid w:val="00252D80"/>
    <w:rsid w:val="00252F77"/>
    <w:rsid w:val="00253159"/>
    <w:rsid w:val="002534FB"/>
    <w:rsid w:val="002538D1"/>
    <w:rsid w:val="002545A2"/>
    <w:rsid w:val="0025503A"/>
    <w:rsid w:val="00255615"/>
    <w:rsid w:val="002558CC"/>
    <w:rsid w:val="00256291"/>
    <w:rsid w:val="00256534"/>
    <w:rsid w:val="0025654F"/>
    <w:rsid w:val="002565D7"/>
    <w:rsid w:val="00256601"/>
    <w:rsid w:val="00256702"/>
    <w:rsid w:val="002569F2"/>
    <w:rsid w:val="00256B7B"/>
    <w:rsid w:val="00257243"/>
    <w:rsid w:val="002572FD"/>
    <w:rsid w:val="00257435"/>
    <w:rsid w:val="00257470"/>
    <w:rsid w:val="002577A6"/>
    <w:rsid w:val="00260132"/>
    <w:rsid w:val="002601A1"/>
    <w:rsid w:val="002602B3"/>
    <w:rsid w:val="002603C8"/>
    <w:rsid w:val="00260557"/>
    <w:rsid w:val="002605EB"/>
    <w:rsid w:val="00260D9F"/>
    <w:rsid w:val="00261026"/>
    <w:rsid w:val="0026130B"/>
    <w:rsid w:val="00261B05"/>
    <w:rsid w:val="00261B82"/>
    <w:rsid w:val="002629E3"/>
    <w:rsid w:val="00262AA7"/>
    <w:rsid w:val="00262B92"/>
    <w:rsid w:val="00262DFD"/>
    <w:rsid w:val="00262F1D"/>
    <w:rsid w:val="00263304"/>
    <w:rsid w:val="002639C0"/>
    <w:rsid w:val="00263AD6"/>
    <w:rsid w:val="00263C9E"/>
    <w:rsid w:val="00263D87"/>
    <w:rsid w:val="00263F12"/>
    <w:rsid w:val="002640A8"/>
    <w:rsid w:val="00264343"/>
    <w:rsid w:val="0026439C"/>
    <w:rsid w:val="00264435"/>
    <w:rsid w:val="002647E7"/>
    <w:rsid w:val="00264D30"/>
    <w:rsid w:val="00264E4B"/>
    <w:rsid w:val="00265CC9"/>
    <w:rsid w:val="002667BA"/>
    <w:rsid w:val="00266E07"/>
    <w:rsid w:val="00267342"/>
    <w:rsid w:val="00267435"/>
    <w:rsid w:val="00267509"/>
    <w:rsid w:val="0026763A"/>
    <w:rsid w:val="00267D1B"/>
    <w:rsid w:val="00270128"/>
    <w:rsid w:val="002709BA"/>
    <w:rsid w:val="00270BDF"/>
    <w:rsid w:val="00270DDD"/>
    <w:rsid w:val="00271092"/>
    <w:rsid w:val="0027114B"/>
    <w:rsid w:val="00271633"/>
    <w:rsid w:val="00271922"/>
    <w:rsid w:val="00271ED8"/>
    <w:rsid w:val="00272739"/>
    <w:rsid w:val="0027292B"/>
    <w:rsid w:val="002729D6"/>
    <w:rsid w:val="00272BD9"/>
    <w:rsid w:val="00272D15"/>
    <w:rsid w:val="00272E07"/>
    <w:rsid w:val="00273DCB"/>
    <w:rsid w:val="00273FAF"/>
    <w:rsid w:val="0027408D"/>
    <w:rsid w:val="002743C5"/>
    <w:rsid w:val="00275817"/>
    <w:rsid w:val="002758A5"/>
    <w:rsid w:val="002765A6"/>
    <w:rsid w:val="0027662C"/>
    <w:rsid w:val="002768CD"/>
    <w:rsid w:val="002769D6"/>
    <w:rsid w:val="00276B45"/>
    <w:rsid w:val="00277402"/>
    <w:rsid w:val="00277821"/>
    <w:rsid w:val="002779FE"/>
    <w:rsid w:val="00277C2B"/>
    <w:rsid w:val="00280244"/>
    <w:rsid w:val="002803E2"/>
    <w:rsid w:val="00280427"/>
    <w:rsid w:val="0028091A"/>
    <w:rsid w:val="00280992"/>
    <w:rsid w:val="0028158F"/>
    <w:rsid w:val="00281698"/>
    <w:rsid w:val="00281A57"/>
    <w:rsid w:val="00281CA6"/>
    <w:rsid w:val="00282592"/>
    <w:rsid w:val="0028280E"/>
    <w:rsid w:val="0028291C"/>
    <w:rsid w:val="0028297C"/>
    <w:rsid w:val="00282B8C"/>
    <w:rsid w:val="00282BA5"/>
    <w:rsid w:val="00282C9C"/>
    <w:rsid w:val="00282E6D"/>
    <w:rsid w:val="0028307D"/>
    <w:rsid w:val="002832B8"/>
    <w:rsid w:val="00283376"/>
    <w:rsid w:val="002833EA"/>
    <w:rsid w:val="00283507"/>
    <w:rsid w:val="00283933"/>
    <w:rsid w:val="00283C27"/>
    <w:rsid w:val="002845B4"/>
    <w:rsid w:val="00284880"/>
    <w:rsid w:val="00284D8F"/>
    <w:rsid w:val="0028501B"/>
    <w:rsid w:val="0028585A"/>
    <w:rsid w:val="00285C4C"/>
    <w:rsid w:val="00285C8D"/>
    <w:rsid w:val="00286104"/>
    <w:rsid w:val="00286107"/>
    <w:rsid w:val="00286457"/>
    <w:rsid w:val="002864D6"/>
    <w:rsid w:val="002867C3"/>
    <w:rsid w:val="0028691E"/>
    <w:rsid w:val="0028696C"/>
    <w:rsid w:val="00286B68"/>
    <w:rsid w:val="00286F23"/>
    <w:rsid w:val="0028778B"/>
    <w:rsid w:val="00290055"/>
    <w:rsid w:val="00290292"/>
    <w:rsid w:val="002907E8"/>
    <w:rsid w:val="002908CB"/>
    <w:rsid w:val="00290A03"/>
    <w:rsid w:val="00290B88"/>
    <w:rsid w:val="00290D9E"/>
    <w:rsid w:val="0029139F"/>
    <w:rsid w:val="00291911"/>
    <w:rsid w:val="00292008"/>
    <w:rsid w:val="0029207E"/>
    <w:rsid w:val="0029229A"/>
    <w:rsid w:val="00292830"/>
    <w:rsid w:val="0029288F"/>
    <w:rsid w:val="002929DF"/>
    <w:rsid w:val="002932FC"/>
    <w:rsid w:val="002934D2"/>
    <w:rsid w:val="00293C15"/>
    <w:rsid w:val="00293D4A"/>
    <w:rsid w:val="00293D6D"/>
    <w:rsid w:val="00293ED6"/>
    <w:rsid w:val="002942F2"/>
    <w:rsid w:val="00294367"/>
    <w:rsid w:val="00294424"/>
    <w:rsid w:val="00294B02"/>
    <w:rsid w:val="002950AB"/>
    <w:rsid w:val="00295318"/>
    <w:rsid w:val="002956E1"/>
    <w:rsid w:val="0029579A"/>
    <w:rsid w:val="002958ED"/>
    <w:rsid w:val="00295A86"/>
    <w:rsid w:val="00295A9E"/>
    <w:rsid w:val="00295B5B"/>
    <w:rsid w:val="00295C9F"/>
    <w:rsid w:val="00295CD7"/>
    <w:rsid w:val="00296898"/>
    <w:rsid w:val="00296A74"/>
    <w:rsid w:val="00296C29"/>
    <w:rsid w:val="0029758C"/>
    <w:rsid w:val="0029793C"/>
    <w:rsid w:val="00297ED3"/>
    <w:rsid w:val="002A02B0"/>
    <w:rsid w:val="002A05D8"/>
    <w:rsid w:val="002A0CCC"/>
    <w:rsid w:val="002A1027"/>
    <w:rsid w:val="002A1315"/>
    <w:rsid w:val="002A17AA"/>
    <w:rsid w:val="002A2203"/>
    <w:rsid w:val="002A25B2"/>
    <w:rsid w:val="002A281B"/>
    <w:rsid w:val="002A297C"/>
    <w:rsid w:val="002A2ECE"/>
    <w:rsid w:val="002A30E4"/>
    <w:rsid w:val="002A32AB"/>
    <w:rsid w:val="002A3A04"/>
    <w:rsid w:val="002A40F3"/>
    <w:rsid w:val="002A414D"/>
    <w:rsid w:val="002A4202"/>
    <w:rsid w:val="002A44E8"/>
    <w:rsid w:val="002A4A01"/>
    <w:rsid w:val="002A5048"/>
    <w:rsid w:val="002A570C"/>
    <w:rsid w:val="002A5A7C"/>
    <w:rsid w:val="002A5E39"/>
    <w:rsid w:val="002A5F14"/>
    <w:rsid w:val="002A636A"/>
    <w:rsid w:val="002A688F"/>
    <w:rsid w:val="002A6C31"/>
    <w:rsid w:val="002A6CC7"/>
    <w:rsid w:val="002A6CDA"/>
    <w:rsid w:val="002A6D16"/>
    <w:rsid w:val="002A6E43"/>
    <w:rsid w:val="002A6F8B"/>
    <w:rsid w:val="002A7103"/>
    <w:rsid w:val="002A7770"/>
    <w:rsid w:val="002A7B22"/>
    <w:rsid w:val="002A7B89"/>
    <w:rsid w:val="002B00AB"/>
    <w:rsid w:val="002B013E"/>
    <w:rsid w:val="002B0505"/>
    <w:rsid w:val="002B086B"/>
    <w:rsid w:val="002B0C22"/>
    <w:rsid w:val="002B10D9"/>
    <w:rsid w:val="002B1565"/>
    <w:rsid w:val="002B196E"/>
    <w:rsid w:val="002B1EB3"/>
    <w:rsid w:val="002B216C"/>
    <w:rsid w:val="002B2748"/>
    <w:rsid w:val="002B2A9A"/>
    <w:rsid w:val="002B2C1F"/>
    <w:rsid w:val="002B336E"/>
    <w:rsid w:val="002B3931"/>
    <w:rsid w:val="002B396D"/>
    <w:rsid w:val="002B42B7"/>
    <w:rsid w:val="002B4CFA"/>
    <w:rsid w:val="002B5142"/>
    <w:rsid w:val="002B59B8"/>
    <w:rsid w:val="002B5AF5"/>
    <w:rsid w:val="002B5D9D"/>
    <w:rsid w:val="002B6019"/>
    <w:rsid w:val="002B6423"/>
    <w:rsid w:val="002B644C"/>
    <w:rsid w:val="002B67DF"/>
    <w:rsid w:val="002B6922"/>
    <w:rsid w:val="002B6CD7"/>
    <w:rsid w:val="002B6FC6"/>
    <w:rsid w:val="002B7263"/>
    <w:rsid w:val="002B7742"/>
    <w:rsid w:val="002B7A91"/>
    <w:rsid w:val="002B7E07"/>
    <w:rsid w:val="002C0055"/>
    <w:rsid w:val="002C02CC"/>
    <w:rsid w:val="002C09B2"/>
    <w:rsid w:val="002C0F1C"/>
    <w:rsid w:val="002C1942"/>
    <w:rsid w:val="002C1C74"/>
    <w:rsid w:val="002C1CBD"/>
    <w:rsid w:val="002C1D8F"/>
    <w:rsid w:val="002C2121"/>
    <w:rsid w:val="002C25CA"/>
    <w:rsid w:val="002C268F"/>
    <w:rsid w:val="002C2950"/>
    <w:rsid w:val="002C318B"/>
    <w:rsid w:val="002C32A4"/>
    <w:rsid w:val="002C336D"/>
    <w:rsid w:val="002C3866"/>
    <w:rsid w:val="002C3B5F"/>
    <w:rsid w:val="002C3CD6"/>
    <w:rsid w:val="002C3E10"/>
    <w:rsid w:val="002C3F0E"/>
    <w:rsid w:val="002C3FB3"/>
    <w:rsid w:val="002C44D1"/>
    <w:rsid w:val="002C46B4"/>
    <w:rsid w:val="002C4B20"/>
    <w:rsid w:val="002C4E7A"/>
    <w:rsid w:val="002C55C1"/>
    <w:rsid w:val="002C5766"/>
    <w:rsid w:val="002C5795"/>
    <w:rsid w:val="002C57A1"/>
    <w:rsid w:val="002C5A26"/>
    <w:rsid w:val="002C5C8A"/>
    <w:rsid w:val="002C5DCC"/>
    <w:rsid w:val="002C62E9"/>
    <w:rsid w:val="002C6301"/>
    <w:rsid w:val="002C6663"/>
    <w:rsid w:val="002C6CA0"/>
    <w:rsid w:val="002C6DD3"/>
    <w:rsid w:val="002C71B8"/>
    <w:rsid w:val="002C744D"/>
    <w:rsid w:val="002C7571"/>
    <w:rsid w:val="002C784A"/>
    <w:rsid w:val="002D0137"/>
    <w:rsid w:val="002D022C"/>
    <w:rsid w:val="002D0A0D"/>
    <w:rsid w:val="002D0D03"/>
    <w:rsid w:val="002D1138"/>
    <w:rsid w:val="002D115E"/>
    <w:rsid w:val="002D194F"/>
    <w:rsid w:val="002D1ABE"/>
    <w:rsid w:val="002D1AF1"/>
    <w:rsid w:val="002D1B6F"/>
    <w:rsid w:val="002D1E06"/>
    <w:rsid w:val="002D1FE3"/>
    <w:rsid w:val="002D21E5"/>
    <w:rsid w:val="002D224B"/>
    <w:rsid w:val="002D23D5"/>
    <w:rsid w:val="002D25BE"/>
    <w:rsid w:val="002D26F9"/>
    <w:rsid w:val="002D271E"/>
    <w:rsid w:val="002D2CDD"/>
    <w:rsid w:val="002D2D8B"/>
    <w:rsid w:val="002D31D1"/>
    <w:rsid w:val="002D33BF"/>
    <w:rsid w:val="002D3AF5"/>
    <w:rsid w:val="002D3BD2"/>
    <w:rsid w:val="002D40D9"/>
    <w:rsid w:val="002D417C"/>
    <w:rsid w:val="002D4615"/>
    <w:rsid w:val="002D4933"/>
    <w:rsid w:val="002D49EF"/>
    <w:rsid w:val="002D4D22"/>
    <w:rsid w:val="002D4DF4"/>
    <w:rsid w:val="002D4E20"/>
    <w:rsid w:val="002D54B6"/>
    <w:rsid w:val="002D5525"/>
    <w:rsid w:val="002D571E"/>
    <w:rsid w:val="002D5F62"/>
    <w:rsid w:val="002D643D"/>
    <w:rsid w:val="002D6444"/>
    <w:rsid w:val="002D6594"/>
    <w:rsid w:val="002E00AA"/>
    <w:rsid w:val="002E0133"/>
    <w:rsid w:val="002E070B"/>
    <w:rsid w:val="002E07D6"/>
    <w:rsid w:val="002E0986"/>
    <w:rsid w:val="002E0A2D"/>
    <w:rsid w:val="002E0B77"/>
    <w:rsid w:val="002E0BDA"/>
    <w:rsid w:val="002E0EAB"/>
    <w:rsid w:val="002E164D"/>
    <w:rsid w:val="002E16E5"/>
    <w:rsid w:val="002E16FB"/>
    <w:rsid w:val="002E1766"/>
    <w:rsid w:val="002E253C"/>
    <w:rsid w:val="002E2A2C"/>
    <w:rsid w:val="002E2D22"/>
    <w:rsid w:val="002E379A"/>
    <w:rsid w:val="002E38E3"/>
    <w:rsid w:val="002E4117"/>
    <w:rsid w:val="002E4400"/>
    <w:rsid w:val="002E4A33"/>
    <w:rsid w:val="002E4FE3"/>
    <w:rsid w:val="002E5098"/>
    <w:rsid w:val="002E52B0"/>
    <w:rsid w:val="002E5B97"/>
    <w:rsid w:val="002E5BCA"/>
    <w:rsid w:val="002E62F1"/>
    <w:rsid w:val="002E68FE"/>
    <w:rsid w:val="002E69C8"/>
    <w:rsid w:val="002E6D51"/>
    <w:rsid w:val="002E7169"/>
    <w:rsid w:val="002E7184"/>
    <w:rsid w:val="002E7900"/>
    <w:rsid w:val="002E7F2B"/>
    <w:rsid w:val="002E7F72"/>
    <w:rsid w:val="002F05C4"/>
    <w:rsid w:val="002F0656"/>
    <w:rsid w:val="002F0675"/>
    <w:rsid w:val="002F0BE2"/>
    <w:rsid w:val="002F0E31"/>
    <w:rsid w:val="002F11A1"/>
    <w:rsid w:val="002F15E0"/>
    <w:rsid w:val="002F171E"/>
    <w:rsid w:val="002F1787"/>
    <w:rsid w:val="002F1B36"/>
    <w:rsid w:val="002F21D5"/>
    <w:rsid w:val="002F25EC"/>
    <w:rsid w:val="002F28C5"/>
    <w:rsid w:val="002F2C13"/>
    <w:rsid w:val="002F2E3D"/>
    <w:rsid w:val="002F32E7"/>
    <w:rsid w:val="002F356F"/>
    <w:rsid w:val="002F372C"/>
    <w:rsid w:val="002F37C3"/>
    <w:rsid w:val="002F395A"/>
    <w:rsid w:val="002F3B72"/>
    <w:rsid w:val="002F3DD8"/>
    <w:rsid w:val="002F435E"/>
    <w:rsid w:val="002F43B1"/>
    <w:rsid w:val="002F44E9"/>
    <w:rsid w:val="002F4644"/>
    <w:rsid w:val="002F4800"/>
    <w:rsid w:val="002F4874"/>
    <w:rsid w:val="002F49AD"/>
    <w:rsid w:val="002F4DE0"/>
    <w:rsid w:val="002F4EFD"/>
    <w:rsid w:val="002F50B8"/>
    <w:rsid w:val="002F50D2"/>
    <w:rsid w:val="002F5AAD"/>
    <w:rsid w:val="002F5BAF"/>
    <w:rsid w:val="002F5CEF"/>
    <w:rsid w:val="002F5F86"/>
    <w:rsid w:val="002F628D"/>
    <w:rsid w:val="002F63FB"/>
    <w:rsid w:val="002F64F6"/>
    <w:rsid w:val="002F667B"/>
    <w:rsid w:val="002F6773"/>
    <w:rsid w:val="002F6A92"/>
    <w:rsid w:val="002F73DA"/>
    <w:rsid w:val="002F7AE9"/>
    <w:rsid w:val="00300278"/>
    <w:rsid w:val="003003CB"/>
    <w:rsid w:val="00300A3F"/>
    <w:rsid w:val="00300B1C"/>
    <w:rsid w:val="003010FB"/>
    <w:rsid w:val="00301364"/>
    <w:rsid w:val="003014AC"/>
    <w:rsid w:val="003017FB"/>
    <w:rsid w:val="00301BE0"/>
    <w:rsid w:val="00301D2D"/>
    <w:rsid w:val="00301F32"/>
    <w:rsid w:val="003024DC"/>
    <w:rsid w:val="00302AFC"/>
    <w:rsid w:val="00302E86"/>
    <w:rsid w:val="003031AE"/>
    <w:rsid w:val="003032D8"/>
    <w:rsid w:val="00303912"/>
    <w:rsid w:val="0030397E"/>
    <w:rsid w:val="00303B25"/>
    <w:rsid w:val="00303DFC"/>
    <w:rsid w:val="00303F4A"/>
    <w:rsid w:val="00303F6F"/>
    <w:rsid w:val="003043F8"/>
    <w:rsid w:val="00304CBB"/>
    <w:rsid w:val="00305641"/>
    <w:rsid w:val="00305C04"/>
    <w:rsid w:val="00305D9C"/>
    <w:rsid w:val="0030605C"/>
    <w:rsid w:val="003067BD"/>
    <w:rsid w:val="00306B9D"/>
    <w:rsid w:val="00306D78"/>
    <w:rsid w:val="00306E33"/>
    <w:rsid w:val="00307E8D"/>
    <w:rsid w:val="0031062E"/>
    <w:rsid w:val="00310CC9"/>
    <w:rsid w:val="003111EE"/>
    <w:rsid w:val="00311556"/>
    <w:rsid w:val="003118AC"/>
    <w:rsid w:val="003118AF"/>
    <w:rsid w:val="00311AA0"/>
    <w:rsid w:val="00311DEA"/>
    <w:rsid w:val="003121A0"/>
    <w:rsid w:val="00312237"/>
    <w:rsid w:val="00312338"/>
    <w:rsid w:val="003129D3"/>
    <w:rsid w:val="00312A29"/>
    <w:rsid w:val="00312A4F"/>
    <w:rsid w:val="00312A58"/>
    <w:rsid w:val="0031310C"/>
    <w:rsid w:val="00313AC8"/>
    <w:rsid w:val="00314191"/>
    <w:rsid w:val="0031429A"/>
    <w:rsid w:val="00314300"/>
    <w:rsid w:val="00314AE4"/>
    <w:rsid w:val="0031507F"/>
    <w:rsid w:val="00315466"/>
    <w:rsid w:val="0031557D"/>
    <w:rsid w:val="00315AA2"/>
    <w:rsid w:val="00315E06"/>
    <w:rsid w:val="00316030"/>
    <w:rsid w:val="00316A57"/>
    <w:rsid w:val="00316F85"/>
    <w:rsid w:val="0031709A"/>
    <w:rsid w:val="0031735D"/>
    <w:rsid w:val="003173FC"/>
    <w:rsid w:val="003174FB"/>
    <w:rsid w:val="00317710"/>
    <w:rsid w:val="003204A1"/>
    <w:rsid w:val="003207C5"/>
    <w:rsid w:val="003208CE"/>
    <w:rsid w:val="00320A3E"/>
    <w:rsid w:val="00321028"/>
    <w:rsid w:val="00321061"/>
    <w:rsid w:val="003210B5"/>
    <w:rsid w:val="0032191A"/>
    <w:rsid w:val="00321991"/>
    <w:rsid w:val="00321A72"/>
    <w:rsid w:val="00321E42"/>
    <w:rsid w:val="00321FC9"/>
    <w:rsid w:val="003227A2"/>
    <w:rsid w:val="00322AF4"/>
    <w:rsid w:val="0032376B"/>
    <w:rsid w:val="00323A39"/>
    <w:rsid w:val="00323CF1"/>
    <w:rsid w:val="00323F5F"/>
    <w:rsid w:val="0032434D"/>
    <w:rsid w:val="003243B5"/>
    <w:rsid w:val="003244DB"/>
    <w:rsid w:val="00324633"/>
    <w:rsid w:val="003249E4"/>
    <w:rsid w:val="00324D5E"/>
    <w:rsid w:val="003250AB"/>
    <w:rsid w:val="003254A9"/>
    <w:rsid w:val="003258E3"/>
    <w:rsid w:val="003259D2"/>
    <w:rsid w:val="003259FA"/>
    <w:rsid w:val="0032621B"/>
    <w:rsid w:val="0032628B"/>
    <w:rsid w:val="00326408"/>
    <w:rsid w:val="00326623"/>
    <w:rsid w:val="00326824"/>
    <w:rsid w:val="0032687F"/>
    <w:rsid w:val="0032689C"/>
    <w:rsid w:val="00326B38"/>
    <w:rsid w:val="00326BA1"/>
    <w:rsid w:val="00326D98"/>
    <w:rsid w:val="00326FCA"/>
    <w:rsid w:val="00327972"/>
    <w:rsid w:val="00327DAD"/>
    <w:rsid w:val="003304A6"/>
    <w:rsid w:val="00330C4D"/>
    <w:rsid w:val="00331569"/>
    <w:rsid w:val="00331693"/>
    <w:rsid w:val="003316B0"/>
    <w:rsid w:val="0033179B"/>
    <w:rsid w:val="003323DB"/>
    <w:rsid w:val="00332422"/>
    <w:rsid w:val="00332D84"/>
    <w:rsid w:val="003331B9"/>
    <w:rsid w:val="0033332D"/>
    <w:rsid w:val="00333418"/>
    <w:rsid w:val="003339D9"/>
    <w:rsid w:val="00334073"/>
    <w:rsid w:val="00334273"/>
    <w:rsid w:val="00334574"/>
    <w:rsid w:val="003345E8"/>
    <w:rsid w:val="003347C0"/>
    <w:rsid w:val="003348D8"/>
    <w:rsid w:val="00334B79"/>
    <w:rsid w:val="00334BD2"/>
    <w:rsid w:val="00334DEF"/>
    <w:rsid w:val="003359DF"/>
    <w:rsid w:val="00335D8A"/>
    <w:rsid w:val="00335E75"/>
    <w:rsid w:val="003361ED"/>
    <w:rsid w:val="00336336"/>
    <w:rsid w:val="003365E3"/>
    <w:rsid w:val="00336F11"/>
    <w:rsid w:val="0033724B"/>
    <w:rsid w:val="00337546"/>
    <w:rsid w:val="00337638"/>
    <w:rsid w:val="00337B49"/>
    <w:rsid w:val="003400C9"/>
    <w:rsid w:val="0034042D"/>
    <w:rsid w:val="003409C4"/>
    <w:rsid w:val="00340FB5"/>
    <w:rsid w:val="00341745"/>
    <w:rsid w:val="0034184F"/>
    <w:rsid w:val="00341BE6"/>
    <w:rsid w:val="00341E22"/>
    <w:rsid w:val="00342146"/>
    <w:rsid w:val="0034236C"/>
    <w:rsid w:val="00342938"/>
    <w:rsid w:val="00342A07"/>
    <w:rsid w:val="00342DB5"/>
    <w:rsid w:val="00343151"/>
    <w:rsid w:val="003439DB"/>
    <w:rsid w:val="00343A6D"/>
    <w:rsid w:val="0034430A"/>
    <w:rsid w:val="003446D7"/>
    <w:rsid w:val="003449BA"/>
    <w:rsid w:val="00344A6C"/>
    <w:rsid w:val="00344ABB"/>
    <w:rsid w:val="00345220"/>
    <w:rsid w:val="0034539A"/>
    <w:rsid w:val="00345A64"/>
    <w:rsid w:val="00345B8C"/>
    <w:rsid w:val="00346358"/>
    <w:rsid w:val="003463CC"/>
    <w:rsid w:val="003464B2"/>
    <w:rsid w:val="003465A5"/>
    <w:rsid w:val="0034687E"/>
    <w:rsid w:val="00346B56"/>
    <w:rsid w:val="00346BF2"/>
    <w:rsid w:val="00346F33"/>
    <w:rsid w:val="00346FAA"/>
    <w:rsid w:val="0034794E"/>
    <w:rsid w:val="00347B61"/>
    <w:rsid w:val="00347E46"/>
    <w:rsid w:val="00347E5D"/>
    <w:rsid w:val="00350073"/>
    <w:rsid w:val="003501AB"/>
    <w:rsid w:val="003506BE"/>
    <w:rsid w:val="00350C40"/>
    <w:rsid w:val="00350E9E"/>
    <w:rsid w:val="00350FBE"/>
    <w:rsid w:val="0035116A"/>
    <w:rsid w:val="00351306"/>
    <w:rsid w:val="00351A98"/>
    <w:rsid w:val="00351D4C"/>
    <w:rsid w:val="00351D66"/>
    <w:rsid w:val="00352378"/>
    <w:rsid w:val="00352408"/>
    <w:rsid w:val="003525A9"/>
    <w:rsid w:val="0035268C"/>
    <w:rsid w:val="00353128"/>
    <w:rsid w:val="00353517"/>
    <w:rsid w:val="0035366C"/>
    <w:rsid w:val="0035465E"/>
    <w:rsid w:val="00354790"/>
    <w:rsid w:val="00354A56"/>
    <w:rsid w:val="00354CDC"/>
    <w:rsid w:val="00354E8B"/>
    <w:rsid w:val="003550E7"/>
    <w:rsid w:val="00355163"/>
    <w:rsid w:val="00355262"/>
    <w:rsid w:val="003553D7"/>
    <w:rsid w:val="003557D2"/>
    <w:rsid w:val="003559B6"/>
    <w:rsid w:val="00355B3B"/>
    <w:rsid w:val="00355DAB"/>
    <w:rsid w:val="0035630C"/>
    <w:rsid w:val="00356BE4"/>
    <w:rsid w:val="00356D00"/>
    <w:rsid w:val="0035706C"/>
    <w:rsid w:val="00357164"/>
    <w:rsid w:val="0035718B"/>
    <w:rsid w:val="00360207"/>
    <w:rsid w:val="00360296"/>
    <w:rsid w:val="003605CF"/>
    <w:rsid w:val="00360732"/>
    <w:rsid w:val="003608E6"/>
    <w:rsid w:val="00360B71"/>
    <w:rsid w:val="00360CB0"/>
    <w:rsid w:val="003616B6"/>
    <w:rsid w:val="00361796"/>
    <w:rsid w:val="00361814"/>
    <w:rsid w:val="003619D3"/>
    <w:rsid w:val="003623B6"/>
    <w:rsid w:val="003627F1"/>
    <w:rsid w:val="0036288F"/>
    <w:rsid w:val="00363079"/>
    <w:rsid w:val="0036329C"/>
    <w:rsid w:val="003634A8"/>
    <w:rsid w:val="00363BCF"/>
    <w:rsid w:val="00363CB8"/>
    <w:rsid w:val="00363DD9"/>
    <w:rsid w:val="00363F52"/>
    <w:rsid w:val="0036416B"/>
    <w:rsid w:val="0036439E"/>
    <w:rsid w:val="00364554"/>
    <w:rsid w:val="00364B01"/>
    <w:rsid w:val="00364C7E"/>
    <w:rsid w:val="00364CD1"/>
    <w:rsid w:val="0036525E"/>
    <w:rsid w:val="00365395"/>
    <w:rsid w:val="003656A8"/>
    <w:rsid w:val="00365EB4"/>
    <w:rsid w:val="00366246"/>
    <w:rsid w:val="00366569"/>
    <w:rsid w:val="00366C79"/>
    <w:rsid w:val="00366E1C"/>
    <w:rsid w:val="003670A0"/>
    <w:rsid w:val="003671BE"/>
    <w:rsid w:val="0036767B"/>
    <w:rsid w:val="0037024F"/>
    <w:rsid w:val="00370A87"/>
    <w:rsid w:val="00370DBC"/>
    <w:rsid w:val="003711BC"/>
    <w:rsid w:val="003717DF"/>
    <w:rsid w:val="00371955"/>
    <w:rsid w:val="003719E6"/>
    <w:rsid w:val="00371C99"/>
    <w:rsid w:val="00371FFD"/>
    <w:rsid w:val="003724E0"/>
    <w:rsid w:val="00373371"/>
    <w:rsid w:val="00373477"/>
    <w:rsid w:val="003736E1"/>
    <w:rsid w:val="00374013"/>
    <w:rsid w:val="00374196"/>
    <w:rsid w:val="00374461"/>
    <w:rsid w:val="00374467"/>
    <w:rsid w:val="00374B86"/>
    <w:rsid w:val="00374C7B"/>
    <w:rsid w:val="00374CE1"/>
    <w:rsid w:val="00374D2A"/>
    <w:rsid w:val="00374EDB"/>
    <w:rsid w:val="00375144"/>
    <w:rsid w:val="003754B5"/>
    <w:rsid w:val="003755A7"/>
    <w:rsid w:val="00375953"/>
    <w:rsid w:val="00375CCC"/>
    <w:rsid w:val="00376957"/>
    <w:rsid w:val="00376C2C"/>
    <w:rsid w:val="00376C4A"/>
    <w:rsid w:val="00376C4F"/>
    <w:rsid w:val="00376EDC"/>
    <w:rsid w:val="00377B07"/>
    <w:rsid w:val="00377D63"/>
    <w:rsid w:val="00380326"/>
    <w:rsid w:val="00380347"/>
    <w:rsid w:val="00380572"/>
    <w:rsid w:val="00380605"/>
    <w:rsid w:val="00380611"/>
    <w:rsid w:val="003808E5"/>
    <w:rsid w:val="00380A4A"/>
    <w:rsid w:val="003810A0"/>
    <w:rsid w:val="003814FD"/>
    <w:rsid w:val="00381A1C"/>
    <w:rsid w:val="00381EEE"/>
    <w:rsid w:val="0038252C"/>
    <w:rsid w:val="00382752"/>
    <w:rsid w:val="0038283B"/>
    <w:rsid w:val="00382BB0"/>
    <w:rsid w:val="00382BF2"/>
    <w:rsid w:val="00382F66"/>
    <w:rsid w:val="00382F7F"/>
    <w:rsid w:val="00383005"/>
    <w:rsid w:val="0038300E"/>
    <w:rsid w:val="003830C6"/>
    <w:rsid w:val="00383421"/>
    <w:rsid w:val="00383865"/>
    <w:rsid w:val="00383E16"/>
    <w:rsid w:val="00383EDF"/>
    <w:rsid w:val="003847E7"/>
    <w:rsid w:val="00384882"/>
    <w:rsid w:val="00384A77"/>
    <w:rsid w:val="00384AEA"/>
    <w:rsid w:val="00384E7F"/>
    <w:rsid w:val="00385013"/>
    <w:rsid w:val="00385A65"/>
    <w:rsid w:val="00385FA7"/>
    <w:rsid w:val="00386634"/>
    <w:rsid w:val="0038690B"/>
    <w:rsid w:val="0038715C"/>
    <w:rsid w:val="003871E5"/>
    <w:rsid w:val="003875A2"/>
    <w:rsid w:val="0038762C"/>
    <w:rsid w:val="00387D8B"/>
    <w:rsid w:val="00390215"/>
    <w:rsid w:val="00390240"/>
    <w:rsid w:val="00390265"/>
    <w:rsid w:val="003902A7"/>
    <w:rsid w:val="00390393"/>
    <w:rsid w:val="0039063A"/>
    <w:rsid w:val="0039082D"/>
    <w:rsid w:val="00391724"/>
    <w:rsid w:val="0039194D"/>
    <w:rsid w:val="003919E2"/>
    <w:rsid w:val="00392D8D"/>
    <w:rsid w:val="003931C9"/>
    <w:rsid w:val="00393293"/>
    <w:rsid w:val="003936EE"/>
    <w:rsid w:val="00393B90"/>
    <w:rsid w:val="00393D84"/>
    <w:rsid w:val="00393DF4"/>
    <w:rsid w:val="00393EF8"/>
    <w:rsid w:val="00394336"/>
    <w:rsid w:val="003945AC"/>
    <w:rsid w:val="00394B80"/>
    <w:rsid w:val="0039595A"/>
    <w:rsid w:val="00395A2B"/>
    <w:rsid w:val="00396D01"/>
    <w:rsid w:val="00396DD4"/>
    <w:rsid w:val="00397186"/>
    <w:rsid w:val="00397C32"/>
    <w:rsid w:val="00397F3B"/>
    <w:rsid w:val="003A0007"/>
    <w:rsid w:val="003A00DD"/>
    <w:rsid w:val="003A015F"/>
    <w:rsid w:val="003A0651"/>
    <w:rsid w:val="003A068E"/>
    <w:rsid w:val="003A0DCE"/>
    <w:rsid w:val="003A0E01"/>
    <w:rsid w:val="003A0E3A"/>
    <w:rsid w:val="003A1006"/>
    <w:rsid w:val="003A100F"/>
    <w:rsid w:val="003A14B5"/>
    <w:rsid w:val="003A18EE"/>
    <w:rsid w:val="003A1E9A"/>
    <w:rsid w:val="003A2191"/>
    <w:rsid w:val="003A240E"/>
    <w:rsid w:val="003A2441"/>
    <w:rsid w:val="003A24A1"/>
    <w:rsid w:val="003A2617"/>
    <w:rsid w:val="003A2864"/>
    <w:rsid w:val="003A2B7E"/>
    <w:rsid w:val="003A2B8C"/>
    <w:rsid w:val="003A2E72"/>
    <w:rsid w:val="003A3058"/>
    <w:rsid w:val="003A326A"/>
    <w:rsid w:val="003A38B6"/>
    <w:rsid w:val="003A3B82"/>
    <w:rsid w:val="003A4060"/>
    <w:rsid w:val="003A419F"/>
    <w:rsid w:val="003A41DF"/>
    <w:rsid w:val="003A472F"/>
    <w:rsid w:val="003A4B7C"/>
    <w:rsid w:val="003A50C7"/>
    <w:rsid w:val="003A562F"/>
    <w:rsid w:val="003A58B5"/>
    <w:rsid w:val="003A58E2"/>
    <w:rsid w:val="003A5CB2"/>
    <w:rsid w:val="003A5D55"/>
    <w:rsid w:val="003A5DF3"/>
    <w:rsid w:val="003A6281"/>
    <w:rsid w:val="003A62CF"/>
    <w:rsid w:val="003A64C5"/>
    <w:rsid w:val="003A69BA"/>
    <w:rsid w:val="003A7AE2"/>
    <w:rsid w:val="003A7B67"/>
    <w:rsid w:val="003A7F5A"/>
    <w:rsid w:val="003B022D"/>
    <w:rsid w:val="003B029A"/>
    <w:rsid w:val="003B09E5"/>
    <w:rsid w:val="003B09EF"/>
    <w:rsid w:val="003B12E7"/>
    <w:rsid w:val="003B1A1F"/>
    <w:rsid w:val="003B1A56"/>
    <w:rsid w:val="003B1AFF"/>
    <w:rsid w:val="003B220F"/>
    <w:rsid w:val="003B2761"/>
    <w:rsid w:val="003B2E7A"/>
    <w:rsid w:val="003B2F6E"/>
    <w:rsid w:val="003B2F78"/>
    <w:rsid w:val="003B3913"/>
    <w:rsid w:val="003B3BE1"/>
    <w:rsid w:val="003B3BF0"/>
    <w:rsid w:val="003B3C18"/>
    <w:rsid w:val="003B3E4B"/>
    <w:rsid w:val="003B43D2"/>
    <w:rsid w:val="003B455D"/>
    <w:rsid w:val="003B464F"/>
    <w:rsid w:val="003B48C1"/>
    <w:rsid w:val="003B48D9"/>
    <w:rsid w:val="003B49D6"/>
    <w:rsid w:val="003B4E31"/>
    <w:rsid w:val="003B5195"/>
    <w:rsid w:val="003B52CD"/>
    <w:rsid w:val="003B5812"/>
    <w:rsid w:val="003B5CE3"/>
    <w:rsid w:val="003B6792"/>
    <w:rsid w:val="003B69CD"/>
    <w:rsid w:val="003B6D25"/>
    <w:rsid w:val="003B7047"/>
    <w:rsid w:val="003B7158"/>
    <w:rsid w:val="003B755E"/>
    <w:rsid w:val="003B7B02"/>
    <w:rsid w:val="003B7C9A"/>
    <w:rsid w:val="003B7DFF"/>
    <w:rsid w:val="003C010C"/>
    <w:rsid w:val="003C012F"/>
    <w:rsid w:val="003C04D6"/>
    <w:rsid w:val="003C0557"/>
    <w:rsid w:val="003C0559"/>
    <w:rsid w:val="003C081B"/>
    <w:rsid w:val="003C119B"/>
    <w:rsid w:val="003C1975"/>
    <w:rsid w:val="003C29C0"/>
    <w:rsid w:val="003C2B72"/>
    <w:rsid w:val="003C2E24"/>
    <w:rsid w:val="003C30C8"/>
    <w:rsid w:val="003C3132"/>
    <w:rsid w:val="003C357A"/>
    <w:rsid w:val="003C3D34"/>
    <w:rsid w:val="003C42AE"/>
    <w:rsid w:val="003C441B"/>
    <w:rsid w:val="003C4661"/>
    <w:rsid w:val="003C4F40"/>
    <w:rsid w:val="003C524C"/>
    <w:rsid w:val="003C58C2"/>
    <w:rsid w:val="003C593F"/>
    <w:rsid w:val="003C595B"/>
    <w:rsid w:val="003C5C66"/>
    <w:rsid w:val="003C5DB4"/>
    <w:rsid w:val="003C5DD2"/>
    <w:rsid w:val="003C6A7C"/>
    <w:rsid w:val="003C6AEF"/>
    <w:rsid w:val="003C6B6B"/>
    <w:rsid w:val="003C6BA6"/>
    <w:rsid w:val="003C6CBD"/>
    <w:rsid w:val="003C6D97"/>
    <w:rsid w:val="003C6E40"/>
    <w:rsid w:val="003C6E84"/>
    <w:rsid w:val="003C7428"/>
    <w:rsid w:val="003C7651"/>
    <w:rsid w:val="003C795E"/>
    <w:rsid w:val="003C7C64"/>
    <w:rsid w:val="003C7F93"/>
    <w:rsid w:val="003D0206"/>
    <w:rsid w:val="003D031E"/>
    <w:rsid w:val="003D03CB"/>
    <w:rsid w:val="003D0450"/>
    <w:rsid w:val="003D078E"/>
    <w:rsid w:val="003D1281"/>
    <w:rsid w:val="003D1740"/>
    <w:rsid w:val="003D17FE"/>
    <w:rsid w:val="003D18AE"/>
    <w:rsid w:val="003D1B91"/>
    <w:rsid w:val="003D1BB3"/>
    <w:rsid w:val="003D1F6E"/>
    <w:rsid w:val="003D21C3"/>
    <w:rsid w:val="003D21C5"/>
    <w:rsid w:val="003D236F"/>
    <w:rsid w:val="003D2432"/>
    <w:rsid w:val="003D2587"/>
    <w:rsid w:val="003D2643"/>
    <w:rsid w:val="003D28BE"/>
    <w:rsid w:val="003D2CC6"/>
    <w:rsid w:val="003D30DB"/>
    <w:rsid w:val="003D312F"/>
    <w:rsid w:val="003D31DC"/>
    <w:rsid w:val="003D3A90"/>
    <w:rsid w:val="003D3B62"/>
    <w:rsid w:val="003D3DB7"/>
    <w:rsid w:val="003D3F77"/>
    <w:rsid w:val="003D4283"/>
    <w:rsid w:val="003D4918"/>
    <w:rsid w:val="003D4A00"/>
    <w:rsid w:val="003D4A3E"/>
    <w:rsid w:val="003D4D47"/>
    <w:rsid w:val="003D501D"/>
    <w:rsid w:val="003D534E"/>
    <w:rsid w:val="003D602D"/>
    <w:rsid w:val="003D64AD"/>
    <w:rsid w:val="003D64B7"/>
    <w:rsid w:val="003D6737"/>
    <w:rsid w:val="003D6EF6"/>
    <w:rsid w:val="003D706E"/>
    <w:rsid w:val="003D7226"/>
    <w:rsid w:val="003D7869"/>
    <w:rsid w:val="003E0073"/>
    <w:rsid w:val="003E0947"/>
    <w:rsid w:val="003E1216"/>
    <w:rsid w:val="003E137C"/>
    <w:rsid w:val="003E1380"/>
    <w:rsid w:val="003E15E5"/>
    <w:rsid w:val="003E1A40"/>
    <w:rsid w:val="003E1AD6"/>
    <w:rsid w:val="003E1CB0"/>
    <w:rsid w:val="003E1CF4"/>
    <w:rsid w:val="003E1E85"/>
    <w:rsid w:val="003E208F"/>
    <w:rsid w:val="003E2190"/>
    <w:rsid w:val="003E2641"/>
    <w:rsid w:val="003E2D4B"/>
    <w:rsid w:val="003E3169"/>
    <w:rsid w:val="003E3668"/>
    <w:rsid w:val="003E3929"/>
    <w:rsid w:val="003E3BFB"/>
    <w:rsid w:val="003E3CCF"/>
    <w:rsid w:val="003E3D8C"/>
    <w:rsid w:val="003E424F"/>
    <w:rsid w:val="003E43BB"/>
    <w:rsid w:val="003E44E7"/>
    <w:rsid w:val="003E4C2D"/>
    <w:rsid w:val="003E51D3"/>
    <w:rsid w:val="003E53D9"/>
    <w:rsid w:val="003E5425"/>
    <w:rsid w:val="003E5DDB"/>
    <w:rsid w:val="003E65BF"/>
    <w:rsid w:val="003E6DA1"/>
    <w:rsid w:val="003E705C"/>
    <w:rsid w:val="003E79A3"/>
    <w:rsid w:val="003E7AAD"/>
    <w:rsid w:val="003E7BC6"/>
    <w:rsid w:val="003F019A"/>
    <w:rsid w:val="003F0294"/>
    <w:rsid w:val="003F078F"/>
    <w:rsid w:val="003F101D"/>
    <w:rsid w:val="003F130B"/>
    <w:rsid w:val="003F15D9"/>
    <w:rsid w:val="003F1CD7"/>
    <w:rsid w:val="003F2314"/>
    <w:rsid w:val="003F27BD"/>
    <w:rsid w:val="003F28EA"/>
    <w:rsid w:val="003F2932"/>
    <w:rsid w:val="003F2933"/>
    <w:rsid w:val="003F29F2"/>
    <w:rsid w:val="003F2D72"/>
    <w:rsid w:val="003F2E24"/>
    <w:rsid w:val="003F33B2"/>
    <w:rsid w:val="003F3A5C"/>
    <w:rsid w:val="003F3BD3"/>
    <w:rsid w:val="003F3D2B"/>
    <w:rsid w:val="003F46F3"/>
    <w:rsid w:val="003F47BC"/>
    <w:rsid w:val="003F4B55"/>
    <w:rsid w:val="003F4C2E"/>
    <w:rsid w:val="003F5197"/>
    <w:rsid w:val="003F5AE6"/>
    <w:rsid w:val="003F5C35"/>
    <w:rsid w:val="003F5EB5"/>
    <w:rsid w:val="003F660A"/>
    <w:rsid w:val="003F673C"/>
    <w:rsid w:val="003F6B32"/>
    <w:rsid w:val="003F70F5"/>
    <w:rsid w:val="003F71A9"/>
    <w:rsid w:val="003F73FC"/>
    <w:rsid w:val="003F7BEC"/>
    <w:rsid w:val="003F7E49"/>
    <w:rsid w:val="00400081"/>
    <w:rsid w:val="0040014D"/>
    <w:rsid w:val="004001A2"/>
    <w:rsid w:val="004002E2"/>
    <w:rsid w:val="0040055D"/>
    <w:rsid w:val="004006E8"/>
    <w:rsid w:val="004007AB"/>
    <w:rsid w:val="00400B36"/>
    <w:rsid w:val="00400B86"/>
    <w:rsid w:val="00400C34"/>
    <w:rsid w:val="004019E3"/>
    <w:rsid w:val="00401B1B"/>
    <w:rsid w:val="00401BA6"/>
    <w:rsid w:val="00401D3E"/>
    <w:rsid w:val="004021D5"/>
    <w:rsid w:val="00402579"/>
    <w:rsid w:val="00402DB0"/>
    <w:rsid w:val="004032E0"/>
    <w:rsid w:val="00403870"/>
    <w:rsid w:val="00403A20"/>
    <w:rsid w:val="00403B9E"/>
    <w:rsid w:val="00403D3B"/>
    <w:rsid w:val="00403D8A"/>
    <w:rsid w:val="00403F4D"/>
    <w:rsid w:val="00404420"/>
    <w:rsid w:val="00405111"/>
    <w:rsid w:val="00405428"/>
    <w:rsid w:val="0040560C"/>
    <w:rsid w:val="004062D3"/>
    <w:rsid w:val="004063F2"/>
    <w:rsid w:val="004068D4"/>
    <w:rsid w:val="00407226"/>
    <w:rsid w:val="0040728C"/>
    <w:rsid w:val="00407302"/>
    <w:rsid w:val="00410198"/>
    <w:rsid w:val="004107E7"/>
    <w:rsid w:val="0041096A"/>
    <w:rsid w:val="00410B05"/>
    <w:rsid w:val="0041106B"/>
    <w:rsid w:val="00411302"/>
    <w:rsid w:val="00411314"/>
    <w:rsid w:val="004114BD"/>
    <w:rsid w:val="004114D3"/>
    <w:rsid w:val="004117BE"/>
    <w:rsid w:val="00411FE7"/>
    <w:rsid w:val="004126E9"/>
    <w:rsid w:val="004128B1"/>
    <w:rsid w:val="00412C11"/>
    <w:rsid w:val="004133BF"/>
    <w:rsid w:val="00413B52"/>
    <w:rsid w:val="004140A0"/>
    <w:rsid w:val="004142B1"/>
    <w:rsid w:val="00414557"/>
    <w:rsid w:val="00414632"/>
    <w:rsid w:val="00414B39"/>
    <w:rsid w:val="00415012"/>
    <w:rsid w:val="00415499"/>
    <w:rsid w:val="00415B2B"/>
    <w:rsid w:val="00415D00"/>
    <w:rsid w:val="0041616B"/>
    <w:rsid w:val="00416455"/>
    <w:rsid w:val="004165BB"/>
    <w:rsid w:val="0041746F"/>
    <w:rsid w:val="00417A5B"/>
    <w:rsid w:val="00417F64"/>
    <w:rsid w:val="004202D5"/>
    <w:rsid w:val="0042082C"/>
    <w:rsid w:val="00420961"/>
    <w:rsid w:val="00420BD2"/>
    <w:rsid w:val="00420FEA"/>
    <w:rsid w:val="0042115D"/>
    <w:rsid w:val="00421A38"/>
    <w:rsid w:val="00422019"/>
    <w:rsid w:val="00422355"/>
    <w:rsid w:val="0042253A"/>
    <w:rsid w:val="00422687"/>
    <w:rsid w:val="004229AA"/>
    <w:rsid w:val="00422B18"/>
    <w:rsid w:val="00422F0E"/>
    <w:rsid w:val="004231B8"/>
    <w:rsid w:val="0042333F"/>
    <w:rsid w:val="0042347B"/>
    <w:rsid w:val="00423845"/>
    <w:rsid w:val="00423B4C"/>
    <w:rsid w:val="00424910"/>
    <w:rsid w:val="00424B69"/>
    <w:rsid w:val="0042502B"/>
    <w:rsid w:val="004254E0"/>
    <w:rsid w:val="00425686"/>
    <w:rsid w:val="00425860"/>
    <w:rsid w:val="004258BD"/>
    <w:rsid w:val="004258BF"/>
    <w:rsid w:val="00425D3E"/>
    <w:rsid w:val="00426712"/>
    <w:rsid w:val="00426BD5"/>
    <w:rsid w:val="00426E3A"/>
    <w:rsid w:val="00426ECF"/>
    <w:rsid w:val="00426F5E"/>
    <w:rsid w:val="004275D6"/>
    <w:rsid w:val="004278BF"/>
    <w:rsid w:val="004278E5"/>
    <w:rsid w:val="00427B8D"/>
    <w:rsid w:val="00427F1E"/>
    <w:rsid w:val="00430414"/>
    <w:rsid w:val="004304CA"/>
    <w:rsid w:val="004305BC"/>
    <w:rsid w:val="00430720"/>
    <w:rsid w:val="004308B2"/>
    <w:rsid w:val="0043097D"/>
    <w:rsid w:val="004309BB"/>
    <w:rsid w:val="00430C54"/>
    <w:rsid w:val="00431AE9"/>
    <w:rsid w:val="00431EBB"/>
    <w:rsid w:val="004321A6"/>
    <w:rsid w:val="00432557"/>
    <w:rsid w:val="00432916"/>
    <w:rsid w:val="00432A08"/>
    <w:rsid w:val="00432B66"/>
    <w:rsid w:val="00432F5F"/>
    <w:rsid w:val="00433BFC"/>
    <w:rsid w:val="00433CBE"/>
    <w:rsid w:val="00433D4E"/>
    <w:rsid w:val="00433EE1"/>
    <w:rsid w:val="004342E2"/>
    <w:rsid w:val="004346C0"/>
    <w:rsid w:val="00435537"/>
    <w:rsid w:val="00435C3D"/>
    <w:rsid w:val="004364B6"/>
    <w:rsid w:val="004365EB"/>
    <w:rsid w:val="004366D6"/>
    <w:rsid w:val="004367EB"/>
    <w:rsid w:val="004375C7"/>
    <w:rsid w:val="0043767B"/>
    <w:rsid w:val="00437730"/>
    <w:rsid w:val="00437B22"/>
    <w:rsid w:val="00440248"/>
    <w:rsid w:val="00440384"/>
    <w:rsid w:val="00440669"/>
    <w:rsid w:val="00440687"/>
    <w:rsid w:val="0044076F"/>
    <w:rsid w:val="00440876"/>
    <w:rsid w:val="004412B1"/>
    <w:rsid w:val="00441338"/>
    <w:rsid w:val="0044164C"/>
    <w:rsid w:val="00441992"/>
    <w:rsid w:val="0044235E"/>
    <w:rsid w:val="004424A1"/>
    <w:rsid w:val="004435FA"/>
    <w:rsid w:val="004438E6"/>
    <w:rsid w:val="0044395C"/>
    <w:rsid w:val="004439D7"/>
    <w:rsid w:val="00443CE5"/>
    <w:rsid w:val="00443ECC"/>
    <w:rsid w:val="0044404B"/>
    <w:rsid w:val="0044429D"/>
    <w:rsid w:val="004443FF"/>
    <w:rsid w:val="00444588"/>
    <w:rsid w:val="004447EA"/>
    <w:rsid w:val="00444AA5"/>
    <w:rsid w:val="00444CCA"/>
    <w:rsid w:val="00444D28"/>
    <w:rsid w:val="00445393"/>
    <w:rsid w:val="00445614"/>
    <w:rsid w:val="004457DF"/>
    <w:rsid w:val="004459C5"/>
    <w:rsid w:val="00445A8D"/>
    <w:rsid w:val="00445C6A"/>
    <w:rsid w:val="004462A3"/>
    <w:rsid w:val="00446509"/>
    <w:rsid w:val="004466E3"/>
    <w:rsid w:val="00446A1A"/>
    <w:rsid w:val="00446A28"/>
    <w:rsid w:val="00446A4A"/>
    <w:rsid w:val="00446DB7"/>
    <w:rsid w:val="00446E71"/>
    <w:rsid w:val="004470DB"/>
    <w:rsid w:val="004471BA"/>
    <w:rsid w:val="00447FBC"/>
    <w:rsid w:val="00450C21"/>
    <w:rsid w:val="00450D13"/>
    <w:rsid w:val="004512B6"/>
    <w:rsid w:val="00451AF9"/>
    <w:rsid w:val="0045217B"/>
    <w:rsid w:val="004522B2"/>
    <w:rsid w:val="004523B1"/>
    <w:rsid w:val="00452677"/>
    <w:rsid w:val="004528E3"/>
    <w:rsid w:val="00452C0A"/>
    <w:rsid w:val="00453384"/>
    <w:rsid w:val="0045354D"/>
    <w:rsid w:val="004535A6"/>
    <w:rsid w:val="0045402C"/>
    <w:rsid w:val="004541B8"/>
    <w:rsid w:val="00455990"/>
    <w:rsid w:val="00455C09"/>
    <w:rsid w:val="0045601C"/>
    <w:rsid w:val="004567ED"/>
    <w:rsid w:val="00457672"/>
    <w:rsid w:val="0045794E"/>
    <w:rsid w:val="00457CE6"/>
    <w:rsid w:val="00457D12"/>
    <w:rsid w:val="00457E66"/>
    <w:rsid w:val="00457E78"/>
    <w:rsid w:val="00460604"/>
    <w:rsid w:val="00460984"/>
    <w:rsid w:val="004612AA"/>
    <w:rsid w:val="00461335"/>
    <w:rsid w:val="00461421"/>
    <w:rsid w:val="004617BF"/>
    <w:rsid w:val="00461898"/>
    <w:rsid w:val="004618BB"/>
    <w:rsid w:val="00461AC3"/>
    <w:rsid w:val="00461D0B"/>
    <w:rsid w:val="00461D82"/>
    <w:rsid w:val="00461E07"/>
    <w:rsid w:val="004621AA"/>
    <w:rsid w:val="004622FB"/>
    <w:rsid w:val="004623A7"/>
    <w:rsid w:val="004625AB"/>
    <w:rsid w:val="004625B7"/>
    <w:rsid w:val="004625D3"/>
    <w:rsid w:val="004626C5"/>
    <w:rsid w:val="004626D9"/>
    <w:rsid w:val="004629AF"/>
    <w:rsid w:val="00462B75"/>
    <w:rsid w:val="00463073"/>
    <w:rsid w:val="004631BF"/>
    <w:rsid w:val="00463331"/>
    <w:rsid w:val="004634A4"/>
    <w:rsid w:val="00463534"/>
    <w:rsid w:val="00463870"/>
    <w:rsid w:val="00463E58"/>
    <w:rsid w:val="00464601"/>
    <w:rsid w:val="00464D1E"/>
    <w:rsid w:val="00464E9F"/>
    <w:rsid w:val="0046561C"/>
    <w:rsid w:val="00465F6A"/>
    <w:rsid w:val="00466376"/>
    <w:rsid w:val="004664F3"/>
    <w:rsid w:val="004665B2"/>
    <w:rsid w:val="004672E1"/>
    <w:rsid w:val="00467618"/>
    <w:rsid w:val="00467A93"/>
    <w:rsid w:val="00467EA7"/>
    <w:rsid w:val="00470190"/>
    <w:rsid w:val="0047019C"/>
    <w:rsid w:val="0047019F"/>
    <w:rsid w:val="004702E6"/>
    <w:rsid w:val="00470737"/>
    <w:rsid w:val="00470BC1"/>
    <w:rsid w:val="00470FAF"/>
    <w:rsid w:val="0047181D"/>
    <w:rsid w:val="00471CD4"/>
    <w:rsid w:val="00471E92"/>
    <w:rsid w:val="0047207F"/>
    <w:rsid w:val="00472290"/>
    <w:rsid w:val="00472442"/>
    <w:rsid w:val="00472717"/>
    <w:rsid w:val="00472940"/>
    <w:rsid w:val="0047294B"/>
    <w:rsid w:val="004729E0"/>
    <w:rsid w:val="00472C88"/>
    <w:rsid w:val="00472E04"/>
    <w:rsid w:val="00472E65"/>
    <w:rsid w:val="00473177"/>
    <w:rsid w:val="004732D5"/>
    <w:rsid w:val="004734C0"/>
    <w:rsid w:val="00473CB7"/>
    <w:rsid w:val="00473D5D"/>
    <w:rsid w:val="004740E4"/>
    <w:rsid w:val="004744FF"/>
    <w:rsid w:val="00474A95"/>
    <w:rsid w:val="004751DD"/>
    <w:rsid w:val="00475347"/>
    <w:rsid w:val="00475375"/>
    <w:rsid w:val="00475DA9"/>
    <w:rsid w:val="004762F5"/>
    <w:rsid w:val="0047676F"/>
    <w:rsid w:val="00476BD6"/>
    <w:rsid w:val="004771B9"/>
    <w:rsid w:val="004778FB"/>
    <w:rsid w:val="004800BF"/>
    <w:rsid w:val="00480191"/>
    <w:rsid w:val="004802DA"/>
    <w:rsid w:val="004807C4"/>
    <w:rsid w:val="00480F0B"/>
    <w:rsid w:val="00481173"/>
    <w:rsid w:val="0048146B"/>
    <w:rsid w:val="004814EB"/>
    <w:rsid w:val="004815BC"/>
    <w:rsid w:val="004816CB"/>
    <w:rsid w:val="00481E24"/>
    <w:rsid w:val="004825E6"/>
    <w:rsid w:val="00482804"/>
    <w:rsid w:val="004829F7"/>
    <w:rsid w:val="00482B28"/>
    <w:rsid w:val="00482D95"/>
    <w:rsid w:val="00483229"/>
    <w:rsid w:val="00483348"/>
    <w:rsid w:val="004834D9"/>
    <w:rsid w:val="004838EF"/>
    <w:rsid w:val="00483F9B"/>
    <w:rsid w:val="004843D0"/>
    <w:rsid w:val="0048459B"/>
    <w:rsid w:val="004845A8"/>
    <w:rsid w:val="00484C20"/>
    <w:rsid w:val="00484E8D"/>
    <w:rsid w:val="00485022"/>
    <w:rsid w:val="0048521D"/>
    <w:rsid w:val="004853D3"/>
    <w:rsid w:val="00485691"/>
    <w:rsid w:val="004857F1"/>
    <w:rsid w:val="00485A1F"/>
    <w:rsid w:val="00485D00"/>
    <w:rsid w:val="004861BD"/>
    <w:rsid w:val="00486796"/>
    <w:rsid w:val="00486BE7"/>
    <w:rsid w:val="00486C74"/>
    <w:rsid w:val="00487582"/>
    <w:rsid w:val="00487615"/>
    <w:rsid w:val="00487EB1"/>
    <w:rsid w:val="004901CB"/>
    <w:rsid w:val="004904D6"/>
    <w:rsid w:val="00490941"/>
    <w:rsid w:val="00490BCC"/>
    <w:rsid w:val="004910AC"/>
    <w:rsid w:val="004912A5"/>
    <w:rsid w:val="00491321"/>
    <w:rsid w:val="004918D3"/>
    <w:rsid w:val="00491B58"/>
    <w:rsid w:val="00491C0F"/>
    <w:rsid w:val="00492195"/>
    <w:rsid w:val="00492364"/>
    <w:rsid w:val="004923C7"/>
    <w:rsid w:val="004924C0"/>
    <w:rsid w:val="004925E7"/>
    <w:rsid w:val="00492682"/>
    <w:rsid w:val="00492B01"/>
    <w:rsid w:val="00492E2B"/>
    <w:rsid w:val="00493093"/>
    <w:rsid w:val="004932E8"/>
    <w:rsid w:val="0049362E"/>
    <w:rsid w:val="004943F7"/>
    <w:rsid w:val="00494A8A"/>
    <w:rsid w:val="00494DA3"/>
    <w:rsid w:val="00495148"/>
    <w:rsid w:val="00495542"/>
    <w:rsid w:val="00496642"/>
    <w:rsid w:val="004966A6"/>
    <w:rsid w:val="0049688E"/>
    <w:rsid w:val="00496B37"/>
    <w:rsid w:val="00496CDF"/>
    <w:rsid w:val="00496F86"/>
    <w:rsid w:val="004973C4"/>
    <w:rsid w:val="004977F8"/>
    <w:rsid w:val="00497A89"/>
    <w:rsid w:val="004A0525"/>
    <w:rsid w:val="004A0D52"/>
    <w:rsid w:val="004A10EB"/>
    <w:rsid w:val="004A10F1"/>
    <w:rsid w:val="004A1173"/>
    <w:rsid w:val="004A13C3"/>
    <w:rsid w:val="004A225B"/>
    <w:rsid w:val="004A238E"/>
    <w:rsid w:val="004A2535"/>
    <w:rsid w:val="004A2542"/>
    <w:rsid w:val="004A25B1"/>
    <w:rsid w:val="004A2710"/>
    <w:rsid w:val="004A2951"/>
    <w:rsid w:val="004A2955"/>
    <w:rsid w:val="004A3487"/>
    <w:rsid w:val="004A352F"/>
    <w:rsid w:val="004A3701"/>
    <w:rsid w:val="004A3D3C"/>
    <w:rsid w:val="004A40D2"/>
    <w:rsid w:val="004A4111"/>
    <w:rsid w:val="004A4332"/>
    <w:rsid w:val="004A4361"/>
    <w:rsid w:val="004A43FA"/>
    <w:rsid w:val="004A4451"/>
    <w:rsid w:val="004A4DD3"/>
    <w:rsid w:val="004A4FD7"/>
    <w:rsid w:val="004A50BB"/>
    <w:rsid w:val="004A5FD5"/>
    <w:rsid w:val="004A6269"/>
    <w:rsid w:val="004A641E"/>
    <w:rsid w:val="004A66C0"/>
    <w:rsid w:val="004A67FC"/>
    <w:rsid w:val="004A6B78"/>
    <w:rsid w:val="004A6C23"/>
    <w:rsid w:val="004A6DC4"/>
    <w:rsid w:val="004A73C5"/>
    <w:rsid w:val="004A7657"/>
    <w:rsid w:val="004A7AAD"/>
    <w:rsid w:val="004A7B48"/>
    <w:rsid w:val="004A7E5A"/>
    <w:rsid w:val="004A7F99"/>
    <w:rsid w:val="004B0228"/>
    <w:rsid w:val="004B02C8"/>
    <w:rsid w:val="004B0521"/>
    <w:rsid w:val="004B0EDD"/>
    <w:rsid w:val="004B10AB"/>
    <w:rsid w:val="004B118D"/>
    <w:rsid w:val="004B171C"/>
    <w:rsid w:val="004B1B53"/>
    <w:rsid w:val="004B2602"/>
    <w:rsid w:val="004B2746"/>
    <w:rsid w:val="004B2EBB"/>
    <w:rsid w:val="004B322C"/>
    <w:rsid w:val="004B3595"/>
    <w:rsid w:val="004B3774"/>
    <w:rsid w:val="004B3775"/>
    <w:rsid w:val="004B3780"/>
    <w:rsid w:val="004B3B09"/>
    <w:rsid w:val="004B3E33"/>
    <w:rsid w:val="004B42B1"/>
    <w:rsid w:val="004B42BC"/>
    <w:rsid w:val="004B4669"/>
    <w:rsid w:val="004B46DA"/>
    <w:rsid w:val="004B49E6"/>
    <w:rsid w:val="004B4D2F"/>
    <w:rsid w:val="004B4D92"/>
    <w:rsid w:val="004B4E09"/>
    <w:rsid w:val="004B4FE1"/>
    <w:rsid w:val="004B5569"/>
    <w:rsid w:val="004B5839"/>
    <w:rsid w:val="004B5ED7"/>
    <w:rsid w:val="004B5EDE"/>
    <w:rsid w:val="004B5FB0"/>
    <w:rsid w:val="004B6126"/>
    <w:rsid w:val="004B66EA"/>
    <w:rsid w:val="004B691E"/>
    <w:rsid w:val="004B69E7"/>
    <w:rsid w:val="004B6C18"/>
    <w:rsid w:val="004B7570"/>
    <w:rsid w:val="004B794F"/>
    <w:rsid w:val="004B7AF8"/>
    <w:rsid w:val="004C02A5"/>
    <w:rsid w:val="004C0779"/>
    <w:rsid w:val="004C086C"/>
    <w:rsid w:val="004C0DC3"/>
    <w:rsid w:val="004C0E56"/>
    <w:rsid w:val="004C159A"/>
    <w:rsid w:val="004C1793"/>
    <w:rsid w:val="004C17C2"/>
    <w:rsid w:val="004C2259"/>
    <w:rsid w:val="004C2335"/>
    <w:rsid w:val="004C233E"/>
    <w:rsid w:val="004C2B5A"/>
    <w:rsid w:val="004C2BF2"/>
    <w:rsid w:val="004C2C6D"/>
    <w:rsid w:val="004C2C6F"/>
    <w:rsid w:val="004C309D"/>
    <w:rsid w:val="004C3426"/>
    <w:rsid w:val="004C35F7"/>
    <w:rsid w:val="004C3F70"/>
    <w:rsid w:val="004C40C5"/>
    <w:rsid w:val="004C43FD"/>
    <w:rsid w:val="004C4566"/>
    <w:rsid w:val="004C4B13"/>
    <w:rsid w:val="004C4E56"/>
    <w:rsid w:val="004C4E85"/>
    <w:rsid w:val="004C51CB"/>
    <w:rsid w:val="004C537A"/>
    <w:rsid w:val="004C54F5"/>
    <w:rsid w:val="004C5776"/>
    <w:rsid w:val="004C5DC8"/>
    <w:rsid w:val="004C614E"/>
    <w:rsid w:val="004C6301"/>
    <w:rsid w:val="004C7217"/>
    <w:rsid w:val="004C7620"/>
    <w:rsid w:val="004C7908"/>
    <w:rsid w:val="004C7BD9"/>
    <w:rsid w:val="004D0159"/>
    <w:rsid w:val="004D0524"/>
    <w:rsid w:val="004D053D"/>
    <w:rsid w:val="004D08F1"/>
    <w:rsid w:val="004D0A4A"/>
    <w:rsid w:val="004D0A75"/>
    <w:rsid w:val="004D10F8"/>
    <w:rsid w:val="004D116B"/>
    <w:rsid w:val="004D12FA"/>
    <w:rsid w:val="004D1698"/>
    <w:rsid w:val="004D2005"/>
    <w:rsid w:val="004D2DFF"/>
    <w:rsid w:val="004D3228"/>
    <w:rsid w:val="004D3330"/>
    <w:rsid w:val="004D35BD"/>
    <w:rsid w:val="004D4335"/>
    <w:rsid w:val="004D44EE"/>
    <w:rsid w:val="004D45A9"/>
    <w:rsid w:val="004D46A3"/>
    <w:rsid w:val="004D47E7"/>
    <w:rsid w:val="004D5437"/>
    <w:rsid w:val="004D5988"/>
    <w:rsid w:val="004D5CCF"/>
    <w:rsid w:val="004D5CE9"/>
    <w:rsid w:val="004D64C7"/>
    <w:rsid w:val="004D7646"/>
    <w:rsid w:val="004D781F"/>
    <w:rsid w:val="004D7A09"/>
    <w:rsid w:val="004D7B32"/>
    <w:rsid w:val="004D7BAE"/>
    <w:rsid w:val="004E0161"/>
    <w:rsid w:val="004E084F"/>
    <w:rsid w:val="004E09C4"/>
    <w:rsid w:val="004E0FB0"/>
    <w:rsid w:val="004E10DA"/>
    <w:rsid w:val="004E117C"/>
    <w:rsid w:val="004E118B"/>
    <w:rsid w:val="004E1DD2"/>
    <w:rsid w:val="004E1F22"/>
    <w:rsid w:val="004E21D7"/>
    <w:rsid w:val="004E2F2C"/>
    <w:rsid w:val="004E3057"/>
    <w:rsid w:val="004E316F"/>
    <w:rsid w:val="004E3244"/>
    <w:rsid w:val="004E36E2"/>
    <w:rsid w:val="004E39DE"/>
    <w:rsid w:val="004E3BA0"/>
    <w:rsid w:val="004E3CEE"/>
    <w:rsid w:val="004E3FC4"/>
    <w:rsid w:val="004E40EF"/>
    <w:rsid w:val="004E436A"/>
    <w:rsid w:val="004E458B"/>
    <w:rsid w:val="004E46CD"/>
    <w:rsid w:val="004E4A70"/>
    <w:rsid w:val="004E5031"/>
    <w:rsid w:val="004E5333"/>
    <w:rsid w:val="004E579C"/>
    <w:rsid w:val="004E5B29"/>
    <w:rsid w:val="004E60B1"/>
    <w:rsid w:val="004E67F8"/>
    <w:rsid w:val="004E6BF1"/>
    <w:rsid w:val="004E6C91"/>
    <w:rsid w:val="004E7953"/>
    <w:rsid w:val="004E7B4B"/>
    <w:rsid w:val="004F04BD"/>
    <w:rsid w:val="004F0B46"/>
    <w:rsid w:val="004F0C84"/>
    <w:rsid w:val="004F0CAD"/>
    <w:rsid w:val="004F0E48"/>
    <w:rsid w:val="004F1302"/>
    <w:rsid w:val="004F160F"/>
    <w:rsid w:val="004F165E"/>
    <w:rsid w:val="004F17BB"/>
    <w:rsid w:val="004F1D88"/>
    <w:rsid w:val="004F225A"/>
    <w:rsid w:val="004F24E7"/>
    <w:rsid w:val="004F25D5"/>
    <w:rsid w:val="004F2896"/>
    <w:rsid w:val="004F295F"/>
    <w:rsid w:val="004F2DD1"/>
    <w:rsid w:val="004F2FF9"/>
    <w:rsid w:val="004F3379"/>
    <w:rsid w:val="004F3534"/>
    <w:rsid w:val="004F379E"/>
    <w:rsid w:val="004F3CB1"/>
    <w:rsid w:val="004F3CDC"/>
    <w:rsid w:val="004F4916"/>
    <w:rsid w:val="004F4F21"/>
    <w:rsid w:val="004F52C0"/>
    <w:rsid w:val="004F572F"/>
    <w:rsid w:val="004F57F8"/>
    <w:rsid w:val="004F59B2"/>
    <w:rsid w:val="004F5A08"/>
    <w:rsid w:val="004F5C0C"/>
    <w:rsid w:val="004F5C70"/>
    <w:rsid w:val="004F5DB6"/>
    <w:rsid w:val="004F5E34"/>
    <w:rsid w:val="004F636D"/>
    <w:rsid w:val="004F6986"/>
    <w:rsid w:val="004F7335"/>
    <w:rsid w:val="004F749A"/>
    <w:rsid w:val="004F750D"/>
    <w:rsid w:val="004F751F"/>
    <w:rsid w:val="004F7774"/>
    <w:rsid w:val="004F7A6E"/>
    <w:rsid w:val="004F7C39"/>
    <w:rsid w:val="005005AB"/>
    <w:rsid w:val="00500B43"/>
    <w:rsid w:val="00500F36"/>
    <w:rsid w:val="00501010"/>
    <w:rsid w:val="005015F7"/>
    <w:rsid w:val="00501998"/>
    <w:rsid w:val="00501B13"/>
    <w:rsid w:val="00501BEF"/>
    <w:rsid w:val="00502240"/>
    <w:rsid w:val="00502E10"/>
    <w:rsid w:val="00502F61"/>
    <w:rsid w:val="00504604"/>
    <w:rsid w:val="00504969"/>
    <w:rsid w:val="00504EBF"/>
    <w:rsid w:val="0050508C"/>
    <w:rsid w:val="005052E3"/>
    <w:rsid w:val="00505313"/>
    <w:rsid w:val="00505806"/>
    <w:rsid w:val="00505897"/>
    <w:rsid w:val="00505A0C"/>
    <w:rsid w:val="00505DF5"/>
    <w:rsid w:val="00505E0C"/>
    <w:rsid w:val="00505F47"/>
    <w:rsid w:val="00506280"/>
    <w:rsid w:val="0050660F"/>
    <w:rsid w:val="0050671A"/>
    <w:rsid w:val="0050690A"/>
    <w:rsid w:val="00506918"/>
    <w:rsid w:val="00506ABD"/>
    <w:rsid w:val="00506C96"/>
    <w:rsid w:val="00506EE2"/>
    <w:rsid w:val="005070B1"/>
    <w:rsid w:val="005070DE"/>
    <w:rsid w:val="00507838"/>
    <w:rsid w:val="005078CD"/>
    <w:rsid w:val="005079E5"/>
    <w:rsid w:val="00507ABF"/>
    <w:rsid w:val="00507C14"/>
    <w:rsid w:val="00507EEA"/>
    <w:rsid w:val="00507EF5"/>
    <w:rsid w:val="00507F00"/>
    <w:rsid w:val="0051011C"/>
    <w:rsid w:val="0051018E"/>
    <w:rsid w:val="005104BC"/>
    <w:rsid w:val="0051052F"/>
    <w:rsid w:val="005108AE"/>
    <w:rsid w:val="00510BBA"/>
    <w:rsid w:val="00511577"/>
    <w:rsid w:val="005115E9"/>
    <w:rsid w:val="00511C9B"/>
    <w:rsid w:val="00511E3A"/>
    <w:rsid w:val="005120A2"/>
    <w:rsid w:val="00512668"/>
    <w:rsid w:val="005126CC"/>
    <w:rsid w:val="005129BA"/>
    <w:rsid w:val="005130B9"/>
    <w:rsid w:val="0051319A"/>
    <w:rsid w:val="00513303"/>
    <w:rsid w:val="0051376C"/>
    <w:rsid w:val="00513B09"/>
    <w:rsid w:val="00514856"/>
    <w:rsid w:val="005149E8"/>
    <w:rsid w:val="00514BED"/>
    <w:rsid w:val="00514DF4"/>
    <w:rsid w:val="005151FD"/>
    <w:rsid w:val="00515263"/>
    <w:rsid w:val="005157F8"/>
    <w:rsid w:val="0051581A"/>
    <w:rsid w:val="0051583D"/>
    <w:rsid w:val="00515886"/>
    <w:rsid w:val="00515FA3"/>
    <w:rsid w:val="0051620F"/>
    <w:rsid w:val="005162E8"/>
    <w:rsid w:val="00516482"/>
    <w:rsid w:val="00516A95"/>
    <w:rsid w:val="00516B16"/>
    <w:rsid w:val="00516BC3"/>
    <w:rsid w:val="00516EAB"/>
    <w:rsid w:val="00517225"/>
    <w:rsid w:val="005174A3"/>
    <w:rsid w:val="005178FE"/>
    <w:rsid w:val="00517F8F"/>
    <w:rsid w:val="00517FA3"/>
    <w:rsid w:val="00520726"/>
    <w:rsid w:val="00520978"/>
    <w:rsid w:val="00520B6D"/>
    <w:rsid w:val="00520D97"/>
    <w:rsid w:val="00520E00"/>
    <w:rsid w:val="00521796"/>
    <w:rsid w:val="0052189E"/>
    <w:rsid w:val="00521CE1"/>
    <w:rsid w:val="00521F90"/>
    <w:rsid w:val="005226AE"/>
    <w:rsid w:val="0052339B"/>
    <w:rsid w:val="00523617"/>
    <w:rsid w:val="005239D6"/>
    <w:rsid w:val="00523BEF"/>
    <w:rsid w:val="00523C13"/>
    <w:rsid w:val="00524745"/>
    <w:rsid w:val="005249F5"/>
    <w:rsid w:val="00524BFD"/>
    <w:rsid w:val="00524E49"/>
    <w:rsid w:val="0052535D"/>
    <w:rsid w:val="005254B4"/>
    <w:rsid w:val="00525941"/>
    <w:rsid w:val="005259E6"/>
    <w:rsid w:val="0052635A"/>
    <w:rsid w:val="005270F8"/>
    <w:rsid w:val="00527C5E"/>
    <w:rsid w:val="00527EE8"/>
    <w:rsid w:val="00530011"/>
    <w:rsid w:val="005303DB"/>
    <w:rsid w:val="005304DD"/>
    <w:rsid w:val="0053071C"/>
    <w:rsid w:val="00530BE8"/>
    <w:rsid w:val="00530F4A"/>
    <w:rsid w:val="005311B1"/>
    <w:rsid w:val="005312C1"/>
    <w:rsid w:val="005316F4"/>
    <w:rsid w:val="00531793"/>
    <w:rsid w:val="0053190B"/>
    <w:rsid w:val="00531DB5"/>
    <w:rsid w:val="005322FC"/>
    <w:rsid w:val="0053266A"/>
    <w:rsid w:val="0053288F"/>
    <w:rsid w:val="005328B3"/>
    <w:rsid w:val="00532B0C"/>
    <w:rsid w:val="00532F80"/>
    <w:rsid w:val="00533025"/>
    <w:rsid w:val="00533186"/>
    <w:rsid w:val="00533262"/>
    <w:rsid w:val="0053330B"/>
    <w:rsid w:val="005336EB"/>
    <w:rsid w:val="00533A1E"/>
    <w:rsid w:val="00534786"/>
    <w:rsid w:val="00534D18"/>
    <w:rsid w:val="00535864"/>
    <w:rsid w:val="0053598F"/>
    <w:rsid w:val="00536292"/>
    <w:rsid w:val="00536B5C"/>
    <w:rsid w:val="00536FD6"/>
    <w:rsid w:val="005374F4"/>
    <w:rsid w:val="00537883"/>
    <w:rsid w:val="00537897"/>
    <w:rsid w:val="00537DE9"/>
    <w:rsid w:val="00537EA3"/>
    <w:rsid w:val="00540A15"/>
    <w:rsid w:val="00540BB9"/>
    <w:rsid w:val="0054109E"/>
    <w:rsid w:val="005412C9"/>
    <w:rsid w:val="005413B1"/>
    <w:rsid w:val="0054142C"/>
    <w:rsid w:val="005414BB"/>
    <w:rsid w:val="00541A89"/>
    <w:rsid w:val="00541C46"/>
    <w:rsid w:val="00542043"/>
    <w:rsid w:val="0054221F"/>
    <w:rsid w:val="00542322"/>
    <w:rsid w:val="005429F7"/>
    <w:rsid w:val="00542DDD"/>
    <w:rsid w:val="00542DFE"/>
    <w:rsid w:val="00542E3A"/>
    <w:rsid w:val="00543511"/>
    <w:rsid w:val="0054358F"/>
    <w:rsid w:val="00543B65"/>
    <w:rsid w:val="00544472"/>
    <w:rsid w:val="0054468D"/>
    <w:rsid w:val="005446B5"/>
    <w:rsid w:val="00544952"/>
    <w:rsid w:val="0054520C"/>
    <w:rsid w:val="0054521B"/>
    <w:rsid w:val="00545419"/>
    <w:rsid w:val="005457DE"/>
    <w:rsid w:val="005458EF"/>
    <w:rsid w:val="00545C73"/>
    <w:rsid w:val="00546389"/>
    <w:rsid w:val="0054685C"/>
    <w:rsid w:val="00546F75"/>
    <w:rsid w:val="005471D9"/>
    <w:rsid w:val="00547582"/>
    <w:rsid w:val="00547662"/>
    <w:rsid w:val="00547ECD"/>
    <w:rsid w:val="00550169"/>
    <w:rsid w:val="00550528"/>
    <w:rsid w:val="005506DA"/>
    <w:rsid w:val="0055079E"/>
    <w:rsid w:val="005507DA"/>
    <w:rsid w:val="00550EE4"/>
    <w:rsid w:val="00551159"/>
    <w:rsid w:val="00551750"/>
    <w:rsid w:val="00551A22"/>
    <w:rsid w:val="00551AE3"/>
    <w:rsid w:val="00551DB0"/>
    <w:rsid w:val="0055203D"/>
    <w:rsid w:val="005527BD"/>
    <w:rsid w:val="00552881"/>
    <w:rsid w:val="00552ED9"/>
    <w:rsid w:val="00553984"/>
    <w:rsid w:val="00553B3E"/>
    <w:rsid w:val="00553B89"/>
    <w:rsid w:val="00553CEE"/>
    <w:rsid w:val="005542EB"/>
    <w:rsid w:val="0055439E"/>
    <w:rsid w:val="00554827"/>
    <w:rsid w:val="00554A45"/>
    <w:rsid w:val="00554CB7"/>
    <w:rsid w:val="00554DCA"/>
    <w:rsid w:val="0055502E"/>
    <w:rsid w:val="00555557"/>
    <w:rsid w:val="00555949"/>
    <w:rsid w:val="00555F15"/>
    <w:rsid w:val="005561FF"/>
    <w:rsid w:val="005565E3"/>
    <w:rsid w:val="0055668C"/>
    <w:rsid w:val="005567E5"/>
    <w:rsid w:val="0055689B"/>
    <w:rsid w:val="005568C0"/>
    <w:rsid w:val="00556CAA"/>
    <w:rsid w:val="00556EF5"/>
    <w:rsid w:val="00556FF7"/>
    <w:rsid w:val="005578A2"/>
    <w:rsid w:val="005578EE"/>
    <w:rsid w:val="00557F03"/>
    <w:rsid w:val="00557F75"/>
    <w:rsid w:val="00560504"/>
    <w:rsid w:val="00560695"/>
    <w:rsid w:val="00561524"/>
    <w:rsid w:val="0056182D"/>
    <w:rsid w:val="00561A65"/>
    <w:rsid w:val="00561B04"/>
    <w:rsid w:val="00561C23"/>
    <w:rsid w:val="00561D95"/>
    <w:rsid w:val="00561E0C"/>
    <w:rsid w:val="00561FBE"/>
    <w:rsid w:val="0056244F"/>
    <w:rsid w:val="005626F3"/>
    <w:rsid w:val="00562B4E"/>
    <w:rsid w:val="00563117"/>
    <w:rsid w:val="00563569"/>
    <w:rsid w:val="0056385D"/>
    <w:rsid w:val="00563B13"/>
    <w:rsid w:val="0056419F"/>
    <w:rsid w:val="0056469A"/>
    <w:rsid w:val="00564755"/>
    <w:rsid w:val="00564AE3"/>
    <w:rsid w:val="00564B1C"/>
    <w:rsid w:val="00564D2F"/>
    <w:rsid w:val="005655A5"/>
    <w:rsid w:val="00565794"/>
    <w:rsid w:val="00565D32"/>
    <w:rsid w:val="0056614D"/>
    <w:rsid w:val="005667F7"/>
    <w:rsid w:val="00566906"/>
    <w:rsid w:val="005673AD"/>
    <w:rsid w:val="005673B5"/>
    <w:rsid w:val="005676A8"/>
    <w:rsid w:val="00567B37"/>
    <w:rsid w:val="00567FBB"/>
    <w:rsid w:val="005703C0"/>
    <w:rsid w:val="00570561"/>
    <w:rsid w:val="00570A04"/>
    <w:rsid w:val="00570A93"/>
    <w:rsid w:val="00570A9A"/>
    <w:rsid w:val="00570EAB"/>
    <w:rsid w:val="00571032"/>
    <w:rsid w:val="0057148E"/>
    <w:rsid w:val="0057172D"/>
    <w:rsid w:val="00571918"/>
    <w:rsid w:val="00571AF9"/>
    <w:rsid w:val="00571C42"/>
    <w:rsid w:val="00571D9E"/>
    <w:rsid w:val="0057211F"/>
    <w:rsid w:val="0057221F"/>
    <w:rsid w:val="00572A7F"/>
    <w:rsid w:val="00572B0E"/>
    <w:rsid w:val="00572E80"/>
    <w:rsid w:val="00572F78"/>
    <w:rsid w:val="0057360B"/>
    <w:rsid w:val="00573997"/>
    <w:rsid w:val="00573FD3"/>
    <w:rsid w:val="005746EB"/>
    <w:rsid w:val="005754A6"/>
    <w:rsid w:val="005757BB"/>
    <w:rsid w:val="005758DC"/>
    <w:rsid w:val="00575EE0"/>
    <w:rsid w:val="00576239"/>
    <w:rsid w:val="005762BC"/>
    <w:rsid w:val="00576374"/>
    <w:rsid w:val="00576D98"/>
    <w:rsid w:val="00576DD3"/>
    <w:rsid w:val="00577110"/>
    <w:rsid w:val="0057727E"/>
    <w:rsid w:val="0057736E"/>
    <w:rsid w:val="00577560"/>
    <w:rsid w:val="00577ED8"/>
    <w:rsid w:val="0058001A"/>
    <w:rsid w:val="0058097B"/>
    <w:rsid w:val="00580E21"/>
    <w:rsid w:val="00581210"/>
    <w:rsid w:val="005812E4"/>
    <w:rsid w:val="005814DE"/>
    <w:rsid w:val="00581859"/>
    <w:rsid w:val="0058192C"/>
    <w:rsid w:val="00581939"/>
    <w:rsid w:val="00581954"/>
    <w:rsid w:val="00581E80"/>
    <w:rsid w:val="00582403"/>
    <w:rsid w:val="00582577"/>
    <w:rsid w:val="0058284C"/>
    <w:rsid w:val="00582CCF"/>
    <w:rsid w:val="00582D6E"/>
    <w:rsid w:val="00583507"/>
    <w:rsid w:val="00583574"/>
    <w:rsid w:val="00583645"/>
    <w:rsid w:val="00583A1E"/>
    <w:rsid w:val="00583DF0"/>
    <w:rsid w:val="00583E43"/>
    <w:rsid w:val="0058475F"/>
    <w:rsid w:val="00584B44"/>
    <w:rsid w:val="00584B6A"/>
    <w:rsid w:val="00584D39"/>
    <w:rsid w:val="00584F77"/>
    <w:rsid w:val="0058510D"/>
    <w:rsid w:val="00585153"/>
    <w:rsid w:val="00585EC9"/>
    <w:rsid w:val="00585F2C"/>
    <w:rsid w:val="0058643B"/>
    <w:rsid w:val="00586595"/>
    <w:rsid w:val="00586691"/>
    <w:rsid w:val="00586BAD"/>
    <w:rsid w:val="00586BDE"/>
    <w:rsid w:val="00586C79"/>
    <w:rsid w:val="00586E67"/>
    <w:rsid w:val="00586F5E"/>
    <w:rsid w:val="005878DF"/>
    <w:rsid w:val="00587975"/>
    <w:rsid w:val="0059000D"/>
    <w:rsid w:val="00590083"/>
    <w:rsid w:val="005900BF"/>
    <w:rsid w:val="005908F5"/>
    <w:rsid w:val="00590C1C"/>
    <w:rsid w:val="00590E1B"/>
    <w:rsid w:val="00591220"/>
    <w:rsid w:val="005913AB"/>
    <w:rsid w:val="0059160E"/>
    <w:rsid w:val="00591659"/>
    <w:rsid w:val="00591935"/>
    <w:rsid w:val="00591C85"/>
    <w:rsid w:val="00591CAD"/>
    <w:rsid w:val="0059257E"/>
    <w:rsid w:val="00592CCD"/>
    <w:rsid w:val="00592D6B"/>
    <w:rsid w:val="0059338B"/>
    <w:rsid w:val="0059392E"/>
    <w:rsid w:val="0059398E"/>
    <w:rsid w:val="00593A2C"/>
    <w:rsid w:val="00594250"/>
    <w:rsid w:val="00594951"/>
    <w:rsid w:val="00594D60"/>
    <w:rsid w:val="00594FD0"/>
    <w:rsid w:val="00595235"/>
    <w:rsid w:val="005954D0"/>
    <w:rsid w:val="00595679"/>
    <w:rsid w:val="00595770"/>
    <w:rsid w:val="00595855"/>
    <w:rsid w:val="00595FD2"/>
    <w:rsid w:val="005965D9"/>
    <w:rsid w:val="005967D8"/>
    <w:rsid w:val="005968B1"/>
    <w:rsid w:val="00596AF9"/>
    <w:rsid w:val="00596EDF"/>
    <w:rsid w:val="00596FDB"/>
    <w:rsid w:val="00597046"/>
    <w:rsid w:val="005974C2"/>
    <w:rsid w:val="00597776"/>
    <w:rsid w:val="00597B7D"/>
    <w:rsid w:val="005A0DE0"/>
    <w:rsid w:val="005A10FB"/>
    <w:rsid w:val="005A1289"/>
    <w:rsid w:val="005A1331"/>
    <w:rsid w:val="005A1792"/>
    <w:rsid w:val="005A1982"/>
    <w:rsid w:val="005A1C09"/>
    <w:rsid w:val="005A26C1"/>
    <w:rsid w:val="005A2B74"/>
    <w:rsid w:val="005A2D5B"/>
    <w:rsid w:val="005A2DF4"/>
    <w:rsid w:val="005A3203"/>
    <w:rsid w:val="005A35C7"/>
    <w:rsid w:val="005A3943"/>
    <w:rsid w:val="005A3CA5"/>
    <w:rsid w:val="005A3D80"/>
    <w:rsid w:val="005A41A6"/>
    <w:rsid w:val="005A497F"/>
    <w:rsid w:val="005A4F47"/>
    <w:rsid w:val="005A53A0"/>
    <w:rsid w:val="005A540A"/>
    <w:rsid w:val="005A557B"/>
    <w:rsid w:val="005A6161"/>
    <w:rsid w:val="005A66A0"/>
    <w:rsid w:val="005A69D5"/>
    <w:rsid w:val="005A6F07"/>
    <w:rsid w:val="005A764C"/>
    <w:rsid w:val="005A7D60"/>
    <w:rsid w:val="005A7FC1"/>
    <w:rsid w:val="005B0064"/>
    <w:rsid w:val="005B01E3"/>
    <w:rsid w:val="005B03EF"/>
    <w:rsid w:val="005B0675"/>
    <w:rsid w:val="005B0E8F"/>
    <w:rsid w:val="005B1270"/>
    <w:rsid w:val="005B129D"/>
    <w:rsid w:val="005B1A8B"/>
    <w:rsid w:val="005B1D8D"/>
    <w:rsid w:val="005B1DA9"/>
    <w:rsid w:val="005B1E18"/>
    <w:rsid w:val="005B1EA3"/>
    <w:rsid w:val="005B22D0"/>
    <w:rsid w:val="005B2626"/>
    <w:rsid w:val="005B29E3"/>
    <w:rsid w:val="005B2B0F"/>
    <w:rsid w:val="005B2C05"/>
    <w:rsid w:val="005B2C7A"/>
    <w:rsid w:val="005B32CD"/>
    <w:rsid w:val="005B3AFB"/>
    <w:rsid w:val="005B3B08"/>
    <w:rsid w:val="005B3B12"/>
    <w:rsid w:val="005B401B"/>
    <w:rsid w:val="005B48EA"/>
    <w:rsid w:val="005B48F5"/>
    <w:rsid w:val="005B5344"/>
    <w:rsid w:val="005B60C2"/>
    <w:rsid w:val="005B6941"/>
    <w:rsid w:val="005B6DA0"/>
    <w:rsid w:val="005B6E38"/>
    <w:rsid w:val="005B76BB"/>
    <w:rsid w:val="005B778A"/>
    <w:rsid w:val="005B77E0"/>
    <w:rsid w:val="005B7885"/>
    <w:rsid w:val="005B7B81"/>
    <w:rsid w:val="005B7D0D"/>
    <w:rsid w:val="005C0542"/>
    <w:rsid w:val="005C05DC"/>
    <w:rsid w:val="005C0A48"/>
    <w:rsid w:val="005C11B9"/>
    <w:rsid w:val="005C14A1"/>
    <w:rsid w:val="005C179A"/>
    <w:rsid w:val="005C1973"/>
    <w:rsid w:val="005C1B36"/>
    <w:rsid w:val="005C1C71"/>
    <w:rsid w:val="005C1C85"/>
    <w:rsid w:val="005C246F"/>
    <w:rsid w:val="005C28E5"/>
    <w:rsid w:val="005C2932"/>
    <w:rsid w:val="005C293A"/>
    <w:rsid w:val="005C3179"/>
    <w:rsid w:val="005C318A"/>
    <w:rsid w:val="005C3493"/>
    <w:rsid w:val="005C4751"/>
    <w:rsid w:val="005C4965"/>
    <w:rsid w:val="005C4CAC"/>
    <w:rsid w:val="005C4E0C"/>
    <w:rsid w:val="005C50F9"/>
    <w:rsid w:val="005C5E68"/>
    <w:rsid w:val="005C5FA7"/>
    <w:rsid w:val="005C6137"/>
    <w:rsid w:val="005C6181"/>
    <w:rsid w:val="005C63A9"/>
    <w:rsid w:val="005C67E6"/>
    <w:rsid w:val="005C68C1"/>
    <w:rsid w:val="005C68E2"/>
    <w:rsid w:val="005C691B"/>
    <w:rsid w:val="005C6A07"/>
    <w:rsid w:val="005C6E1D"/>
    <w:rsid w:val="005C6F0C"/>
    <w:rsid w:val="005C707A"/>
    <w:rsid w:val="005C71DB"/>
    <w:rsid w:val="005C749E"/>
    <w:rsid w:val="005C7618"/>
    <w:rsid w:val="005C7D21"/>
    <w:rsid w:val="005D0235"/>
    <w:rsid w:val="005D036D"/>
    <w:rsid w:val="005D0550"/>
    <w:rsid w:val="005D0709"/>
    <w:rsid w:val="005D113E"/>
    <w:rsid w:val="005D11A4"/>
    <w:rsid w:val="005D11BE"/>
    <w:rsid w:val="005D14CD"/>
    <w:rsid w:val="005D15AE"/>
    <w:rsid w:val="005D16E3"/>
    <w:rsid w:val="005D17E6"/>
    <w:rsid w:val="005D1AE7"/>
    <w:rsid w:val="005D1E19"/>
    <w:rsid w:val="005D1F76"/>
    <w:rsid w:val="005D1FC2"/>
    <w:rsid w:val="005D206B"/>
    <w:rsid w:val="005D23CD"/>
    <w:rsid w:val="005D2591"/>
    <w:rsid w:val="005D25DA"/>
    <w:rsid w:val="005D2708"/>
    <w:rsid w:val="005D31F4"/>
    <w:rsid w:val="005D3C7D"/>
    <w:rsid w:val="005D3C80"/>
    <w:rsid w:val="005D3F6F"/>
    <w:rsid w:val="005D4424"/>
    <w:rsid w:val="005D47FD"/>
    <w:rsid w:val="005D49EC"/>
    <w:rsid w:val="005D548D"/>
    <w:rsid w:val="005D5CE6"/>
    <w:rsid w:val="005D69BB"/>
    <w:rsid w:val="005D6AA2"/>
    <w:rsid w:val="005D6D05"/>
    <w:rsid w:val="005D6DA6"/>
    <w:rsid w:val="005D6DF1"/>
    <w:rsid w:val="005D6FDE"/>
    <w:rsid w:val="005D71A1"/>
    <w:rsid w:val="005D72D0"/>
    <w:rsid w:val="005D7374"/>
    <w:rsid w:val="005D741C"/>
    <w:rsid w:val="005D7DD2"/>
    <w:rsid w:val="005E03E0"/>
    <w:rsid w:val="005E0476"/>
    <w:rsid w:val="005E06A7"/>
    <w:rsid w:val="005E0760"/>
    <w:rsid w:val="005E07BC"/>
    <w:rsid w:val="005E09A6"/>
    <w:rsid w:val="005E0A01"/>
    <w:rsid w:val="005E0CE7"/>
    <w:rsid w:val="005E16F8"/>
    <w:rsid w:val="005E17F8"/>
    <w:rsid w:val="005E19BC"/>
    <w:rsid w:val="005E1DE6"/>
    <w:rsid w:val="005E1F86"/>
    <w:rsid w:val="005E2267"/>
    <w:rsid w:val="005E2C0B"/>
    <w:rsid w:val="005E35B0"/>
    <w:rsid w:val="005E3BDC"/>
    <w:rsid w:val="005E4078"/>
    <w:rsid w:val="005E4433"/>
    <w:rsid w:val="005E4938"/>
    <w:rsid w:val="005E510F"/>
    <w:rsid w:val="005E529A"/>
    <w:rsid w:val="005E5645"/>
    <w:rsid w:val="005E5976"/>
    <w:rsid w:val="005E59E4"/>
    <w:rsid w:val="005E5F11"/>
    <w:rsid w:val="005E61F9"/>
    <w:rsid w:val="005E6455"/>
    <w:rsid w:val="005E65F9"/>
    <w:rsid w:val="005E695F"/>
    <w:rsid w:val="005E7343"/>
    <w:rsid w:val="005E734C"/>
    <w:rsid w:val="005E75D7"/>
    <w:rsid w:val="005E7957"/>
    <w:rsid w:val="005E7B70"/>
    <w:rsid w:val="005F0372"/>
    <w:rsid w:val="005F0BF2"/>
    <w:rsid w:val="005F0D4C"/>
    <w:rsid w:val="005F1297"/>
    <w:rsid w:val="005F1682"/>
    <w:rsid w:val="005F1A43"/>
    <w:rsid w:val="005F20FD"/>
    <w:rsid w:val="005F2239"/>
    <w:rsid w:val="005F22F2"/>
    <w:rsid w:val="005F2599"/>
    <w:rsid w:val="005F2947"/>
    <w:rsid w:val="005F3D95"/>
    <w:rsid w:val="005F3F2E"/>
    <w:rsid w:val="005F4575"/>
    <w:rsid w:val="005F459F"/>
    <w:rsid w:val="005F4BB3"/>
    <w:rsid w:val="005F52E5"/>
    <w:rsid w:val="005F52E8"/>
    <w:rsid w:val="005F5300"/>
    <w:rsid w:val="005F55B7"/>
    <w:rsid w:val="005F5933"/>
    <w:rsid w:val="005F5AB2"/>
    <w:rsid w:val="005F6195"/>
    <w:rsid w:val="005F62E3"/>
    <w:rsid w:val="005F659B"/>
    <w:rsid w:val="005F7442"/>
    <w:rsid w:val="005F74A4"/>
    <w:rsid w:val="005F7658"/>
    <w:rsid w:val="005F7D05"/>
    <w:rsid w:val="0060033C"/>
    <w:rsid w:val="00600415"/>
    <w:rsid w:val="00600575"/>
    <w:rsid w:val="00600D44"/>
    <w:rsid w:val="00600D9A"/>
    <w:rsid w:val="00601054"/>
    <w:rsid w:val="006015C2"/>
    <w:rsid w:val="00601C3D"/>
    <w:rsid w:val="00601E14"/>
    <w:rsid w:val="00602711"/>
    <w:rsid w:val="00602875"/>
    <w:rsid w:val="0060300E"/>
    <w:rsid w:val="0060304D"/>
    <w:rsid w:val="006030E6"/>
    <w:rsid w:val="0060331F"/>
    <w:rsid w:val="00603BFC"/>
    <w:rsid w:val="00603C30"/>
    <w:rsid w:val="006040EB"/>
    <w:rsid w:val="00604108"/>
    <w:rsid w:val="006041ED"/>
    <w:rsid w:val="006041F2"/>
    <w:rsid w:val="006043C0"/>
    <w:rsid w:val="00604836"/>
    <w:rsid w:val="00604872"/>
    <w:rsid w:val="00604ABD"/>
    <w:rsid w:val="00605444"/>
    <w:rsid w:val="006054F2"/>
    <w:rsid w:val="006061CA"/>
    <w:rsid w:val="0060635C"/>
    <w:rsid w:val="00606B2F"/>
    <w:rsid w:val="00606E05"/>
    <w:rsid w:val="006073F3"/>
    <w:rsid w:val="006074E0"/>
    <w:rsid w:val="006074E2"/>
    <w:rsid w:val="00607993"/>
    <w:rsid w:val="00607C7F"/>
    <w:rsid w:val="00610072"/>
    <w:rsid w:val="00610ADF"/>
    <w:rsid w:val="00610C29"/>
    <w:rsid w:val="00610FD1"/>
    <w:rsid w:val="006113B3"/>
    <w:rsid w:val="0061186B"/>
    <w:rsid w:val="006118F0"/>
    <w:rsid w:val="00611B94"/>
    <w:rsid w:val="00611CEE"/>
    <w:rsid w:val="00612159"/>
    <w:rsid w:val="0061226C"/>
    <w:rsid w:val="006128F8"/>
    <w:rsid w:val="00612A25"/>
    <w:rsid w:val="00612F65"/>
    <w:rsid w:val="006133BE"/>
    <w:rsid w:val="00613644"/>
    <w:rsid w:val="006137FE"/>
    <w:rsid w:val="00613A63"/>
    <w:rsid w:val="00613C23"/>
    <w:rsid w:val="00613D9D"/>
    <w:rsid w:val="00614208"/>
    <w:rsid w:val="0061442D"/>
    <w:rsid w:val="006145F0"/>
    <w:rsid w:val="00614943"/>
    <w:rsid w:val="00614AEC"/>
    <w:rsid w:val="00614B29"/>
    <w:rsid w:val="00614B3E"/>
    <w:rsid w:val="00614DF1"/>
    <w:rsid w:val="00614F78"/>
    <w:rsid w:val="006159F2"/>
    <w:rsid w:val="00616250"/>
    <w:rsid w:val="006163B4"/>
    <w:rsid w:val="0061640B"/>
    <w:rsid w:val="00616872"/>
    <w:rsid w:val="00616F0F"/>
    <w:rsid w:val="00617202"/>
    <w:rsid w:val="006175B7"/>
    <w:rsid w:val="00617863"/>
    <w:rsid w:val="00617888"/>
    <w:rsid w:val="00617D0E"/>
    <w:rsid w:val="00617DA7"/>
    <w:rsid w:val="00617DFF"/>
    <w:rsid w:val="006201D1"/>
    <w:rsid w:val="00620769"/>
    <w:rsid w:val="0062093D"/>
    <w:rsid w:val="006211E2"/>
    <w:rsid w:val="00621336"/>
    <w:rsid w:val="006214D2"/>
    <w:rsid w:val="00621607"/>
    <w:rsid w:val="0062181A"/>
    <w:rsid w:val="00621F5D"/>
    <w:rsid w:val="00622004"/>
    <w:rsid w:val="0062207D"/>
    <w:rsid w:val="0062236C"/>
    <w:rsid w:val="00622495"/>
    <w:rsid w:val="0062262A"/>
    <w:rsid w:val="00622DF5"/>
    <w:rsid w:val="006235E5"/>
    <w:rsid w:val="00623932"/>
    <w:rsid w:val="00623CA4"/>
    <w:rsid w:val="0062406F"/>
    <w:rsid w:val="00624644"/>
    <w:rsid w:val="0062482E"/>
    <w:rsid w:val="00625471"/>
    <w:rsid w:val="00625844"/>
    <w:rsid w:val="00625882"/>
    <w:rsid w:val="00625A11"/>
    <w:rsid w:val="00625B69"/>
    <w:rsid w:val="00626368"/>
    <w:rsid w:val="006265D1"/>
    <w:rsid w:val="006266CD"/>
    <w:rsid w:val="006269C2"/>
    <w:rsid w:val="00627911"/>
    <w:rsid w:val="00627AB1"/>
    <w:rsid w:val="006300FE"/>
    <w:rsid w:val="0063059D"/>
    <w:rsid w:val="00630D22"/>
    <w:rsid w:val="00630E13"/>
    <w:rsid w:val="00630EFD"/>
    <w:rsid w:val="00630F3A"/>
    <w:rsid w:val="0063123E"/>
    <w:rsid w:val="00631280"/>
    <w:rsid w:val="00631285"/>
    <w:rsid w:val="0063197B"/>
    <w:rsid w:val="00631984"/>
    <w:rsid w:val="006319A7"/>
    <w:rsid w:val="00632480"/>
    <w:rsid w:val="00632505"/>
    <w:rsid w:val="00632665"/>
    <w:rsid w:val="006326AF"/>
    <w:rsid w:val="00632A3D"/>
    <w:rsid w:val="00632CC9"/>
    <w:rsid w:val="006330C9"/>
    <w:rsid w:val="00633614"/>
    <w:rsid w:val="00633726"/>
    <w:rsid w:val="00633846"/>
    <w:rsid w:val="00633897"/>
    <w:rsid w:val="006338AB"/>
    <w:rsid w:val="00633BBA"/>
    <w:rsid w:val="00633D84"/>
    <w:rsid w:val="0063416F"/>
    <w:rsid w:val="00634285"/>
    <w:rsid w:val="00634FE2"/>
    <w:rsid w:val="00635566"/>
    <w:rsid w:val="00635854"/>
    <w:rsid w:val="00635AEC"/>
    <w:rsid w:val="006362FD"/>
    <w:rsid w:val="006363A0"/>
    <w:rsid w:val="00636BAD"/>
    <w:rsid w:val="00636F25"/>
    <w:rsid w:val="006372CF"/>
    <w:rsid w:val="00637491"/>
    <w:rsid w:val="0063762D"/>
    <w:rsid w:val="006404E0"/>
    <w:rsid w:val="00640680"/>
    <w:rsid w:val="006406CE"/>
    <w:rsid w:val="006408D7"/>
    <w:rsid w:val="00640B07"/>
    <w:rsid w:val="00641781"/>
    <w:rsid w:val="006418B5"/>
    <w:rsid w:val="00641B1D"/>
    <w:rsid w:val="00641E3D"/>
    <w:rsid w:val="00641EAB"/>
    <w:rsid w:val="0064202F"/>
    <w:rsid w:val="0064214F"/>
    <w:rsid w:val="0064246B"/>
    <w:rsid w:val="00642552"/>
    <w:rsid w:val="006426A1"/>
    <w:rsid w:val="006428DA"/>
    <w:rsid w:val="00642A16"/>
    <w:rsid w:val="00642AA4"/>
    <w:rsid w:val="00642D86"/>
    <w:rsid w:val="00643B9E"/>
    <w:rsid w:val="00643BDC"/>
    <w:rsid w:val="0064406F"/>
    <w:rsid w:val="006443AC"/>
    <w:rsid w:val="0064491C"/>
    <w:rsid w:val="00645D28"/>
    <w:rsid w:val="00645ED5"/>
    <w:rsid w:val="00646C5B"/>
    <w:rsid w:val="0064707E"/>
    <w:rsid w:val="00647198"/>
    <w:rsid w:val="006471A4"/>
    <w:rsid w:val="00647227"/>
    <w:rsid w:val="006476A1"/>
    <w:rsid w:val="00647DBC"/>
    <w:rsid w:val="00647E2C"/>
    <w:rsid w:val="00650073"/>
    <w:rsid w:val="006508D0"/>
    <w:rsid w:val="00650A4D"/>
    <w:rsid w:val="00650B09"/>
    <w:rsid w:val="00650DB0"/>
    <w:rsid w:val="00650FBE"/>
    <w:rsid w:val="0065188B"/>
    <w:rsid w:val="00651E31"/>
    <w:rsid w:val="006523B2"/>
    <w:rsid w:val="00652513"/>
    <w:rsid w:val="006528C9"/>
    <w:rsid w:val="0065295A"/>
    <w:rsid w:val="00652BF3"/>
    <w:rsid w:val="00653403"/>
    <w:rsid w:val="0065342C"/>
    <w:rsid w:val="00653952"/>
    <w:rsid w:val="00653C41"/>
    <w:rsid w:val="00653DD0"/>
    <w:rsid w:val="006542A4"/>
    <w:rsid w:val="006549E5"/>
    <w:rsid w:val="00654B72"/>
    <w:rsid w:val="00654F57"/>
    <w:rsid w:val="00654FD5"/>
    <w:rsid w:val="006553B3"/>
    <w:rsid w:val="006558A7"/>
    <w:rsid w:val="006558BE"/>
    <w:rsid w:val="00655E2E"/>
    <w:rsid w:val="006560C3"/>
    <w:rsid w:val="00656750"/>
    <w:rsid w:val="00656983"/>
    <w:rsid w:val="00656D23"/>
    <w:rsid w:val="00656EDF"/>
    <w:rsid w:val="00657376"/>
    <w:rsid w:val="006573C1"/>
    <w:rsid w:val="00657EFF"/>
    <w:rsid w:val="0066022E"/>
    <w:rsid w:val="00660337"/>
    <w:rsid w:val="00660463"/>
    <w:rsid w:val="0066053B"/>
    <w:rsid w:val="00660AB4"/>
    <w:rsid w:val="006616BF"/>
    <w:rsid w:val="00661780"/>
    <w:rsid w:val="00661B0F"/>
    <w:rsid w:val="00661B48"/>
    <w:rsid w:val="00661E15"/>
    <w:rsid w:val="00662030"/>
    <w:rsid w:val="00662238"/>
    <w:rsid w:val="00662C80"/>
    <w:rsid w:val="00662CB1"/>
    <w:rsid w:val="00663182"/>
    <w:rsid w:val="006633BB"/>
    <w:rsid w:val="006633CF"/>
    <w:rsid w:val="00663528"/>
    <w:rsid w:val="006638DC"/>
    <w:rsid w:val="00663991"/>
    <w:rsid w:val="00663A05"/>
    <w:rsid w:val="00663F4D"/>
    <w:rsid w:val="006645C3"/>
    <w:rsid w:val="0066489E"/>
    <w:rsid w:val="00664E25"/>
    <w:rsid w:val="00665010"/>
    <w:rsid w:val="00665088"/>
    <w:rsid w:val="00665592"/>
    <w:rsid w:val="006655BD"/>
    <w:rsid w:val="0066600D"/>
    <w:rsid w:val="0066627E"/>
    <w:rsid w:val="00666AC9"/>
    <w:rsid w:val="00667150"/>
    <w:rsid w:val="006675F6"/>
    <w:rsid w:val="0066770F"/>
    <w:rsid w:val="00667E75"/>
    <w:rsid w:val="00667ECC"/>
    <w:rsid w:val="00667FF9"/>
    <w:rsid w:val="00670290"/>
    <w:rsid w:val="006707C0"/>
    <w:rsid w:val="00670A1C"/>
    <w:rsid w:val="00671B6B"/>
    <w:rsid w:val="00671C60"/>
    <w:rsid w:val="00671E0E"/>
    <w:rsid w:val="0067205A"/>
    <w:rsid w:val="0067273C"/>
    <w:rsid w:val="00672B17"/>
    <w:rsid w:val="00672B1E"/>
    <w:rsid w:val="006730B2"/>
    <w:rsid w:val="006732B3"/>
    <w:rsid w:val="0067341D"/>
    <w:rsid w:val="00674172"/>
    <w:rsid w:val="006741C8"/>
    <w:rsid w:val="006743CB"/>
    <w:rsid w:val="006749F2"/>
    <w:rsid w:val="00674DF2"/>
    <w:rsid w:val="00674F7E"/>
    <w:rsid w:val="00675429"/>
    <w:rsid w:val="006754FF"/>
    <w:rsid w:val="0067556B"/>
    <w:rsid w:val="006755B5"/>
    <w:rsid w:val="00675759"/>
    <w:rsid w:val="00675E6D"/>
    <w:rsid w:val="00676FF0"/>
    <w:rsid w:val="00677037"/>
    <w:rsid w:val="006776D8"/>
    <w:rsid w:val="006800AE"/>
    <w:rsid w:val="006802A9"/>
    <w:rsid w:val="006809B9"/>
    <w:rsid w:val="00680FE1"/>
    <w:rsid w:val="00681327"/>
    <w:rsid w:val="00681765"/>
    <w:rsid w:val="00681DD0"/>
    <w:rsid w:val="00681E1E"/>
    <w:rsid w:val="00682878"/>
    <w:rsid w:val="00682D4E"/>
    <w:rsid w:val="00682DA0"/>
    <w:rsid w:val="00682F1B"/>
    <w:rsid w:val="0068349F"/>
    <w:rsid w:val="006838A7"/>
    <w:rsid w:val="00683CCD"/>
    <w:rsid w:val="00684832"/>
    <w:rsid w:val="00684D15"/>
    <w:rsid w:val="00684DB3"/>
    <w:rsid w:val="00684FEA"/>
    <w:rsid w:val="0068506D"/>
    <w:rsid w:val="006851E2"/>
    <w:rsid w:val="00685371"/>
    <w:rsid w:val="00685418"/>
    <w:rsid w:val="0068554D"/>
    <w:rsid w:val="00685E64"/>
    <w:rsid w:val="00685F60"/>
    <w:rsid w:val="00686110"/>
    <w:rsid w:val="00686344"/>
    <w:rsid w:val="0068647B"/>
    <w:rsid w:val="00686573"/>
    <w:rsid w:val="00686695"/>
    <w:rsid w:val="00687075"/>
    <w:rsid w:val="006873C9"/>
    <w:rsid w:val="006874A5"/>
    <w:rsid w:val="00687564"/>
    <w:rsid w:val="006875E9"/>
    <w:rsid w:val="006878B1"/>
    <w:rsid w:val="00687A8F"/>
    <w:rsid w:val="00687AE0"/>
    <w:rsid w:val="00690224"/>
    <w:rsid w:val="00690248"/>
    <w:rsid w:val="00690427"/>
    <w:rsid w:val="00690640"/>
    <w:rsid w:val="00690733"/>
    <w:rsid w:val="00690CED"/>
    <w:rsid w:val="006914C9"/>
    <w:rsid w:val="006917D1"/>
    <w:rsid w:val="00691865"/>
    <w:rsid w:val="00691D31"/>
    <w:rsid w:val="00691DF8"/>
    <w:rsid w:val="00691FCE"/>
    <w:rsid w:val="0069212D"/>
    <w:rsid w:val="0069250A"/>
    <w:rsid w:val="00692513"/>
    <w:rsid w:val="00692552"/>
    <w:rsid w:val="006926DF"/>
    <w:rsid w:val="006927E3"/>
    <w:rsid w:val="006928F2"/>
    <w:rsid w:val="00692B9F"/>
    <w:rsid w:val="00692CF0"/>
    <w:rsid w:val="00692D55"/>
    <w:rsid w:val="00692DED"/>
    <w:rsid w:val="00692E3D"/>
    <w:rsid w:val="006940D2"/>
    <w:rsid w:val="00694111"/>
    <w:rsid w:val="006943D0"/>
    <w:rsid w:val="006949DF"/>
    <w:rsid w:val="00694FF6"/>
    <w:rsid w:val="00695102"/>
    <w:rsid w:val="00695660"/>
    <w:rsid w:val="00695BAE"/>
    <w:rsid w:val="00695EFD"/>
    <w:rsid w:val="00695F98"/>
    <w:rsid w:val="00696356"/>
    <w:rsid w:val="0069682C"/>
    <w:rsid w:val="00696A14"/>
    <w:rsid w:val="00696A8C"/>
    <w:rsid w:val="00696B74"/>
    <w:rsid w:val="00696FE6"/>
    <w:rsid w:val="0069702A"/>
    <w:rsid w:val="00697F0E"/>
    <w:rsid w:val="00697F38"/>
    <w:rsid w:val="006A0106"/>
    <w:rsid w:val="006A0727"/>
    <w:rsid w:val="006A0946"/>
    <w:rsid w:val="006A0973"/>
    <w:rsid w:val="006A0A53"/>
    <w:rsid w:val="006A0B31"/>
    <w:rsid w:val="006A0BDA"/>
    <w:rsid w:val="006A11ED"/>
    <w:rsid w:val="006A1663"/>
    <w:rsid w:val="006A1D7D"/>
    <w:rsid w:val="006A1D8A"/>
    <w:rsid w:val="006A22D5"/>
    <w:rsid w:val="006A2388"/>
    <w:rsid w:val="006A2763"/>
    <w:rsid w:val="006A2B9C"/>
    <w:rsid w:val="006A2E70"/>
    <w:rsid w:val="006A3190"/>
    <w:rsid w:val="006A3265"/>
    <w:rsid w:val="006A33C9"/>
    <w:rsid w:val="006A3883"/>
    <w:rsid w:val="006A41A0"/>
    <w:rsid w:val="006A4320"/>
    <w:rsid w:val="006A462A"/>
    <w:rsid w:val="006A47BB"/>
    <w:rsid w:val="006A4928"/>
    <w:rsid w:val="006A4C9D"/>
    <w:rsid w:val="006A4D68"/>
    <w:rsid w:val="006A5386"/>
    <w:rsid w:val="006A551B"/>
    <w:rsid w:val="006A58DC"/>
    <w:rsid w:val="006A5B63"/>
    <w:rsid w:val="006A5B68"/>
    <w:rsid w:val="006A6320"/>
    <w:rsid w:val="006A6A19"/>
    <w:rsid w:val="006A6A96"/>
    <w:rsid w:val="006A6BE2"/>
    <w:rsid w:val="006A6C52"/>
    <w:rsid w:val="006A6EA1"/>
    <w:rsid w:val="006A6EF1"/>
    <w:rsid w:val="006A7163"/>
    <w:rsid w:val="006A7259"/>
    <w:rsid w:val="006A7295"/>
    <w:rsid w:val="006A74F0"/>
    <w:rsid w:val="006A75B6"/>
    <w:rsid w:val="006B0175"/>
    <w:rsid w:val="006B0420"/>
    <w:rsid w:val="006B04A7"/>
    <w:rsid w:val="006B120A"/>
    <w:rsid w:val="006B204C"/>
    <w:rsid w:val="006B2238"/>
    <w:rsid w:val="006B2AEC"/>
    <w:rsid w:val="006B395B"/>
    <w:rsid w:val="006B3B74"/>
    <w:rsid w:val="006B3EC5"/>
    <w:rsid w:val="006B3F3C"/>
    <w:rsid w:val="006B48EB"/>
    <w:rsid w:val="006B4BB6"/>
    <w:rsid w:val="006B5887"/>
    <w:rsid w:val="006B5F0C"/>
    <w:rsid w:val="006B5F68"/>
    <w:rsid w:val="006B6332"/>
    <w:rsid w:val="006B635D"/>
    <w:rsid w:val="006B6786"/>
    <w:rsid w:val="006B6844"/>
    <w:rsid w:val="006B6DAD"/>
    <w:rsid w:val="006B6E02"/>
    <w:rsid w:val="006B70FA"/>
    <w:rsid w:val="006B7364"/>
    <w:rsid w:val="006B74BC"/>
    <w:rsid w:val="006B7F33"/>
    <w:rsid w:val="006C029B"/>
    <w:rsid w:val="006C0640"/>
    <w:rsid w:val="006C0898"/>
    <w:rsid w:val="006C11FF"/>
    <w:rsid w:val="006C1438"/>
    <w:rsid w:val="006C182A"/>
    <w:rsid w:val="006C1861"/>
    <w:rsid w:val="006C1A15"/>
    <w:rsid w:val="006C221D"/>
    <w:rsid w:val="006C23D5"/>
    <w:rsid w:val="006C2B07"/>
    <w:rsid w:val="006C2DB9"/>
    <w:rsid w:val="006C2E8C"/>
    <w:rsid w:val="006C3452"/>
    <w:rsid w:val="006C3725"/>
    <w:rsid w:val="006C3F20"/>
    <w:rsid w:val="006C3FF5"/>
    <w:rsid w:val="006C4129"/>
    <w:rsid w:val="006C423F"/>
    <w:rsid w:val="006C4458"/>
    <w:rsid w:val="006C458E"/>
    <w:rsid w:val="006C48D4"/>
    <w:rsid w:val="006C4D6D"/>
    <w:rsid w:val="006C5037"/>
    <w:rsid w:val="006C5241"/>
    <w:rsid w:val="006C5F2E"/>
    <w:rsid w:val="006C6113"/>
    <w:rsid w:val="006C6900"/>
    <w:rsid w:val="006C6AC0"/>
    <w:rsid w:val="006C6EF7"/>
    <w:rsid w:val="006C7193"/>
    <w:rsid w:val="006C7993"/>
    <w:rsid w:val="006C7D68"/>
    <w:rsid w:val="006D01DE"/>
    <w:rsid w:val="006D0575"/>
    <w:rsid w:val="006D06B3"/>
    <w:rsid w:val="006D0727"/>
    <w:rsid w:val="006D0A89"/>
    <w:rsid w:val="006D0B63"/>
    <w:rsid w:val="006D0B99"/>
    <w:rsid w:val="006D173B"/>
    <w:rsid w:val="006D1C0C"/>
    <w:rsid w:val="006D1D9F"/>
    <w:rsid w:val="006D21E9"/>
    <w:rsid w:val="006D22BC"/>
    <w:rsid w:val="006D2849"/>
    <w:rsid w:val="006D2F60"/>
    <w:rsid w:val="006D3131"/>
    <w:rsid w:val="006D31B1"/>
    <w:rsid w:val="006D3342"/>
    <w:rsid w:val="006D34CC"/>
    <w:rsid w:val="006D34D5"/>
    <w:rsid w:val="006D3C52"/>
    <w:rsid w:val="006D3C9E"/>
    <w:rsid w:val="006D3DFC"/>
    <w:rsid w:val="006D40D6"/>
    <w:rsid w:val="006D455E"/>
    <w:rsid w:val="006D46BF"/>
    <w:rsid w:val="006D4B30"/>
    <w:rsid w:val="006D4F49"/>
    <w:rsid w:val="006D5885"/>
    <w:rsid w:val="006D5EE4"/>
    <w:rsid w:val="006D5F16"/>
    <w:rsid w:val="006D636C"/>
    <w:rsid w:val="006D6BDA"/>
    <w:rsid w:val="006D6D9B"/>
    <w:rsid w:val="006D6DF1"/>
    <w:rsid w:val="006D6DFA"/>
    <w:rsid w:val="006D6F8C"/>
    <w:rsid w:val="006D73AF"/>
    <w:rsid w:val="006D7718"/>
    <w:rsid w:val="006D78B9"/>
    <w:rsid w:val="006D7ACB"/>
    <w:rsid w:val="006D7AEF"/>
    <w:rsid w:val="006D7F55"/>
    <w:rsid w:val="006D7FA4"/>
    <w:rsid w:val="006E00C1"/>
    <w:rsid w:val="006E0232"/>
    <w:rsid w:val="006E0D8F"/>
    <w:rsid w:val="006E1163"/>
    <w:rsid w:val="006E124F"/>
    <w:rsid w:val="006E15F6"/>
    <w:rsid w:val="006E1814"/>
    <w:rsid w:val="006E1B88"/>
    <w:rsid w:val="006E1D00"/>
    <w:rsid w:val="006E1D54"/>
    <w:rsid w:val="006E2194"/>
    <w:rsid w:val="006E24D8"/>
    <w:rsid w:val="006E2B01"/>
    <w:rsid w:val="006E2C7A"/>
    <w:rsid w:val="006E32D6"/>
    <w:rsid w:val="006E3D14"/>
    <w:rsid w:val="006E42DC"/>
    <w:rsid w:val="006E445C"/>
    <w:rsid w:val="006E456F"/>
    <w:rsid w:val="006E4A47"/>
    <w:rsid w:val="006E52D5"/>
    <w:rsid w:val="006E5335"/>
    <w:rsid w:val="006E552D"/>
    <w:rsid w:val="006E5679"/>
    <w:rsid w:val="006E5742"/>
    <w:rsid w:val="006E57AB"/>
    <w:rsid w:val="006E57B7"/>
    <w:rsid w:val="006E62A6"/>
    <w:rsid w:val="006E6405"/>
    <w:rsid w:val="006E685B"/>
    <w:rsid w:val="006E6AA0"/>
    <w:rsid w:val="006E6D41"/>
    <w:rsid w:val="006E6E3D"/>
    <w:rsid w:val="006E6EE7"/>
    <w:rsid w:val="006E746E"/>
    <w:rsid w:val="006E7909"/>
    <w:rsid w:val="006E7AA2"/>
    <w:rsid w:val="006E7B1F"/>
    <w:rsid w:val="006E7D8C"/>
    <w:rsid w:val="006E7F29"/>
    <w:rsid w:val="006F019B"/>
    <w:rsid w:val="006F0B44"/>
    <w:rsid w:val="006F0C3E"/>
    <w:rsid w:val="006F1041"/>
    <w:rsid w:val="006F15CD"/>
    <w:rsid w:val="006F172C"/>
    <w:rsid w:val="006F1A05"/>
    <w:rsid w:val="006F1E4A"/>
    <w:rsid w:val="006F266D"/>
    <w:rsid w:val="006F27F1"/>
    <w:rsid w:val="006F2E11"/>
    <w:rsid w:val="006F31A0"/>
    <w:rsid w:val="006F33CA"/>
    <w:rsid w:val="006F3447"/>
    <w:rsid w:val="006F3CC9"/>
    <w:rsid w:val="006F4317"/>
    <w:rsid w:val="006F438F"/>
    <w:rsid w:val="006F48C0"/>
    <w:rsid w:val="006F4F6B"/>
    <w:rsid w:val="006F538C"/>
    <w:rsid w:val="006F5AB5"/>
    <w:rsid w:val="006F639A"/>
    <w:rsid w:val="006F6AAD"/>
    <w:rsid w:val="006F6B84"/>
    <w:rsid w:val="006F6E22"/>
    <w:rsid w:val="006F7ADA"/>
    <w:rsid w:val="006F7C9F"/>
    <w:rsid w:val="00700305"/>
    <w:rsid w:val="00700310"/>
    <w:rsid w:val="00700E75"/>
    <w:rsid w:val="00701175"/>
    <w:rsid w:val="007016D1"/>
    <w:rsid w:val="007017CB"/>
    <w:rsid w:val="007017F0"/>
    <w:rsid w:val="007018F2"/>
    <w:rsid w:val="00701915"/>
    <w:rsid w:val="0070194C"/>
    <w:rsid w:val="00702F08"/>
    <w:rsid w:val="00702FBB"/>
    <w:rsid w:val="007032B2"/>
    <w:rsid w:val="007033A1"/>
    <w:rsid w:val="007036C9"/>
    <w:rsid w:val="00703836"/>
    <w:rsid w:val="00703C35"/>
    <w:rsid w:val="00703C75"/>
    <w:rsid w:val="00703D37"/>
    <w:rsid w:val="0070427B"/>
    <w:rsid w:val="007042FA"/>
    <w:rsid w:val="007055A7"/>
    <w:rsid w:val="007056F2"/>
    <w:rsid w:val="00705B00"/>
    <w:rsid w:val="00705B44"/>
    <w:rsid w:val="007060C1"/>
    <w:rsid w:val="007066F4"/>
    <w:rsid w:val="00706A61"/>
    <w:rsid w:val="00706AC3"/>
    <w:rsid w:val="007072B8"/>
    <w:rsid w:val="007100FB"/>
    <w:rsid w:val="007103A1"/>
    <w:rsid w:val="007108E3"/>
    <w:rsid w:val="007110A3"/>
    <w:rsid w:val="00711F41"/>
    <w:rsid w:val="00711F7D"/>
    <w:rsid w:val="00712234"/>
    <w:rsid w:val="007123A3"/>
    <w:rsid w:val="0071247E"/>
    <w:rsid w:val="00712A73"/>
    <w:rsid w:val="00712D0E"/>
    <w:rsid w:val="0071313E"/>
    <w:rsid w:val="007132BD"/>
    <w:rsid w:val="00713497"/>
    <w:rsid w:val="00713575"/>
    <w:rsid w:val="00713FF2"/>
    <w:rsid w:val="00714331"/>
    <w:rsid w:val="00714678"/>
    <w:rsid w:val="00714BC0"/>
    <w:rsid w:val="00714F10"/>
    <w:rsid w:val="00714FAA"/>
    <w:rsid w:val="0071512F"/>
    <w:rsid w:val="00715726"/>
    <w:rsid w:val="007159BA"/>
    <w:rsid w:val="00716062"/>
    <w:rsid w:val="007165E3"/>
    <w:rsid w:val="00716882"/>
    <w:rsid w:val="00716BA3"/>
    <w:rsid w:val="00717263"/>
    <w:rsid w:val="00717906"/>
    <w:rsid w:val="007206D4"/>
    <w:rsid w:val="007207CA"/>
    <w:rsid w:val="0072137D"/>
    <w:rsid w:val="00721384"/>
    <w:rsid w:val="007213A3"/>
    <w:rsid w:val="00721647"/>
    <w:rsid w:val="0072179D"/>
    <w:rsid w:val="00721969"/>
    <w:rsid w:val="00721CAE"/>
    <w:rsid w:val="007222F1"/>
    <w:rsid w:val="00722C53"/>
    <w:rsid w:val="00722CD2"/>
    <w:rsid w:val="00722FCA"/>
    <w:rsid w:val="00723EE0"/>
    <w:rsid w:val="00724645"/>
    <w:rsid w:val="007248E6"/>
    <w:rsid w:val="00725032"/>
    <w:rsid w:val="00725403"/>
    <w:rsid w:val="00725508"/>
    <w:rsid w:val="00725A96"/>
    <w:rsid w:val="00725C78"/>
    <w:rsid w:val="0072692D"/>
    <w:rsid w:val="00726E93"/>
    <w:rsid w:val="0072721B"/>
    <w:rsid w:val="0072723E"/>
    <w:rsid w:val="007273F0"/>
    <w:rsid w:val="0072744A"/>
    <w:rsid w:val="007275C3"/>
    <w:rsid w:val="0072766A"/>
    <w:rsid w:val="007276E7"/>
    <w:rsid w:val="00727F9F"/>
    <w:rsid w:val="007300B9"/>
    <w:rsid w:val="007300C3"/>
    <w:rsid w:val="00730261"/>
    <w:rsid w:val="007303F6"/>
    <w:rsid w:val="00730497"/>
    <w:rsid w:val="00730764"/>
    <w:rsid w:val="00730838"/>
    <w:rsid w:val="00730982"/>
    <w:rsid w:val="00730B63"/>
    <w:rsid w:val="00730BE7"/>
    <w:rsid w:val="00730CFE"/>
    <w:rsid w:val="00730D16"/>
    <w:rsid w:val="00730E07"/>
    <w:rsid w:val="00731AEA"/>
    <w:rsid w:val="00731D02"/>
    <w:rsid w:val="007320F2"/>
    <w:rsid w:val="007322CD"/>
    <w:rsid w:val="0073295E"/>
    <w:rsid w:val="00732994"/>
    <w:rsid w:val="00732D94"/>
    <w:rsid w:val="007331C7"/>
    <w:rsid w:val="00733342"/>
    <w:rsid w:val="00733463"/>
    <w:rsid w:val="0073374C"/>
    <w:rsid w:val="007339F9"/>
    <w:rsid w:val="007342C5"/>
    <w:rsid w:val="007349B4"/>
    <w:rsid w:val="007349D3"/>
    <w:rsid w:val="00734DFF"/>
    <w:rsid w:val="0073535F"/>
    <w:rsid w:val="00735461"/>
    <w:rsid w:val="00735A95"/>
    <w:rsid w:val="00735D5D"/>
    <w:rsid w:val="007361AE"/>
    <w:rsid w:val="007361CC"/>
    <w:rsid w:val="007368FB"/>
    <w:rsid w:val="00736D15"/>
    <w:rsid w:val="00737166"/>
    <w:rsid w:val="007373C4"/>
    <w:rsid w:val="00737D26"/>
    <w:rsid w:val="00740015"/>
    <w:rsid w:val="0074037C"/>
    <w:rsid w:val="007404DE"/>
    <w:rsid w:val="0074063B"/>
    <w:rsid w:val="007406D6"/>
    <w:rsid w:val="00740AEC"/>
    <w:rsid w:val="00740F00"/>
    <w:rsid w:val="00741292"/>
    <w:rsid w:val="007418E0"/>
    <w:rsid w:val="00741936"/>
    <w:rsid w:val="00741CC4"/>
    <w:rsid w:val="0074228A"/>
    <w:rsid w:val="00742312"/>
    <w:rsid w:val="00742349"/>
    <w:rsid w:val="0074247C"/>
    <w:rsid w:val="00742585"/>
    <w:rsid w:val="00742B14"/>
    <w:rsid w:val="00742BE8"/>
    <w:rsid w:val="00742C2A"/>
    <w:rsid w:val="00742C95"/>
    <w:rsid w:val="00742CA5"/>
    <w:rsid w:val="00742DA6"/>
    <w:rsid w:val="00743846"/>
    <w:rsid w:val="00743A7F"/>
    <w:rsid w:val="00743B56"/>
    <w:rsid w:val="0074404A"/>
    <w:rsid w:val="00744075"/>
    <w:rsid w:val="0074443B"/>
    <w:rsid w:val="0074486C"/>
    <w:rsid w:val="00744A10"/>
    <w:rsid w:val="0074531D"/>
    <w:rsid w:val="00745EE9"/>
    <w:rsid w:val="0074646E"/>
    <w:rsid w:val="007469FE"/>
    <w:rsid w:val="00746A5F"/>
    <w:rsid w:val="00746A98"/>
    <w:rsid w:val="00746F9A"/>
    <w:rsid w:val="00747017"/>
    <w:rsid w:val="00747175"/>
    <w:rsid w:val="00747A0A"/>
    <w:rsid w:val="007503A7"/>
    <w:rsid w:val="007503DB"/>
    <w:rsid w:val="00750565"/>
    <w:rsid w:val="0075089B"/>
    <w:rsid w:val="00751D33"/>
    <w:rsid w:val="00751DBE"/>
    <w:rsid w:val="00751E14"/>
    <w:rsid w:val="00752224"/>
    <w:rsid w:val="007523A5"/>
    <w:rsid w:val="00752B53"/>
    <w:rsid w:val="00752E42"/>
    <w:rsid w:val="00752FF3"/>
    <w:rsid w:val="00753393"/>
    <w:rsid w:val="007538A2"/>
    <w:rsid w:val="00753B4B"/>
    <w:rsid w:val="00753E64"/>
    <w:rsid w:val="00754728"/>
    <w:rsid w:val="00754F19"/>
    <w:rsid w:val="00755029"/>
    <w:rsid w:val="007553CB"/>
    <w:rsid w:val="007555A2"/>
    <w:rsid w:val="00755A0F"/>
    <w:rsid w:val="00755D76"/>
    <w:rsid w:val="007564EE"/>
    <w:rsid w:val="00756A77"/>
    <w:rsid w:val="00756B59"/>
    <w:rsid w:val="0075702B"/>
    <w:rsid w:val="007575A9"/>
    <w:rsid w:val="0075766A"/>
    <w:rsid w:val="0075790C"/>
    <w:rsid w:val="0076039C"/>
    <w:rsid w:val="007603D4"/>
    <w:rsid w:val="007604F1"/>
    <w:rsid w:val="00760A33"/>
    <w:rsid w:val="00760A9A"/>
    <w:rsid w:val="00760C00"/>
    <w:rsid w:val="00760F26"/>
    <w:rsid w:val="00761428"/>
    <w:rsid w:val="00761D0E"/>
    <w:rsid w:val="00762594"/>
    <w:rsid w:val="00762728"/>
    <w:rsid w:val="007627CC"/>
    <w:rsid w:val="00762A2D"/>
    <w:rsid w:val="00763119"/>
    <w:rsid w:val="00763262"/>
    <w:rsid w:val="00763527"/>
    <w:rsid w:val="0076370A"/>
    <w:rsid w:val="00763A45"/>
    <w:rsid w:val="00763A6F"/>
    <w:rsid w:val="00763C9C"/>
    <w:rsid w:val="0076402B"/>
    <w:rsid w:val="00764371"/>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210"/>
    <w:rsid w:val="0076742D"/>
    <w:rsid w:val="00767B5D"/>
    <w:rsid w:val="00767EE2"/>
    <w:rsid w:val="00770508"/>
    <w:rsid w:val="00770681"/>
    <w:rsid w:val="007706D4"/>
    <w:rsid w:val="007706DE"/>
    <w:rsid w:val="00770797"/>
    <w:rsid w:val="00770D02"/>
    <w:rsid w:val="00770F7F"/>
    <w:rsid w:val="007712EB"/>
    <w:rsid w:val="00771765"/>
    <w:rsid w:val="00771B10"/>
    <w:rsid w:val="00772198"/>
    <w:rsid w:val="00772673"/>
    <w:rsid w:val="00773327"/>
    <w:rsid w:val="00773A7C"/>
    <w:rsid w:val="00773BA7"/>
    <w:rsid w:val="00773F09"/>
    <w:rsid w:val="00774414"/>
    <w:rsid w:val="00774608"/>
    <w:rsid w:val="0077485B"/>
    <w:rsid w:val="00774B41"/>
    <w:rsid w:val="007750A6"/>
    <w:rsid w:val="00775441"/>
    <w:rsid w:val="00775828"/>
    <w:rsid w:val="00775AD2"/>
    <w:rsid w:val="00775B80"/>
    <w:rsid w:val="00775E64"/>
    <w:rsid w:val="007760AE"/>
    <w:rsid w:val="00776177"/>
    <w:rsid w:val="00776576"/>
    <w:rsid w:val="007766F6"/>
    <w:rsid w:val="0077680F"/>
    <w:rsid w:val="00776F25"/>
    <w:rsid w:val="00776F26"/>
    <w:rsid w:val="007775DC"/>
    <w:rsid w:val="00777CDD"/>
    <w:rsid w:val="00777FA8"/>
    <w:rsid w:val="00780464"/>
    <w:rsid w:val="007804D2"/>
    <w:rsid w:val="007807C7"/>
    <w:rsid w:val="00780EE2"/>
    <w:rsid w:val="00780F78"/>
    <w:rsid w:val="00781112"/>
    <w:rsid w:val="00781223"/>
    <w:rsid w:val="007813B4"/>
    <w:rsid w:val="007819AB"/>
    <w:rsid w:val="00781C86"/>
    <w:rsid w:val="00781DD8"/>
    <w:rsid w:val="00781E98"/>
    <w:rsid w:val="0078204D"/>
    <w:rsid w:val="00782073"/>
    <w:rsid w:val="00782208"/>
    <w:rsid w:val="007824BB"/>
    <w:rsid w:val="00782749"/>
    <w:rsid w:val="0078295D"/>
    <w:rsid w:val="0078301D"/>
    <w:rsid w:val="00783AA0"/>
    <w:rsid w:val="00783D81"/>
    <w:rsid w:val="007846ED"/>
    <w:rsid w:val="00784724"/>
    <w:rsid w:val="0078480C"/>
    <w:rsid w:val="0078495F"/>
    <w:rsid w:val="00784DA8"/>
    <w:rsid w:val="00785044"/>
    <w:rsid w:val="00785179"/>
    <w:rsid w:val="00785275"/>
    <w:rsid w:val="0078548D"/>
    <w:rsid w:val="00785E90"/>
    <w:rsid w:val="00785EFE"/>
    <w:rsid w:val="00786364"/>
    <w:rsid w:val="00786A04"/>
    <w:rsid w:val="00786C53"/>
    <w:rsid w:val="00786CBD"/>
    <w:rsid w:val="00786DFF"/>
    <w:rsid w:val="00786ED3"/>
    <w:rsid w:val="0078709C"/>
    <w:rsid w:val="00787968"/>
    <w:rsid w:val="00787F11"/>
    <w:rsid w:val="007900CD"/>
    <w:rsid w:val="00790A3D"/>
    <w:rsid w:val="00790AAA"/>
    <w:rsid w:val="00790B01"/>
    <w:rsid w:val="00790C4F"/>
    <w:rsid w:val="00791243"/>
    <w:rsid w:val="00791486"/>
    <w:rsid w:val="00791540"/>
    <w:rsid w:val="00791B1D"/>
    <w:rsid w:val="00791C76"/>
    <w:rsid w:val="00791D8B"/>
    <w:rsid w:val="00791EB6"/>
    <w:rsid w:val="00791EE6"/>
    <w:rsid w:val="00791F67"/>
    <w:rsid w:val="00792147"/>
    <w:rsid w:val="00792408"/>
    <w:rsid w:val="00792A4A"/>
    <w:rsid w:val="00792C62"/>
    <w:rsid w:val="0079359B"/>
    <w:rsid w:val="00793A20"/>
    <w:rsid w:val="00793CEE"/>
    <w:rsid w:val="00794172"/>
    <w:rsid w:val="00794197"/>
    <w:rsid w:val="00794AF5"/>
    <w:rsid w:val="00794B9C"/>
    <w:rsid w:val="007957DF"/>
    <w:rsid w:val="00795AE0"/>
    <w:rsid w:val="00795C26"/>
    <w:rsid w:val="007962DE"/>
    <w:rsid w:val="00796547"/>
    <w:rsid w:val="007967CB"/>
    <w:rsid w:val="007967CE"/>
    <w:rsid w:val="0079682D"/>
    <w:rsid w:val="00796ADD"/>
    <w:rsid w:val="00796CD8"/>
    <w:rsid w:val="0079708C"/>
    <w:rsid w:val="007972E1"/>
    <w:rsid w:val="00797362"/>
    <w:rsid w:val="0079799C"/>
    <w:rsid w:val="00797E37"/>
    <w:rsid w:val="007A011E"/>
    <w:rsid w:val="007A0401"/>
    <w:rsid w:val="007A042E"/>
    <w:rsid w:val="007A0832"/>
    <w:rsid w:val="007A0EA5"/>
    <w:rsid w:val="007A101D"/>
    <w:rsid w:val="007A163D"/>
    <w:rsid w:val="007A1A5D"/>
    <w:rsid w:val="007A1AF2"/>
    <w:rsid w:val="007A1D44"/>
    <w:rsid w:val="007A21AA"/>
    <w:rsid w:val="007A24DB"/>
    <w:rsid w:val="007A26A2"/>
    <w:rsid w:val="007A29C6"/>
    <w:rsid w:val="007A2A30"/>
    <w:rsid w:val="007A2ACF"/>
    <w:rsid w:val="007A32DB"/>
    <w:rsid w:val="007A353D"/>
    <w:rsid w:val="007A36BB"/>
    <w:rsid w:val="007A3834"/>
    <w:rsid w:val="007A3A90"/>
    <w:rsid w:val="007A3E8E"/>
    <w:rsid w:val="007A4361"/>
    <w:rsid w:val="007A466F"/>
    <w:rsid w:val="007A4A18"/>
    <w:rsid w:val="007A4B1E"/>
    <w:rsid w:val="007A4B3D"/>
    <w:rsid w:val="007A4BAD"/>
    <w:rsid w:val="007A4F07"/>
    <w:rsid w:val="007A50DC"/>
    <w:rsid w:val="007A5E88"/>
    <w:rsid w:val="007A5EF4"/>
    <w:rsid w:val="007A623B"/>
    <w:rsid w:val="007A6298"/>
    <w:rsid w:val="007A645B"/>
    <w:rsid w:val="007A687E"/>
    <w:rsid w:val="007A6AEF"/>
    <w:rsid w:val="007A6EF9"/>
    <w:rsid w:val="007A7277"/>
    <w:rsid w:val="007A739F"/>
    <w:rsid w:val="007A78CA"/>
    <w:rsid w:val="007A7CD4"/>
    <w:rsid w:val="007B0061"/>
    <w:rsid w:val="007B0066"/>
    <w:rsid w:val="007B03DA"/>
    <w:rsid w:val="007B0BC4"/>
    <w:rsid w:val="007B0C68"/>
    <w:rsid w:val="007B0E89"/>
    <w:rsid w:val="007B18D6"/>
    <w:rsid w:val="007B19D0"/>
    <w:rsid w:val="007B21FF"/>
    <w:rsid w:val="007B22A8"/>
    <w:rsid w:val="007B2384"/>
    <w:rsid w:val="007B27BF"/>
    <w:rsid w:val="007B28F1"/>
    <w:rsid w:val="007B3165"/>
    <w:rsid w:val="007B33EC"/>
    <w:rsid w:val="007B37A8"/>
    <w:rsid w:val="007B39A8"/>
    <w:rsid w:val="007B41ED"/>
    <w:rsid w:val="007B4208"/>
    <w:rsid w:val="007B4E11"/>
    <w:rsid w:val="007B4EE1"/>
    <w:rsid w:val="007B4F31"/>
    <w:rsid w:val="007B5417"/>
    <w:rsid w:val="007B5686"/>
    <w:rsid w:val="007B57A7"/>
    <w:rsid w:val="007B5A71"/>
    <w:rsid w:val="007B5CF1"/>
    <w:rsid w:val="007B5F3B"/>
    <w:rsid w:val="007B68AF"/>
    <w:rsid w:val="007B68B0"/>
    <w:rsid w:val="007B6986"/>
    <w:rsid w:val="007B70E3"/>
    <w:rsid w:val="007B722B"/>
    <w:rsid w:val="007B72BD"/>
    <w:rsid w:val="007B799E"/>
    <w:rsid w:val="007B79EB"/>
    <w:rsid w:val="007C01C9"/>
    <w:rsid w:val="007C02F2"/>
    <w:rsid w:val="007C06BD"/>
    <w:rsid w:val="007C0E32"/>
    <w:rsid w:val="007C11F1"/>
    <w:rsid w:val="007C146D"/>
    <w:rsid w:val="007C147B"/>
    <w:rsid w:val="007C18A3"/>
    <w:rsid w:val="007C1B7A"/>
    <w:rsid w:val="007C1D23"/>
    <w:rsid w:val="007C1D98"/>
    <w:rsid w:val="007C1FF3"/>
    <w:rsid w:val="007C21B0"/>
    <w:rsid w:val="007C282E"/>
    <w:rsid w:val="007C2F75"/>
    <w:rsid w:val="007C304B"/>
    <w:rsid w:val="007C339A"/>
    <w:rsid w:val="007C3480"/>
    <w:rsid w:val="007C36A0"/>
    <w:rsid w:val="007C402D"/>
    <w:rsid w:val="007C40EA"/>
    <w:rsid w:val="007C4BD9"/>
    <w:rsid w:val="007C4D40"/>
    <w:rsid w:val="007C5545"/>
    <w:rsid w:val="007C556E"/>
    <w:rsid w:val="007C59B0"/>
    <w:rsid w:val="007C5B87"/>
    <w:rsid w:val="007C60AC"/>
    <w:rsid w:val="007C6380"/>
    <w:rsid w:val="007C659C"/>
    <w:rsid w:val="007C6A02"/>
    <w:rsid w:val="007C6B83"/>
    <w:rsid w:val="007C6C82"/>
    <w:rsid w:val="007C72E4"/>
    <w:rsid w:val="007C78C8"/>
    <w:rsid w:val="007D0044"/>
    <w:rsid w:val="007D0401"/>
    <w:rsid w:val="007D064B"/>
    <w:rsid w:val="007D0AAE"/>
    <w:rsid w:val="007D1882"/>
    <w:rsid w:val="007D1EBF"/>
    <w:rsid w:val="007D20BA"/>
    <w:rsid w:val="007D292B"/>
    <w:rsid w:val="007D295D"/>
    <w:rsid w:val="007D2B6B"/>
    <w:rsid w:val="007D2ED9"/>
    <w:rsid w:val="007D3310"/>
    <w:rsid w:val="007D39E9"/>
    <w:rsid w:val="007D3FAD"/>
    <w:rsid w:val="007D4262"/>
    <w:rsid w:val="007D485D"/>
    <w:rsid w:val="007D4DE4"/>
    <w:rsid w:val="007D4FC1"/>
    <w:rsid w:val="007D5A80"/>
    <w:rsid w:val="007D64FE"/>
    <w:rsid w:val="007D6BCF"/>
    <w:rsid w:val="007D6CB5"/>
    <w:rsid w:val="007D7010"/>
    <w:rsid w:val="007D7087"/>
    <w:rsid w:val="007D7F9B"/>
    <w:rsid w:val="007E035F"/>
    <w:rsid w:val="007E0613"/>
    <w:rsid w:val="007E0656"/>
    <w:rsid w:val="007E0A2E"/>
    <w:rsid w:val="007E0DD3"/>
    <w:rsid w:val="007E1420"/>
    <w:rsid w:val="007E1733"/>
    <w:rsid w:val="007E1CA4"/>
    <w:rsid w:val="007E2265"/>
    <w:rsid w:val="007E23DD"/>
    <w:rsid w:val="007E278E"/>
    <w:rsid w:val="007E27B9"/>
    <w:rsid w:val="007E2C32"/>
    <w:rsid w:val="007E2D18"/>
    <w:rsid w:val="007E34D7"/>
    <w:rsid w:val="007E3956"/>
    <w:rsid w:val="007E43DE"/>
    <w:rsid w:val="007E474D"/>
    <w:rsid w:val="007E47FC"/>
    <w:rsid w:val="007E4C1E"/>
    <w:rsid w:val="007E54DE"/>
    <w:rsid w:val="007E5D63"/>
    <w:rsid w:val="007E5E97"/>
    <w:rsid w:val="007E6587"/>
    <w:rsid w:val="007E66FB"/>
    <w:rsid w:val="007E691C"/>
    <w:rsid w:val="007E6C40"/>
    <w:rsid w:val="007E7034"/>
    <w:rsid w:val="007E79CC"/>
    <w:rsid w:val="007F0535"/>
    <w:rsid w:val="007F05FB"/>
    <w:rsid w:val="007F061E"/>
    <w:rsid w:val="007F1377"/>
    <w:rsid w:val="007F1778"/>
    <w:rsid w:val="007F2A06"/>
    <w:rsid w:val="007F39EE"/>
    <w:rsid w:val="007F3ACC"/>
    <w:rsid w:val="007F3D50"/>
    <w:rsid w:val="007F3F12"/>
    <w:rsid w:val="007F475F"/>
    <w:rsid w:val="007F478E"/>
    <w:rsid w:val="007F4A8D"/>
    <w:rsid w:val="007F4FFB"/>
    <w:rsid w:val="007F5000"/>
    <w:rsid w:val="007F5A28"/>
    <w:rsid w:val="007F5E60"/>
    <w:rsid w:val="007F6255"/>
    <w:rsid w:val="007F66C2"/>
    <w:rsid w:val="007F795A"/>
    <w:rsid w:val="007F79CE"/>
    <w:rsid w:val="007F7ABF"/>
    <w:rsid w:val="0080084F"/>
    <w:rsid w:val="00800C85"/>
    <w:rsid w:val="00801871"/>
    <w:rsid w:val="00801A48"/>
    <w:rsid w:val="00801DEB"/>
    <w:rsid w:val="0080272D"/>
    <w:rsid w:val="0080308C"/>
    <w:rsid w:val="00803256"/>
    <w:rsid w:val="00803479"/>
    <w:rsid w:val="0080364D"/>
    <w:rsid w:val="008039AD"/>
    <w:rsid w:val="00803FC2"/>
    <w:rsid w:val="0080444B"/>
    <w:rsid w:val="008048FE"/>
    <w:rsid w:val="00804F88"/>
    <w:rsid w:val="0080511F"/>
    <w:rsid w:val="008053AA"/>
    <w:rsid w:val="0080593A"/>
    <w:rsid w:val="008059E3"/>
    <w:rsid w:val="00805A1F"/>
    <w:rsid w:val="00805E3A"/>
    <w:rsid w:val="00806349"/>
    <w:rsid w:val="008065D7"/>
    <w:rsid w:val="00806641"/>
    <w:rsid w:val="00806744"/>
    <w:rsid w:val="008068C9"/>
    <w:rsid w:val="0080690E"/>
    <w:rsid w:val="00807442"/>
    <w:rsid w:val="00807837"/>
    <w:rsid w:val="00807908"/>
    <w:rsid w:val="00807C1A"/>
    <w:rsid w:val="00807DC4"/>
    <w:rsid w:val="0081001D"/>
    <w:rsid w:val="00811055"/>
    <w:rsid w:val="0081112E"/>
    <w:rsid w:val="00811139"/>
    <w:rsid w:val="0081113F"/>
    <w:rsid w:val="00811C0E"/>
    <w:rsid w:val="00811CEF"/>
    <w:rsid w:val="008120ED"/>
    <w:rsid w:val="008121ED"/>
    <w:rsid w:val="008123C0"/>
    <w:rsid w:val="008127E4"/>
    <w:rsid w:val="00812826"/>
    <w:rsid w:val="0081282F"/>
    <w:rsid w:val="0081287C"/>
    <w:rsid w:val="008128E9"/>
    <w:rsid w:val="00812DBB"/>
    <w:rsid w:val="00813679"/>
    <w:rsid w:val="008145FB"/>
    <w:rsid w:val="008147CE"/>
    <w:rsid w:val="008148E1"/>
    <w:rsid w:val="0081494C"/>
    <w:rsid w:val="00814C26"/>
    <w:rsid w:val="00814CCD"/>
    <w:rsid w:val="00814E0C"/>
    <w:rsid w:val="00814F96"/>
    <w:rsid w:val="008150C3"/>
    <w:rsid w:val="008151FD"/>
    <w:rsid w:val="00816054"/>
    <w:rsid w:val="00816377"/>
    <w:rsid w:val="00816740"/>
    <w:rsid w:val="0081695C"/>
    <w:rsid w:val="008169DF"/>
    <w:rsid w:val="00816D0C"/>
    <w:rsid w:val="00816E32"/>
    <w:rsid w:val="00817695"/>
    <w:rsid w:val="00817905"/>
    <w:rsid w:val="0081799F"/>
    <w:rsid w:val="00817D3A"/>
    <w:rsid w:val="00817E11"/>
    <w:rsid w:val="00817FFD"/>
    <w:rsid w:val="00820102"/>
    <w:rsid w:val="00820190"/>
    <w:rsid w:val="008204AD"/>
    <w:rsid w:val="00820DEE"/>
    <w:rsid w:val="00820F53"/>
    <w:rsid w:val="0082139E"/>
    <w:rsid w:val="00821558"/>
    <w:rsid w:val="008216D0"/>
    <w:rsid w:val="00821A5B"/>
    <w:rsid w:val="00821C57"/>
    <w:rsid w:val="00821E69"/>
    <w:rsid w:val="0082237F"/>
    <w:rsid w:val="00822386"/>
    <w:rsid w:val="0082247A"/>
    <w:rsid w:val="008226C7"/>
    <w:rsid w:val="00822A86"/>
    <w:rsid w:val="00822C4A"/>
    <w:rsid w:val="00823FFD"/>
    <w:rsid w:val="0082437F"/>
    <w:rsid w:val="0082446C"/>
    <w:rsid w:val="00824B3B"/>
    <w:rsid w:val="00824BC4"/>
    <w:rsid w:val="00825039"/>
    <w:rsid w:val="0082570F"/>
    <w:rsid w:val="00825885"/>
    <w:rsid w:val="00825B71"/>
    <w:rsid w:val="00825BA0"/>
    <w:rsid w:val="00825E32"/>
    <w:rsid w:val="00825EED"/>
    <w:rsid w:val="0082660C"/>
    <w:rsid w:val="008267A8"/>
    <w:rsid w:val="00826ABD"/>
    <w:rsid w:val="00826C7C"/>
    <w:rsid w:val="00826CE9"/>
    <w:rsid w:val="008271AA"/>
    <w:rsid w:val="00827337"/>
    <w:rsid w:val="008275B6"/>
    <w:rsid w:val="00827BE1"/>
    <w:rsid w:val="00827E6D"/>
    <w:rsid w:val="00827FC2"/>
    <w:rsid w:val="00830520"/>
    <w:rsid w:val="00830681"/>
    <w:rsid w:val="008307B6"/>
    <w:rsid w:val="0083082C"/>
    <w:rsid w:val="00831290"/>
    <w:rsid w:val="00831319"/>
    <w:rsid w:val="00831629"/>
    <w:rsid w:val="008317AF"/>
    <w:rsid w:val="008317DB"/>
    <w:rsid w:val="00831D54"/>
    <w:rsid w:val="00831F27"/>
    <w:rsid w:val="008320B5"/>
    <w:rsid w:val="00832695"/>
    <w:rsid w:val="008328CD"/>
    <w:rsid w:val="00832AB5"/>
    <w:rsid w:val="00832D5C"/>
    <w:rsid w:val="00834CAC"/>
    <w:rsid w:val="0083531B"/>
    <w:rsid w:val="00835847"/>
    <w:rsid w:val="00835853"/>
    <w:rsid w:val="008359E9"/>
    <w:rsid w:val="00835AE2"/>
    <w:rsid w:val="00835B52"/>
    <w:rsid w:val="00835DAE"/>
    <w:rsid w:val="0083660E"/>
    <w:rsid w:val="00836C38"/>
    <w:rsid w:val="00837218"/>
    <w:rsid w:val="008373A3"/>
    <w:rsid w:val="008373FA"/>
    <w:rsid w:val="0083768E"/>
    <w:rsid w:val="0083782A"/>
    <w:rsid w:val="008379F0"/>
    <w:rsid w:val="00837A42"/>
    <w:rsid w:val="00837AA7"/>
    <w:rsid w:val="00837BEE"/>
    <w:rsid w:val="00837C17"/>
    <w:rsid w:val="00837D9D"/>
    <w:rsid w:val="00840A05"/>
    <w:rsid w:val="00840DC5"/>
    <w:rsid w:val="008410F6"/>
    <w:rsid w:val="0084132F"/>
    <w:rsid w:val="00841576"/>
    <w:rsid w:val="0084167F"/>
    <w:rsid w:val="008421EC"/>
    <w:rsid w:val="008422E2"/>
    <w:rsid w:val="0084269C"/>
    <w:rsid w:val="0084345A"/>
    <w:rsid w:val="0084387B"/>
    <w:rsid w:val="00843C20"/>
    <w:rsid w:val="008440FA"/>
    <w:rsid w:val="0084411F"/>
    <w:rsid w:val="00844358"/>
    <w:rsid w:val="00844766"/>
    <w:rsid w:val="00844ABF"/>
    <w:rsid w:val="00844E00"/>
    <w:rsid w:val="00845C57"/>
    <w:rsid w:val="00845CE7"/>
    <w:rsid w:val="00846115"/>
    <w:rsid w:val="00846DB2"/>
    <w:rsid w:val="008473BB"/>
    <w:rsid w:val="00847455"/>
    <w:rsid w:val="00847A13"/>
    <w:rsid w:val="00847D80"/>
    <w:rsid w:val="00847DF4"/>
    <w:rsid w:val="00851336"/>
    <w:rsid w:val="008523F8"/>
    <w:rsid w:val="008523FE"/>
    <w:rsid w:val="00852402"/>
    <w:rsid w:val="008525AC"/>
    <w:rsid w:val="0085297B"/>
    <w:rsid w:val="00852D31"/>
    <w:rsid w:val="0085331E"/>
    <w:rsid w:val="0085351A"/>
    <w:rsid w:val="00853928"/>
    <w:rsid w:val="00853DE4"/>
    <w:rsid w:val="00854343"/>
    <w:rsid w:val="008545AF"/>
    <w:rsid w:val="00854BDA"/>
    <w:rsid w:val="00854E80"/>
    <w:rsid w:val="008551B4"/>
    <w:rsid w:val="00855313"/>
    <w:rsid w:val="0085534C"/>
    <w:rsid w:val="00855E3D"/>
    <w:rsid w:val="00856137"/>
    <w:rsid w:val="00856F45"/>
    <w:rsid w:val="008572C1"/>
    <w:rsid w:val="00857C77"/>
    <w:rsid w:val="00857E5F"/>
    <w:rsid w:val="00857F55"/>
    <w:rsid w:val="008604F7"/>
    <w:rsid w:val="0086177A"/>
    <w:rsid w:val="00861786"/>
    <w:rsid w:val="008618FA"/>
    <w:rsid w:val="00861D01"/>
    <w:rsid w:val="00861DDA"/>
    <w:rsid w:val="008624FA"/>
    <w:rsid w:val="00862712"/>
    <w:rsid w:val="008627D1"/>
    <w:rsid w:val="00862B55"/>
    <w:rsid w:val="00863290"/>
    <w:rsid w:val="008635CE"/>
    <w:rsid w:val="00863B80"/>
    <w:rsid w:val="00863E0B"/>
    <w:rsid w:val="00863E27"/>
    <w:rsid w:val="00863ED8"/>
    <w:rsid w:val="008649A0"/>
    <w:rsid w:val="00864E7F"/>
    <w:rsid w:val="0086584E"/>
    <w:rsid w:val="00865BEC"/>
    <w:rsid w:val="00866410"/>
    <w:rsid w:val="008669B3"/>
    <w:rsid w:val="00866B44"/>
    <w:rsid w:val="00866E62"/>
    <w:rsid w:val="00867A30"/>
    <w:rsid w:val="00867ABD"/>
    <w:rsid w:val="00867F82"/>
    <w:rsid w:val="00870033"/>
    <w:rsid w:val="008702BD"/>
    <w:rsid w:val="0087042E"/>
    <w:rsid w:val="008705DA"/>
    <w:rsid w:val="008705EE"/>
    <w:rsid w:val="0087094D"/>
    <w:rsid w:val="00870EC7"/>
    <w:rsid w:val="008712A1"/>
    <w:rsid w:val="00871323"/>
    <w:rsid w:val="00871355"/>
    <w:rsid w:val="008716B8"/>
    <w:rsid w:val="00871B7F"/>
    <w:rsid w:val="008721FB"/>
    <w:rsid w:val="00872648"/>
    <w:rsid w:val="0087282F"/>
    <w:rsid w:val="00872A19"/>
    <w:rsid w:val="00872BB0"/>
    <w:rsid w:val="00872CDB"/>
    <w:rsid w:val="0087314A"/>
    <w:rsid w:val="00873491"/>
    <w:rsid w:val="0087350E"/>
    <w:rsid w:val="0087361F"/>
    <w:rsid w:val="008738CC"/>
    <w:rsid w:val="008739D1"/>
    <w:rsid w:val="00873AEF"/>
    <w:rsid w:val="00873F28"/>
    <w:rsid w:val="00873F8C"/>
    <w:rsid w:val="0087409F"/>
    <w:rsid w:val="00874325"/>
    <w:rsid w:val="00874425"/>
    <w:rsid w:val="0087466E"/>
    <w:rsid w:val="00874742"/>
    <w:rsid w:val="0087498C"/>
    <w:rsid w:val="008749AE"/>
    <w:rsid w:val="00874AFE"/>
    <w:rsid w:val="00874CC7"/>
    <w:rsid w:val="00875217"/>
    <w:rsid w:val="008752A0"/>
    <w:rsid w:val="008752CE"/>
    <w:rsid w:val="008753B1"/>
    <w:rsid w:val="00875461"/>
    <w:rsid w:val="0087551F"/>
    <w:rsid w:val="0087623D"/>
    <w:rsid w:val="008763DC"/>
    <w:rsid w:val="00876419"/>
    <w:rsid w:val="008765BF"/>
    <w:rsid w:val="00876F64"/>
    <w:rsid w:val="00876FCC"/>
    <w:rsid w:val="008771F2"/>
    <w:rsid w:val="008772ED"/>
    <w:rsid w:val="00877951"/>
    <w:rsid w:val="00877A6C"/>
    <w:rsid w:val="00877E3C"/>
    <w:rsid w:val="0088015C"/>
    <w:rsid w:val="0088110C"/>
    <w:rsid w:val="00881D65"/>
    <w:rsid w:val="00881DD9"/>
    <w:rsid w:val="00882556"/>
    <w:rsid w:val="00883300"/>
    <w:rsid w:val="00883A1F"/>
    <w:rsid w:val="0088425B"/>
    <w:rsid w:val="0088425D"/>
    <w:rsid w:val="00884545"/>
    <w:rsid w:val="00884A8F"/>
    <w:rsid w:val="00884BC0"/>
    <w:rsid w:val="00884C20"/>
    <w:rsid w:val="008853CD"/>
    <w:rsid w:val="00885516"/>
    <w:rsid w:val="008857D5"/>
    <w:rsid w:val="00885BBB"/>
    <w:rsid w:val="00885D94"/>
    <w:rsid w:val="008860B7"/>
    <w:rsid w:val="0088639D"/>
    <w:rsid w:val="0088656C"/>
    <w:rsid w:val="00886A65"/>
    <w:rsid w:val="00886AD7"/>
    <w:rsid w:val="00886C4F"/>
    <w:rsid w:val="008872D1"/>
    <w:rsid w:val="00887471"/>
    <w:rsid w:val="008874E8"/>
    <w:rsid w:val="008875D8"/>
    <w:rsid w:val="00887B0B"/>
    <w:rsid w:val="008901EA"/>
    <w:rsid w:val="00890499"/>
    <w:rsid w:val="0089052D"/>
    <w:rsid w:val="008912C4"/>
    <w:rsid w:val="008915CB"/>
    <w:rsid w:val="0089178E"/>
    <w:rsid w:val="00891B62"/>
    <w:rsid w:val="008922FD"/>
    <w:rsid w:val="0089236B"/>
    <w:rsid w:val="00892A5F"/>
    <w:rsid w:val="00892B2B"/>
    <w:rsid w:val="00892DC6"/>
    <w:rsid w:val="00893205"/>
    <w:rsid w:val="0089332E"/>
    <w:rsid w:val="0089356E"/>
    <w:rsid w:val="00893700"/>
    <w:rsid w:val="00893834"/>
    <w:rsid w:val="008938AA"/>
    <w:rsid w:val="00893B46"/>
    <w:rsid w:val="00894426"/>
    <w:rsid w:val="0089451B"/>
    <w:rsid w:val="008946E5"/>
    <w:rsid w:val="00894A15"/>
    <w:rsid w:val="00894A1D"/>
    <w:rsid w:val="00894C3A"/>
    <w:rsid w:val="00894CDD"/>
    <w:rsid w:val="008951BF"/>
    <w:rsid w:val="00895366"/>
    <w:rsid w:val="0089562E"/>
    <w:rsid w:val="00895F1D"/>
    <w:rsid w:val="008964D1"/>
    <w:rsid w:val="008970CF"/>
    <w:rsid w:val="008977ED"/>
    <w:rsid w:val="00897985"/>
    <w:rsid w:val="008A0178"/>
    <w:rsid w:val="008A0284"/>
    <w:rsid w:val="008A0B0D"/>
    <w:rsid w:val="008A15C7"/>
    <w:rsid w:val="008A2878"/>
    <w:rsid w:val="008A28DB"/>
    <w:rsid w:val="008A2B70"/>
    <w:rsid w:val="008A2B99"/>
    <w:rsid w:val="008A2CAA"/>
    <w:rsid w:val="008A308B"/>
    <w:rsid w:val="008A37E4"/>
    <w:rsid w:val="008A3E10"/>
    <w:rsid w:val="008A4459"/>
    <w:rsid w:val="008A452F"/>
    <w:rsid w:val="008A4898"/>
    <w:rsid w:val="008A4CDA"/>
    <w:rsid w:val="008A4CF7"/>
    <w:rsid w:val="008A52EE"/>
    <w:rsid w:val="008A56D3"/>
    <w:rsid w:val="008A57FE"/>
    <w:rsid w:val="008A58D7"/>
    <w:rsid w:val="008A5967"/>
    <w:rsid w:val="008A6046"/>
    <w:rsid w:val="008A604A"/>
    <w:rsid w:val="008A62F2"/>
    <w:rsid w:val="008A6877"/>
    <w:rsid w:val="008A69D1"/>
    <w:rsid w:val="008A6A9C"/>
    <w:rsid w:val="008A73C5"/>
    <w:rsid w:val="008A74E0"/>
    <w:rsid w:val="008A76D1"/>
    <w:rsid w:val="008A7FA7"/>
    <w:rsid w:val="008B01C2"/>
    <w:rsid w:val="008B0EE2"/>
    <w:rsid w:val="008B1735"/>
    <w:rsid w:val="008B2234"/>
    <w:rsid w:val="008B2A3E"/>
    <w:rsid w:val="008B2CB8"/>
    <w:rsid w:val="008B3036"/>
    <w:rsid w:val="008B313C"/>
    <w:rsid w:val="008B32BE"/>
    <w:rsid w:val="008B32CA"/>
    <w:rsid w:val="008B364A"/>
    <w:rsid w:val="008B3B40"/>
    <w:rsid w:val="008B3E7A"/>
    <w:rsid w:val="008B464B"/>
    <w:rsid w:val="008B5548"/>
    <w:rsid w:val="008B574F"/>
    <w:rsid w:val="008B5BB4"/>
    <w:rsid w:val="008B61F8"/>
    <w:rsid w:val="008B6643"/>
    <w:rsid w:val="008B6B6B"/>
    <w:rsid w:val="008B6BD0"/>
    <w:rsid w:val="008B75F4"/>
    <w:rsid w:val="008B79FF"/>
    <w:rsid w:val="008B7AA2"/>
    <w:rsid w:val="008B7EB0"/>
    <w:rsid w:val="008C0193"/>
    <w:rsid w:val="008C05D6"/>
    <w:rsid w:val="008C08BE"/>
    <w:rsid w:val="008C0A74"/>
    <w:rsid w:val="008C0B49"/>
    <w:rsid w:val="008C0CED"/>
    <w:rsid w:val="008C0DB2"/>
    <w:rsid w:val="008C0DF1"/>
    <w:rsid w:val="008C0EEE"/>
    <w:rsid w:val="008C11B5"/>
    <w:rsid w:val="008C128A"/>
    <w:rsid w:val="008C14D7"/>
    <w:rsid w:val="008C1989"/>
    <w:rsid w:val="008C1F55"/>
    <w:rsid w:val="008C22BF"/>
    <w:rsid w:val="008C247E"/>
    <w:rsid w:val="008C251B"/>
    <w:rsid w:val="008C2B4C"/>
    <w:rsid w:val="008C2C3C"/>
    <w:rsid w:val="008C317D"/>
    <w:rsid w:val="008C364D"/>
    <w:rsid w:val="008C3CB5"/>
    <w:rsid w:val="008C417F"/>
    <w:rsid w:val="008C4E81"/>
    <w:rsid w:val="008C591D"/>
    <w:rsid w:val="008C6340"/>
    <w:rsid w:val="008C6ACF"/>
    <w:rsid w:val="008C6B42"/>
    <w:rsid w:val="008C72D1"/>
    <w:rsid w:val="008C7440"/>
    <w:rsid w:val="008C79BB"/>
    <w:rsid w:val="008C7EB5"/>
    <w:rsid w:val="008C7FB1"/>
    <w:rsid w:val="008C7FC5"/>
    <w:rsid w:val="008D00EB"/>
    <w:rsid w:val="008D0337"/>
    <w:rsid w:val="008D0551"/>
    <w:rsid w:val="008D069A"/>
    <w:rsid w:val="008D0A43"/>
    <w:rsid w:val="008D0C14"/>
    <w:rsid w:val="008D0E4F"/>
    <w:rsid w:val="008D0FBC"/>
    <w:rsid w:val="008D1B92"/>
    <w:rsid w:val="008D1ED5"/>
    <w:rsid w:val="008D25F8"/>
    <w:rsid w:val="008D2BB8"/>
    <w:rsid w:val="008D32C3"/>
    <w:rsid w:val="008D343A"/>
    <w:rsid w:val="008D36E3"/>
    <w:rsid w:val="008D38D9"/>
    <w:rsid w:val="008D3C40"/>
    <w:rsid w:val="008D3C8F"/>
    <w:rsid w:val="008D3EFF"/>
    <w:rsid w:val="008D417E"/>
    <w:rsid w:val="008D4263"/>
    <w:rsid w:val="008D4618"/>
    <w:rsid w:val="008D49EC"/>
    <w:rsid w:val="008D4CD5"/>
    <w:rsid w:val="008D5061"/>
    <w:rsid w:val="008D5334"/>
    <w:rsid w:val="008D5342"/>
    <w:rsid w:val="008D5618"/>
    <w:rsid w:val="008D61B5"/>
    <w:rsid w:val="008D635B"/>
    <w:rsid w:val="008D6632"/>
    <w:rsid w:val="008D674C"/>
    <w:rsid w:val="008D6F39"/>
    <w:rsid w:val="008D7448"/>
    <w:rsid w:val="008D75D5"/>
    <w:rsid w:val="008D767F"/>
    <w:rsid w:val="008D7681"/>
    <w:rsid w:val="008D7EA5"/>
    <w:rsid w:val="008E0D18"/>
    <w:rsid w:val="008E0E5D"/>
    <w:rsid w:val="008E1867"/>
    <w:rsid w:val="008E1C63"/>
    <w:rsid w:val="008E2284"/>
    <w:rsid w:val="008E23CE"/>
    <w:rsid w:val="008E28F1"/>
    <w:rsid w:val="008E2BD5"/>
    <w:rsid w:val="008E34A8"/>
    <w:rsid w:val="008E3724"/>
    <w:rsid w:val="008E3979"/>
    <w:rsid w:val="008E3A13"/>
    <w:rsid w:val="008E3C93"/>
    <w:rsid w:val="008E4143"/>
    <w:rsid w:val="008E41BF"/>
    <w:rsid w:val="008E42E5"/>
    <w:rsid w:val="008E4A4E"/>
    <w:rsid w:val="008E5556"/>
    <w:rsid w:val="008E5564"/>
    <w:rsid w:val="008E5603"/>
    <w:rsid w:val="008E57C2"/>
    <w:rsid w:val="008E58ED"/>
    <w:rsid w:val="008E5F18"/>
    <w:rsid w:val="008E6723"/>
    <w:rsid w:val="008E676C"/>
    <w:rsid w:val="008E70C1"/>
    <w:rsid w:val="008E7379"/>
    <w:rsid w:val="008E7660"/>
    <w:rsid w:val="008E79C3"/>
    <w:rsid w:val="008E79F1"/>
    <w:rsid w:val="008E7C75"/>
    <w:rsid w:val="008F04B1"/>
    <w:rsid w:val="008F0528"/>
    <w:rsid w:val="008F0775"/>
    <w:rsid w:val="008F097F"/>
    <w:rsid w:val="008F0A39"/>
    <w:rsid w:val="008F11A6"/>
    <w:rsid w:val="008F1229"/>
    <w:rsid w:val="008F194A"/>
    <w:rsid w:val="008F2136"/>
    <w:rsid w:val="008F2340"/>
    <w:rsid w:val="008F23FC"/>
    <w:rsid w:val="008F2557"/>
    <w:rsid w:val="008F2673"/>
    <w:rsid w:val="008F2C20"/>
    <w:rsid w:val="008F2E21"/>
    <w:rsid w:val="008F3700"/>
    <w:rsid w:val="008F3B5F"/>
    <w:rsid w:val="008F3BD3"/>
    <w:rsid w:val="008F40E0"/>
    <w:rsid w:val="008F416D"/>
    <w:rsid w:val="008F424B"/>
    <w:rsid w:val="008F431A"/>
    <w:rsid w:val="008F43C3"/>
    <w:rsid w:val="008F46FC"/>
    <w:rsid w:val="008F4814"/>
    <w:rsid w:val="008F48DF"/>
    <w:rsid w:val="008F4B6B"/>
    <w:rsid w:val="008F4D21"/>
    <w:rsid w:val="008F5114"/>
    <w:rsid w:val="008F5900"/>
    <w:rsid w:val="008F5F65"/>
    <w:rsid w:val="008F612A"/>
    <w:rsid w:val="008F64E6"/>
    <w:rsid w:val="008F67BB"/>
    <w:rsid w:val="008F69C3"/>
    <w:rsid w:val="008F6A99"/>
    <w:rsid w:val="008F6AC1"/>
    <w:rsid w:val="008F6D54"/>
    <w:rsid w:val="008F6FAE"/>
    <w:rsid w:val="008F6FE7"/>
    <w:rsid w:val="008F740B"/>
    <w:rsid w:val="008F7807"/>
    <w:rsid w:val="008F7A1F"/>
    <w:rsid w:val="008F7B75"/>
    <w:rsid w:val="008F7C00"/>
    <w:rsid w:val="008F7D89"/>
    <w:rsid w:val="00900608"/>
    <w:rsid w:val="00900744"/>
    <w:rsid w:val="00900B2E"/>
    <w:rsid w:val="00901240"/>
    <w:rsid w:val="0090207E"/>
    <w:rsid w:val="0090211E"/>
    <w:rsid w:val="009021E7"/>
    <w:rsid w:val="0090232C"/>
    <w:rsid w:val="0090246C"/>
    <w:rsid w:val="009025B4"/>
    <w:rsid w:val="0090301E"/>
    <w:rsid w:val="00903594"/>
    <w:rsid w:val="009038CB"/>
    <w:rsid w:val="00903A2C"/>
    <w:rsid w:val="00903B71"/>
    <w:rsid w:val="00903E88"/>
    <w:rsid w:val="00903F16"/>
    <w:rsid w:val="00903F70"/>
    <w:rsid w:val="00903F9B"/>
    <w:rsid w:val="00904B67"/>
    <w:rsid w:val="00904F7F"/>
    <w:rsid w:val="00905036"/>
    <w:rsid w:val="0090577B"/>
    <w:rsid w:val="0090596C"/>
    <w:rsid w:val="00905A4B"/>
    <w:rsid w:val="00905B2B"/>
    <w:rsid w:val="00905CE4"/>
    <w:rsid w:val="009060E9"/>
    <w:rsid w:val="00906159"/>
    <w:rsid w:val="00906472"/>
    <w:rsid w:val="009068B4"/>
    <w:rsid w:val="00906998"/>
    <w:rsid w:val="00906D22"/>
    <w:rsid w:val="009072BB"/>
    <w:rsid w:val="009079A0"/>
    <w:rsid w:val="00907B07"/>
    <w:rsid w:val="00910044"/>
    <w:rsid w:val="00910184"/>
    <w:rsid w:val="009102E3"/>
    <w:rsid w:val="0091042B"/>
    <w:rsid w:val="009104CF"/>
    <w:rsid w:val="0091058F"/>
    <w:rsid w:val="0091059B"/>
    <w:rsid w:val="00910A4B"/>
    <w:rsid w:val="00910B40"/>
    <w:rsid w:val="009112B8"/>
    <w:rsid w:val="00911577"/>
    <w:rsid w:val="009122EC"/>
    <w:rsid w:val="00912421"/>
    <w:rsid w:val="00912593"/>
    <w:rsid w:val="009126B7"/>
    <w:rsid w:val="00912B94"/>
    <w:rsid w:val="00912BDB"/>
    <w:rsid w:val="009131B4"/>
    <w:rsid w:val="009134F9"/>
    <w:rsid w:val="00913532"/>
    <w:rsid w:val="00913585"/>
    <w:rsid w:val="0091387C"/>
    <w:rsid w:val="00913DEB"/>
    <w:rsid w:val="009148F7"/>
    <w:rsid w:val="009149E4"/>
    <w:rsid w:val="00914F90"/>
    <w:rsid w:val="00914FF7"/>
    <w:rsid w:val="009150FD"/>
    <w:rsid w:val="00915718"/>
    <w:rsid w:val="00915968"/>
    <w:rsid w:val="00915B8E"/>
    <w:rsid w:val="00916038"/>
    <w:rsid w:val="00916343"/>
    <w:rsid w:val="00916AF4"/>
    <w:rsid w:val="00916B3D"/>
    <w:rsid w:val="00916C6C"/>
    <w:rsid w:val="00917528"/>
    <w:rsid w:val="009177F4"/>
    <w:rsid w:val="00917D4C"/>
    <w:rsid w:val="009203C2"/>
    <w:rsid w:val="00920F94"/>
    <w:rsid w:val="009211FB"/>
    <w:rsid w:val="00921818"/>
    <w:rsid w:val="00921DAA"/>
    <w:rsid w:val="00921F31"/>
    <w:rsid w:val="009220DD"/>
    <w:rsid w:val="0092254A"/>
    <w:rsid w:val="00922B44"/>
    <w:rsid w:val="00922DC8"/>
    <w:rsid w:val="00922FE0"/>
    <w:rsid w:val="00923174"/>
    <w:rsid w:val="00923232"/>
    <w:rsid w:val="0092366B"/>
    <w:rsid w:val="00923824"/>
    <w:rsid w:val="0092409C"/>
    <w:rsid w:val="009243E6"/>
    <w:rsid w:val="009249D8"/>
    <w:rsid w:val="00924F00"/>
    <w:rsid w:val="00925211"/>
    <w:rsid w:val="0092524A"/>
    <w:rsid w:val="009254F7"/>
    <w:rsid w:val="00926521"/>
    <w:rsid w:val="00926A0D"/>
    <w:rsid w:val="00926B15"/>
    <w:rsid w:val="00926C85"/>
    <w:rsid w:val="00926E7C"/>
    <w:rsid w:val="00927175"/>
    <w:rsid w:val="00927429"/>
    <w:rsid w:val="0092762F"/>
    <w:rsid w:val="0092763C"/>
    <w:rsid w:val="009278FB"/>
    <w:rsid w:val="00927ED3"/>
    <w:rsid w:val="0093023E"/>
    <w:rsid w:val="0093026F"/>
    <w:rsid w:val="0093027B"/>
    <w:rsid w:val="0093046B"/>
    <w:rsid w:val="009306FC"/>
    <w:rsid w:val="00930BC1"/>
    <w:rsid w:val="00930BF7"/>
    <w:rsid w:val="00931126"/>
    <w:rsid w:val="009317A2"/>
    <w:rsid w:val="00931B33"/>
    <w:rsid w:val="00931C97"/>
    <w:rsid w:val="00931CFC"/>
    <w:rsid w:val="00931D5D"/>
    <w:rsid w:val="00931FA7"/>
    <w:rsid w:val="009324B4"/>
    <w:rsid w:val="00932A97"/>
    <w:rsid w:val="00932AA7"/>
    <w:rsid w:val="00933005"/>
    <w:rsid w:val="009331DF"/>
    <w:rsid w:val="00933283"/>
    <w:rsid w:val="009338E5"/>
    <w:rsid w:val="009339D1"/>
    <w:rsid w:val="009339FE"/>
    <w:rsid w:val="00933CBA"/>
    <w:rsid w:val="00933E15"/>
    <w:rsid w:val="0093414E"/>
    <w:rsid w:val="00934B1D"/>
    <w:rsid w:val="00934F3D"/>
    <w:rsid w:val="00935104"/>
    <w:rsid w:val="00935419"/>
    <w:rsid w:val="00935946"/>
    <w:rsid w:val="00935BBC"/>
    <w:rsid w:val="00935DBB"/>
    <w:rsid w:val="00935DE6"/>
    <w:rsid w:val="009363AB"/>
    <w:rsid w:val="009367A5"/>
    <w:rsid w:val="00936978"/>
    <w:rsid w:val="00936A58"/>
    <w:rsid w:val="0093719F"/>
    <w:rsid w:val="00937937"/>
    <w:rsid w:val="00937BE7"/>
    <w:rsid w:val="00937E8B"/>
    <w:rsid w:val="009400C7"/>
    <w:rsid w:val="009409F7"/>
    <w:rsid w:val="00940E3E"/>
    <w:rsid w:val="00940FFD"/>
    <w:rsid w:val="00941791"/>
    <w:rsid w:val="009417A8"/>
    <w:rsid w:val="00941A72"/>
    <w:rsid w:val="00941E3F"/>
    <w:rsid w:val="00942AFC"/>
    <w:rsid w:val="00943A91"/>
    <w:rsid w:val="00943DE8"/>
    <w:rsid w:val="0094451C"/>
    <w:rsid w:val="0094481F"/>
    <w:rsid w:val="00944B4F"/>
    <w:rsid w:val="00944B57"/>
    <w:rsid w:val="009450A9"/>
    <w:rsid w:val="00945138"/>
    <w:rsid w:val="00945844"/>
    <w:rsid w:val="00945ACF"/>
    <w:rsid w:val="00945E96"/>
    <w:rsid w:val="00945F3D"/>
    <w:rsid w:val="00945F91"/>
    <w:rsid w:val="00946382"/>
    <w:rsid w:val="00946B1C"/>
    <w:rsid w:val="00947630"/>
    <w:rsid w:val="0094768B"/>
    <w:rsid w:val="009478FD"/>
    <w:rsid w:val="00947C72"/>
    <w:rsid w:val="00950A09"/>
    <w:rsid w:val="00950C4E"/>
    <w:rsid w:val="00950C9F"/>
    <w:rsid w:val="0095153B"/>
    <w:rsid w:val="009517ED"/>
    <w:rsid w:val="00951C62"/>
    <w:rsid w:val="0095204B"/>
    <w:rsid w:val="009522EE"/>
    <w:rsid w:val="00952799"/>
    <w:rsid w:val="00952D4B"/>
    <w:rsid w:val="00952E01"/>
    <w:rsid w:val="00952FF8"/>
    <w:rsid w:val="009531F3"/>
    <w:rsid w:val="00953434"/>
    <w:rsid w:val="00953DB4"/>
    <w:rsid w:val="00954293"/>
    <w:rsid w:val="00954708"/>
    <w:rsid w:val="00954A38"/>
    <w:rsid w:val="00954A9F"/>
    <w:rsid w:val="00955204"/>
    <w:rsid w:val="0095527C"/>
    <w:rsid w:val="00955806"/>
    <w:rsid w:val="00955975"/>
    <w:rsid w:val="00955BC2"/>
    <w:rsid w:val="009561B0"/>
    <w:rsid w:val="0095620F"/>
    <w:rsid w:val="00956540"/>
    <w:rsid w:val="00956687"/>
    <w:rsid w:val="0095685E"/>
    <w:rsid w:val="00956A6C"/>
    <w:rsid w:val="0095711B"/>
    <w:rsid w:val="0095731D"/>
    <w:rsid w:val="009573C9"/>
    <w:rsid w:val="00957410"/>
    <w:rsid w:val="009575A1"/>
    <w:rsid w:val="00957876"/>
    <w:rsid w:val="00957AFE"/>
    <w:rsid w:val="00960090"/>
    <w:rsid w:val="00960472"/>
    <w:rsid w:val="0096067F"/>
    <w:rsid w:val="00960BE1"/>
    <w:rsid w:val="00960BED"/>
    <w:rsid w:val="00960C53"/>
    <w:rsid w:val="0096120B"/>
    <w:rsid w:val="00961216"/>
    <w:rsid w:val="009613BD"/>
    <w:rsid w:val="00961698"/>
    <w:rsid w:val="00961BB0"/>
    <w:rsid w:val="0096234E"/>
    <w:rsid w:val="009623CD"/>
    <w:rsid w:val="009625B1"/>
    <w:rsid w:val="00962ECD"/>
    <w:rsid w:val="00962F33"/>
    <w:rsid w:val="009630E3"/>
    <w:rsid w:val="00963CDD"/>
    <w:rsid w:val="009647AF"/>
    <w:rsid w:val="00964CAB"/>
    <w:rsid w:val="00965074"/>
    <w:rsid w:val="00965092"/>
    <w:rsid w:val="00965163"/>
    <w:rsid w:val="0096540B"/>
    <w:rsid w:val="00965576"/>
    <w:rsid w:val="009656C1"/>
    <w:rsid w:val="009658FA"/>
    <w:rsid w:val="0096590C"/>
    <w:rsid w:val="00965931"/>
    <w:rsid w:val="00965B35"/>
    <w:rsid w:val="00966695"/>
    <w:rsid w:val="00966846"/>
    <w:rsid w:val="00966D90"/>
    <w:rsid w:val="00966E2C"/>
    <w:rsid w:val="00966E3C"/>
    <w:rsid w:val="00967081"/>
    <w:rsid w:val="009670BB"/>
    <w:rsid w:val="009672CB"/>
    <w:rsid w:val="00967D5B"/>
    <w:rsid w:val="00967EC1"/>
    <w:rsid w:val="009700AD"/>
    <w:rsid w:val="00970294"/>
    <w:rsid w:val="00970303"/>
    <w:rsid w:val="00970396"/>
    <w:rsid w:val="00970460"/>
    <w:rsid w:val="009707FE"/>
    <w:rsid w:val="009715A4"/>
    <w:rsid w:val="00971EB3"/>
    <w:rsid w:val="00972361"/>
    <w:rsid w:val="0097238A"/>
    <w:rsid w:val="009724D2"/>
    <w:rsid w:val="0097258C"/>
    <w:rsid w:val="0097276B"/>
    <w:rsid w:val="009727B9"/>
    <w:rsid w:val="00972845"/>
    <w:rsid w:val="00972E15"/>
    <w:rsid w:val="00972FFC"/>
    <w:rsid w:val="009731EC"/>
    <w:rsid w:val="009738E5"/>
    <w:rsid w:val="00973AF0"/>
    <w:rsid w:val="00973B5C"/>
    <w:rsid w:val="00973D65"/>
    <w:rsid w:val="00974017"/>
    <w:rsid w:val="009741FD"/>
    <w:rsid w:val="009742A5"/>
    <w:rsid w:val="009745A9"/>
    <w:rsid w:val="0097487B"/>
    <w:rsid w:val="009749D1"/>
    <w:rsid w:val="00974B79"/>
    <w:rsid w:val="00974EF9"/>
    <w:rsid w:val="0097500A"/>
    <w:rsid w:val="009750B7"/>
    <w:rsid w:val="0097514D"/>
    <w:rsid w:val="00975348"/>
    <w:rsid w:val="00975569"/>
    <w:rsid w:val="0097593E"/>
    <w:rsid w:val="00975EB6"/>
    <w:rsid w:val="00976BC8"/>
    <w:rsid w:val="00976C10"/>
    <w:rsid w:val="00976CEE"/>
    <w:rsid w:val="00976E91"/>
    <w:rsid w:val="009774F2"/>
    <w:rsid w:val="009775C3"/>
    <w:rsid w:val="009775ED"/>
    <w:rsid w:val="0097770E"/>
    <w:rsid w:val="00977B2B"/>
    <w:rsid w:val="00977BAC"/>
    <w:rsid w:val="00977FEB"/>
    <w:rsid w:val="00980122"/>
    <w:rsid w:val="009801E4"/>
    <w:rsid w:val="009802FA"/>
    <w:rsid w:val="00980834"/>
    <w:rsid w:val="00980862"/>
    <w:rsid w:val="00980992"/>
    <w:rsid w:val="00980BBE"/>
    <w:rsid w:val="00981A52"/>
    <w:rsid w:val="00981DEF"/>
    <w:rsid w:val="0098217D"/>
    <w:rsid w:val="00982368"/>
    <w:rsid w:val="009825F8"/>
    <w:rsid w:val="00982B41"/>
    <w:rsid w:val="00982FE8"/>
    <w:rsid w:val="009837C7"/>
    <w:rsid w:val="00984042"/>
    <w:rsid w:val="00984091"/>
    <w:rsid w:val="00984371"/>
    <w:rsid w:val="0098446A"/>
    <w:rsid w:val="00984621"/>
    <w:rsid w:val="00984714"/>
    <w:rsid w:val="00984C53"/>
    <w:rsid w:val="009858DF"/>
    <w:rsid w:val="00986187"/>
    <w:rsid w:val="0098630C"/>
    <w:rsid w:val="009871A3"/>
    <w:rsid w:val="00987408"/>
    <w:rsid w:val="009875D9"/>
    <w:rsid w:val="00987F1D"/>
    <w:rsid w:val="009901D1"/>
    <w:rsid w:val="009901F8"/>
    <w:rsid w:val="0099021E"/>
    <w:rsid w:val="0099042F"/>
    <w:rsid w:val="009904CA"/>
    <w:rsid w:val="009904EE"/>
    <w:rsid w:val="009909B7"/>
    <w:rsid w:val="00990C6F"/>
    <w:rsid w:val="0099141D"/>
    <w:rsid w:val="009914DB"/>
    <w:rsid w:val="00991769"/>
    <w:rsid w:val="00992AE4"/>
    <w:rsid w:val="009930E8"/>
    <w:rsid w:val="00993BDB"/>
    <w:rsid w:val="00994680"/>
    <w:rsid w:val="009949E2"/>
    <w:rsid w:val="00994A19"/>
    <w:rsid w:val="00994A59"/>
    <w:rsid w:val="00994C41"/>
    <w:rsid w:val="00994CAE"/>
    <w:rsid w:val="00994E8D"/>
    <w:rsid w:val="0099517C"/>
    <w:rsid w:val="009953AB"/>
    <w:rsid w:val="009953B7"/>
    <w:rsid w:val="00995F17"/>
    <w:rsid w:val="0099605F"/>
    <w:rsid w:val="009965BD"/>
    <w:rsid w:val="00996AA9"/>
    <w:rsid w:val="00996DBB"/>
    <w:rsid w:val="00996F92"/>
    <w:rsid w:val="00996FF8"/>
    <w:rsid w:val="009970A9"/>
    <w:rsid w:val="00997349"/>
    <w:rsid w:val="009973FD"/>
    <w:rsid w:val="0099758D"/>
    <w:rsid w:val="00997B3B"/>
    <w:rsid w:val="00997C60"/>
    <w:rsid w:val="00997C84"/>
    <w:rsid w:val="00997D12"/>
    <w:rsid w:val="009A032A"/>
    <w:rsid w:val="009A0A22"/>
    <w:rsid w:val="009A0D55"/>
    <w:rsid w:val="009A0F1A"/>
    <w:rsid w:val="009A1887"/>
    <w:rsid w:val="009A1946"/>
    <w:rsid w:val="009A205F"/>
    <w:rsid w:val="009A28DF"/>
    <w:rsid w:val="009A2B72"/>
    <w:rsid w:val="009A2F32"/>
    <w:rsid w:val="009A2F6C"/>
    <w:rsid w:val="009A32C1"/>
    <w:rsid w:val="009A374A"/>
    <w:rsid w:val="009A3A8A"/>
    <w:rsid w:val="009A3EFD"/>
    <w:rsid w:val="009A3FD6"/>
    <w:rsid w:val="009A3FF2"/>
    <w:rsid w:val="009A4A80"/>
    <w:rsid w:val="009A4A9E"/>
    <w:rsid w:val="009A505F"/>
    <w:rsid w:val="009A512F"/>
    <w:rsid w:val="009A5484"/>
    <w:rsid w:val="009A54CC"/>
    <w:rsid w:val="009A56B6"/>
    <w:rsid w:val="009A59AB"/>
    <w:rsid w:val="009A5A93"/>
    <w:rsid w:val="009A5DC0"/>
    <w:rsid w:val="009A5E5C"/>
    <w:rsid w:val="009A680E"/>
    <w:rsid w:val="009A70D9"/>
    <w:rsid w:val="009A72D2"/>
    <w:rsid w:val="009A7647"/>
    <w:rsid w:val="009B0067"/>
    <w:rsid w:val="009B0212"/>
    <w:rsid w:val="009B0384"/>
    <w:rsid w:val="009B0575"/>
    <w:rsid w:val="009B0FBF"/>
    <w:rsid w:val="009B1251"/>
    <w:rsid w:val="009B1263"/>
    <w:rsid w:val="009B1B97"/>
    <w:rsid w:val="009B1C97"/>
    <w:rsid w:val="009B1EBA"/>
    <w:rsid w:val="009B2251"/>
    <w:rsid w:val="009B2288"/>
    <w:rsid w:val="009B24B8"/>
    <w:rsid w:val="009B2679"/>
    <w:rsid w:val="009B27D8"/>
    <w:rsid w:val="009B29C0"/>
    <w:rsid w:val="009B29DB"/>
    <w:rsid w:val="009B2B2B"/>
    <w:rsid w:val="009B2F6F"/>
    <w:rsid w:val="009B31DA"/>
    <w:rsid w:val="009B3A65"/>
    <w:rsid w:val="009B4A8E"/>
    <w:rsid w:val="009B4DB9"/>
    <w:rsid w:val="009B4E1C"/>
    <w:rsid w:val="009B4EE5"/>
    <w:rsid w:val="009B4F85"/>
    <w:rsid w:val="009B5040"/>
    <w:rsid w:val="009B51EA"/>
    <w:rsid w:val="009B53FB"/>
    <w:rsid w:val="009B58D5"/>
    <w:rsid w:val="009B5A36"/>
    <w:rsid w:val="009B5D16"/>
    <w:rsid w:val="009B5E94"/>
    <w:rsid w:val="009B620E"/>
    <w:rsid w:val="009B683A"/>
    <w:rsid w:val="009B6DAF"/>
    <w:rsid w:val="009B6DEF"/>
    <w:rsid w:val="009B72D4"/>
    <w:rsid w:val="009B73A5"/>
    <w:rsid w:val="009B7C96"/>
    <w:rsid w:val="009C0244"/>
    <w:rsid w:val="009C02E6"/>
    <w:rsid w:val="009C04D6"/>
    <w:rsid w:val="009C06B6"/>
    <w:rsid w:val="009C0882"/>
    <w:rsid w:val="009C08DA"/>
    <w:rsid w:val="009C09D6"/>
    <w:rsid w:val="009C0E61"/>
    <w:rsid w:val="009C13BB"/>
    <w:rsid w:val="009C33C1"/>
    <w:rsid w:val="009C440C"/>
    <w:rsid w:val="009C446B"/>
    <w:rsid w:val="009C5136"/>
    <w:rsid w:val="009C5D29"/>
    <w:rsid w:val="009C5E52"/>
    <w:rsid w:val="009C5E9E"/>
    <w:rsid w:val="009C605C"/>
    <w:rsid w:val="009C665E"/>
    <w:rsid w:val="009C683E"/>
    <w:rsid w:val="009C6E90"/>
    <w:rsid w:val="009C7397"/>
    <w:rsid w:val="009C7536"/>
    <w:rsid w:val="009C75DE"/>
    <w:rsid w:val="009C7695"/>
    <w:rsid w:val="009C7A30"/>
    <w:rsid w:val="009C7B37"/>
    <w:rsid w:val="009D0198"/>
    <w:rsid w:val="009D0EEB"/>
    <w:rsid w:val="009D133A"/>
    <w:rsid w:val="009D1391"/>
    <w:rsid w:val="009D1867"/>
    <w:rsid w:val="009D18F9"/>
    <w:rsid w:val="009D1A88"/>
    <w:rsid w:val="009D1F23"/>
    <w:rsid w:val="009D20E0"/>
    <w:rsid w:val="009D2882"/>
    <w:rsid w:val="009D2DBE"/>
    <w:rsid w:val="009D2DDB"/>
    <w:rsid w:val="009D3286"/>
    <w:rsid w:val="009D32E4"/>
    <w:rsid w:val="009D3BE2"/>
    <w:rsid w:val="009D3D1E"/>
    <w:rsid w:val="009D3EE6"/>
    <w:rsid w:val="009D3F74"/>
    <w:rsid w:val="009D4AEB"/>
    <w:rsid w:val="009D4C0D"/>
    <w:rsid w:val="009D4EF0"/>
    <w:rsid w:val="009D5103"/>
    <w:rsid w:val="009D5118"/>
    <w:rsid w:val="009D53B9"/>
    <w:rsid w:val="009D564B"/>
    <w:rsid w:val="009D5876"/>
    <w:rsid w:val="009D5B20"/>
    <w:rsid w:val="009D6397"/>
    <w:rsid w:val="009D63B8"/>
    <w:rsid w:val="009D65FB"/>
    <w:rsid w:val="009D65FE"/>
    <w:rsid w:val="009D664A"/>
    <w:rsid w:val="009D6B76"/>
    <w:rsid w:val="009D77BD"/>
    <w:rsid w:val="009D77FD"/>
    <w:rsid w:val="009D7818"/>
    <w:rsid w:val="009D7A01"/>
    <w:rsid w:val="009D7CF6"/>
    <w:rsid w:val="009D7DED"/>
    <w:rsid w:val="009D7E14"/>
    <w:rsid w:val="009E0426"/>
    <w:rsid w:val="009E0E39"/>
    <w:rsid w:val="009E0F63"/>
    <w:rsid w:val="009E13B8"/>
    <w:rsid w:val="009E14D7"/>
    <w:rsid w:val="009E1925"/>
    <w:rsid w:val="009E19AC"/>
    <w:rsid w:val="009E1C5B"/>
    <w:rsid w:val="009E2589"/>
    <w:rsid w:val="009E2E74"/>
    <w:rsid w:val="009E30D8"/>
    <w:rsid w:val="009E3200"/>
    <w:rsid w:val="009E3665"/>
    <w:rsid w:val="009E3EA8"/>
    <w:rsid w:val="009E4032"/>
    <w:rsid w:val="009E459B"/>
    <w:rsid w:val="009E47B6"/>
    <w:rsid w:val="009E497A"/>
    <w:rsid w:val="009E4ACE"/>
    <w:rsid w:val="009E4BD5"/>
    <w:rsid w:val="009E4BF9"/>
    <w:rsid w:val="009E4D54"/>
    <w:rsid w:val="009E4F15"/>
    <w:rsid w:val="009E5221"/>
    <w:rsid w:val="009E5797"/>
    <w:rsid w:val="009E5834"/>
    <w:rsid w:val="009E5B6B"/>
    <w:rsid w:val="009E5F8F"/>
    <w:rsid w:val="009E5FD1"/>
    <w:rsid w:val="009E6D3C"/>
    <w:rsid w:val="009E6F7A"/>
    <w:rsid w:val="009E76B8"/>
    <w:rsid w:val="009E7903"/>
    <w:rsid w:val="009E791E"/>
    <w:rsid w:val="009E7C7D"/>
    <w:rsid w:val="009F0008"/>
    <w:rsid w:val="009F071E"/>
    <w:rsid w:val="009F0B4F"/>
    <w:rsid w:val="009F11E9"/>
    <w:rsid w:val="009F1440"/>
    <w:rsid w:val="009F14D3"/>
    <w:rsid w:val="009F179F"/>
    <w:rsid w:val="009F2222"/>
    <w:rsid w:val="009F22CC"/>
    <w:rsid w:val="009F231A"/>
    <w:rsid w:val="009F2709"/>
    <w:rsid w:val="009F3157"/>
    <w:rsid w:val="009F4274"/>
    <w:rsid w:val="009F427D"/>
    <w:rsid w:val="009F462C"/>
    <w:rsid w:val="009F4A78"/>
    <w:rsid w:val="009F4E84"/>
    <w:rsid w:val="009F52BE"/>
    <w:rsid w:val="009F5840"/>
    <w:rsid w:val="009F5937"/>
    <w:rsid w:val="009F594B"/>
    <w:rsid w:val="009F5B2D"/>
    <w:rsid w:val="009F5BEB"/>
    <w:rsid w:val="009F6006"/>
    <w:rsid w:val="009F63E6"/>
    <w:rsid w:val="009F649D"/>
    <w:rsid w:val="009F6B6D"/>
    <w:rsid w:val="009F72A4"/>
    <w:rsid w:val="009F7731"/>
    <w:rsid w:val="009F77BA"/>
    <w:rsid w:val="009F7A3A"/>
    <w:rsid w:val="009F7A71"/>
    <w:rsid w:val="009F7CAA"/>
    <w:rsid w:val="009F7D31"/>
    <w:rsid w:val="00A000A1"/>
    <w:rsid w:val="00A001A3"/>
    <w:rsid w:val="00A003D5"/>
    <w:rsid w:val="00A005BD"/>
    <w:rsid w:val="00A009F9"/>
    <w:rsid w:val="00A00C10"/>
    <w:rsid w:val="00A00E5E"/>
    <w:rsid w:val="00A017A6"/>
    <w:rsid w:val="00A01C27"/>
    <w:rsid w:val="00A01F30"/>
    <w:rsid w:val="00A02668"/>
    <w:rsid w:val="00A028B9"/>
    <w:rsid w:val="00A03537"/>
    <w:rsid w:val="00A0370E"/>
    <w:rsid w:val="00A037EB"/>
    <w:rsid w:val="00A03B6A"/>
    <w:rsid w:val="00A03BBB"/>
    <w:rsid w:val="00A0414B"/>
    <w:rsid w:val="00A043D2"/>
    <w:rsid w:val="00A045FC"/>
    <w:rsid w:val="00A050A2"/>
    <w:rsid w:val="00A0515E"/>
    <w:rsid w:val="00A051FE"/>
    <w:rsid w:val="00A05B34"/>
    <w:rsid w:val="00A064DA"/>
    <w:rsid w:val="00A06644"/>
    <w:rsid w:val="00A06820"/>
    <w:rsid w:val="00A06843"/>
    <w:rsid w:val="00A06A1B"/>
    <w:rsid w:val="00A06BCD"/>
    <w:rsid w:val="00A06F06"/>
    <w:rsid w:val="00A07365"/>
    <w:rsid w:val="00A07B72"/>
    <w:rsid w:val="00A07E32"/>
    <w:rsid w:val="00A07FCD"/>
    <w:rsid w:val="00A101EF"/>
    <w:rsid w:val="00A104DF"/>
    <w:rsid w:val="00A10E11"/>
    <w:rsid w:val="00A113B3"/>
    <w:rsid w:val="00A114CB"/>
    <w:rsid w:val="00A11972"/>
    <w:rsid w:val="00A11B47"/>
    <w:rsid w:val="00A11B59"/>
    <w:rsid w:val="00A124D3"/>
    <w:rsid w:val="00A1281B"/>
    <w:rsid w:val="00A12C08"/>
    <w:rsid w:val="00A12EF3"/>
    <w:rsid w:val="00A130C7"/>
    <w:rsid w:val="00A13CE9"/>
    <w:rsid w:val="00A140FA"/>
    <w:rsid w:val="00A141D0"/>
    <w:rsid w:val="00A1423C"/>
    <w:rsid w:val="00A14252"/>
    <w:rsid w:val="00A145C7"/>
    <w:rsid w:val="00A14604"/>
    <w:rsid w:val="00A1491A"/>
    <w:rsid w:val="00A14B75"/>
    <w:rsid w:val="00A14EC1"/>
    <w:rsid w:val="00A14F03"/>
    <w:rsid w:val="00A151C8"/>
    <w:rsid w:val="00A1525D"/>
    <w:rsid w:val="00A15A68"/>
    <w:rsid w:val="00A1619E"/>
    <w:rsid w:val="00A16299"/>
    <w:rsid w:val="00A164B3"/>
    <w:rsid w:val="00A1659A"/>
    <w:rsid w:val="00A165EA"/>
    <w:rsid w:val="00A1671D"/>
    <w:rsid w:val="00A16DEC"/>
    <w:rsid w:val="00A17294"/>
    <w:rsid w:val="00A172DC"/>
    <w:rsid w:val="00A17CEA"/>
    <w:rsid w:val="00A17DC7"/>
    <w:rsid w:val="00A2045C"/>
    <w:rsid w:val="00A20C9A"/>
    <w:rsid w:val="00A20CC8"/>
    <w:rsid w:val="00A20F08"/>
    <w:rsid w:val="00A21820"/>
    <w:rsid w:val="00A21895"/>
    <w:rsid w:val="00A21E16"/>
    <w:rsid w:val="00A22283"/>
    <w:rsid w:val="00A225E1"/>
    <w:rsid w:val="00A23386"/>
    <w:rsid w:val="00A2394D"/>
    <w:rsid w:val="00A24009"/>
    <w:rsid w:val="00A24F04"/>
    <w:rsid w:val="00A24F14"/>
    <w:rsid w:val="00A24F87"/>
    <w:rsid w:val="00A250DB"/>
    <w:rsid w:val="00A2526E"/>
    <w:rsid w:val="00A2546D"/>
    <w:rsid w:val="00A2550D"/>
    <w:rsid w:val="00A25C09"/>
    <w:rsid w:val="00A25FE3"/>
    <w:rsid w:val="00A2612A"/>
    <w:rsid w:val="00A2658E"/>
    <w:rsid w:val="00A26781"/>
    <w:rsid w:val="00A26BFC"/>
    <w:rsid w:val="00A26C01"/>
    <w:rsid w:val="00A26D97"/>
    <w:rsid w:val="00A26F14"/>
    <w:rsid w:val="00A27103"/>
    <w:rsid w:val="00A273D8"/>
    <w:rsid w:val="00A27474"/>
    <w:rsid w:val="00A27CE8"/>
    <w:rsid w:val="00A27F33"/>
    <w:rsid w:val="00A3037C"/>
    <w:rsid w:val="00A30514"/>
    <w:rsid w:val="00A31379"/>
    <w:rsid w:val="00A31479"/>
    <w:rsid w:val="00A31C18"/>
    <w:rsid w:val="00A3223F"/>
    <w:rsid w:val="00A322D1"/>
    <w:rsid w:val="00A322FF"/>
    <w:rsid w:val="00A323BB"/>
    <w:rsid w:val="00A32529"/>
    <w:rsid w:val="00A32949"/>
    <w:rsid w:val="00A3345D"/>
    <w:rsid w:val="00A33577"/>
    <w:rsid w:val="00A33AF2"/>
    <w:rsid w:val="00A33FD1"/>
    <w:rsid w:val="00A340F3"/>
    <w:rsid w:val="00A3434A"/>
    <w:rsid w:val="00A3456E"/>
    <w:rsid w:val="00A34AD2"/>
    <w:rsid w:val="00A34B80"/>
    <w:rsid w:val="00A35027"/>
    <w:rsid w:val="00A3515A"/>
    <w:rsid w:val="00A35182"/>
    <w:rsid w:val="00A351CF"/>
    <w:rsid w:val="00A35638"/>
    <w:rsid w:val="00A3588D"/>
    <w:rsid w:val="00A35985"/>
    <w:rsid w:val="00A35C04"/>
    <w:rsid w:val="00A35D0B"/>
    <w:rsid w:val="00A35D5D"/>
    <w:rsid w:val="00A36084"/>
    <w:rsid w:val="00A3612C"/>
    <w:rsid w:val="00A366E3"/>
    <w:rsid w:val="00A368EB"/>
    <w:rsid w:val="00A36E13"/>
    <w:rsid w:val="00A37327"/>
    <w:rsid w:val="00A37370"/>
    <w:rsid w:val="00A373FC"/>
    <w:rsid w:val="00A374D4"/>
    <w:rsid w:val="00A378D4"/>
    <w:rsid w:val="00A37E02"/>
    <w:rsid w:val="00A37E64"/>
    <w:rsid w:val="00A37F13"/>
    <w:rsid w:val="00A37F6C"/>
    <w:rsid w:val="00A37F6E"/>
    <w:rsid w:val="00A40612"/>
    <w:rsid w:val="00A40AD1"/>
    <w:rsid w:val="00A40BD5"/>
    <w:rsid w:val="00A40F99"/>
    <w:rsid w:val="00A412CB"/>
    <w:rsid w:val="00A41B75"/>
    <w:rsid w:val="00A41CEE"/>
    <w:rsid w:val="00A41F8A"/>
    <w:rsid w:val="00A41FD5"/>
    <w:rsid w:val="00A42948"/>
    <w:rsid w:val="00A429C4"/>
    <w:rsid w:val="00A430A1"/>
    <w:rsid w:val="00A430DE"/>
    <w:rsid w:val="00A4367A"/>
    <w:rsid w:val="00A438AB"/>
    <w:rsid w:val="00A43CFC"/>
    <w:rsid w:val="00A44098"/>
    <w:rsid w:val="00A443BB"/>
    <w:rsid w:val="00A44584"/>
    <w:rsid w:val="00A44D77"/>
    <w:rsid w:val="00A44FD8"/>
    <w:rsid w:val="00A463BB"/>
    <w:rsid w:val="00A46788"/>
    <w:rsid w:val="00A467A6"/>
    <w:rsid w:val="00A46BB7"/>
    <w:rsid w:val="00A4709A"/>
    <w:rsid w:val="00A504D3"/>
    <w:rsid w:val="00A505C4"/>
    <w:rsid w:val="00A50781"/>
    <w:rsid w:val="00A511EB"/>
    <w:rsid w:val="00A51597"/>
    <w:rsid w:val="00A517F5"/>
    <w:rsid w:val="00A518BC"/>
    <w:rsid w:val="00A51E07"/>
    <w:rsid w:val="00A51EF8"/>
    <w:rsid w:val="00A5235C"/>
    <w:rsid w:val="00A52B6A"/>
    <w:rsid w:val="00A52FB0"/>
    <w:rsid w:val="00A530D9"/>
    <w:rsid w:val="00A53856"/>
    <w:rsid w:val="00A53E7A"/>
    <w:rsid w:val="00A54073"/>
    <w:rsid w:val="00A543FE"/>
    <w:rsid w:val="00A544E0"/>
    <w:rsid w:val="00A54526"/>
    <w:rsid w:val="00A5496C"/>
    <w:rsid w:val="00A54AA0"/>
    <w:rsid w:val="00A54B2F"/>
    <w:rsid w:val="00A54ECE"/>
    <w:rsid w:val="00A5511E"/>
    <w:rsid w:val="00A55655"/>
    <w:rsid w:val="00A55770"/>
    <w:rsid w:val="00A56246"/>
    <w:rsid w:val="00A57816"/>
    <w:rsid w:val="00A57A1D"/>
    <w:rsid w:val="00A57ADB"/>
    <w:rsid w:val="00A60023"/>
    <w:rsid w:val="00A608D2"/>
    <w:rsid w:val="00A60E89"/>
    <w:rsid w:val="00A60EAC"/>
    <w:rsid w:val="00A61025"/>
    <w:rsid w:val="00A610E0"/>
    <w:rsid w:val="00A61440"/>
    <w:rsid w:val="00A614AC"/>
    <w:rsid w:val="00A619EB"/>
    <w:rsid w:val="00A61DC8"/>
    <w:rsid w:val="00A6210F"/>
    <w:rsid w:val="00A62B89"/>
    <w:rsid w:val="00A62D59"/>
    <w:rsid w:val="00A62DD4"/>
    <w:rsid w:val="00A62EAF"/>
    <w:rsid w:val="00A62F6B"/>
    <w:rsid w:val="00A63F50"/>
    <w:rsid w:val="00A643DA"/>
    <w:rsid w:val="00A64A4D"/>
    <w:rsid w:val="00A64C36"/>
    <w:rsid w:val="00A6522F"/>
    <w:rsid w:val="00A65361"/>
    <w:rsid w:val="00A654D2"/>
    <w:rsid w:val="00A654F4"/>
    <w:rsid w:val="00A65A35"/>
    <w:rsid w:val="00A65A3C"/>
    <w:rsid w:val="00A65F6C"/>
    <w:rsid w:val="00A66217"/>
    <w:rsid w:val="00A66289"/>
    <w:rsid w:val="00A66350"/>
    <w:rsid w:val="00A6665F"/>
    <w:rsid w:val="00A669E4"/>
    <w:rsid w:val="00A66B5D"/>
    <w:rsid w:val="00A67001"/>
    <w:rsid w:val="00A67687"/>
    <w:rsid w:val="00A67771"/>
    <w:rsid w:val="00A67950"/>
    <w:rsid w:val="00A67AE3"/>
    <w:rsid w:val="00A67E7D"/>
    <w:rsid w:val="00A7059D"/>
    <w:rsid w:val="00A7067D"/>
    <w:rsid w:val="00A706A1"/>
    <w:rsid w:val="00A7087C"/>
    <w:rsid w:val="00A708F1"/>
    <w:rsid w:val="00A709D8"/>
    <w:rsid w:val="00A70FE9"/>
    <w:rsid w:val="00A70FEB"/>
    <w:rsid w:val="00A7105C"/>
    <w:rsid w:val="00A7186B"/>
    <w:rsid w:val="00A71F2D"/>
    <w:rsid w:val="00A71F75"/>
    <w:rsid w:val="00A7205C"/>
    <w:rsid w:val="00A7269A"/>
    <w:rsid w:val="00A72BD6"/>
    <w:rsid w:val="00A72D03"/>
    <w:rsid w:val="00A730A9"/>
    <w:rsid w:val="00A73280"/>
    <w:rsid w:val="00A7332C"/>
    <w:rsid w:val="00A73847"/>
    <w:rsid w:val="00A74081"/>
    <w:rsid w:val="00A7488D"/>
    <w:rsid w:val="00A74905"/>
    <w:rsid w:val="00A74A2D"/>
    <w:rsid w:val="00A74BBA"/>
    <w:rsid w:val="00A74F2D"/>
    <w:rsid w:val="00A7526F"/>
    <w:rsid w:val="00A752DA"/>
    <w:rsid w:val="00A7532F"/>
    <w:rsid w:val="00A75CAA"/>
    <w:rsid w:val="00A75CC4"/>
    <w:rsid w:val="00A765B0"/>
    <w:rsid w:val="00A7666D"/>
    <w:rsid w:val="00A767EE"/>
    <w:rsid w:val="00A76AEE"/>
    <w:rsid w:val="00A76B9F"/>
    <w:rsid w:val="00A76E4B"/>
    <w:rsid w:val="00A76F8C"/>
    <w:rsid w:val="00A77314"/>
    <w:rsid w:val="00A7758A"/>
    <w:rsid w:val="00A775B3"/>
    <w:rsid w:val="00A77A29"/>
    <w:rsid w:val="00A77A6B"/>
    <w:rsid w:val="00A77DEF"/>
    <w:rsid w:val="00A80087"/>
    <w:rsid w:val="00A80486"/>
    <w:rsid w:val="00A80931"/>
    <w:rsid w:val="00A811B6"/>
    <w:rsid w:val="00A81438"/>
    <w:rsid w:val="00A8163B"/>
    <w:rsid w:val="00A8189B"/>
    <w:rsid w:val="00A81938"/>
    <w:rsid w:val="00A8195B"/>
    <w:rsid w:val="00A81AAE"/>
    <w:rsid w:val="00A81CF7"/>
    <w:rsid w:val="00A821C4"/>
    <w:rsid w:val="00A825CA"/>
    <w:rsid w:val="00A82691"/>
    <w:rsid w:val="00A827F1"/>
    <w:rsid w:val="00A82A83"/>
    <w:rsid w:val="00A82AFC"/>
    <w:rsid w:val="00A82B64"/>
    <w:rsid w:val="00A82C94"/>
    <w:rsid w:val="00A82E7B"/>
    <w:rsid w:val="00A82FE3"/>
    <w:rsid w:val="00A8308B"/>
    <w:rsid w:val="00A834E9"/>
    <w:rsid w:val="00A83B15"/>
    <w:rsid w:val="00A84AD5"/>
    <w:rsid w:val="00A84F26"/>
    <w:rsid w:val="00A8581E"/>
    <w:rsid w:val="00A85D65"/>
    <w:rsid w:val="00A85D7B"/>
    <w:rsid w:val="00A86236"/>
    <w:rsid w:val="00A862A3"/>
    <w:rsid w:val="00A8669F"/>
    <w:rsid w:val="00A86B53"/>
    <w:rsid w:val="00A86F50"/>
    <w:rsid w:val="00A872BB"/>
    <w:rsid w:val="00A8736B"/>
    <w:rsid w:val="00A8775D"/>
    <w:rsid w:val="00A878A6"/>
    <w:rsid w:val="00A87B84"/>
    <w:rsid w:val="00A90014"/>
    <w:rsid w:val="00A90371"/>
    <w:rsid w:val="00A9058A"/>
    <w:rsid w:val="00A9075A"/>
    <w:rsid w:val="00A90B9B"/>
    <w:rsid w:val="00A90F07"/>
    <w:rsid w:val="00A90F91"/>
    <w:rsid w:val="00A9109C"/>
    <w:rsid w:val="00A9152E"/>
    <w:rsid w:val="00A918AD"/>
    <w:rsid w:val="00A92A92"/>
    <w:rsid w:val="00A932F3"/>
    <w:rsid w:val="00A9361E"/>
    <w:rsid w:val="00A93DFD"/>
    <w:rsid w:val="00A9400A"/>
    <w:rsid w:val="00A94262"/>
    <w:rsid w:val="00A9431F"/>
    <w:rsid w:val="00A949DC"/>
    <w:rsid w:val="00A94B9F"/>
    <w:rsid w:val="00A94F47"/>
    <w:rsid w:val="00A95198"/>
    <w:rsid w:val="00A9527A"/>
    <w:rsid w:val="00A955AB"/>
    <w:rsid w:val="00A95637"/>
    <w:rsid w:val="00A95917"/>
    <w:rsid w:val="00A95A05"/>
    <w:rsid w:val="00A96016"/>
    <w:rsid w:val="00A9659B"/>
    <w:rsid w:val="00A968E3"/>
    <w:rsid w:val="00A96922"/>
    <w:rsid w:val="00A96E6E"/>
    <w:rsid w:val="00A97364"/>
    <w:rsid w:val="00A9751B"/>
    <w:rsid w:val="00A976EB"/>
    <w:rsid w:val="00A97774"/>
    <w:rsid w:val="00A97AC1"/>
    <w:rsid w:val="00A97CA9"/>
    <w:rsid w:val="00AA08D3"/>
    <w:rsid w:val="00AA0CA6"/>
    <w:rsid w:val="00AA131D"/>
    <w:rsid w:val="00AA152B"/>
    <w:rsid w:val="00AA186D"/>
    <w:rsid w:val="00AA1EF9"/>
    <w:rsid w:val="00AA3221"/>
    <w:rsid w:val="00AA355C"/>
    <w:rsid w:val="00AA3575"/>
    <w:rsid w:val="00AA39AB"/>
    <w:rsid w:val="00AA3E6A"/>
    <w:rsid w:val="00AA40C0"/>
    <w:rsid w:val="00AA42BE"/>
    <w:rsid w:val="00AA4652"/>
    <w:rsid w:val="00AA46C6"/>
    <w:rsid w:val="00AA47A8"/>
    <w:rsid w:val="00AA48F7"/>
    <w:rsid w:val="00AA4C64"/>
    <w:rsid w:val="00AA5824"/>
    <w:rsid w:val="00AA5B5F"/>
    <w:rsid w:val="00AA5E79"/>
    <w:rsid w:val="00AA5FDE"/>
    <w:rsid w:val="00AA60C2"/>
    <w:rsid w:val="00AA61DF"/>
    <w:rsid w:val="00AA64B6"/>
    <w:rsid w:val="00AA65C3"/>
    <w:rsid w:val="00AA68CB"/>
    <w:rsid w:val="00AA6D86"/>
    <w:rsid w:val="00AA70C8"/>
    <w:rsid w:val="00AA71E0"/>
    <w:rsid w:val="00AA723E"/>
    <w:rsid w:val="00AA747F"/>
    <w:rsid w:val="00AB04A3"/>
    <w:rsid w:val="00AB05FD"/>
    <w:rsid w:val="00AB0953"/>
    <w:rsid w:val="00AB0F57"/>
    <w:rsid w:val="00AB1266"/>
    <w:rsid w:val="00AB12B8"/>
    <w:rsid w:val="00AB15CA"/>
    <w:rsid w:val="00AB16AA"/>
    <w:rsid w:val="00AB19DD"/>
    <w:rsid w:val="00AB1A2A"/>
    <w:rsid w:val="00AB1AB6"/>
    <w:rsid w:val="00AB1C13"/>
    <w:rsid w:val="00AB1F28"/>
    <w:rsid w:val="00AB1FCD"/>
    <w:rsid w:val="00AB2336"/>
    <w:rsid w:val="00AB26AF"/>
    <w:rsid w:val="00AB2720"/>
    <w:rsid w:val="00AB2B91"/>
    <w:rsid w:val="00AB2BD3"/>
    <w:rsid w:val="00AB2C2B"/>
    <w:rsid w:val="00AB3043"/>
    <w:rsid w:val="00AB32C3"/>
    <w:rsid w:val="00AB33B9"/>
    <w:rsid w:val="00AB3660"/>
    <w:rsid w:val="00AB39BB"/>
    <w:rsid w:val="00AB3A53"/>
    <w:rsid w:val="00AB3C7E"/>
    <w:rsid w:val="00AB3EC2"/>
    <w:rsid w:val="00AB4110"/>
    <w:rsid w:val="00AB42B0"/>
    <w:rsid w:val="00AB4339"/>
    <w:rsid w:val="00AB4A34"/>
    <w:rsid w:val="00AB4E07"/>
    <w:rsid w:val="00AB4E19"/>
    <w:rsid w:val="00AB4E34"/>
    <w:rsid w:val="00AB4FC5"/>
    <w:rsid w:val="00AB4FCE"/>
    <w:rsid w:val="00AB5291"/>
    <w:rsid w:val="00AB582D"/>
    <w:rsid w:val="00AB602C"/>
    <w:rsid w:val="00AB620A"/>
    <w:rsid w:val="00AB6A27"/>
    <w:rsid w:val="00AB6A95"/>
    <w:rsid w:val="00AB6D41"/>
    <w:rsid w:val="00AB7075"/>
    <w:rsid w:val="00AB72C2"/>
    <w:rsid w:val="00AB78D2"/>
    <w:rsid w:val="00AB78D7"/>
    <w:rsid w:val="00AB7CFD"/>
    <w:rsid w:val="00AC000D"/>
    <w:rsid w:val="00AC0558"/>
    <w:rsid w:val="00AC09CB"/>
    <w:rsid w:val="00AC0EDC"/>
    <w:rsid w:val="00AC14A7"/>
    <w:rsid w:val="00AC1564"/>
    <w:rsid w:val="00AC1651"/>
    <w:rsid w:val="00AC1771"/>
    <w:rsid w:val="00AC198C"/>
    <w:rsid w:val="00AC1F37"/>
    <w:rsid w:val="00AC1F88"/>
    <w:rsid w:val="00AC20AD"/>
    <w:rsid w:val="00AC24F5"/>
    <w:rsid w:val="00AC288D"/>
    <w:rsid w:val="00AC30E4"/>
    <w:rsid w:val="00AC3133"/>
    <w:rsid w:val="00AC3408"/>
    <w:rsid w:val="00AC3641"/>
    <w:rsid w:val="00AC3B49"/>
    <w:rsid w:val="00AC3ED3"/>
    <w:rsid w:val="00AC3EF4"/>
    <w:rsid w:val="00AC44F5"/>
    <w:rsid w:val="00AC4F4A"/>
    <w:rsid w:val="00AC4F83"/>
    <w:rsid w:val="00AC5717"/>
    <w:rsid w:val="00AC5A68"/>
    <w:rsid w:val="00AC5B9D"/>
    <w:rsid w:val="00AC5CD7"/>
    <w:rsid w:val="00AC5D37"/>
    <w:rsid w:val="00AC623E"/>
    <w:rsid w:val="00AC7306"/>
    <w:rsid w:val="00AC738B"/>
    <w:rsid w:val="00AC7ADA"/>
    <w:rsid w:val="00AD04A7"/>
    <w:rsid w:val="00AD07CE"/>
    <w:rsid w:val="00AD0B0D"/>
    <w:rsid w:val="00AD1CDE"/>
    <w:rsid w:val="00AD1F86"/>
    <w:rsid w:val="00AD2369"/>
    <w:rsid w:val="00AD2652"/>
    <w:rsid w:val="00AD26B0"/>
    <w:rsid w:val="00AD26C2"/>
    <w:rsid w:val="00AD2946"/>
    <w:rsid w:val="00AD2B11"/>
    <w:rsid w:val="00AD2CF0"/>
    <w:rsid w:val="00AD34B5"/>
    <w:rsid w:val="00AD3E33"/>
    <w:rsid w:val="00AD3FE4"/>
    <w:rsid w:val="00AD4646"/>
    <w:rsid w:val="00AD4A59"/>
    <w:rsid w:val="00AD4BCD"/>
    <w:rsid w:val="00AD4D58"/>
    <w:rsid w:val="00AD52D9"/>
    <w:rsid w:val="00AD533D"/>
    <w:rsid w:val="00AD53C3"/>
    <w:rsid w:val="00AD5749"/>
    <w:rsid w:val="00AD5BE5"/>
    <w:rsid w:val="00AD656F"/>
    <w:rsid w:val="00AD67C0"/>
    <w:rsid w:val="00AD6A05"/>
    <w:rsid w:val="00AD6DC7"/>
    <w:rsid w:val="00AD730D"/>
    <w:rsid w:val="00AD767D"/>
    <w:rsid w:val="00AD78C6"/>
    <w:rsid w:val="00AD7B02"/>
    <w:rsid w:val="00AD7BD5"/>
    <w:rsid w:val="00AD7BD7"/>
    <w:rsid w:val="00AD7D28"/>
    <w:rsid w:val="00AD7DDC"/>
    <w:rsid w:val="00AE0197"/>
    <w:rsid w:val="00AE0310"/>
    <w:rsid w:val="00AE05A7"/>
    <w:rsid w:val="00AE111A"/>
    <w:rsid w:val="00AE138A"/>
    <w:rsid w:val="00AE2687"/>
    <w:rsid w:val="00AE28FF"/>
    <w:rsid w:val="00AE30BE"/>
    <w:rsid w:val="00AE31CF"/>
    <w:rsid w:val="00AE40F8"/>
    <w:rsid w:val="00AE4320"/>
    <w:rsid w:val="00AE44C7"/>
    <w:rsid w:val="00AE523D"/>
    <w:rsid w:val="00AE525F"/>
    <w:rsid w:val="00AE5653"/>
    <w:rsid w:val="00AE59EE"/>
    <w:rsid w:val="00AE5C67"/>
    <w:rsid w:val="00AE5D87"/>
    <w:rsid w:val="00AE61B8"/>
    <w:rsid w:val="00AE61E0"/>
    <w:rsid w:val="00AE6C9C"/>
    <w:rsid w:val="00AE6F67"/>
    <w:rsid w:val="00AE7DCF"/>
    <w:rsid w:val="00AF01A8"/>
    <w:rsid w:val="00AF04BB"/>
    <w:rsid w:val="00AF05F1"/>
    <w:rsid w:val="00AF088A"/>
    <w:rsid w:val="00AF0F47"/>
    <w:rsid w:val="00AF14CD"/>
    <w:rsid w:val="00AF1935"/>
    <w:rsid w:val="00AF20E0"/>
    <w:rsid w:val="00AF20FC"/>
    <w:rsid w:val="00AF2A5A"/>
    <w:rsid w:val="00AF2C35"/>
    <w:rsid w:val="00AF2E10"/>
    <w:rsid w:val="00AF2E17"/>
    <w:rsid w:val="00AF3197"/>
    <w:rsid w:val="00AF32D1"/>
    <w:rsid w:val="00AF3ED6"/>
    <w:rsid w:val="00AF41C9"/>
    <w:rsid w:val="00AF442C"/>
    <w:rsid w:val="00AF46FA"/>
    <w:rsid w:val="00AF4C0F"/>
    <w:rsid w:val="00AF4C26"/>
    <w:rsid w:val="00AF4C42"/>
    <w:rsid w:val="00AF4C74"/>
    <w:rsid w:val="00AF4CE5"/>
    <w:rsid w:val="00AF5337"/>
    <w:rsid w:val="00AF5415"/>
    <w:rsid w:val="00AF5A6F"/>
    <w:rsid w:val="00AF5C86"/>
    <w:rsid w:val="00AF5DB1"/>
    <w:rsid w:val="00AF6440"/>
    <w:rsid w:val="00AF68CE"/>
    <w:rsid w:val="00AF6A18"/>
    <w:rsid w:val="00AF6A6E"/>
    <w:rsid w:val="00AF6CF5"/>
    <w:rsid w:val="00AF700E"/>
    <w:rsid w:val="00AF70D9"/>
    <w:rsid w:val="00AF74CA"/>
    <w:rsid w:val="00AF7538"/>
    <w:rsid w:val="00AF79AB"/>
    <w:rsid w:val="00AF7CDB"/>
    <w:rsid w:val="00B006AE"/>
    <w:rsid w:val="00B006F4"/>
    <w:rsid w:val="00B00A6C"/>
    <w:rsid w:val="00B00D56"/>
    <w:rsid w:val="00B01060"/>
    <w:rsid w:val="00B01E39"/>
    <w:rsid w:val="00B01F0D"/>
    <w:rsid w:val="00B020BF"/>
    <w:rsid w:val="00B0274B"/>
    <w:rsid w:val="00B029CB"/>
    <w:rsid w:val="00B02B1F"/>
    <w:rsid w:val="00B02D65"/>
    <w:rsid w:val="00B02D72"/>
    <w:rsid w:val="00B02E2D"/>
    <w:rsid w:val="00B02FA5"/>
    <w:rsid w:val="00B0328B"/>
    <w:rsid w:val="00B03735"/>
    <w:rsid w:val="00B0377B"/>
    <w:rsid w:val="00B03879"/>
    <w:rsid w:val="00B03CB8"/>
    <w:rsid w:val="00B03D75"/>
    <w:rsid w:val="00B0415F"/>
    <w:rsid w:val="00B04194"/>
    <w:rsid w:val="00B0421C"/>
    <w:rsid w:val="00B043FD"/>
    <w:rsid w:val="00B044ED"/>
    <w:rsid w:val="00B0486D"/>
    <w:rsid w:val="00B04AF8"/>
    <w:rsid w:val="00B0507E"/>
    <w:rsid w:val="00B0550E"/>
    <w:rsid w:val="00B058BC"/>
    <w:rsid w:val="00B05BFC"/>
    <w:rsid w:val="00B05DF5"/>
    <w:rsid w:val="00B05F63"/>
    <w:rsid w:val="00B06181"/>
    <w:rsid w:val="00B064FD"/>
    <w:rsid w:val="00B06578"/>
    <w:rsid w:val="00B065DA"/>
    <w:rsid w:val="00B066D4"/>
    <w:rsid w:val="00B0691A"/>
    <w:rsid w:val="00B0691D"/>
    <w:rsid w:val="00B06BAB"/>
    <w:rsid w:val="00B07046"/>
    <w:rsid w:val="00B07808"/>
    <w:rsid w:val="00B07ED4"/>
    <w:rsid w:val="00B101C1"/>
    <w:rsid w:val="00B10250"/>
    <w:rsid w:val="00B10AFC"/>
    <w:rsid w:val="00B10E05"/>
    <w:rsid w:val="00B10EA4"/>
    <w:rsid w:val="00B115F5"/>
    <w:rsid w:val="00B11DB3"/>
    <w:rsid w:val="00B11F8D"/>
    <w:rsid w:val="00B12082"/>
    <w:rsid w:val="00B126B1"/>
    <w:rsid w:val="00B12783"/>
    <w:rsid w:val="00B12965"/>
    <w:rsid w:val="00B12E19"/>
    <w:rsid w:val="00B12FAC"/>
    <w:rsid w:val="00B1336C"/>
    <w:rsid w:val="00B13438"/>
    <w:rsid w:val="00B136CC"/>
    <w:rsid w:val="00B137E8"/>
    <w:rsid w:val="00B146DE"/>
    <w:rsid w:val="00B1470F"/>
    <w:rsid w:val="00B14750"/>
    <w:rsid w:val="00B148CE"/>
    <w:rsid w:val="00B14A2B"/>
    <w:rsid w:val="00B14FFD"/>
    <w:rsid w:val="00B15566"/>
    <w:rsid w:val="00B15EC2"/>
    <w:rsid w:val="00B15FD7"/>
    <w:rsid w:val="00B160C7"/>
    <w:rsid w:val="00B16AFB"/>
    <w:rsid w:val="00B170F5"/>
    <w:rsid w:val="00B17224"/>
    <w:rsid w:val="00B17256"/>
    <w:rsid w:val="00B177D7"/>
    <w:rsid w:val="00B17DF2"/>
    <w:rsid w:val="00B17E09"/>
    <w:rsid w:val="00B17E98"/>
    <w:rsid w:val="00B20A18"/>
    <w:rsid w:val="00B20BD1"/>
    <w:rsid w:val="00B20D93"/>
    <w:rsid w:val="00B210CD"/>
    <w:rsid w:val="00B21272"/>
    <w:rsid w:val="00B2137E"/>
    <w:rsid w:val="00B21F76"/>
    <w:rsid w:val="00B226CB"/>
    <w:rsid w:val="00B237C2"/>
    <w:rsid w:val="00B247B4"/>
    <w:rsid w:val="00B2495B"/>
    <w:rsid w:val="00B24A65"/>
    <w:rsid w:val="00B24FE8"/>
    <w:rsid w:val="00B25040"/>
    <w:rsid w:val="00B2538D"/>
    <w:rsid w:val="00B259E3"/>
    <w:rsid w:val="00B259E9"/>
    <w:rsid w:val="00B263CF"/>
    <w:rsid w:val="00B264A9"/>
    <w:rsid w:val="00B26676"/>
    <w:rsid w:val="00B26B96"/>
    <w:rsid w:val="00B26D6F"/>
    <w:rsid w:val="00B2723A"/>
    <w:rsid w:val="00B273B4"/>
    <w:rsid w:val="00B278DF"/>
    <w:rsid w:val="00B27A65"/>
    <w:rsid w:val="00B27A86"/>
    <w:rsid w:val="00B27BD7"/>
    <w:rsid w:val="00B3027A"/>
    <w:rsid w:val="00B303A7"/>
    <w:rsid w:val="00B30537"/>
    <w:rsid w:val="00B306B2"/>
    <w:rsid w:val="00B307C7"/>
    <w:rsid w:val="00B30962"/>
    <w:rsid w:val="00B30BD5"/>
    <w:rsid w:val="00B30DF6"/>
    <w:rsid w:val="00B30F7E"/>
    <w:rsid w:val="00B31022"/>
    <w:rsid w:val="00B316FF"/>
    <w:rsid w:val="00B317EB"/>
    <w:rsid w:val="00B31D24"/>
    <w:rsid w:val="00B31E9B"/>
    <w:rsid w:val="00B3211A"/>
    <w:rsid w:val="00B3215F"/>
    <w:rsid w:val="00B325AF"/>
    <w:rsid w:val="00B325F9"/>
    <w:rsid w:val="00B32835"/>
    <w:rsid w:val="00B329F5"/>
    <w:rsid w:val="00B32C33"/>
    <w:rsid w:val="00B32E6D"/>
    <w:rsid w:val="00B334E6"/>
    <w:rsid w:val="00B3366C"/>
    <w:rsid w:val="00B336D0"/>
    <w:rsid w:val="00B3382F"/>
    <w:rsid w:val="00B33A66"/>
    <w:rsid w:val="00B33C41"/>
    <w:rsid w:val="00B33F17"/>
    <w:rsid w:val="00B3418E"/>
    <w:rsid w:val="00B3432C"/>
    <w:rsid w:val="00B345B7"/>
    <w:rsid w:val="00B34BF5"/>
    <w:rsid w:val="00B34C56"/>
    <w:rsid w:val="00B34CF8"/>
    <w:rsid w:val="00B35013"/>
    <w:rsid w:val="00B350D0"/>
    <w:rsid w:val="00B358FC"/>
    <w:rsid w:val="00B35983"/>
    <w:rsid w:val="00B35A48"/>
    <w:rsid w:val="00B35F68"/>
    <w:rsid w:val="00B363CD"/>
    <w:rsid w:val="00B36A22"/>
    <w:rsid w:val="00B36D7B"/>
    <w:rsid w:val="00B36DB6"/>
    <w:rsid w:val="00B36F81"/>
    <w:rsid w:val="00B372D0"/>
    <w:rsid w:val="00B37459"/>
    <w:rsid w:val="00B3766B"/>
    <w:rsid w:val="00B37707"/>
    <w:rsid w:val="00B377D6"/>
    <w:rsid w:val="00B3783F"/>
    <w:rsid w:val="00B37D8B"/>
    <w:rsid w:val="00B4007A"/>
    <w:rsid w:val="00B4045A"/>
    <w:rsid w:val="00B40697"/>
    <w:rsid w:val="00B408CC"/>
    <w:rsid w:val="00B4097A"/>
    <w:rsid w:val="00B40985"/>
    <w:rsid w:val="00B409D7"/>
    <w:rsid w:val="00B40DEA"/>
    <w:rsid w:val="00B410F4"/>
    <w:rsid w:val="00B4148E"/>
    <w:rsid w:val="00B41731"/>
    <w:rsid w:val="00B417BE"/>
    <w:rsid w:val="00B41948"/>
    <w:rsid w:val="00B41D39"/>
    <w:rsid w:val="00B41E3D"/>
    <w:rsid w:val="00B4235F"/>
    <w:rsid w:val="00B42470"/>
    <w:rsid w:val="00B4254C"/>
    <w:rsid w:val="00B4290E"/>
    <w:rsid w:val="00B42EA6"/>
    <w:rsid w:val="00B42ED4"/>
    <w:rsid w:val="00B42F0C"/>
    <w:rsid w:val="00B42FAE"/>
    <w:rsid w:val="00B43C5F"/>
    <w:rsid w:val="00B43FE2"/>
    <w:rsid w:val="00B44036"/>
    <w:rsid w:val="00B4407D"/>
    <w:rsid w:val="00B4429C"/>
    <w:rsid w:val="00B44501"/>
    <w:rsid w:val="00B4473D"/>
    <w:rsid w:val="00B448D0"/>
    <w:rsid w:val="00B44AF6"/>
    <w:rsid w:val="00B453CF"/>
    <w:rsid w:val="00B4570C"/>
    <w:rsid w:val="00B4583D"/>
    <w:rsid w:val="00B4644B"/>
    <w:rsid w:val="00B46520"/>
    <w:rsid w:val="00B46C1A"/>
    <w:rsid w:val="00B46D00"/>
    <w:rsid w:val="00B47309"/>
    <w:rsid w:val="00B473B8"/>
    <w:rsid w:val="00B476C7"/>
    <w:rsid w:val="00B47CD5"/>
    <w:rsid w:val="00B47E43"/>
    <w:rsid w:val="00B47EB5"/>
    <w:rsid w:val="00B47FC7"/>
    <w:rsid w:val="00B50773"/>
    <w:rsid w:val="00B50BDA"/>
    <w:rsid w:val="00B50D43"/>
    <w:rsid w:val="00B50E75"/>
    <w:rsid w:val="00B5167D"/>
    <w:rsid w:val="00B5173B"/>
    <w:rsid w:val="00B51919"/>
    <w:rsid w:val="00B51F7F"/>
    <w:rsid w:val="00B52A61"/>
    <w:rsid w:val="00B52C89"/>
    <w:rsid w:val="00B53108"/>
    <w:rsid w:val="00B531F3"/>
    <w:rsid w:val="00B5364E"/>
    <w:rsid w:val="00B537D4"/>
    <w:rsid w:val="00B53811"/>
    <w:rsid w:val="00B5395E"/>
    <w:rsid w:val="00B53C3F"/>
    <w:rsid w:val="00B53C58"/>
    <w:rsid w:val="00B53E99"/>
    <w:rsid w:val="00B54229"/>
    <w:rsid w:val="00B5463D"/>
    <w:rsid w:val="00B54D71"/>
    <w:rsid w:val="00B55737"/>
    <w:rsid w:val="00B5589F"/>
    <w:rsid w:val="00B55FC1"/>
    <w:rsid w:val="00B56261"/>
    <w:rsid w:val="00B567F2"/>
    <w:rsid w:val="00B56EBC"/>
    <w:rsid w:val="00B56F2F"/>
    <w:rsid w:val="00B57068"/>
    <w:rsid w:val="00B570B7"/>
    <w:rsid w:val="00B573FE"/>
    <w:rsid w:val="00B5750C"/>
    <w:rsid w:val="00B57644"/>
    <w:rsid w:val="00B601CE"/>
    <w:rsid w:val="00B6035E"/>
    <w:rsid w:val="00B604D6"/>
    <w:rsid w:val="00B607B2"/>
    <w:rsid w:val="00B60C29"/>
    <w:rsid w:val="00B60E17"/>
    <w:rsid w:val="00B610BA"/>
    <w:rsid w:val="00B612BB"/>
    <w:rsid w:val="00B61401"/>
    <w:rsid w:val="00B61910"/>
    <w:rsid w:val="00B61AF3"/>
    <w:rsid w:val="00B62916"/>
    <w:rsid w:val="00B62EC5"/>
    <w:rsid w:val="00B62ED5"/>
    <w:rsid w:val="00B62F94"/>
    <w:rsid w:val="00B639E9"/>
    <w:rsid w:val="00B63C5A"/>
    <w:rsid w:val="00B63E6B"/>
    <w:rsid w:val="00B643DC"/>
    <w:rsid w:val="00B6441B"/>
    <w:rsid w:val="00B645AF"/>
    <w:rsid w:val="00B64732"/>
    <w:rsid w:val="00B6482C"/>
    <w:rsid w:val="00B64F93"/>
    <w:rsid w:val="00B6516A"/>
    <w:rsid w:val="00B6597F"/>
    <w:rsid w:val="00B65B14"/>
    <w:rsid w:val="00B65B60"/>
    <w:rsid w:val="00B663D0"/>
    <w:rsid w:val="00B663E3"/>
    <w:rsid w:val="00B66FB4"/>
    <w:rsid w:val="00B673C2"/>
    <w:rsid w:val="00B674E5"/>
    <w:rsid w:val="00B6770E"/>
    <w:rsid w:val="00B678BE"/>
    <w:rsid w:val="00B678FE"/>
    <w:rsid w:val="00B679AD"/>
    <w:rsid w:val="00B67DC7"/>
    <w:rsid w:val="00B70238"/>
    <w:rsid w:val="00B7041C"/>
    <w:rsid w:val="00B705A0"/>
    <w:rsid w:val="00B70CE7"/>
    <w:rsid w:val="00B70EBB"/>
    <w:rsid w:val="00B7111B"/>
    <w:rsid w:val="00B7142B"/>
    <w:rsid w:val="00B71747"/>
    <w:rsid w:val="00B719F9"/>
    <w:rsid w:val="00B71DE4"/>
    <w:rsid w:val="00B7200D"/>
    <w:rsid w:val="00B727A0"/>
    <w:rsid w:val="00B730BF"/>
    <w:rsid w:val="00B7319F"/>
    <w:rsid w:val="00B73205"/>
    <w:rsid w:val="00B7326B"/>
    <w:rsid w:val="00B7387C"/>
    <w:rsid w:val="00B7393A"/>
    <w:rsid w:val="00B7412A"/>
    <w:rsid w:val="00B74A9F"/>
    <w:rsid w:val="00B752DB"/>
    <w:rsid w:val="00B7568C"/>
    <w:rsid w:val="00B75E08"/>
    <w:rsid w:val="00B7681C"/>
    <w:rsid w:val="00B7698B"/>
    <w:rsid w:val="00B769F0"/>
    <w:rsid w:val="00B76B20"/>
    <w:rsid w:val="00B76B3A"/>
    <w:rsid w:val="00B76BF4"/>
    <w:rsid w:val="00B76D6C"/>
    <w:rsid w:val="00B77A92"/>
    <w:rsid w:val="00B77BBD"/>
    <w:rsid w:val="00B77C1D"/>
    <w:rsid w:val="00B77FA2"/>
    <w:rsid w:val="00B800D1"/>
    <w:rsid w:val="00B8069D"/>
    <w:rsid w:val="00B807D2"/>
    <w:rsid w:val="00B80A5C"/>
    <w:rsid w:val="00B80BF3"/>
    <w:rsid w:val="00B80FCF"/>
    <w:rsid w:val="00B81379"/>
    <w:rsid w:val="00B81740"/>
    <w:rsid w:val="00B81D22"/>
    <w:rsid w:val="00B82378"/>
    <w:rsid w:val="00B825B1"/>
    <w:rsid w:val="00B82BC7"/>
    <w:rsid w:val="00B830C7"/>
    <w:rsid w:val="00B83D55"/>
    <w:rsid w:val="00B83D98"/>
    <w:rsid w:val="00B84099"/>
    <w:rsid w:val="00B8450C"/>
    <w:rsid w:val="00B84534"/>
    <w:rsid w:val="00B8462E"/>
    <w:rsid w:val="00B848BA"/>
    <w:rsid w:val="00B84D1B"/>
    <w:rsid w:val="00B85090"/>
    <w:rsid w:val="00B8532F"/>
    <w:rsid w:val="00B85356"/>
    <w:rsid w:val="00B855EA"/>
    <w:rsid w:val="00B8692F"/>
    <w:rsid w:val="00B86CF5"/>
    <w:rsid w:val="00B8754B"/>
    <w:rsid w:val="00B87D92"/>
    <w:rsid w:val="00B9087D"/>
    <w:rsid w:val="00B90AAF"/>
    <w:rsid w:val="00B910C2"/>
    <w:rsid w:val="00B910FC"/>
    <w:rsid w:val="00B918FD"/>
    <w:rsid w:val="00B91CCA"/>
    <w:rsid w:val="00B92336"/>
    <w:rsid w:val="00B929FB"/>
    <w:rsid w:val="00B92AB1"/>
    <w:rsid w:val="00B92E43"/>
    <w:rsid w:val="00B92FF0"/>
    <w:rsid w:val="00B937A6"/>
    <w:rsid w:val="00B93A6C"/>
    <w:rsid w:val="00B93BB4"/>
    <w:rsid w:val="00B94055"/>
    <w:rsid w:val="00B9409D"/>
    <w:rsid w:val="00B94413"/>
    <w:rsid w:val="00B9479E"/>
    <w:rsid w:val="00B94AEE"/>
    <w:rsid w:val="00B94F06"/>
    <w:rsid w:val="00B94F2C"/>
    <w:rsid w:val="00B95147"/>
    <w:rsid w:val="00B959A3"/>
    <w:rsid w:val="00B96A21"/>
    <w:rsid w:val="00B97254"/>
    <w:rsid w:val="00B9775E"/>
    <w:rsid w:val="00B979B2"/>
    <w:rsid w:val="00B97D52"/>
    <w:rsid w:val="00BA031D"/>
    <w:rsid w:val="00BA0371"/>
    <w:rsid w:val="00BA06B8"/>
    <w:rsid w:val="00BA08D7"/>
    <w:rsid w:val="00BA1726"/>
    <w:rsid w:val="00BA198C"/>
    <w:rsid w:val="00BA21CD"/>
    <w:rsid w:val="00BA2257"/>
    <w:rsid w:val="00BA225D"/>
    <w:rsid w:val="00BA2354"/>
    <w:rsid w:val="00BA28C6"/>
    <w:rsid w:val="00BA2B82"/>
    <w:rsid w:val="00BA2C67"/>
    <w:rsid w:val="00BA2E6B"/>
    <w:rsid w:val="00BA3A12"/>
    <w:rsid w:val="00BA3A2F"/>
    <w:rsid w:val="00BA3B13"/>
    <w:rsid w:val="00BA415E"/>
    <w:rsid w:val="00BA4409"/>
    <w:rsid w:val="00BA45BE"/>
    <w:rsid w:val="00BA48D2"/>
    <w:rsid w:val="00BA48FE"/>
    <w:rsid w:val="00BA4B6F"/>
    <w:rsid w:val="00BA5318"/>
    <w:rsid w:val="00BA56A5"/>
    <w:rsid w:val="00BA56AF"/>
    <w:rsid w:val="00BA571C"/>
    <w:rsid w:val="00BA5D08"/>
    <w:rsid w:val="00BA5F9D"/>
    <w:rsid w:val="00BA7B91"/>
    <w:rsid w:val="00BA7C22"/>
    <w:rsid w:val="00BA7EE2"/>
    <w:rsid w:val="00BB054C"/>
    <w:rsid w:val="00BB0A9C"/>
    <w:rsid w:val="00BB0AFF"/>
    <w:rsid w:val="00BB0B61"/>
    <w:rsid w:val="00BB101C"/>
    <w:rsid w:val="00BB110B"/>
    <w:rsid w:val="00BB136F"/>
    <w:rsid w:val="00BB1783"/>
    <w:rsid w:val="00BB17F8"/>
    <w:rsid w:val="00BB20EE"/>
    <w:rsid w:val="00BB2551"/>
    <w:rsid w:val="00BB27CA"/>
    <w:rsid w:val="00BB2A63"/>
    <w:rsid w:val="00BB2BCF"/>
    <w:rsid w:val="00BB2DB4"/>
    <w:rsid w:val="00BB32AB"/>
    <w:rsid w:val="00BB3A83"/>
    <w:rsid w:val="00BB3AB1"/>
    <w:rsid w:val="00BB3C89"/>
    <w:rsid w:val="00BB4602"/>
    <w:rsid w:val="00BB4980"/>
    <w:rsid w:val="00BB4AAB"/>
    <w:rsid w:val="00BB57A1"/>
    <w:rsid w:val="00BB5B2B"/>
    <w:rsid w:val="00BB5BA8"/>
    <w:rsid w:val="00BB5E91"/>
    <w:rsid w:val="00BB5EB6"/>
    <w:rsid w:val="00BB682A"/>
    <w:rsid w:val="00BB6F89"/>
    <w:rsid w:val="00BB725A"/>
    <w:rsid w:val="00BB738E"/>
    <w:rsid w:val="00BB77CC"/>
    <w:rsid w:val="00BB7832"/>
    <w:rsid w:val="00BC0350"/>
    <w:rsid w:val="00BC0430"/>
    <w:rsid w:val="00BC056C"/>
    <w:rsid w:val="00BC0CFB"/>
    <w:rsid w:val="00BC0E1B"/>
    <w:rsid w:val="00BC10C2"/>
    <w:rsid w:val="00BC1129"/>
    <w:rsid w:val="00BC191F"/>
    <w:rsid w:val="00BC1A3B"/>
    <w:rsid w:val="00BC2123"/>
    <w:rsid w:val="00BC26FA"/>
    <w:rsid w:val="00BC2B0F"/>
    <w:rsid w:val="00BC2D38"/>
    <w:rsid w:val="00BC2E39"/>
    <w:rsid w:val="00BC2EE7"/>
    <w:rsid w:val="00BC30C1"/>
    <w:rsid w:val="00BC30ED"/>
    <w:rsid w:val="00BC32BD"/>
    <w:rsid w:val="00BC3304"/>
    <w:rsid w:val="00BC372D"/>
    <w:rsid w:val="00BC3BC9"/>
    <w:rsid w:val="00BC3CBE"/>
    <w:rsid w:val="00BC3DBF"/>
    <w:rsid w:val="00BC3E25"/>
    <w:rsid w:val="00BC3FCC"/>
    <w:rsid w:val="00BC42EB"/>
    <w:rsid w:val="00BC46BC"/>
    <w:rsid w:val="00BC481F"/>
    <w:rsid w:val="00BC49B4"/>
    <w:rsid w:val="00BC4CFD"/>
    <w:rsid w:val="00BC4DFD"/>
    <w:rsid w:val="00BC4F63"/>
    <w:rsid w:val="00BC5D66"/>
    <w:rsid w:val="00BC5DD5"/>
    <w:rsid w:val="00BC5E4C"/>
    <w:rsid w:val="00BC65C0"/>
    <w:rsid w:val="00BC69D1"/>
    <w:rsid w:val="00BC6BE9"/>
    <w:rsid w:val="00BC6DC6"/>
    <w:rsid w:val="00BC6E6E"/>
    <w:rsid w:val="00BC6F4B"/>
    <w:rsid w:val="00BC7094"/>
    <w:rsid w:val="00BC70AF"/>
    <w:rsid w:val="00BC712E"/>
    <w:rsid w:val="00BD031B"/>
    <w:rsid w:val="00BD0386"/>
    <w:rsid w:val="00BD0435"/>
    <w:rsid w:val="00BD05AA"/>
    <w:rsid w:val="00BD0640"/>
    <w:rsid w:val="00BD0A59"/>
    <w:rsid w:val="00BD0CBE"/>
    <w:rsid w:val="00BD1588"/>
    <w:rsid w:val="00BD158A"/>
    <w:rsid w:val="00BD18CE"/>
    <w:rsid w:val="00BD1A5E"/>
    <w:rsid w:val="00BD1BDB"/>
    <w:rsid w:val="00BD1CE9"/>
    <w:rsid w:val="00BD2022"/>
    <w:rsid w:val="00BD25EA"/>
    <w:rsid w:val="00BD2D56"/>
    <w:rsid w:val="00BD2FA7"/>
    <w:rsid w:val="00BD2FE9"/>
    <w:rsid w:val="00BD3618"/>
    <w:rsid w:val="00BD3B07"/>
    <w:rsid w:val="00BD3DC9"/>
    <w:rsid w:val="00BD41A8"/>
    <w:rsid w:val="00BD4B5A"/>
    <w:rsid w:val="00BD4B68"/>
    <w:rsid w:val="00BD5233"/>
    <w:rsid w:val="00BD58F4"/>
    <w:rsid w:val="00BD6040"/>
    <w:rsid w:val="00BD611F"/>
    <w:rsid w:val="00BD6201"/>
    <w:rsid w:val="00BD6276"/>
    <w:rsid w:val="00BD6514"/>
    <w:rsid w:val="00BD658B"/>
    <w:rsid w:val="00BD677D"/>
    <w:rsid w:val="00BD68A9"/>
    <w:rsid w:val="00BD6A9B"/>
    <w:rsid w:val="00BD6F1B"/>
    <w:rsid w:val="00BD73BC"/>
    <w:rsid w:val="00BD73D7"/>
    <w:rsid w:val="00BD7B29"/>
    <w:rsid w:val="00BD7BA6"/>
    <w:rsid w:val="00BD7ECE"/>
    <w:rsid w:val="00BE0534"/>
    <w:rsid w:val="00BE0DAA"/>
    <w:rsid w:val="00BE12C8"/>
    <w:rsid w:val="00BE1B2C"/>
    <w:rsid w:val="00BE1B5A"/>
    <w:rsid w:val="00BE1C12"/>
    <w:rsid w:val="00BE218B"/>
    <w:rsid w:val="00BE289F"/>
    <w:rsid w:val="00BE29E3"/>
    <w:rsid w:val="00BE379E"/>
    <w:rsid w:val="00BE4908"/>
    <w:rsid w:val="00BE4CB0"/>
    <w:rsid w:val="00BE4DAF"/>
    <w:rsid w:val="00BE5301"/>
    <w:rsid w:val="00BE53D6"/>
    <w:rsid w:val="00BE5591"/>
    <w:rsid w:val="00BE57E5"/>
    <w:rsid w:val="00BE5941"/>
    <w:rsid w:val="00BE5EF9"/>
    <w:rsid w:val="00BE62D5"/>
    <w:rsid w:val="00BE6DCC"/>
    <w:rsid w:val="00BE748F"/>
    <w:rsid w:val="00BE7A15"/>
    <w:rsid w:val="00BE7A8A"/>
    <w:rsid w:val="00BE7D13"/>
    <w:rsid w:val="00BE7E58"/>
    <w:rsid w:val="00BF001F"/>
    <w:rsid w:val="00BF00D5"/>
    <w:rsid w:val="00BF0173"/>
    <w:rsid w:val="00BF0587"/>
    <w:rsid w:val="00BF05A2"/>
    <w:rsid w:val="00BF17BA"/>
    <w:rsid w:val="00BF183B"/>
    <w:rsid w:val="00BF20F8"/>
    <w:rsid w:val="00BF2AAD"/>
    <w:rsid w:val="00BF2EE4"/>
    <w:rsid w:val="00BF316B"/>
    <w:rsid w:val="00BF3218"/>
    <w:rsid w:val="00BF3E30"/>
    <w:rsid w:val="00BF426A"/>
    <w:rsid w:val="00BF4A8F"/>
    <w:rsid w:val="00BF52F0"/>
    <w:rsid w:val="00BF5337"/>
    <w:rsid w:val="00BF54E6"/>
    <w:rsid w:val="00BF58D8"/>
    <w:rsid w:val="00BF5960"/>
    <w:rsid w:val="00BF5B30"/>
    <w:rsid w:val="00BF5DCF"/>
    <w:rsid w:val="00BF6468"/>
    <w:rsid w:val="00BF64BE"/>
    <w:rsid w:val="00BF6541"/>
    <w:rsid w:val="00BF6687"/>
    <w:rsid w:val="00BF69F4"/>
    <w:rsid w:val="00BF6A3F"/>
    <w:rsid w:val="00BF758A"/>
    <w:rsid w:val="00BF7B43"/>
    <w:rsid w:val="00C005F2"/>
    <w:rsid w:val="00C008F0"/>
    <w:rsid w:val="00C00F89"/>
    <w:rsid w:val="00C01091"/>
    <w:rsid w:val="00C011C4"/>
    <w:rsid w:val="00C013B5"/>
    <w:rsid w:val="00C01D94"/>
    <w:rsid w:val="00C02084"/>
    <w:rsid w:val="00C02288"/>
    <w:rsid w:val="00C026CC"/>
    <w:rsid w:val="00C02872"/>
    <w:rsid w:val="00C02B51"/>
    <w:rsid w:val="00C02BDF"/>
    <w:rsid w:val="00C0341D"/>
    <w:rsid w:val="00C035B6"/>
    <w:rsid w:val="00C037CF"/>
    <w:rsid w:val="00C03E14"/>
    <w:rsid w:val="00C03EC8"/>
    <w:rsid w:val="00C03ECD"/>
    <w:rsid w:val="00C04019"/>
    <w:rsid w:val="00C0419C"/>
    <w:rsid w:val="00C0422A"/>
    <w:rsid w:val="00C04377"/>
    <w:rsid w:val="00C04484"/>
    <w:rsid w:val="00C04857"/>
    <w:rsid w:val="00C04C8F"/>
    <w:rsid w:val="00C04E8F"/>
    <w:rsid w:val="00C051F2"/>
    <w:rsid w:val="00C05D52"/>
    <w:rsid w:val="00C069DB"/>
    <w:rsid w:val="00C06BAF"/>
    <w:rsid w:val="00C06E56"/>
    <w:rsid w:val="00C072DA"/>
    <w:rsid w:val="00C07A9D"/>
    <w:rsid w:val="00C07B2B"/>
    <w:rsid w:val="00C07D12"/>
    <w:rsid w:val="00C10294"/>
    <w:rsid w:val="00C1070F"/>
    <w:rsid w:val="00C10731"/>
    <w:rsid w:val="00C10807"/>
    <w:rsid w:val="00C10B85"/>
    <w:rsid w:val="00C10BA1"/>
    <w:rsid w:val="00C112BC"/>
    <w:rsid w:val="00C115E7"/>
    <w:rsid w:val="00C116D8"/>
    <w:rsid w:val="00C1189E"/>
    <w:rsid w:val="00C11A16"/>
    <w:rsid w:val="00C11B3A"/>
    <w:rsid w:val="00C12433"/>
    <w:rsid w:val="00C1280E"/>
    <w:rsid w:val="00C13462"/>
    <w:rsid w:val="00C1350F"/>
    <w:rsid w:val="00C13951"/>
    <w:rsid w:val="00C13992"/>
    <w:rsid w:val="00C13B39"/>
    <w:rsid w:val="00C13BF6"/>
    <w:rsid w:val="00C13C1D"/>
    <w:rsid w:val="00C1406E"/>
    <w:rsid w:val="00C141A1"/>
    <w:rsid w:val="00C14226"/>
    <w:rsid w:val="00C147CF"/>
    <w:rsid w:val="00C147DD"/>
    <w:rsid w:val="00C1482E"/>
    <w:rsid w:val="00C14DCE"/>
    <w:rsid w:val="00C15017"/>
    <w:rsid w:val="00C15156"/>
    <w:rsid w:val="00C15313"/>
    <w:rsid w:val="00C154A2"/>
    <w:rsid w:val="00C160E3"/>
    <w:rsid w:val="00C16751"/>
    <w:rsid w:val="00C16D3B"/>
    <w:rsid w:val="00C170B9"/>
    <w:rsid w:val="00C17586"/>
    <w:rsid w:val="00C17DEC"/>
    <w:rsid w:val="00C2072D"/>
    <w:rsid w:val="00C2096F"/>
    <w:rsid w:val="00C21599"/>
    <w:rsid w:val="00C215E1"/>
    <w:rsid w:val="00C21A07"/>
    <w:rsid w:val="00C21BE5"/>
    <w:rsid w:val="00C21DC2"/>
    <w:rsid w:val="00C222D0"/>
    <w:rsid w:val="00C22EE5"/>
    <w:rsid w:val="00C22F8C"/>
    <w:rsid w:val="00C23450"/>
    <w:rsid w:val="00C23900"/>
    <w:rsid w:val="00C240EC"/>
    <w:rsid w:val="00C24420"/>
    <w:rsid w:val="00C244E9"/>
    <w:rsid w:val="00C245BE"/>
    <w:rsid w:val="00C249C0"/>
    <w:rsid w:val="00C24B4F"/>
    <w:rsid w:val="00C25064"/>
    <w:rsid w:val="00C25240"/>
    <w:rsid w:val="00C25301"/>
    <w:rsid w:val="00C25A02"/>
    <w:rsid w:val="00C25D09"/>
    <w:rsid w:val="00C26145"/>
    <w:rsid w:val="00C269C3"/>
    <w:rsid w:val="00C26A70"/>
    <w:rsid w:val="00C26BF2"/>
    <w:rsid w:val="00C27362"/>
    <w:rsid w:val="00C2750A"/>
    <w:rsid w:val="00C276E6"/>
    <w:rsid w:val="00C27732"/>
    <w:rsid w:val="00C27F2A"/>
    <w:rsid w:val="00C30014"/>
    <w:rsid w:val="00C30900"/>
    <w:rsid w:val="00C30E11"/>
    <w:rsid w:val="00C31082"/>
    <w:rsid w:val="00C31290"/>
    <w:rsid w:val="00C316AE"/>
    <w:rsid w:val="00C31B7A"/>
    <w:rsid w:val="00C31EF5"/>
    <w:rsid w:val="00C3205E"/>
    <w:rsid w:val="00C321D3"/>
    <w:rsid w:val="00C3256B"/>
    <w:rsid w:val="00C325CB"/>
    <w:rsid w:val="00C3289B"/>
    <w:rsid w:val="00C3305D"/>
    <w:rsid w:val="00C337FB"/>
    <w:rsid w:val="00C33FAC"/>
    <w:rsid w:val="00C3457F"/>
    <w:rsid w:val="00C34714"/>
    <w:rsid w:val="00C34718"/>
    <w:rsid w:val="00C34B8C"/>
    <w:rsid w:val="00C34B9C"/>
    <w:rsid w:val="00C352A5"/>
    <w:rsid w:val="00C35696"/>
    <w:rsid w:val="00C35B4E"/>
    <w:rsid w:val="00C35CE9"/>
    <w:rsid w:val="00C35DF6"/>
    <w:rsid w:val="00C35F2F"/>
    <w:rsid w:val="00C36299"/>
    <w:rsid w:val="00C36349"/>
    <w:rsid w:val="00C36569"/>
    <w:rsid w:val="00C36CAE"/>
    <w:rsid w:val="00C36D15"/>
    <w:rsid w:val="00C36DEE"/>
    <w:rsid w:val="00C37E49"/>
    <w:rsid w:val="00C37E53"/>
    <w:rsid w:val="00C40225"/>
    <w:rsid w:val="00C402EA"/>
    <w:rsid w:val="00C40466"/>
    <w:rsid w:val="00C4073D"/>
    <w:rsid w:val="00C40C69"/>
    <w:rsid w:val="00C40E2A"/>
    <w:rsid w:val="00C41584"/>
    <w:rsid w:val="00C41A54"/>
    <w:rsid w:val="00C423DD"/>
    <w:rsid w:val="00C424A4"/>
    <w:rsid w:val="00C42763"/>
    <w:rsid w:val="00C42837"/>
    <w:rsid w:val="00C42C27"/>
    <w:rsid w:val="00C42FF9"/>
    <w:rsid w:val="00C43660"/>
    <w:rsid w:val="00C43AEC"/>
    <w:rsid w:val="00C43B56"/>
    <w:rsid w:val="00C44510"/>
    <w:rsid w:val="00C44661"/>
    <w:rsid w:val="00C455CF"/>
    <w:rsid w:val="00C45986"/>
    <w:rsid w:val="00C45E08"/>
    <w:rsid w:val="00C4608A"/>
    <w:rsid w:val="00C46873"/>
    <w:rsid w:val="00C469F3"/>
    <w:rsid w:val="00C4722C"/>
    <w:rsid w:val="00C47540"/>
    <w:rsid w:val="00C47A99"/>
    <w:rsid w:val="00C47C80"/>
    <w:rsid w:val="00C47E4A"/>
    <w:rsid w:val="00C500C2"/>
    <w:rsid w:val="00C503BE"/>
    <w:rsid w:val="00C50673"/>
    <w:rsid w:val="00C50913"/>
    <w:rsid w:val="00C509B9"/>
    <w:rsid w:val="00C50F4C"/>
    <w:rsid w:val="00C50FFD"/>
    <w:rsid w:val="00C51000"/>
    <w:rsid w:val="00C510C4"/>
    <w:rsid w:val="00C510E0"/>
    <w:rsid w:val="00C51490"/>
    <w:rsid w:val="00C5163E"/>
    <w:rsid w:val="00C51752"/>
    <w:rsid w:val="00C517C6"/>
    <w:rsid w:val="00C51A0B"/>
    <w:rsid w:val="00C52906"/>
    <w:rsid w:val="00C529F0"/>
    <w:rsid w:val="00C52C2C"/>
    <w:rsid w:val="00C53044"/>
    <w:rsid w:val="00C5384A"/>
    <w:rsid w:val="00C540AD"/>
    <w:rsid w:val="00C540CB"/>
    <w:rsid w:val="00C555C5"/>
    <w:rsid w:val="00C5584A"/>
    <w:rsid w:val="00C5604A"/>
    <w:rsid w:val="00C562E5"/>
    <w:rsid w:val="00C56391"/>
    <w:rsid w:val="00C564E7"/>
    <w:rsid w:val="00C569B9"/>
    <w:rsid w:val="00C57088"/>
    <w:rsid w:val="00C571D6"/>
    <w:rsid w:val="00C57C29"/>
    <w:rsid w:val="00C57C5C"/>
    <w:rsid w:val="00C57DE2"/>
    <w:rsid w:val="00C603E4"/>
    <w:rsid w:val="00C605BF"/>
    <w:rsid w:val="00C60971"/>
    <w:rsid w:val="00C60BD6"/>
    <w:rsid w:val="00C60C7F"/>
    <w:rsid w:val="00C60DC5"/>
    <w:rsid w:val="00C611AF"/>
    <w:rsid w:val="00C6155E"/>
    <w:rsid w:val="00C616F5"/>
    <w:rsid w:val="00C61852"/>
    <w:rsid w:val="00C61B88"/>
    <w:rsid w:val="00C61BBC"/>
    <w:rsid w:val="00C62084"/>
    <w:rsid w:val="00C6219E"/>
    <w:rsid w:val="00C622E1"/>
    <w:rsid w:val="00C6241F"/>
    <w:rsid w:val="00C62563"/>
    <w:rsid w:val="00C628D3"/>
    <w:rsid w:val="00C6311F"/>
    <w:rsid w:val="00C6382C"/>
    <w:rsid w:val="00C63F03"/>
    <w:rsid w:val="00C63FF5"/>
    <w:rsid w:val="00C64402"/>
    <w:rsid w:val="00C64429"/>
    <w:rsid w:val="00C64BA3"/>
    <w:rsid w:val="00C64E5C"/>
    <w:rsid w:val="00C6511E"/>
    <w:rsid w:val="00C652E6"/>
    <w:rsid w:val="00C654AB"/>
    <w:rsid w:val="00C65687"/>
    <w:rsid w:val="00C659E7"/>
    <w:rsid w:val="00C6646C"/>
    <w:rsid w:val="00C66752"/>
    <w:rsid w:val="00C66887"/>
    <w:rsid w:val="00C66AA2"/>
    <w:rsid w:val="00C66C72"/>
    <w:rsid w:val="00C67460"/>
    <w:rsid w:val="00C67848"/>
    <w:rsid w:val="00C70697"/>
    <w:rsid w:val="00C708B6"/>
    <w:rsid w:val="00C70971"/>
    <w:rsid w:val="00C70995"/>
    <w:rsid w:val="00C70B2F"/>
    <w:rsid w:val="00C70E81"/>
    <w:rsid w:val="00C712F8"/>
    <w:rsid w:val="00C71389"/>
    <w:rsid w:val="00C714C1"/>
    <w:rsid w:val="00C7155F"/>
    <w:rsid w:val="00C71606"/>
    <w:rsid w:val="00C71609"/>
    <w:rsid w:val="00C7176D"/>
    <w:rsid w:val="00C71B88"/>
    <w:rsid w:val="00C71C3C"/>
    <w:rsid w:val="00C72110"/>
    <w:rsid w:val="00C722EB"/>
    <w:rsid w:val="00C72386"/>
    <w:rsid w:val="00C7243D"/>
    <w:rsid w:val="00C72522"/>
    <w:rsid w:val="00C729FA"/>
    <w:rsid w:val="00C72D64"/>
    <w:rsid w:val="00C72F8A"/>
    <w:rsid w:val="00C730B8"/>
    <w:rsid w:val="00C7313B"/>
    <w:rsid w:val="00C73B19"/>
    <w:rsid w:val="00C73D86"/>
    <w:rsid w:val="00C73EEC"/>
    <w:rsid w:val="00C73F39"/>
    <w:rsid w:val="00C73F5D"/>
    <w:rsid w:val="00C74071"/>
    <w:rsid w:val="00C74170"/>
    <w:rsid w:val="00C746A8"/>
    <w:rsid w:val="00C74774"/>
    <w:rsid w:val="00C74868"/>
    <w:rsid w:val="00C74D58"/>
    <w:rsid w:val="00C75915"/>
    <w:rsid w:val="00C76837"/>
    <w:rsid w:val="00C770CB"/>
    <w:rsid w:val="00C77802"/>
    <w:rsid w:val="00C77AA4"/>
    <w:rsid w:val="00C77F2C"/>
    <w:rsid w:val="00C803B9"/>
    <w:rsid w:val="00C80765"/>
    <w:rsid w:val="00C818CA"/>
    <w:rsid w:val="00C81907"/>
    <w:rsid w:val="00C81B3D"/>
    <w:rsid w:val="00C81CF4"/>
    <w:rsid w:val="00C821AC"/>
    <w:rsid w:val="00C82AE6"/>
    <w:rsid w:val="00C82BC5"/>
    <w:rsid w:val="00C82CCC"/>
    <w:rsid w:val="00C82D66"/>
    <w:rsid w:val="00C839E8"/>
    <w:rsid w:val="00C83D15"/>
    <w:rsid w:val="00C84161"/>
    <w:rsid w:val="00C84194"/>
    <w:rsid w:val="00C841BC"/>
    <w:rsid w:val="00C845C4"/>
    <w:rsid w:val="00C84CBE"/>
    <w:rsid w:val="00C85089"/>
    <w:rsid w:val="00C85156"/>
    <w:rsid w:val="00C8530E"/>
    <w:rsid w:val="00C857AA"/>
    <w:rsid w:val="00C85CD2"/>
    <w:rsid w:val="00C862F0"/>
    <w:rsid w:val="00C866E8"/>
    <w:rsid w:val="00C86895"/>
    <w:rsid w:val="00C8692F"/>
    <w:rsid w:val="00C86C48"/>
    <w:rsid w:val="00C87129"/>
    <w:rsid w:val="00C8743E"/>
    <w:rsid w:val="00C87470"/>
    <w:rsid w:val="00C8753F"/>
    <w:rsid w:val="00C87D3C"/>
    <w:rsid w:val="00C87DC0"/>
    <w:rsid w:val="00C9002C"/>
    <w:rsid w:val="00C90294"/>
    <w:rsid w:val="00C90C69"/>
    <w:rsid w:val="00C91415"/>
    <w:rsid w:val="00C91657"/>
    <w:rsid w:val="00C9206A"/>
    <w:rsid w:val="00C9248C"/>
    <w:rsid w:val="00C92504"/>
    <w:rsid w:val="00C9298B"/>
    <w:rsid w:val="00C92B11"/>
    <w:rsid w:val="00C92E38"/>
    <w:rsid w:val="00C9303F"/>
    <w:rsid w:val="00C932A3"/>
    <w:rsid w:val="00C93A23"/>
    <w:rsid w:val="00C93AC7"/>
    <w:rsid w:val="00C93C64"/>
    <w:rsid w:val="00C945E9"/>
    <w:rsid w:val="00C9464E"/>
    <w:rsid w:val="00C94AD2"/>
    <w:rsid w:val="00C94C0D"/>
    <w:rsid w:val="00C94C1E"/>
    <w:rsid w:val="00C94D6B"/>
    <w:rsid w:val="00C95639"/>
    <w:rsid w:val="00C9586B"/>
    <w:rsid w:val="00C959CC"/>
    <w:rsid w:val="00C95F18"/>
    <w:rsid w:val="00C95F2B"/>
    <w:rsid w:val="00C95F8E"/>
    <w:rsid w:val="00C965EA"/>
    <w:rsid w:val="00C97627"/>
    <w:rsid w:val="00C976BF"/>
    <w:rsid w:val="00C97A65"/>
    <w:rsid w:val="00C97A6C"/>
    <w:rsid w:val="00C97C5C"/>
    <w:rsid w:val="00C97D03"/>
    <w:rsid w:val="00C97DD5"/>
    <w:rsid w:val="00C97EC6"/>
    <w:rsid w:val="00CA001B"/>
    <w:rsid w:val="00CA0CAB"/>
    <w:rsid w:val="00CA0D82"/>
    <w:rsid w:val="00CA0F96"/>
    <w:rsid w:val="00CA113C"/>
    <w:rsid w:val="00CA1188"/>
    <w:rsid w:val="00CA12BF"/>
    <w:rsid w:val="00CA1470"/>
    <w:rsid w:val="00CA15F0"/>
    <w:rsid w:val="00CA1C56"/>
    <w:rsid w:val="00CA2232"/>
    <w:rsid w:val="00CA228A"/>
    <w:rsid w:val="00CA2FD9"/>
    <w:rsid w:val="00CA32AD"/>
    <w:rsid w:val="00CA344A"/>
    <w:rsid w:val="00CA3520"/>
    <w:rsid w:val="00CA377E"/>
    <w:rsid w:val="00CA3AF3"/>
    <w:rsid w:val="00CA3CC8"/>
    <w:rsid w:val="00CA3F70"/>
    <w:rsid w:val="00CA46B4"/>
    <w:rsid w:val="00CA4DA3"/>
    <w:rsid w:val="00CA50DB"/>
    <w:rsid w:val="00CA599D"/>
    <w:rsid w:val="00CA5AF0"/>
    <w:rsid w:val="00CA6003"/>
    <w:rsid w:val="00CA6475"/>
    <w:rsid w:val="00CA69EF"/>
    <w:rsid w:val="00CA6F30"/>
    <w:rsid w:val="00CA713B"/>
    <w:rsid w:val="00CA720E"/>
    <w:rsid w:val="00CA7465"/>
    <w:rsid w:val="00CA75F7"/>
    <w:rsid w:val="00CA77D5"/>
    <w:rsid w:val="00CA78E3"/>
    <w:rsid w:val="00CA7C3D"/>
    <w:rsid w:val="00CB01DC"/>
    <w:rsid w:val="00CB050C"/>
    <w:rsid w:val="00CB05C0"/>
    <w:rsid w:val="00CB05C8"/>
    <w:rsid w:val="00CB073B"/>
    <w:rsid w:val="00CB10D5"/>
    <w:rsid w:val="00CB1193"/>
    <w:rsid w:val="00CB1555"/>
    <w:rsid w:val="00CB1717"/>
    <w:rsid w:val="00CB1773"/>
    <w:rsid w:val="00CB2181"/>
    <w:rsid w:val="00CB2336"/>
    <w:rsid w:val="00CB2607"/>
    <w:rsid w:val="00CB2707"/>
    <w:rsid w:val="00CB2747"/>
    <w:rsid w:val="00CB2A56"/>
    <w:rsid w:val="00CB2BB1"/>
    <w:rsid w:val="00CB2D8F"/>
    <w:rsid w:val="00CB2FD4"/>
    <w:rsid w:val="00CB3534"/>
    <w:rsid w:val="00CB3675"/>
    <w:rsid w:val="00CB36CC"/>
    <w:rsid w:val="00CB3976"/>
    <w:rsid w:val="00CB3A44"/>
    <w:rsid w:val="00CB3CB7"/>
    <w:rsid w:val="00CB3F01"/>
    <w:rsid w:val="00CB4084"/>
    <w:rsid w:val="00CB41B9"/>
    <w:rsid w:val="00CB41C3"/>
    <w:rsid w:val="00CB4578"/>
    <w:rsid w:val="00CB48DE"/>
    <w:rsid w:val="00CB491D"/>
    <w:rsid w:val="00CB4A86"/>
    <w:rsid w:val="00CB4CE8"/>
    <w:rsid w:val="00CB4CF7"/>
    <w:rsid w:val="00CB59C0"/>
    <w:rsid w:val="00CB5BEB"/>
    <w:rsid w:val="00CB5CCE"/>
    <w:rsid w:val="00CB5CCF"/>
    <w:rsid w:val="00CB624B"/>
    <w:rsid w:val="00CB638E"/>
    <w:rsid w:val="00CB64F6"/>
    <w:rsid w:val="00CB668C"/>
    <w:rsid w:val="00CB669D"/>
    <w:rsid w:val="00CB684E"/>
    <w:rsid w:val="00CB690D"/>
    <w:rsid w:val="00CB6998"/>
    <w:rsid w:val="00CB6CF6"/>
    <w:rsid w:val="00CB6F97"/>
    <w:rsid w:val="00CB70C6"/>
    <w:rsid w:val="00CB71C9"/>
    <w:rsid w:val="00CB73FD"/>
    <w:rsid w:val="00CB7685"/>
    <w:rsid w:val="00CB7714"/>
    <w:rsid w:val="00CB7A53"/>
    <w:rsid w:val="00CC063F"/>
    <w:rsid w:val="00CC08FC"/>
    <w:rsid w:val="00CC0956"/>
    <w:rsid w:val="00CC0AF7"/>
    <w:rsid w:val="00CC0D94"/>
    <w:rsid w:val="00CC0DED"/>
    <w:rsid w:val="00CC1232"/>
    <w:rsid w:val="00CC13E8"/>
    <w:rsid w:val="00CC154B"/>
    <w:rsid w:val="00CC15B8"/>
    <w:rsid w:val="00CC1AAF"/>
    <w:rsid w:val="00CC1BA2"/>
    <w:rsid w:val="00CC1CEA"/>
    <w:rsid w:val="00CC213B"/>
    <w:rsid w:val="00CC25A8"/>
    <w:rsid w:val="00CC277A"/>
    <w:rsid w:val="00CC289A"/>
    <w:rsid w:val="00CC3271"/>
    <w:rsid w:val="00CC35BA"/>
    <w:rsid w:val="00CC39F7"/>
    <w:rsid w:val="00CC3AB5"/>
    <w:rsid w:val="00CC3CA2"/>
    <w:rsid w:val="00CC4189"/>
    <w:rsid w:val="00CC43D4"/>
    <w:rsid w:val="00CC4590"/>
    <w:rsid w:val="00CC4810"/>
    <w:rsid w:val="00CC49C2"/>
    <w:rsid w:val="00CC50F5"/>
    <w:rsid w:val="00CC5A17"/>
    <w:rsid w:val="00CC5D38"/>
    <w:rsid w:val="00CC5F3B"/>
    <w:rsid w:val="00CC616B"/>
    <w:rsid w:val="00CC63B7"/>
    <w:rsid w:val="00CC64AB"/>
    <w:rsid w:val="00CC65C4"/>
    <w:rsid w:val="00CC6C8A"/>
    <w:rsid w:val="00CC6D61"/>
    <w:rsid w:val="00CC6F2C"/>
    <w:rsid w:val="00CC6FCF"/>
    <w:rsid w:val="00CC711B"/>
    <w:rsid w:val="00CC75D6"/>
    <w:rsid w:val="00CC7ABE"/>
    <w:rsid w:val="00CC7BF4"/>
    <w:rsid w:val="00CD068D"/>
    <w:rsid w:val="00CD09B2"/>
    <w:rsid w:val="00CD0C0D"/>
    <w:rsid w:val="00CD0F2B"/>
    <w:rsid w:val="00CD1135"/>
    <w:rsid w:val="00CD1230"/>
    <w:rsid w:val="00CD151F"/>
    <w:rsid w:val="00CD1FBB"/>
    <w:rsid w:val="00CD2608"/>
    <w:rsid w:val="00CD2ACB"/>
    <w:rsid w:val="00CD2CC7"/>
    <w:rsid w:val="00CD36F5"/>
    <w:rsid w:val="00CD3B88"/>
    <w:rsid w:val="00CD3CC5"/>
    <w:rsid w:val="00CD49F4"/>
    <w:rsid w:val="00CD5333"/>
    <w:rsid w:val="00CD547F"/>
    <w:rsid w:val="00CD5502"/>
    <w:rsid w:val="00CD5605"/>
    <w:rsid w:val="00CD563F"/>
    <w:rsid w:val="00CD578D"/>
    <w:rsid w:val="00CD5E65"/>
    <w:rsid w:val="00CD6E24"/>
    <w:rsid w:val="00CD6E99"/>
    <w:rsid w:val="00CD724B"/>
    <w:rsid w:val="00CD72FE"/>
    <w:rsid w:val="00CD7813"/>
    <w:rsid w:val="00CD7C5C"/>
    <w:rsid w:val="00CE04F4"/>
    <w:rsid w:val="00CE08CE"/>
    <w:rsid w:val="00CE0AA9"/>
    <w:rsid w:val="00CE135C"/>
    <w:rsid w:val="00CE13C2"/>
    <w:rsid w:val="00CE1532"/>
    <w:rsid w:val="00CE1B63"/>
    <w:rsid w:val="00CE1F3A"/>
    <w:rsid w:val="00CE2240"/>
    <w:rsid w:val="00CE22F2"/>
    <w:rsid w:val="00CE2334"/>
    <w:rsid w:val="00CE2F81"/>
    <w:rsid w:val="00CE2FED"/>
    <w:rsid w:val="00CE3014"/>
    <w:rsid w:val="00CE346D"/>
    <w:rsid w:val="00CE3AEA"/>
    <w:rsid w:val="00CE3C6F"/>
    <w:rsid w:val="00CE424E"/>
    <w:rsid w:val="00CE438D"/>
    <w:rsid w:val="00CE48B8"/>
    <w:rsid w:val="00CE4911"/>
    <w:rsid w:val="00CE4A30"/>
    <w:rsid w:val="00CE4AEC"/>
    <w:rsid w:val="00CE5312"/>
    <w:rsid w:val="00CE54A6"/>
    <w:rsid w:val="00CE56F8"/>
    <w:rsid w:val="00CE662E"/>
    <w:rsid w:val="00CE666D"/>
    <w:rsid w:val="00CE6CDF"/>
    <w:rsid w:val="00CE6F64"/>
    <w:rsid w:val="00CE7027"/>
    <w:rsid w:val="00CE718A"/>
    <w:rsid w:val="00CE7195"/>
    <w:rsid w:val="00CE7294"/>
    <w:rsid w:val="00CE7367"/>
    <w:rsid w:val="00CE757C"/>
    <w:rsid w:val="00CE7BB5"/>
    <w:rsid w:val="00CF05A5"/>
    <w:rsid w:val="00CF101D"/>
    <w:rsid w:val="00CF1184"/>
    <w:rsid w:val="00CF11AC"/>
    <w:rsid w:val="00CF2243"/>
    <w:rsid w:val="00CF2541"/>
    <w:rsid w:val="00CF2CFD"/>
    <w:rsid w:val="00CF2D97"/>
    <w:rsid w:val="00CF2E27"/>
    <w:rsid w:val="00CF3217"/>
    <w:rsid w:val="00CF35FF"/>
    <w:rsid w:val="00CF3669"/>
    <w:rsid w:val="00CF38F0"/>
    <w:rsid w:val="00CF3D16"/>
    <w:rsid w:val="00CF4FE4"/>
    <w:rsid w:val="00CF522D"/>
    <w:rsid w:val="00CF56EA"/>
    <w:rsid w:val="00CF5941"/>
    <w:rsid w:val="00CF5996"/>
    <w:rsid w:val="00CF5B84"/>
    <w:rsid w:val="00CF61CB"/>
    <w:rsid w:val="00CF65C3"/>
    <w:rsid w:val="00CF68CE"/>
    <w:rsid w:val="00CF6E46"/>
    <w:rsid w:val="00CF70B1"/>
    <w:rsid w:val="00CF71D8"/>
    <w:rsid w:val="00CF731D"/>
    <w:rsid w:val="00CF77D7"/>
    <w:rsid w:val="00CF77E6"/>
    <w:rsid w:val="00D00690"/>
    <w:rsid w:val="00D00728"/>
    <w:rsid w:val="00D00B10"/>
    <w:rsid w:val="00D00CC5"/>
    <w:rsid w:val="00D00CC8"/>
    <w:rsid w:val="00D01031"/>
    <w:rsid w:val="00D011FD"/>
    <w:rsid w:val="00D01362"/>
    <w:rsid w:val="00D0141D"/>
    <w:rsid w:val="00D01D1A"/>
    <w:rsid w:val="00D026DC"/>
    <w:rsid w:val="00D02AA2"/>
    <w:rsid w:val="00D02EC1"/>
    <w:rsid w:val="00D02FCA"/>
    <w:rsid w:val="00D0351E"/>
    <w:rsid w:val="00D03D68"/>
    <w:rsid w:val="00D03F38"/>
    <w:rsid w:val="00D0402F"/>
    <w:rsid w:val="00D05825"/>
    <w:rsid w:val="00D06185"/>
    <w:rsid w:val="00D06667"/>
    <w:rsid w:val="00D066FD"/>
    <w:rsid w:val="00D07118"/>
    <w:rsid w:val="00D072F4"/>
    <w:rsid w:val="00D0781D"/>
    <w:rsid w:val="00D07982"/>
    <w:rsid w:val="00D07E75"/>
    <w:rsid w:val="00D07E79"/>
    <w:rsid w:val="00D07F90"/>
    <w:rsid w:val="00D104B5"/>
    <w:rsid w:val="00D10887"/>
    <w:rsid w:val="00D10F09"/>
    <w:rsid w:val="00D1125C"/>
    <w:rsid w:val="00D12200"/>
    <w:rsid w:val="00D1255F"/>
    <w:rsid w:val="00D12D13"/>
    <w:rsid w:val="00D12DEF"/>
    <w:rsid w:val="00D12FA1"/>
    <w:rsid w:val="00D13358"/>
    <w:rsid w:val="00D133DF"/>
    <w:rsid w:val="00D14278"/>
    <w:rsid w:val="00D1491A"/>
    <w:rsid w:val="00D14C61"/>
    <w:rsid w:val="00D14D07"/>
    <w:rsid w:val="00D14F86"/>
    <w:rsid w:val="00D14FCF"/>
    <w:rsid w:val="00D14FF9"/>
    <w:rsid w:val="00D152C8"/>
    <w:rsid w:val="00D155D2"/>
    <w:rsid w:val="00D158E0"/>
    <w:rsid w:val="00D15A6A"/>
    <w:rsid w:val="00D15E0E"/>
    <w:rsid w:val="00D15EC7"/>
    <w:rsid w:val="00D16350"/>
    <w:rsid w:val="00D1646C"/>
    <w:rsid w:val="00D16B2C"/>
    <w:rsid w:val="00D16D78"/>
    <w:rsid w:val="00D16DE1"/>
    <w:rsid w:val="00D16E0C"/>
    <w:rsid w:val="00D179D3"/>
    <w:rsid w:val="00D17BB8"/>
    <w:rsid w:val="00D200DC"/>
    <w:rsid w:val="00D200F3"/>
    <w:rsid w:val="00D20588"/>
    <w:rsid w:val="00D208E7"/>
    <w:rsid w:val="00D20BD2"/>
    <w:rsid w:val="00D20D3B"/>
    <w:rsid w:val="00D20F77"/>
    <w:rsid w:val="00D2111D"/>
    <w:rsid w:val="00D215B7"/>
    <w:rsid w:val="00D215C0"/>
    <w:rsid w:val="00D21C3F"/>
    <w:rsid w:val="00D21D93"/>
    <w:rsid w:val="00D21DEE"/>
    <w:rsid w:val="00D220CD"/>
    <w:rsid w:val="00D22184"/>
    <w:rsid w:val="00D224CC"/>
    <w:rsid w:val="00D22999"/>
    <w:rsid w:val="00D22A9F"/>
    <w:rsid w:val="00D22DE7"/>
    <w:rsid w:val="00D2309E"/>
    <w:rsid w:val="00D231E1"/>
    <w:rsid w:val="00D23770"/>
    <w:rsid w:val="00D23C65"/>
    <w:rsid w:val="00D23C7F"/>
    <w:rsid w:val="00D24829"/>
    <w:rsid w:val="00D24D4A"/>
    <w:rsid w:val="00D24DA1"/>
    <w:rsid w:val="00D257E2"/>
    <w:rsid w:val="00D25D86"/>
    <w:rsid w:val="00D267B7"/>
    <w:rsid w:val="00D2683F"/>
    <w:rsid w:val="00D2690D"/>
    <w:rsid w:val="00D26EC1"/>
    <w:rsid w:val="00D271AE"/>
    <w:rsid w:val="00D277C9"/>
    <w:rsid w:val="00D27BF1"/>
    <w:rsid w:val="00D27C4A"/>
    <w:rsid w:val="00D27D79"/>
    <w:rsid w:val="00D3050E"/>
    <w:rsid w:val="00D30672"/>
    <w:rsid w:val="00D30B74"/>
    <w:rsid w:val="00D311E7"/>
    <w:rsid w:val="00D3131F"/>
    <w:rsid w:val="00D31350"/>
    <w:rsid w:val="00D319BF"/>
    <w:rsid w:val="00D31A68"/>
    <w:rsid w:val="00D32C97"/>
    <w:rsid w:val="00D32FB1"/>
    <w:rsid w:val="00D330C0"/>
    <w:rsid w:val="00D33651"/>
    <w:rsid w:val="00D33A2F"/>
    <w:rsid w:val="00D33E43"/>
    <w:rsid w:val="00D3405A"/>
    <w:rsid w:val="00D34F9F"/>
    <w:rsid w:val="00D35398"/>
    <w:rsid w:val="00D35896"/>
    <w:rsid w:val="00D35F7F"/>
    <w:rsid w:val="00D361D5"/>
    <w:rsid w:val="00D36292"/>
    <w:rsid w:val="00D363F0"/>
    <w:rsid w:val="00D36CDE"/>
    <w:rsid w:val="00D36D13"/>
    <w:rsid w:val="00D36EE5"/>
    <w:rsid w:val="00D37179"/>
    <w:rsid w:val="00D37430"/>
    <w:rsid w:val="00D37890"/>
    <w:rsid w:val="00D40102"/>
    <w:rsid w:val="00D40608"/>
    <w:rsid w:val="00D40AE4"/>
    <w:rsid w:val="00D40E48"/>
    <w:rsid w:val="00D40F8F"/>
    <w:rsid w:val="00D414DF"/>
    <w:rsid w:val="00D4167F"/>
    <w:rsid w:val="00D41839"/>
    <w:rsid w:val="00D41993"/>
    <w:rsid w:val="00D41B19"/>
    <w:rsid w:val="00D41D23"/>
    <w:rsid w:val="00D41E9B"/>
    <w:rsid w:val="00D41EBD"/>
    <w:rsid w:val="00D42142"/>
    <w:rsid w:val="00D42503"/>
    <w:rsid w:val="00D4250B"/>
    <w:rsid w:val="00D42840"/>
    <w:rsid w:val="00D428F0"/>
    <w:rsid w:val="00D429F5"/>
    <w:rsid w:val="00D4349E"/>
    <w:rsid w:val="00D43788"/>
    <w:rsid w:val="00D4417F"/>
    <w:rsid w:val="00D44379"/>
    <w:rsid w:val="00D44396"/>
    <w:rsid w:val="00D446B6"/>
    <w:rsid w:val="00D44852"/>
    <w:rsid w:val="00D44987"/>
    <w:rsid w:val="00D44B7A"/>
    <w:rsid w:val="00D44EF6"/>
    <w:rsid w:val="00D450FB"/>
    <w:rsid w:val="00D45FF8"/>
    <w:rsid w:val="00D46E38"/>
    <w:rsid w:val="00D472BF"/>
    <w:rsid w:val="00D4763E"/>
    <w:rsid w:val="00D50F05"/>
    <w:rsid w:val="00D52072"/>
    <w:rsid w:val="00D52347"/>
    <w:rsid w:val="00D52A14"/>
    <w:rsid w:val="00D52E93"/>
    <w:rsid w:val="00D53167"/>
    <w:rsid w:val="00D539BE"/>
    <w:rsid w:val="00D53B2A"/>
    <w:rsid w:val="00D53BD6"/>
    <w:rsid w:val="00D53FD1"/>
    <w:rsid w:val="00D5427F"/>
    <w:rsid w:val="00D543F6"/>
    <w:rsid w:val="00D548B2"/>
    <w:rsid w:val="00D54A8A"/>
    <w:rsid w:val="00D54CA5"/>
    <w:rsid w:val="00D55001"/>
    <w:rsid w:val="00D55152"/>
    <w:rsid w:val="00D554AA"/>
    <w:rsid w:val="00D55605"/>
    <w:rsid w:val="00D55973"/>
    <w:rsid w:val="00D56BF6"/>
    <w:rsid w:val="00D573BB"/>
    <w:rsid w:val="00D574F1"/>
    <w:rsid w:val="00D57770"/>
    <w:rsid w:val="00D57959"/>
    <w:rsid w:val="00D57B4B"/>
    <w:rsid w:val="00D60382"/>
    <w:rsid w:val="00D6042E"/>
    <w:rsid w:val="00D6059C"/>
    <w:rsid w:val="00D607B7"/>
    <w:rsid w:val="00D608FE"/>
    <w:rsid w:val="00D60AA7"/>
    <w:rsid w:val="00D60DE3"/>
    <w:rsid w:val="00D60E63"/>
    <w:rsid w:val="00D61448"/>
    <w:rsid w:val="00D6155A"/>
    <w:rsid w:val="00D6162F"/>
    <w:rsid w:val="00D6187F"/>
    <w:rsid w:val="00D619C3"/>
    <w:rsid w:val="00D621DA"/>
    <w:rsid w:val="00D62B98"/>
    <w:rsid w:val="00D62DBB"/>
    <w:rsid w:val="00D631A8"/>
    <w:rsid w:val="00D6320B"/>
    <w:rsid w:val="00D63541"/>
    <w:rsid w:val="00D6396B"/>
    <w:rsid w:val="00D63D71"/>
    <w:rsid w:val="00D63FE3"/>
    <w:rsid w:val="00D6418A"/>
    <w:rsid w:val="00D643F8"/>
    <w:rsid w:val="00D64EA0"/>
    <w:rsid w:val="00D650CC"/>
    <w:rsid w:val="00D66840"/>
    <w:rsid w:val="00D668FD"/>
    <w:rsid w:val="00D66A3A"/>
    <w:rsid w:val="00D66ACA"/>
    <w:rsid w:val="00D66B66"/>
    <w:rsid w:val="00D66E4D"/>
    <w:rsid w:val="00D6731A"/>
    <w:rsid w:val="00D6751F"/>
    <w:rsid w:val="00D67B90"/>
    <w:rsid w:val="00D67CF8"/>
    <w:rsid w:val="00D67EA0"/>
    <w:rsid w:val="00D67EA6"/>
    <w:rsid w:val="00D70697"/>
    <w:rsid w:val="00D706CB"/>
    <w:rsid w:val="00D70E59"/>
    <w:rsid w:val="00D70E80"/>
    <w:rsid w:val="00D71288"/>
    <w:rsid w:val="00D712A2"/>
    <w:rsid w:val="00D71405"/>
    <w:rsid w:val="00D71FF6"/>
    <w:rsid w:val="00D72040"/>
    <w:rsid w:val="00D72B41"/>
    <w:rsid w:val="00D72BA3"/>
    <w:rsid w:val="00D72BA7"/>
    <w:rsid w:val="00D72CBA"/>
    <w:rsid w:val="00D72D7E"/>
    <w:rsid w:val="00D7367E"/>
    <w:rsid w:val="00D73E40"/>
    <w:rsid w:val="00D73F3A"/>
    <w:rsid w:val="00D73F3E"/>
    <w:rsid w:val="00D73F68"/>
    <w:rsid w:val="00D73FB0"/>
    <w:rsid w:val="00D742ED"/>
    <w:rsid w:val="00D7430B"/>
    <w:rsid w:val="00D7458F"/>
    <w:rsid w:val="00D755C5"/>
    <w:rsid w:val="00D756E3"/>
    <w:rsid w:val="00D75918"/>
    <w:rsid w:val="00D763D0"/>
    <w:rsid w:val="00D764F6"/>
    <w:rsid w:val="00D76908"/>
    <w:rsid w:val="00D76E1F"/>
    <w:rsid w:val="00D770B9"/>
    <w:rsid w:val="00D77240"/>
    <w:rsid w:val="00D77544"/>
    <w:rsid w:val="00D77819"/>
    <w:rsid w:val="00D77B9E"/>
    <w:rsid w:val="00D80438"/>
    <w:rsid w:val="00D8061F"/>
    <w:rsid w:val="00D80842"/>
    <w:rsid w:val="00D80889"/>
    <w:rsid w:val="00D80D05"/>
    <w:rsid w:val="00D80E1F"/>
    <w:rsid w:val="00D80E37"/>
    <w:rsid w:val="00D80EDB"/>
    <w:rsid w:val="00D80F6F"/>
    <w:rsid w:val="00D81354"/>
    <w:rsid w:val="00D81490"/>
    <w:rsid w:val="00D815B0"/>
    <w:rsid w:val="00D818D5"/>
    <w:rsid w:val="00D820EB"/>
    <w:rsid w:val="00D82174"/>
    <w:rsid w:val="00D825BE"/>
    <w:rsid w:val="00D826C8"/>
    <w:rsid w:val="00D82990"/>
    <w:rsid w:val="00D829C0"/>
    <w:rsid w:val="00D8303A"/>
    <w:rsid w:val="00D8391E"/>
    <w:rsid w:val="00D8394C"/>
    <w:rsid w:val="00D83C6D"/>
    <w:rsid w:val="00D8417D"/>
    <w:rsid w:val="00D845B9"/>
    <w:rsid w:val="00D8465F"/>
    <w:rsid w:val="00D84838"/>
    <w:rsid w:val="00D8484A"/>
    <w:rsid w:val="00D852CF"/>
    <w:rsid w:val="00D8542E"/>
    <w:rsid w:val="00D85606"/>
    <w:rsid w:val="00D85FAA"/>
    <w:rsid w:val="00D8636F"/>
    <w:rsid w:val="00D86806"/>
    <w:rsid w:val="00D86979"/>
    <w:rsid w:val="00D869D2"/>
    <w:rsid w:val="00D86BB5"/>
    <w:rsid w:val="00D86BC9"/>
    <w:rsid w:val="00D86DB1"/>
    <w:rsid w:val="00D86E62"/>
    <w:rsid w:val="00D87026"/>
    <w:rsid w:val="00D87989"/>
    <w:rsid w:val="00D87AB3"/>
    <w:rsid w:val="00D90093"/>
    <w:rsid w:val="00D9025B"/>
    <w:rsid w:val="00D905C5"/>
    <w:rsid w:val="00D90683"/>
    <w:rsid w:val="00D9080C"/>
    <w:rsid w:val="00D9093D"/>
    <w:rsid w:val="00D90A30"/>
    <w:rsid w:val="00D91539"/>
    <w:rsid w:val="00D9159F"/>
    <w:rsid w:val="00D915EB"/>
    <w:rsid w:val="00D91A9E"/>
    <w:rsid w:val="00D91BF1"/>
    <w:rsid w:val="00D91ED1"/>
    <w:rsid w:val="00D921EB"/>
    <w:rsid w:val="00D92905"/>
    <w:rsid w:val="00D92CD8"/>
    <w:rsid w:val="00D931F2"/>
    <w:rsid w:val="00D940AF"/>
    <w:rsid w:val="00D9411E"/>
    <w:rsid w:val="00D94459"/>
    <w:rsid w:val="00D94FCF"/>
    <w:rsid w:val="00D950F9"/>
    <w:rsid w:val="00D95451"/>
    <w:rsid w:val="00D95505"/>
    <w:rsid w:val="00D95558"/>
    <w:rsid w:val="00D955B9"/>
    <w:rsid w:val="00D96070"/>
    <w:rsid w:val="00D966C1"/>
    <w:rsid w:val="00D967B7"/>
    <w:rsid w:val="00D96B6F"/>
    <w:rsid w:val="00D972B8"/>
    <w:rsid w:val="00D972C7"/>
    <w:rsid w:val="00D9742F"/>
    <w:rsid w:val="00D97533"/>
    <w:rsid w:val="00D97859"/>
    <w:rsid w:val="00D97F48"/>
    <w:rsid w:val="00DA0034"/>
    <w:rsid w:val="00DA0491"/>
    <w:rsid w:val="00DA0FA4"/>
    <w:rsid w:val="00DA10DF"/>
    <w:rsid w:val="00DA128F"/>
    <w:rsid w:val="00DA163F"/>
    <w:rsid w:val="00DA1BA9"/>
    <w:rsid w:val="00DA20B7"/>
    <w:rsid w:val="00DA2776"/>
    <w:rsid w:val="00DA288D"/>
    <w:rsid w:val="00DA2D08"/>
    <w:rsid w:val="00DA2DBF"/>
    <w:rsid w:val="00DA3421"/>
    <w:rsid w:val="00DA38EF"/>
    <w:rsid w:val="00DA49D4"/>
    <w:rsid w:val="00DA4CD6"/>
    <w:rsid w:val="00DA4E31"/>
    <w:rsid w:val="00DA5047"/>
    <w:rsid w:val="00DA5503"/>
    <w:rsid w:val="00DA597A"/>
    <w:rsid w:val="00DA5B25"/>
    <w:rsid w:val="00DA5F97"/>
    <w:rsid w:val="00DA610C"/>
    <w:rsid w:val="00DA636F"/>
    <w:rsid w:val="00DA63E7"/>
    <w:rsid w:val="00DA6948"/>
    <w:rsid w:val="00DA6EE1"/>
    <w:rsid w:val="00DA71A3"/>
    <w:rsid w:val="00DA7ECB"/>
    <w:rsid w:val="00DB0147"/>
    <w:rsid w:val="00DB0241"/>
    <w:rsid w:val="00DB05B9"/>
    <w:rsid w:val="00DB0633"/>
    <w:rsid w:val="00DB090F"/>
    <w:rsid w:val="00DB119E"/>
    <w:rsid w:val="00DB1284"/>
    <w:rsid w:val="00DB1439"/>
    <w:rsid w:val="00DB1B18"/>
    <w:rsid w:val="00DB1BE0"/>
    <w:rsid w:val="00DB1F6E"/>
    <w:rsid w:val="00DB25EB"/>
    <w:rsid w:val="00DB26B0"/>
    <w:rsid w:val="00DB27A9"/>
    <w:rsid w:val="00DB293A"/>
    <w:rsid w:val="00DB29B1"/>
    <w:rsid w:val="00DB2F51"/>
    <w:rsid w:val="00DB36F6"/>
    <w:rsid w:val="00DB3B8F"/>
    <w:rsid w:val="00DB3C6A"/>
    <w:rsid w:val="00DB3CB0"/>
    <w:rsid w:val="00DB3D03"/>
    <w:rsid w:val="00DB3F5B"/>
    <w:rsid w:val="00DB41D2"/>
    <w:rsid w:val="00DB434E"/>
    <w:rsid w:val="00DB448E"/>
    <w:rsid w:val="00DB5017"/>
    <w:rsid w:val="00DB511F"/>
    <w:rsid w:val="00DB54A7"/>
    <w:rsid w:val="00DB5DD0"/>
    <w:rsid w:val="00DB623B"/>
    <w:rsid w:val="00DB6AB4"/>
    <w:rsid w:val="00DB6BA9"/>
    <w:rsid w:val="00DB6E82"/>
    <w:rsid w:val="00DB7C3F"/>
    <w:rsid w:val="00DC0C38"/>
    <w:rsid w:val="00DC0E7F"/>
    <w:rsid w:val="00DC140E"/>
    <w:rsid w:val="00DC1879"/>
    <w:rsid w:val="00DC2772"/>
    <w:rsid w:val="00DC2AAB"/>
    <w:rsid w:val="00DC3AD1"/>
    <w:rsid w:val="00DC3B45"/>
    <w:rsid w:val="00DC3C51"/>
    <w:rsid w:val="00DC3EFD"/>
    <w:rsid w:val="00DC42DF"/>
    <w:rsid w:val="00DC454E"/>
    <w:rsid w:val="00DC509A"/>
    <w:rsid w:val="00DC5330"/>
    <w:rsid w:val="00DC540D"/>
    <w:rsid w:val="00DC5C93"/>
    <w:rsid w:val="00DC5D2F"/>
    <w:rsid w:val="00DC63C6"/>
    <w:rsid w:val="00DC687D"/>
    <w:rsid w:val="00DC6A96"/>
    <w:rsid w:val="00DC6CCC"/>
    <w:rsid w:val="00DC71AF"/>
    <w:rsid w:val="00DC75E2"/>
    <w:rsid w:val="00DC7DB3"/>
    <w:rsid w:val="00DC7DE8"/>
    <w:rsid w:val="00DD044E"/>
    <w:rsid w:val="00DD0C04"/>
    <w:rsid w:val="00DD0D9C"/>
    <w:rsid w:val="00DD0E8A"/>
    <w:rsid w:val="00DD1685"/>
    <w:rsid w:val="00DD324B"/>
    <w:rsid w:val="00DD3360"/>
    <w:rsid w:val="00DD340D"/>
    <w:rsid w:val="00DD3967"/>
    <w:rsid w:val="00DD3D43"/>
    <w:rsid w:val="00DD3D8E"/>
    <w:rsid w:val="00DD3F39"/>
    <w:rsid w:val="00DD4048"/>
    <w:rsid w:val="00DD4344"/>
    <w:rsid w:val="00DD4371"/>
    <w:rsid w:val="00DD4484"/>
    <w:rsid w:val="00DD47FC"/>
    <w:rsid w:val="00DD4C30"/>
    <w:rsid w:val="00DD4C78"/>
    <w:rsid w:val="00DD4F9D"/>
    <w:rsid w:val="00DD5082"/>
    <w:rsid w:val="00DD522B"/>
    <w:rsid w:val="00DD57ED"/>
    <w:rsid w:val="00DD57FF"/>
    <w:rsid w:val="00DD584A"/>
    <w:rsid w:val="00DD5A2F"/>
    <w:rsid w:val="00DD5D24"/>
    <w:rsid w:val="00DD5EBE"/>
    <w:rsid w:val="00DD745A"/>
    <w:rsid w:val="00DD79B0"/>
    <w:rsid w:val="00DD79B6"/>
    <w:rsid w:val="00DD7B66"/>
    <w:rsid w:val="00DD7C43"/>
    <w:rsid w:val="00DE061D"/>
    <w:rsid w:val="00DE07AC"/>
    <w:rsid w:val="00DE0E1E"/>
    <w:rsid w:val="00DE11BF"/>
    <w:rsid w:val="00DE12A1"/>
    <w:rsid w:val="00DE17E4"/>
    <w:rsid w:val="00DE1986"/>
    <w:rsid w:val="00DE1ED9"/>
    <w:rsid w:val="00DE1EE4"/>
    <w:rsid w:val="00DE2490"/>
    <w:rsid w:val="00DE26BD"/>
    <w:rsid w:val="00DE2796"/>
    <w:rsid w:val="00DE2F5C"/>
    <w:rsid w:val="00DE3261"/>
    <w:rsid w:val="00DE334C"/>
    <w:rsid w:val="00DE3423"/>
    <w:rsid w:val="00DE3A31"/>
    <w:rsid w:val="00DE3DAE"/>
    <w:rsid w:val="00DE3E2E"/>
    <w:rsid w:val="00DE4071"/>
    <w:rsid w:val="00DE4393"/>
    <w:rsid w:val="00DE4681"/>
    <w:rsid w:val="00DE4783"/>
    <w:rsid w:val="00DE4C01"/>
    <w:rsid w:val="00DE55E7"/>
    <w:rsid w:val="00DE61C3"/>
    <w:rsid w:val="00DE635A"/>
    <w:rsid w:val="00DE657E"/>
    <w:rsid w:val="00DE67CC"/>
    <w:rsid w:val="00DE6912"/>
    <w:rsid w:val="00DE7286"/>
    <w:rsid w:val="00DE7437"/>
    <w:rsid w:val="00DE76B0"/>
    <w:rsid w:val="00DE7A69"/>
    <w:rsid w:val="00DE7B93"/>
    <w:rsid w:val="00DF008E"/>
    <w:rsid w:val="00DF06EF"/>
    <w:rsid w:val="00DF08B0"/>
    <w:rsid w:val="00DF0ABB"/>
    <w:rsid w:val="00DF1311"/>
    <w:rsid w:val="00DF1AC4"/>
    <w:rsid w:val="00DF1C1D"/>
    <w:rsid w:val="00DF1C9C"/>
    <w:rsid w:val="00DF1E3C"/>
    <w:rsid w:val="00DF1E98"/>
    <w:rsid w:val="00DF1F75"/>
    <w:rsid w:val="00DF218B"/>
    <w:rsid w:val="00DF29B4"/>
    <w:rsid w:val="00DF2A12"/>
    <w:rsid w:val="00DF2AC5"/>
    <w:rsid w:val="00DF3784"/>
    <w:rsid w:val="00DF38C9"/>
    <w:rsid w:val="00DF3B5E"/>
    <w:rsid w:val="00DF3ED8"/>
    <w:rsid w:val="00DF44EC"/>
    <w:rsid w:val="00DF4653"/>
    <w:rsid w:val="00DF4F4E"/>
    <w:rsid w:val="00DF5061"/>
    <w:rsid w:val="00DF58EB"/>
    <w:rsid w:val="00DF5B9B"/>
    <w:rsid w:val="00DF6160"/>
    <w:rsid w:val="00DF64CF"/>
    <w:rsid w:val="00DF6BD0"/>
    <w:rsid w:val="00DF6D83"/>
    <w:rsid w:val="00DF72FC"/>
    <w:rsid w:val="00DF7473"/>
    <w:rsid w:val="00DF780D"/>
    <w:rsid w:val="00DF7A21"/>
    <w:rsid w:val="00DF7A73"/>
    <w:rsid w:val="00DF7D17"/>
    <w:rsid w:val="00DF7F9A"/>
    <w:rsid w:val="00E00084"/>
    <w:rsid w:val="00E00113"/>
    <w:rsid w:val="00E00210"/>
    <w:rsid w:val="00E005BE"/>
    <w:rsid w:val="00E005FF"/>
    <w:rsid w:val="00E006DF"/>
    <w:rsid w:val="00E00DDC"/>
    <w:rsid w:val="00E0129D"/>
    <w:rsid w:val="00E0153B"/>
    <w:rsid w:val="00E02240"/>
    <w:rsid w:val="00E022E3"/>
    <w:rsid w:val="00E023BD"/>
    <w:rsid w:val="00E02417"/>
    <w:rsid w:val="00E027F4"/>
    <w:rsid w:val="00E0283C"/>
    <w:rsid w:val="00E02A81"/>
    <w:rsid w:val="00E02F29"/>
    <w:rsid w:val="00E0337F"/>
    <w:rsid w:val="00E03590"/>
    <w:rsid w:val="00E03842"/>
    <w:rsid w:val="00E03AAB"/>
    <w:rsid w:val="00E03B7C"/>
    <w:rsid w:val="00E03C06"/>
    <w:rsid w:val="00E03C08"/>
    <w:rsid w:val="00E040B5"/>
    <w:rsid w:val="00E044C7"/>
    <w:rsid w:val="00E04C15"/>
    <w:rsid w:val="00E052C6"/>
    <w:rsid w:val="00E0535D"/>
    <w:rsid w:val="00E05A54"/>
    <w:rsid w:val="00E05BF4"/>
    <w:rsid w:val="00E06256"/>
    <w:rsid w:val="00E0656D"/>
    <w:rsid w:val="00E065F5"/>
    <w:rsid w:val="00E06B73"/>
    <w:rsid w:val="00E07497"/>
    <w:rsid w:val="00E076B8"/>
    <w:rsid w:val="00E1014B"/>
    <w:rsid w:val="00E101DB"/>
    <w:rsid w:val="00E10663"/>
    <w:rsid w:val="00E10773"/>
    <w:rsid w:val="00E1164B"/>
    <w:rsid w:val="00E118A6"/>
    <w:rsid w:val="00E1280C"/>
    <w:rsid w:val="00E139AF"/>
    <w:rsid w:val="00E13FA3"/>
    <w:rsid w:val="00E142B5"/>
    <w:rsid w:val="00E1478F"/>
    <w:rsid w:val="00E1506C"/>
    <w:rsid w:val="00E1582D"/>
    <w:rsid w:val="00E158CF"/>
    <w:rsid w:val="00E15CE1"/>
    <w:rsid w:val="00E15DA9"/>
    <w:rsid w:val="00E161F4"/>
    <w:rsid w:val="00E1692E"/>
    <w:rsid w:val="00E16BA6"/>
    <w:rsid w:val="00E1711E"/>
    <w:rsid w:val="00E17499"/>
    <w:rsid w:val="00E204CC"/>
    <w:rsid w:val="00E21660"/>
    <w:rsid w:val="00E21AFF"/>
    <w:rsid w:val="00E21F3B"/>
    <w:rsid w:val="00E22397"/>
    <w:rsid w:val="00E22463"/>
    <w:rsid w:val="00E2252B"/>
    <w:rsid w:val="00E225AC"/>
    <w:rsid w:val="00E228B1"/>
    <w:rsid w:val="00E22DBE"/>
    <w:rsid w:val="00E22ED4"/>
    <w:rsid w:val="00E23194"/>
    <w:rsid w:val="00E240A1"/>
    <w:rsid w:val="00E240E6"/>
    <w:rsid w:val="00E241A7"/>
    <w:rsid w:val="00E2452C"/>
    <w:rsid w:val="00E2472D"/>
    <w:rsid w:val="00E248E8"/>
    <w:rsid w:val="00E24BC6"/>
    <w:rsid w:val="00E24DC2"/>
    <w:rsid w:val="00E25858"/>
    <w:rsid w:val="00E25D2A"/>
    <w:rsid w:val="00E25D38"/>
    <w:rsid w:val="00E25DDB"/>
    <w:rsid w:val="00E25F71"/>
    <w:rsid w:val="00E26006"/>
    <w:rsid w:val="00E2612E"/>
    <w:rsid w:val="00E2668F"/>
    <w:rsid w:val="00E266C7"/>
    <w:rsid w:val="00E26722"/>
    <w:rsid w:val="00E26FB1"/>
    <w:rsid w:val="00E2726B"/>
    <w:rsid w:val="00E27304"/>
    <w:rsid w:val="00E273CC"/>
    <w:rsid w:val="00E27587"/>
    <w:rsid w:val="00E27A75"/>
    <w:rsid w:val="00E27F4D"/>
    <w:rsid w:val="00E302DF"/>
    <w:rsid w:val="00E30663"/>
    <w:rsid w:val="00E30992"/>
    <w:rsid w:val="00E30FA5"/>
    <w:rsid w:val="00E3267E"/>
    <w:rsid w:val="00E32B34"/>
    <w:rsid w:val="00E32D1F"/>
    <w:rsid w:val="00E32F6A"/>
    <w:rsid w:val="00E33393"/>
    <w:rsid w:val="00E33477"/>
    <w:rsid w:val="00E3371A"/>
    <w:rsid w:val="00E33995"/>
    <w:rsid w:val="00E339EB"/>
    <w:rsid w:val="00E33D5D"/>
    <w:rsid w:val="00E33E12"/>
    <w:rsid w:val="00E34243"/>
    <w:rsid w:val="00E343C3"/>
    <w:rsid w:val="00E3440A"/>
    <w:rsid w:val="00E344F1"/>
    <w:rsid w:val="00E348F5"/>
    <w:rsid w:val="00E34C4D"/>
    <w:rsid w:val="00E34F79"/>
    <w:rsid w:val="00E35681"/>
    <w:rsid w:val="00E35C1F"/>
    <w:rsid w:val="00E35E6F"/>
    <w:rsid w:val="00E36374"/>
    <w:rsid w:val="00E363AE"/>
    <w:rsid w:val="00E364C6"/>
    <w:rsid w:val="00E365BC"/>
    <w:rsid w:val="00E36A8F"/>
    <w:rsid w:val="00E36EF4"/>
    <w:rsid w:val="00E37047"/>
    <w:rsid w:val="00E375CD"/>
    <w:rsid w:val="00E37828"/>
    <w:rsid w:val="00E40104"/>
    <w:rsid w:val="00E403B6"/>
    <w:rsid w:val="00E40883"/>
    <w:rsid w:val="00E40EFF"/>
    <w:rsid w:val="00E4118F"/>
    <w:rsid w:val="00E41A5C"/>
    <w:rsid w:val="00E41A7B"/>
    <w:rsid w:val="00E41D4C"/>
    <w:rsid w:val="00E42427"/>
    <w:rsid w:val="00E424BD"/>
    <w:rsid w:val="00E426D0"/>
    <w:rsid w:val="00E42C26"/>
    <w:rsid w:val="00E42F58"/>
    <w:rsid w:val="00E4370A"/>
    <w:rsid w:val="00E43723"/>
    <w:rsid w:val="00E43736"/>
    <w:rsid w:val="00E4374C"/>
    <w:rsid w:val="00E43973"/>
    <w:rsid w:val="00E43EE2"/>
    <w:rsid w:val="00E44122"/>
    <w:rsid w:val="00E44307"/>
    <w:rsid w:val="00E443E4"/>
    <w:rsid w:val="00E44A3F"/>
    <w:rsid w:val="00E44DD4"/>
    <w:rsid w:val="00E457E3"/>
    <w:rsid w:val="00E45D31"/>
    <w:rsid w:val="00E462C3"/>
    <w:rsid w:val="00E4691D"/>
    <w:rsid w:val="00E46DA5"/>
    <w:rsid w:val="00E4766E"/>
    <w:rsid w:val="00E478B1"/>
    <w:rsid w:val="00E50066"/>
    <w:rsid w:val="00E505EA"/>
    <w:rsid w:val="00E506A1"/>
    <w:rsid w:val="00E507C3"/>
    <w:rsid w:val="00E50A0F"/>
    <w:rsid w:val="00E50C58"/>
    <w:rsid w:val="00E511CD"/>
    <w:rsid w:val="00E51374"/>
    <w:rsid w:val="00E517C4"/>
    <w:rsid w:val="00E51EA9"/>
    <w:rsid w:val="00E51FDF"/>
    <w:rsid w:val="00E52033"/>
    <w:rsid w:val="00E52038"/>
    <w:rsid w:val="00E526B1"/>
    <w:rsid w:val="00E526E9"/>
    <w:rsid w:val="00E52A17"/>
    <w:rsid w:val="00E52D67"/>
    <w:rsid w:val="00E53D99"/>
    <w:rsid w:val="00E543EB"/>
    <w:rsid w:val="00E54BF6"/>
    <w:rsid w:val="00E54E88"/>
    <w:rsid w:val="00E5515A"/>
    <w:rsid w:val="00E55889"/>
    <w:rsid w:val="00E558E1"/>
    <w:rsid w:val="00E55994"/>
    <w:rsid w:val="00E56361"/>
    <w:rsid w:val="00E56954"/>
    <w:rsid w:val="00E56BF6"/>
    <w:rsid w:val="00E57308"/>
    <w:rsid w:val="00E5737F"/>
    <w:rsid w:val="00E57545"/>
    <w:rsid w:val="00E576A7"/>
    <w:rsid w:val="00E57B49"/>
    <w:rsid w:val="00E57B7D"/>
    <w:rsid w:val="00E57BB6"/>
    <w:rsid w:val="00E60256"/>
    <w:rsid w:val="00E6029E"/>
    <w:rsid w:val="00E609FC"/>
    <w:rsid w:val="00E612DB"/>
    <w:rsid w:val="00E61A5A"/>
    <w:rsid w:val="00E61F5C"/>
    <w:rsid w:val="00E622A2"/>
    <w:rsid w:val="00E62E93"/>
    <w:rsid w:val="00E62EFA"/>
    <w:rsid w:val="00E63126"/>
    <w:rsid w:val="00E63165"/>
    <w:rsid w:val="00E63AD0"/>
    <w:rsid w:val="00E63CDA"/>
    <w:rsid w:val="00E64291"/>
    <w:rsid w:val="00E6440E"/>
    <w:rsid w:val="00E64816"/>
    <w:rsid w:val="00E648EC"/>
    <w:rsid w:val="00E64BBB"/>
    <w:rsid w:val="00E64D5C"/>
    <w:rsid w:val="00E64EE4"/>
    <w:rsid w:val="00E6507D"/>
    <w:rsid w:val="00E65523"/>
    <w:rsid w:val="00E6596F"/>
    <w:rsid w:val="00E65BB8"/>
    <w:rsid w:val="00E65D35"/>
    <w:rsid w:val="00E65E35"/>
    <w:rsid w:val="00E66D2C"/>
    <w:rsid w:val="00E66DD0"/>
    <w:rsid w:val="00E6711D"/>
    <w:rsid w:val="00E67561"/>
    <w:rsid w:val="00E67721"/>
    <w:rsid w:val="00E703B9"/>
    <w:rsid w:val="00E7049B"/>
    <w:rsid w:val="00E716FD"/>
    <w:rsid w:val="00E7176B"/>
    <w:rsid w:val="00E719D0"/>
    <w:rsid w:val="00E71B76"/>
    <w:rsid w:val="00E71F1C"/>
    <w:rsid w:val="00E7217C"/>
    <w:rsid w:val="00E723B3"/>
    <w:rsid w:val="00E72B74"/>
    <w:rsid w:val="00E736DD"/>
    <w:rsid w:val="00E7376E"/>
    <w:rsid w:val="00E73B61"/>
    <w:rsid w:val="00E73C2D"/>
    <w:rsid w:val="00E73CCF"/>
    <w:rsid w:val="00E73E0D"/>
    <w:rsid w:val="00E7408E"/>
    <w:rsid w:val="00E74131"/>
    <w:rsid w:val="00E7464E"/>
    <w:rsid w:val="00E74CC3"/>
    <w:rsid w:val="00E74EBC"/>
    <w:rsid w:val="00E74F22"/>
    <w:rsid w:val="00E7501A"/>
    <w:rsid w:val="00E75F4A"/>
    <w:rsid w:val="00E75F8E"/>
    <w:rsid w:val="00E7691D"/>
    <w:rsid w:val="00E76C3A"/>
    <w:rsid w:val="00E771B1"/>
    <w:rsid w:val="00E773FF"/>
    <w:rsid w:val="00E774F8"/>
    <w:rsid w:val="00E776E9"/>
    <w:rsid w:val="00E77915"/>
    <w:rsid w:val="00E77F40"/>
    <w:rsid w:val="00E80201"/>
    <w:rsid w:val="00E808D5"/>
    <w:rsid w:val="00E80BD0"/>
    <w:rsid w:val="00E80D1F"/>
    <w:rsid w:val="00E80F18"/>
    <w:rsid w:val="00E80FC9"/>
    <w:rsid w:val="00E81203"/>
    <w:rsid w:val="00E812A7"/>
    <w:rsid w:val="00E81529"/>
    <w:rsid w:val="00E81537"/>
    <w:rsid w:val="00E81852"/>
    <w:rsid w:val="00E8197C"/>
    <w:rsid w:val="00E8226D"/>
    <w:rsid w:val="00E8229F"/>
    <w:rsid w:val="00E82517"/>
    <w:rsid w:val="00E82E2E"/>
    <w:rsid w:val="00E82F06"/>
    <w:rsid w:val="00E8324A"/>
    <w:rsid w:val="00E83685"/>
    <w:rsid w:val="00E83993"/>
    <w:rsid w:val="00E83A07"/>
    <w:rsid w:val="00E83C41"/>
    <w:rsid w:val="00E8420A"/>
    <w:rsid w:val="00E8435C"/>
    <w:rsid w:val="00E84693"/>
    <w:rsid w:val="00E84927"/>
    <w:rsid w:val="00E84D02"/>
    <w:rsid w:val="00E85B18"/>
    <w:rsid w:val="00E85B28"/>
    <w:rsid w:val="00E86900"/>
    <w:rsid w:val="00E8691F"/>
    <w:rsid w:val="00E86B1E"/>
    <w:rsid w:val="00E86FBE"/>
    <w:rsid w:val="00E87454"/>
    <w:rsid w:val="00E90450"/>
    <w:rsid w:val="00E907F0"/>
    <w:rsid w:val="00E9099F"/>
    <w:rsid w:val="00E90C05"/>
    <w:rsid w:val="00E91572"/>
    <w:rsid w:val="00E91931"/>
    <w:rsid w:val="00E91A7E"/>
    <w:rsid w:val="00E91B22"/>
    <w:rsid w:val="00E91C33"/>
    <w:rsid w:val="00E920DA"/>
    <w:rsid w:val="00E923EE"/>
    <w:rsid w:val="00E924D1"/>
    <w:rsid w:val="00E9266C"/>
    <w:rsid w:val="00E928AF"/>
    <w:rsid w:val="00E92948"/>
    <w:rsid w:val="00E92CBD"/>
    <w:rsid w:val="00E92E2C"/>
    <w:rsid w:val="00E932D0"/>
    <w:rsid w:val="00E9347C"/>
    <w:rsid w:val="00E934FB"/>
    <w:rsid w:val="00E93F69"/>
    <w:rsid w:val="00E93F78"/>
    <w:rsid w:val="00E947A6"/>
    <w:rsid w:val="00E9527F"/>
    <w:rsid w:val="00E95296"/>
    <w:rsid w:val="00E95480"/>
    <w:rsid w:val="00E957CF"/>
    <w:rsid w:val="00E959AA"/>
    <w:rsid w:val="00E96243"/>
    <w:rsid w:val="00E972CB"/>
    <w:rsid w:val="00E9733C"/>
    <w:rsid w:val="00E97B24"/>
    <w:rsid w:val="00E97FDD"/>
    <w:rsid w:val="00EA0499"/>
    <w:rsid w:val="00EA0ADE"/>
    <w:rsid w:val="00EA0C50"/>
    <w:rsid w:val="00EA171D"/>
    <w:rsid w:val="00EA175D"/>
    <w:rsid w:val="00EA1762"/>
    <w:rsid w:val="00EA1AE0"/>
    <w:rsid w:val="00EA2086"/>
    <w:rsid w:val="00EA2265"/>
    <w:rsid w:val="00EA2CD9"/>
    <w:rsid w:val="00EA2D3A"/>
    <w:rsid w:val="00EA2EB4"/>
    <w:rsid w:val="00EA3085"/>
    <w:rsid w:val="00EA3182"/>
    <w:rsid w:val="00EA42D4"/>
    <w:rsid w:val="00EA45C1"/>
    <w:rsid w:val="00EA472D"/>
    <w:rsid w:val="00EA4998"/>
    <w:rsid w:val="00EA49B7"/>
    <w:rsid w:val="00EA5644"/>
    <w:rsid w:val="00EA5715"/>
    <w:rsid w:val="00EA5AF2"/>
    <w:rsid w:val="00EA5F34"/>
    <w:rsid w:val="00EA6559"/>
    <w:rsid w:val="00EA65D6"/>
    <w:rsid w:val="00EA67EA"/>
    <w:rsid w:val="00EA6F94"/>
    <w:rsid w:val="00EA7231"/>
    <w:rsid w:val="00EA7690"/>
    <w:rsid w:val="00EA7837"/>
    <w:rsid w:val="00EA78E3"/>
    <w:rsid w:val="00EB04E7"/>
    <w:rsid w:val="00EB0F9B"/>
    <w:rsid w:val="00EB1731"/>
    <w:rsid w:val="00EB2151"/>
    <w:rsid w:val="00EB25C9"/>
    <w:rsid w:val="00EB29CF"/>
    <w:rsid w:val="00EB2CC8"/>
    <w:rsid w:val="00EB308A"/>
    <w:rsid w:val="00EB3A34"/>
    <w:rsid w:val="00EB3ADA"/>
    <w:rsid w:val="00EB420C"/>
    <w:rsid w:val="00EB430D"/>
    <w:rsid w:val="00EB48DF"/>
    <w:rsid w:val="00EB497B"/>
    <w:rsid w:val="00EB4C21"/>
    <w:rsid w:val="00EB537F"/>
    <w:rsid w:val="00EB58BF"/>
    <w:rsid w:val="00EB5A8A"/>
    <w:rsid w:val="00EB5AC5"/>
    <w:rsid w:val="00EB61FD"/>
    <w:rsid w:val="00EB6201"/>
    <w:rsid w:val="00EB6365"/>
    <w:rsid w:val="00EB68C5"/>
    <w:rsid w:val="00EB6F83"/>
    <w:rsid w:val="00EB76DC"/>
    <w:rsid w:val="00EB7741"/>
    <w:rsid w:val="00EB77BC"/>
    <w:rsid w:val="00EB7E3B"/>
    <w:rsid w:val="00EC0211"/>
    <w:rsid w:val="00EC033C"/>
    <w:rsid w:val="00EC0842"/>
    <w:rsid w:val="00EC0B62"/>
    <w:rsid w:val="00EC0E04"/>
    <w:rsid w:val="00EC0F46"/>
    <w:rsid w:val="00EC1453"/>
    <w:rsid w:val="00EC16B9"/>
    <w:rsid w:val="00EC17CD"/>
    <w:rsid w:val="00EC18B3"/>
    <w:rsid w:val="00EC1913"/>
    <w:rsid w:val="00EC1991"/>
    <w:rsid w:val="00EC1CB6"/>
    <w:rsid w:val="00EC1EA3"/>
    <w:rsid w:val="00EC2294"/>
    <w:rsid w:val="00EC2481"/>
    <w:rsid w:val="00EC2792"/>
    <w:rsid w:val="00EC2A2E"/>
    <w:rsid w:val="00EC2B44"/>
    <w:rsid w:val="00EC3068"/>
    <w:rsid w:val="00EC30DE"/>
    <w:rsid w:val="00EC3324"/>
    <w:rsid w:val="00EC3344"/>
    <w:rsid w:val="00EC3571"/>
    <w:rsid w:val="00EC35D1"/>
    <w:rsid w:val="00EC3814"/>
    <w:rsid w:val="00EC3A5B"/>
    <w:rsid w:val="00EC3EFB"/>
    <w:rsid w:val="00EC404D"/>
    <w:rsid w:val="00EC41AE"/>
    <w:rsid w:val="00EC4246"/>
    <w:rsid w:val="00EC4351"/>
    <w:rsid w:val="00EC4B41"/>
    <w:rsid w:val="00EC4CE2"/>
    <w:rsid w:val="00EC5185"/>
    <w:rsid w:val="00EC52BC"/>
    <w:rsid w:val="00EC5DC5"/>
    <w:rsid w:val="00EC5F6C"/>
    <w:rsid w:val="00EC602E"/>
    <w:rsid w:val="00EC6472"/>
    <w:rsid w:val="00EC650B"/>
    <w:rsid w:val="00EC6712"/>
    <w:rsid w:val="00EC67AD"/>
    <w:rsid w:val="00EC6871"/>
    <w:rsid w:val="00EC6ECE"/>
    <w:rsid w:val="00EC73F7"/>
    <w:rsid w:val="00EC751C"/>
    <w:rsid w:val="00EC7F52"/>
    <w:rsid w:val="00ED0027"/>
    <w:rsid w:val="00ED0C1F"/>
    <w:rsid w:val="00ED112B"/>
    <w:rsid w:val="00ED133A"/>
    <w:rsid w:val="00ED19F6"/>
    <w:rsid w:val="00ED1E3B"/>
    <w:rsid w:val="00ED2166"/>
    <w:rsid w:val="00ED25DD"/>
    <w:rsid w:val="00ED2639"/>
    <w:rsid w:val="00ED2899"/>
    <w:rsid w:val="00ED2A65"/>
    <w:rsid w:val="00ED2B0F"/>
    <w:rsid w:val="00ED342A"/>
    <w:rsid w:val="00ED3546"/>
    <w:rsid w:val="00ED35AA"/>
    <w:rsid w:val="00ED36BC"/>
    <w:rsid w:val="00ED38FF"/>
    <w:rsid w:val="00ED3F28"/>
    <w:rsid w:val="00ED3F56"/>
    <w:rsid w:val="00ED4848"/>
    <w:rsid w:val="00ED6611"/>
    <w:rsid w:val="00ED67C4"/>
    <w:rsid w:val="00ED6B86"/>
    <w:rsid w:val="00ED6E73"/>
    <w:rsid w:val="00ED772D"/>
    <w:rsid w:val="00ED78A2"/>
    <w:rsid w:val="00ED7ED0"/>
    <w:rsid w:val="00EE0006"/>
    <w:rsid w:val="00EE0046"/>
    <w:rsid w:val="00EE04B3"/>
    <w:rsid w:val="00EE09E6"/>
    <w:rsid w:val="00EE0AA4"/>
    <w:rsid w:val="00EE0E2F"/>
    <w:rsid w:val="00EE170D"/>
    <w:rsid w:val="00EE1AAE"/>
    <w:rsid w:val="00EE21B7"/>
    <w:rsid w:val="00EE227C"/>
    <w:rsid w:val="00EE3065"/>
    <w:rsid w:val="00EE3148"/>
    <w:rsid w:val="00EE31EE"/>
    <w:rsid w:val="00EE349A"/>
    <w:rsid w:val="00EE361E"/>
    <w:rsid w:val="00EE3761"/>
    <w:rsid w:val="00EE46E7"/>
    <w:rsid w:val="00EE4767"/>
    <w:rsid w:val="00EE4A2A"/>
    <w:rsid w:val="00EE4B8F"/>
    <w:rsid w:val="00EE4DC2"/>
    <w:rsid w:val="00EE549F"/>
    <w:rsid w:val="00EE566E"/>
    <w:rsid w:val="00EE5D39"/>
    <w:rsid w:val="00EE5F84"/>
    <w:rsid w:val="00EE5F8A"/>
    <w:rsid w:val="00EE5FEC"/>
    <w:rsid w:val="00EE64F9"/>
    <w:rsid w:val="00EE6605"/>
    <w:rsid w:val="00EE6806"/>
    <w:rsid w:val="00EE6FC4"/>
    <w:rsid w:val="00EE7269"/>
    <w:rsid w:val="00EE72DE"/>
    <w:rsid w:val="00EE75E6"/>
    <w:rsid w:val="00EE76DE"/>
    <w:rsid w:val="00EE7718"/>
    <w:rsid w:val="00EE7A36"/>
    <w:rsid w:val="00EF04A7"/>
    <w:rsid w:val="00EF0C12"/>
    <w:rsid w:val="00EF0E63"/>
    <w:rsid w:val="00EF110D"/>
    <w:rsid w:val="00EF13CA"/>
    <w:rsid w:val="00EF1589"/>
    <w:rsid w:val="00EF1728"/>
    <w:rsid w:val="00EF25F1"/>
    <w:rsid w:val="00EF2623"/>
    <w:rsid w:val="00EF2C08"/>
    <w:rsid w:val="00EF2E98"/>
    <w:rsid w:val="00EF30FE"/>
    <w:rsid w:val="00EF3165"/>
    <w:rsid w:val="00EF31AE"/>
    <w:rsid w:val="00EF36A3"/>
    <w:rsid w:val="00EF39A2"/>
    <w:rsid w:val="00EF3C5D"/>
    <w:rsid w:val="00EF43F9"/>
    <w:rsid w:val="00EF4526"/>
    <w:rsid w:val="00EF4B9F"/>
    <w:rsid w:val="00EF4D7F"/>
    <w:rsid w:val="00EF4DD6"/>
    <w:rsid w:val="00EF5CE5"/>
    <w:rsid w:val="00EF6244"/>
    <w:rsid w:val="00EF6498"/>
    <w:rsid w:val="00EF64C7"/>
    <w:rsid w:val="00EF6EAC"/>
    <w:rsid w:val="00EF6F59"/>
    <w:rsid w:val="00EF6FF5"/>
    <w:rsid w:val="00EF79AB"/>
    <w:rsid w:val="00F00777"/>
    <w:rsid w:val="00F0090D"/>
    <w:rsid w:val="00F00CF6"/>
    <w:rsid w:val="00F01418"/>
    <w:rsid w:val="00F01604"/>
    <w:rsid w:val="00F016E3"/>
    <w:rsid w:val="00F0183B"/>
    <w:rsid w:val="00F018A9"/>
    <w:rsid w:val="00F01A2E"/>
    <w:rsid w:val="00F01C04"/>
    <w:rsid w:val="00F01C5F"/>
    <w:rsid w:val="00F0235A"/>
    <w:rsid w:val="00F023EF"/>
    <w:rsid w:val="00F025F1"/>
    <w:rsid w:val="00F0272D"/>
    <w:rsid w:val="00F02732"/>
    <w:rsid w:val="00F02823"/>
    <w:rsid w:val="00F02AE6"/>
    <w:rsid w:val="00F02DF3"/>
    <w:rsid w:val="00F030A1"/>
    <w:rsid w:val="00F033CB"/>
    <w:rsid w:val="00F0345D"/>
    <w:rsid w:val="00F034D5"/>
    <w:rsid w:val="00F0364A"/>
    <w:rsid w:val="00F03AD9"/>
    <w:rsid w:val="00F040CE"/>
    <w:rsid w:val="00F04275"/>
    <w:rsid w:val="00F05235"/>
    <w:rsid w:val="00F058A4"/>
    <w:rsid w:val="00F05BFE"/>
    <w:rsid w:val="00F05F8F"/>
    <w:rsid w:val="00F0655A"/>
    <w:rsid w:val="00F0657A"/>
    <w:rsid w:val="00F0673B"/>
    <w:rsid w:val="00F06A09"/>
    <w:rsid w:val="00F06AAF"/>
    <w:rsid w:val="00F06DD5"/>
    <w:rsid w:val="00F06F50"/>
    <w:rsid w:val="00F0707A"/>
    <w:rsid w:val="00F077D1"/>
    <w:rsid w:val="00F07A77"/>
    <w:rsid w:val="00F1016F"/>
    <w:rsid w:val="00F10263"/>
    <w:rsid w:val="00F10579"/>
    <w:rsid w:val="00F1058A"/>
    <w:rsid w:val="00F10D19"/>
    <w:rsid w:val="00F11331"/>
    <w:rsid w:val="00F11837"/>
    <w:rsid w:val="00F11855"/>
    <w:rsid w:val="00F11D7C"/>
    <w:rsid w:val="00F11F19"/>
    <w:rsid w:val="00F11FB7"/>
    <w:rsid w:val="00F123E6"/>
    <w:rsid w:val="00F127BD"/>
    <w:rsid w:val="00F12D97"/>
    <w:rsid w:val="00F13493"/>
    <w:rsid w:val="00F13E42"/>
    <w:rsid w:val="00F146C7"/>
    <w:rsid w:val="00F14A2C"/>
    <w:rsid w:val="00F14C82"/>
    <w:rsid w:val="00F14CCE"/>
    <w:rsid w:val="00F14DD0"/>
    <w:rsid w:val="00F14E37"/>
    <w:rsid w:val="00F15042"/>
    <w:rsid w:val="00F1508D"/>
    <w:rsid w:val="00F15329"/>
    <w:rsid w:val="00F15464"/>
    <w:rsid w:val="00F154BD"/>
    <w:rsid w:val="00F15891"/>
    <w:rsid w:val="00F15BD0"/>
    <w:rsid w:val="00F15E3F"/>
    <w:rsid w:val="00F16012"/>
    <w:rsid w:val="00F16832"/>
    <w:rsid w:val="00F16A6E"/>
    <w:rsid w:val="00F176D2"/>
    <w:rsid w:val="00F178F3"/>
    <w:rsid w:val="00F20117"/>
    <w:rsid w:val="00F20653"/>
    <w:rsid w:val="00F209A5"/>
    <w:rsid w:val="00F21106"/>
    <w:rsid w:val="00F21326"/>
    <w:rsid w:val="00F2162D"/>
    <w:rsid w:val="00F21672"/>
    <w:rsid w:val="00F21678"/>
    <w:rsid w:val="00F216DB"/>
    <w:rsid w:val="00F217C5"/>
    <w:rsid w:val="00F21AF2"/>
    <w:rsid w:val="00F21BE3"/>
    <w:rsid w:val="00F21F26"/>
    <w:rsid w:val="00F22A2C"/>
    <w:rsid w:val="00F22FED"/>
    <w:rsid w:val="00F23657"/>
    <w:rsid w:val="00F23B05"/>
    <w:rsid w:val="00F23BBD"/>
    <w:rsid w:val="00F23D0E"/>
    <w:rsid w:val="00F23D50"/>
    <w:rsid w:val="00F243A6"/>
    <w:rsid w:val="00F24784"/>
    <w:rsid w:val="00F24C8F"/>
    <w:rsid w:val="00F24D48"/>
    <w:rsid w:val="00F24D7A"/>
    <w:rsid w:val="00F24E5E"/>
    <w:rsid w:val="00F24F77"/>
    <w:rsid w:val="00F2501E"/>
    <w:rsid w:val="00F25094"/>
    <w:rsid w:val="00F25239"/>
    <w:rsid w:val="00F25346"/>
    <w:rsid w:val="00F25412"/>
    <w:rsid w:val="00F2569D"/>
    <w:rsid w:val="00F26081"/>
    <w:rsid w:val="00F262EE"/>
    <w:rsid w:val="00F26495"/>
    <w:rsid w:val="00F2650F"/>
    <w:rsid w:val="00F2651A"/>
    <w:rsid w:val="00F2657B"/>
    <w:rsid w:val="00F2662E"/>
    <w:rsid w:val="00F26CBB"/>
    <w:rsid w:val="00F27878"/>
    <w:rsid w:val="00F27AD3"/>
    <w:rsid w:val="00F27C47"/>
    <w:rsid w:val="00F27E70"/>
    <w:rsid w:val="00F30054"/>
    <w:rsid w:val="00F30486"/>
    <w:rsid w:val="00F30658"/>
    <w:rsid w:val="00F30675"/>
    <w:rsid w:val="00F309E7"/>
    <w:rsid w:val="00F3102B"/>
    <w:rsid w:val="00F3108D"/>
    <w:rsid w:val="00F31458"/>
    <w:rsid w:val="00F314A9"/>
    <w:rsid w:val="00F31832"/>
    <w:rsid w:val="00F31974"/>
    <w:rsid w:val="00F31B33"/>
    <w:rsid w:val="00F31C2A"/>
    <w:rsid w:val="00F31E41"/>
    <w:rsid w:val="00F31E86"/>
    <w:rsid w:val="00F32423"/>
    <w:rsid w:val="00F337D7"/>
    <w:rsid w:val="00F3413B"/>
    <w:rsid w:val="00F34214"/>
    <w:rsid w:val="00F344DB"/>
    <w:rsid w:val="00F344E5"/>
    <w:rsid w:val="00F34B2A"/>
    <w:rsid w:val="00F34BBC"/>
    <w:rsid w:val="00F34E2E"/>
    <w:rsid w:val="00F3509B"/>
    <w:rsid w:val="00F3511B"/>
    <w:rsid w:val="00F355A0"/>
    <w:rsid w:val="00F356D9"/>
    <w:rsid w:val="00F359A8"/>
    <w:rsid w:val="00F35B0B"/>
    <w:rsid w:val="00F35C32"/>
    <w:rsid w:val="00F35F40"/>
    <w:rsid w:val="00F36004"/>
    <w:rsid w:val="00F3606C"/>
    <w:rsid w:val="00F36AAE"/>
    <w:rsid w:val="00F36D09"/>
    <w:rsid w:val="00F36D6A"/>
    <w:rsid w:val="00F3763A"/>
    <w:rsid w:val="00F37C34"/>
    <w:rsid w:val="00F37DA7"/>
    <w:rsid w:val="00F37FBF"/>
    <w:rsid w:val="00F40690"/>
    <w:rsid w:val="00F40CEE"/>
    <w:rsid w:val="00F40E23"/>
    <w:rsid w:val="00F40F4B"/>
    <w:rsid w:val="00F4158C"/>
    <w:rsid w:val="00F41846"/>
    <w:rsid w:val="00F418B8"/>
    <w:rsid w:val="00F41AB2"/>
    <w:rsid w:val="00F41E08"/>
    <w:rsid w:val="00F42617"/>
    <w:rsid w:val="00F428CD"/>
    <w:rsid w:val="00F42DDB"/>
    <w:rsid w:val="00F4349A"/>
    <w:rsid w:val="00F437A3"/>
    <w:rsid w:val="00F43966"/>
    <w:rsid w:val="00F43DED"/>
    <w:rsid w:val="00F44095"/>
    <w:rsid w:val="00F4496D"/>
    <w:rsid w:val="00F44BF2"/>
    <w:rsid w:val="00F44CBA"/>
    <w:rsid w:val="00F44E13"/>
    <w:rsid w:val="00F451EC"/>
    <w:rsid w:val="00F452D4"/>
    <w:rsid w:val="00F45627"/>
    <w:rsid w:val="00F45B88"/>
    <w:rsid w:val="00F45CBB"/>
    <w:rsid w:val="00F45CE5"/>
    <w:rsid w:val="00F468FD"/>
    <w:rsid w:val="00F46D78"/>
    <w:rsid w:val="00F4704E"/>
    <w:rsid w:val="00F4730F"/>
    <w:rsid w:val="00F47658"/>
    <w:rsid w:val="00F47A55"/>
    <w:rsid w:val="00F47A71"/>
    <w:rsid w:val="00F47EC6"/>
    <w:rsid w:val="00F50142"/>
    <w:rsid w:val="00F50473"/>
    <w:rsid w:val="00F508F9"/>
    <w:rsid w:val="00F50A55"/>
    <w:rsid w:val="00F50AA4"/>
    <w:rsid w:val="00F50F10"/>
    <w:rsid w:val="00F51606"/>
    <w:rsid w:val="00F51740"/>
    <w:rsid w:val="00F51D6E"/>
    <w:rsid w:val="00F52760"/>
    <w:rsid w:val="00F52F2E"/>
    <w:rsid w:val="00F53009"/>
    <w:rsid w:val="00F5304E"/>
    <w:rsid w:val="00F53071"/>
    <w:rsid w:val="00F534A6"/>
    <w:rsid w:val="00F53A63"/>
    <w:rsid w:val="00F53D6B"/>
    <w:rsid w:val="00F54580"/>
    <w:rsid w:val="00F549CF"/>
    <w:rsid w:val="00F54F92"/>
    <w:rsid w:val="00F550D7"/>
    <w:rsid w:val="00F553B8"/>
    <w:rsid w:val="00F55B46"/>
    <w:rsid w:val="00F55D13"/>
    <w:rsid w:val="00F55DA1"/>
    <w:rsid w:val="00F5610D"/>
    <w:rsid w:val="00F5622F"/>
    <w:rsid w:val="00F563FD"/>
    <w:rsid w:val="00F566E9"/>
    <w:rsid w:val="00F57091"/>
    <w:rsid w:val="00F57877"/>
    <w:rsid w:val="00F57CD9"/>
    <w:rsid w:val="00F60622"/>
    <w:rsid w:val="00F60656"/>
    <w:rsid w:val="00F6077D"/>
    <w:rsid w:val="00F60794"/>
    <w:rsid w:val="00F60903"/>
    <w:rsid w:val="00F612F7"/>
    <w:rsid w:val="00F61667"/>
    <w:rsid w:val="00F616F4"/>
    <w:rsid w:val="00F61829"/>
    <w:rsid w:val="00F61A63"/>
    <w:rsid w:val="00F61F18"/>
    <w:rsid w:val="00F61F8F"/>
    <w:rsid w:val="00F62072"/>
    <w:rsid w:val="00F62135"/>
    <w:rsid w:val="00F62338"/>
    <w:rsid w:val="00F6292D"/>
    <w:rsid w:val="00F62B30"/>
    <w:rsid w:val="00F63188"/>
    <w:rsid w:val="00F6366D"/>
    <w:rsid w:val="00F6398F"/>
    <w:rsid w:val="00F63B2E"/>
    <w:rsid w:val="00F63D4D"/>
    <w:rsid w:val="00F64221"/>
    <w:rsid w:val="00F64416"/>
    <w:rsid w:val="00F64509"/>
    <w:rsid w:val="00F64592"/>
    <w:rsid w:val="00F648C5"/>
    <w:rsid w:val="00F64A58"/>
    <w:rsid w:val="00F64AC1"/>
    <w:rsid w:val="00F64B79"/>
    <w:rsid w:val="00F6505A"/>
    <w:rsid w:val="00F650C9"/>
    <w:rsid w:val="00F65DEA"/>
    <w:rsid w:val="00F66232"/>
    <w:rsid w:val="00F665CF"/>
    <w:rsid w:val="00F6714E"/>
    <w:rsid w:val="00F67445"/>
    <w:rsid w:val="00F6767E"/>
    <w:rsid w:val="00F701E5"/>
    <w:rsid w:val="00F70270"/>
    <w:rsid w:val="00F7058C"/>
    <w:rsid w:val="00F71379"/>
    <w:rsid w:val="00F71486"/>
    <w:rsid w:val="00F71795"/>
    <w:rsid w:val="00F72024"/>
    <w:rsid w:val="00F72425"/>
    <w:rsid w:val="00F72EC6"/>
    <w:rsid w:val="00F72ED7"/>
    <w:rsid w:val="00F72FBD"/>
    <w:rsid w:val="00F73037"/>
    <w:rsid w:val="00F7355C"/>
    <w:rsid w:val="00F73ABB"/>
    <w:rsid w:val="00F749C2"/>
    <w:rsid w:val="00F74D56"/>
    <w:rsid w:val="00F74F1F"/>
    <w:rsid w:val="00F74FFB"/>
    <w:rsid w:val="00F750F4"/>
    <w:rsid w:val="00F75190"/>
    <w:rsid w:val="00F7533D"/>
    <w:rsid w:val="00F753E2"/>
    <w:rsid w:val="00F75409"/>
    <w:rsid w:val="00F75425"/>
    <w:rsid w:val="00F7568E"/>
    <w:rsid w:val="00F756DB"/>
    <w:rsid w:val="00F757A0"/>
    <w:rsid w:val="00F7593D"/>
    <w:rsid w:val="00F759E5"/>
    <w:rsid w:val="00F76269"/>
    <w:rsid w:val="00F76735"/>
    <w:rsid w:val="00F76E10"/>
    <w:rsid w:val="00F76F39"/>
    <w:rsid w:val="00F771FC"/>
    <w:rsid w:val="00F7736C"/>
    <w:rsid w:val="00F7755C"/>
    <w:rsid w:val="00F77875"/>
    <w:rsid w:val="00F778DA"/>
    <w:rsid w:val="00F77AD4"/>
    <w:rsid w:val="00F80027"/>
    <w:rsid w:val="00F80069"/>
    <w:rsid w:val="00F80526"/>
    <w:rsid w:val="00F80963"/>
    <w:rsid w:val="00F80B83"/>
    <w:rsid w:val="00F80F5E"/>
    <w:rsid w:val="00F8171E"/>
    <w:rsid w:val="00F81A28"/>
    <w:rsid w:val="00F81CC1"/>
    <w:rsid w:val="00F826BC"/>
    <w:rsid w:val="00F8273B"/>
    <w:rsid w:val="00F82D37"/>
    <w:rsid w:val="00F82F26"/>
    <w:rsid w:val="00F839A3"/>
    <w:rsid w:val="00F83A4A"/>
    <w:rsid w:val="00F841D2"/>
    <w:rsid w:val="00F84648"/>
    <w:rsid w:val="00F846BA"/>
    <w:rsid w:val="00F8487D"/>
    <w:rsid w:val="00F848AF"/>
    <w:rsid w:val="00F84FCB"/>
    <w:rsid w:val="00F8513B"/>
    <w:rsid w:val="00F853F7"/>
    <w:rsid w:val="00F855DA"/>
    <w:rsid w:val="00F85B1F"/>
    <w:rsid w:val="00F85BCC"/>
    <w:rsid w:val="00F86045"/>
    <w:rsid w:val="00F86149"/>
    <w:rsid w:val="00F86277"/>
    <w:rsid w:val="00F86382"/>
    <w:rsid w:val="00F864B2"/>
    <w:rsid w:val="00F86639"/>
    <w:rsid w:val="00F8683B"/>
    <w:rsid w:val="00F86E17"/>
    <w:rsid w:val="00F87624"/>
    <w:rsid w:val="00F878EA"/>
    <w:rsid w:val="00F87F23"/>
    <w:rsid w:val="00F900AF"/>
    <w:rsid w:val="00F900B7"/>
    <w:rsid w:val="00F909B1"/>
    <w:rsid w:val="00F90C11"/>
    <w:rsid w:val="00F90DE9"/>
    <w:rsid w:val="00F90EB4"/>
    <w:rsid w:val="00F925BA"/>
    <w:rsid w:val="00F92725"/>
    <w:rsid w:val="00F9292E"/>
    <w:rsid w:val="00F92A08"/>
    <w:rsid w:val="00F92F4A"/>
    <w:rsid w:val="00F937F9"/>
    <w:rsid w:val="00F9384B"/>
    <w:rsid w:val="00F93D40"/>
    <w:rsid w:val="00F94487"/>
    <w:rsid w:val="00F945EF"/>
    <w:rsid w:val="00F9461E"/>
    <w:rsid w:val="00F9492C"/>
    <w:rsid w:val="00F94B38"/>
    <w:rsid w:val="00F94BFA"/>
    <w:rsid w:val="00F94D21"/>
    <w:rsid w:val="00F94D48"/>
    <w:rsid w:val="00F9536D"/>
    <w:rsid w:val="00F9570A"/>
    <w:rsid w:val="00F95A8B"/>
    <w:rsid w:val="00F95D57"/>
    <w:rsid w:val="00F95EE7"/>
    <w:rsid w:val="00F96421"/>
    <w:rsid w:val="00F96746"/>
    <w:rsid w:val="00F96A77"/>
    <w:rsid w:val="00F96E43"/>
    <w:rsid w:val="00F9737A"/>
    <w:rsid w:val="00F9760B"/>
    <w:rsid w:val="00F9774B"/>
    <w:rsid w:val="00F97E82"/>
    <w:rsid w:val="00F97EEE"/>
    <w:rsid w:val="00FA05F0"/>
    <w:rsid w:val="00FA07E5"/>
    <w:rsid w:val="00FA0B7D"/>
    <w:rsid w:val="00FA1111"/>
    <w:rsid w:val="00FA1545"/>
    <w:rsid w:val="00FA1FD9"/>
    <w:rsid w:val="00FA2717"/>
    <w:rsid w:val="00FA2B84"/>
    <w:rsid w:val="00FA2CFC"/>
    <w:rsid w:val="00FA3312"/>
    <w:rsid w:val="00FA35ED"/>
    <w:rsid w:val="00FA3840"/>
    <w:rsid w:val="00FA3E52"/>
    <w:rsid w:val="00FA416F"/>
    <w:rsid w:val="00FA419A"/>
    <w:rsid w:val="00FA4504"/>
    <w:rsid w:val="00FA4606"/>
    <w:rsid w:val="00FA4B25"/>
    <w:rsid w:val="00FA4D14"/>
    <w:rsid w:val="00FA4F73"/>
    <w:rsid w:val="00FA503D"/>
    <w:rsid w:val="00FA561F"/>
    <w:rsid w:val="00FA57D0"/>
    <w:rsid w:val="00FA5B77"/>
    <w:rsid w:val="00FA5E02"/>
    <w:rsid w:val="00FA5E4D"/>
    <w:rsid w:val="00FA6242"/>
    <w:rsid w:val="00FA6473"/>
    <w:rsid w:val="00FA6910"/>
    <w:rsid w:val="00FA6A37"/>
    <w:rsid w:val="00FA6AFC"/>
    <w:rsid w:val="00FA7019"/>
    <w:rsid w:val="00FA71D6"/>
    <w:rsid w:val="00FA7BC3"/>
    <w:rsid w:val="00FA7EE6"/>
    <w:rsid w:val="00FB00B3"/>
    <w:rsid w:val="00FB0155"/>
    <w:rsid w:val="00FB1030"/>
    <w:rsid w:val="00FB15D1"/>
    <w:rsid w:val="00FB18F5"/>
    <w:rsid w:val="00FB217F"/>
    <w:rsid w:val="00FB243B"/>
    <w:rsid w:val="00FB2470"/>
    <w:rsid w:val="00FB270C"/>
    <w:rsid w:val="00FB274F"/>
    <w:rsid w:val="00FB2840"/>
    <w:rsid w:val="00FB28B1"/>
    <w:rsid w:val="00FB29C2"/>
    <w:rsid w:val="00FB2C55"/>
    <w:rsid w:val="00FB3235"/>
    <w:rsid w:val="00FB367B"/>
    <w:rsid w:val="00FB3ABE"/>
    <w:rsid w:val="00FB3BD3"/>
    <w:rsid w:val="00FB3F56"/>
    <w:rsid w:val="00FB3FEA"/>
    <w:rsid w:val="00FB4586"/>
    <w:rsid w:val="00FB4688"/>
    <w:rsid w:val="00FB4A99"/>
    <w:rsid w:val="00FB4D83"/>
    <w:rsid w:val="00FB4D99"/>
    <w:rsid w:val="00FB4E87"/>
    <w:rsid w:val="00FB521A"/>
    <w:rsid w:val="00FB5979"/>
    <w:rsid w:val="00FB5AE9"/>
    <w:rsid w:val="00FB5FD8"/>
    <w:rsid w:val="00FB647D"/>
    <w:rsid w:val="00FB6551"/>
    <w:rsid w:val="00FB69A5"/>
    <w:rsid w:val="00FB6C63"/>
    <w:rsid w:val="00FB6E37"/>
    <w:rsid w:val="00FB7120"/>
    <w:rsid w:val="00FB71C8"/>
    <w:rsid w:val="00FB7393"/>
    <w:rsid w:val="00FC0362"/>
    <w:rsid w:val="00FC0CA7"/>
    <w:rsid w:val="00FC1261"/>
    <w:rsid w:val="00FC134D"/>
    <w:rsid w:val="00FC1377"/>
    <w:rsid w:val="00FC13F0"/>
    <w:rsid w:val="00FC1620"/>
    <w:rsid w:val="00FC18C8"/>
    <w:rsid w:val="00FC1BEE"/>
    <w:rsid w:val="00FC1D54"/>
    <w:rsid w:val="00FC20C3"/>
    <w:rsid w:val="00FC252B"/>
    <w:rsid w:val="00FC26BA"/>
    <w:rsid w:val="00FC2AB7"/>
    <w:rsid w:val="00FC2CD7"/>
    <w:rsid w:val="00FC2CE1"/>
    <w:rsid w:val="00FC2D32"/>
    <w:rsid w:val="00FC320F"/>
    <w:rsid w:val="00FC38F3"/>
    <w:rsid w:val="00FC3EBD"/>
    <w:rsid w:val="00FC44F8"/>
    <w:rsid w:val="00FC45B5"/>
    <w:rsid w:val="00FC4779"/>
    <w:rsid w:val="00FC48C2"/>
    <w:rsid w:val="00FC4A26"/>
    <w:rsid w:val="00FC5115"/>
    <w:rsid w:val="00FC585F"/>
    <w:rsid w:val="00FC59E5"/>
    <w:rsid w:val="00FC5CB0"/>
    <w:rsid w:val="00FC5E2E"/>
    <w:rsid w:val="00FC601C"/>
    <w:rsid w:val="00FC6365"/>
    <w:rsid w:val="00FC63E6"/>
    <w:rsid w:val="00FC6760"/>
    <w:rsid w:val="00FC6C56"/>
    <w:rsid w:val="00FC779A"/>
    <w:rsid w:val="00FC7859"/>
    <w:rsid w:val="00FC7F44"/>
    <w:rsid w:val="00FD0230"/>
    <w:rsid w:val="00FD03EC"/>
    <w:rsid w:val="00FD0507"/>
    <w:rsid w:val="00FD06B2"/>
    <w:rsid w:val="00FD07E0"/>
    <w:rsid w:val="00FD08CF"/>
    <w:rsid w:val="00FD0925"/>
    <w:rsid w:val="00FD0A5A"/>
    <w:rsid w:val="00FD0B98"/>
    <w:rsid w:val="00FD0D08"/>
    <w:rsid w:val="00FD0D76"/>
    <w:rsid w:val="00FD0E71"/>
    <w:rsid w:val="00FD0EDB"/>
    <w:rsid w:val="00FD0F47"/>
    <w:rsid w:val="00FD1760"/>
    <w:rsid w:val="00FD1B57"/>
    <w:rsid w:val="00FD1C20"/>
    <w:rsid w:val="00FD2B5E"/>
    <w:rsid w:val="00FD2DA9"/>
    <w:rsid w:val="00FD307D"/>
    <w:rsid w:val="00FD3095"/>
    <w:rsid w:val="00FD3CCA"/>
    <w:rsid w:val="00FD3E9B"/>
    <w:rsid w:val="00FD458C"/>
    <w:rsid w:val="00FD46D2"/>
    <w:rsid w:val="00FD4C31"/>
    <w:rsid w:val="00FD4E57"/>
    <w:rsid w:val="00FD58CB"/>
    <w:rsid w:val="00FD5A9A"/>
    <w:rsid w:val="00FD5C34"/>
    <w:rsid w:val="00FD6256"/>
    <w:rsid w:val="00FD66AE"/>
    <w:rsid w:val="00FD6DF1"/>
    <w:rsid w:val="00FD6F01"/>
    <w:rsid w:val="00FD7373"/>
    <w:rsid w:val="00FD7697"/>
    <w:rsid w:val="00FD76E2"/>
    <w:rsid w:val="00FD7FA6"/>
    <w:rsid w:val="00FE027C"/>
    <w:rsid w:val="00FE08C1"/>
    <w:rsid w:val="00FE0957"/>
    <w:rsid w:val="00FE1069"/>
    <w:rsid w:val="00FE1481"/>
    <w:rsid w:val="00FE16CD"/>
    <w:rsid w:val="00FE17A5"/>
    <w:rsid w:val="00FE18C9"/>
    <w:rsid w:val="00FE1FC9"/>
    <w:rsid w:val="00FE265B"/>
    <w:rsid w:val="00FE278C"/>
    <w:rsid w:val="00FE35CB"/>
    <w:rsid w:val="00FE36DE"/>
    <w:rsid w:val="00FE3972"/>
    <w:rsid w:val="00FE4AC9"/>
    <w:rsid w:val="00FE5033"/>
    <w:rsid w:val="00FE5044"/>
    <w:rsid w:val="00FE51EC"/>
    <w:rsid w:val="00FE5374"/>
    <w:rsid w:val="00FE58A0"/>
    <w:rsid w:val="00FE5DD9"/>
    <w:rsid w:val="00FE5EAB"/>
    <w:rsid w:val="00FE619F"/>
    <w:rsid w:val="00FE6238"/>
    <w:rsid w:val="00FE690F"/>
    <w:rsid w:val="00FE6A9F"/>
    <w:rsid w:val="00FE6E69"/>
    <w:rsid w:val="00FE7314"/>
    <w:rsid w:val="00FE751C"/>
    <w:rsid w:val="00FE77CA"/>
    <w:rsid w:val="00FE7A83"/>
    <w:rsid w:val="00FF070B"/>
    <w:rsid w:val="00FF0B11"/>
    <w:rsid w:val="00FF0DB8"/>
    <w:rsid w:val="00FF109E"/>
    <w:rsid w:val="00FF1CA9"/>
    <w:rsid w:val="00FF1CEC"/>
    <w:rsid w:val="00FF1E45"/>
    <w:rsid w:val="00FF29C4"/>
    <w:rsid w:val="00FF29FF"/>
    <w:rsid w:val="00FF2AB0"/>
    <w:rsid w:val="00FF2B0D"/>
    <w:rsid w:val="00FF2CA2"/>
    <w:rsid w:val="00FF2EE6"/>
    <w:rsid w:val="00FF380B"/>
    <w:rsid w:val="00FF3C7F"/>
    <w:rsid w:val="00FF454F"/>
    <w:rsid w:val="00FF461C"/>
    <w:rsid w:val="00FF4681"/>
    <w:rsid w:val="00FF5386"/>
    <w:rsid w:val="00FF5510"/>
    <w:rsid w:val="00FF5AA9"/>
    <w:rsid w:val="00FF5C48"/>
    <w:rsid w:val="00FF5D46"/>
    <w:rsid w:val="00FF5E9E"/>
    <w:rsid w:val="00FF6708"/>
    <w:rsid w:val="00FF67B8"/>
    <w:rsid w:val="00FF6887"/>
    <w:rsid w:val="00FF6F4D"/>
    <w:rsid w:val="00FF71D3"/>
    <w:rsid w:val="00FF757C"/>
    <w:rsid w:val="00FF766A"/>
    <w:rsid w:val="00FF76DD"/>
    <w:rsid w:val="00FF7A4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semiHidden/>
    <w:locked/>
    <w:rsid w:val="000862E0"/>
    <w:rPr>
      <w:rFonts w:ascii="Cambria" w:hAnsi="Cambria" w:cs="Times New Roman"/>
      <w:b/>
      <w:bCs/>
      <w:i/>
      <w:iCs/>
      <w:sz w:val="28"/>
      <w:szCs w:val="28"/>
    </w:rPr>
  </w:style>
  <w:style w:type="character" w:customStyle="1" w:styleId="Titre3Car">
    <w:name w:val="Titre 3 Car"/>
    <w:link w:val="Titre3"/>
    <w:uiPriority w:val="99"/>
    <w:semiHidden/>
    <w:locked/>
    <w:rsid w:val="000862E0"/>
    <w:rPr>
      <w:rFonts w:ascii="Cambria" w:hAnsi="Cambria" w:cs="Times New Roman"/>
      <w:b/>
      <w:bCs/>
      <w:sz w:val="26"/>
      <w:szCs w:val="26"/>
    </w:rPr>
  </w:style>
  <w:style w:type="character" w:styleId="Accentuation">
    <w:name w:val="Emphasis"/>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locked/>
    <w:rsid w:val="000862E0"/>
    <w:rPr>
      <w:rFonts w:cs="Times New Roman"/>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rsid w:val="00AC3133"/>
    <w:pPr>
      <w:jc w:val="both"/>
    </w:pPr>
  </w:style>
  <w:style w:type="character" w:customStyle="1" w:styleId="CorpsdetexteCar">
    <w:name w:val="Corps de texte Car"/>
    <w:link w:val="Corpsdetexte"/>
    <w:locked/>
    <w:rsid w:val="000862E0"/>
    <w:rPr>
      <w:rFonts w:cs="Times New Roman"/>
      <w:sz w:val="24"/>
      <w:szCs w:val="24"/>
    </w:rPr>
  </w:style>
  <w:style w:type="paragraph" w:styleId="Titre">
    <w:name w:val="Title"/>
    <w:basedOn w:val="Normal"/>
    <w:link w:val="TitreCar"/>
    <w:uiPriority w:val="10"/>
    <w:qFormat/>
    <w:rsid w:val="00AC3133"/>
    <w:pPr>
      <w:jc w:val="center"/>
    </w:pPr>
    <w:rPr>
      <w:rFonts w:ascii="Cambria" w:hAnsi="Cambria"/>
      <w:b/>
      <w:bCs/>
      <w:kern w:val="28"/>
      <w:sz w:val="32"/>
      <w:szCs w:val="32"/>
    </w:rPr>
  </w:style>
  <w:style w:type="character" w:customStyle="1" w:styleId="TitreCar">
    <w:name w:val="Titre Car"/>
    <w:link w:val="Titre"/>
    <w:uiPriority w:val="10"/>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sz w:val="2"/>
      <w:szCs w:val="20"/>
    </w:rPr>
  </w:style>
  <w:style w:type="character" w:customStyle="1" w:styleId="TextedebullesCar">
    <w:name w:val="Texte de bulles Car"/>
    <w:link w:val="Textedebulles"/>
    <w:uiPriority w:val="99"/>
    <w:semiHidden/>
    <w:locked/>
    <w:rsid w:val="000862E0"/>
    <w:rPr>
      <w:rFonts w:cs="Times New Roman"/>
      <w:sz w:val="2"/>
    </w:rPr>
  </w:style>
  <w:style w:type="character" w:customStyle="1" w:styleId="hps">
    <w:name w:val="hps"/>
    <w:uiPriority w:val="99"/>
    <w:rsid w:val="001E2E19"/>
    <w:rPr>
      <w:rFonts w:cs="Times New Roman"/>
    </w:rPr>
  </w:style>
  <w:style w:type="character" w:customStyle="1" w:styleId="hpsatn">
    <w:name w:val="hps atn"/>
    <w:uiPriority w:val="99"/>
    <w:rsid w:val="0080084F"/>
    <w:rPr>
      <w:rFonts w:cs="Times New Roman"/>
    </w:rPr>
  </w:style>
  <w:style w:type="character" w:styleId="lev">
    <w:name w:val="Strong"/>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link w:val="Notedebasdepage"/>
    <w:uiPriority w:val="99"/>
    <w:semiHidden/>
    <w:locked/>
    <w:rsid w:val="00AA46C6"/>
    <w:rPr>
      <w:rFonts w:ascii="Calibri" w:hAnsi="Calibri" w:cs="Arial"/>
      <w:lang w:val="fr-FR" w:eastAsia="en-US" w:bidi="ar-SA"/>
    </w:rPr>
  </w:style>
  <w:style w:type="character" w:styleId="Appelnotedebasdep">
    <w:name w:val="footnote reference"/>
    <w:uiPriority w:val="99"/>
    <w:semiHidden/>
    <w:rsid w:val="00AA46C6"/>
    <w:rPr>
      <w:rFonts w:cs="Times New Roman"/>
      <w:vertAlign w:val="superscript"/>
    </w:rPr>
  </w:style>
  <w:style w:type="character" w:customStyle="1" w:styleId="ebo1e">
    <w:name w:val="ebo1e"/>
    <w:uiPriority w:val="99"/>
    <w:rsid w:val="001712FF"/>
    <w:rPr>
      <w:rFonts w:cs="Times New Roman"/>
    </w:rPr>
  </w:style>
  <w:style w:type="character" w:customStyle="1" w:styleId="fc0t1x20a">
    <w:name w:val="fc0t1x20a"/>
    <w:uiPriority w:val="99"/>
    <w:rsid w:val="00FB217F"/>
    <w:rPr>
      <w:rFonts w:cs="Times New Roman"/>
    </w:rPr>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1EA13-4078-48E8-817C-44AFB76F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2750</Words>
  <Characters>15127</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Sweet</Company>
  <LinksUpToDate>false</LinksUpToDate>
  <CharactersWithSpaces>17842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2</cp:revision>
  <cp:lastPrinted>2019-04-02T17:32:00Z</cp:lastPrinted>
  <dcterms:created xsi:type="dcterms:W3CDTF">2019-04-02T18:43:00Z</dcterms:created>
  <dcterms:modified xsi:type="dcterms:W3CDTF">2019-04-02T18:43:00Z</dcterms:modified>
</cp:coreProperties>
</file>