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364" w:rsidRDefault="003F0735" w:rsidP="003F0735">
      <w:pPr>
        <w:spacing w:after="0" w:line="240" w:lineRule="auto"/>
        <w:rPr>
          <w:rFonts w:ascii="Book Antiqua" w:eastAsiaTheme="minorHAnsi" w:hAnsi="Book Antiqua" w:cstheme="majorBidi"/>
          <w:b/>
          <w:bCs/>
          <w:sz w:val="32"/>
          <w:szCs w:val="32"/>
          <w:lang w:val="fr-MA"/>
        </w:rPr>
      </w:pPr>
      <w:r>
        <w:rPr>
          <w:rFonts w:ascii="Book Antiqua" w:eastAsiaTheme="minorHAnsi" w:hAnsi="Book Antiqua" w:cstheme="majorBidi"/>
          <w:b/>
          <w:bCs/>
          <w:noProof/>
          <w:sz w:val="32"/>
          <w:szCs w:val="32"/>
          <w:lang w:eastAsia="fr-FR"/>
        </w:rPr>
        <w:drawing>
          <wp:anchor distT="0" distB="0" distL="114300" distR="114300" simplePos="0" relativeHeight="251658240" behindDoc="0" locked="0" layoutInCell="1" allowOverlap="1">
            <wp:simplePos x="0" y="0"/>
            <wp:positionH relativeFrom="margin">
              <wp:align>center</wp:align>
            </wp:positionH>
            <wp:positionV relativeFrom="margin">
              <wp:posOffset>271145</wp:posOffset>
            </wp:positionV>
            <wp:extent cx="1543050" cy="1314450"/>
            <wp:effectExtent l="19050" t="0" r="0" b="0"/>
            <wp:wrapSquare wrapText="bothSides"/>
            <wp:docPr id="2" name="Image 0" descr="HCP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HCP LOGO 1.jpg"/>
                    <pic:cNvPicPr>
                      <a:picLocks noChangeAspect="1" noChangeArrowheads="1"/>
                    </pic:cNvPicPr>
                  </pic:nvPicPr>
                  <pic:blipFill>
                    <a:blip r:embed="rId8"/>
                    <a:srcRect/>
                    <a:stretch>
                      <a:fillRect/>
                    </a:stretch>
                  </pic:blipFill>
                  <pic:spPr bwMode="auto">
                    <a:xfrm>
                      <a:off x="0" y="0"/>
                      <a:ext cx="1543050" cy="1314450"/>
                    </a:xfrm>
                    <a:prstGeom prst="rect">
                      <a:avLst/>
                    </a:prstGeom>
                    <a:noFill/>
                    <a:ln w="9525">
                      <a:noFill/>
                      <a:miter lim="800000"/>
                      <a:headEnd/>
                      <a:tailEnd/>
                    </a:ln>
                  </pic:spPr>
                </pic:pic>
              </a:graphicData>
            </a:graphic>
          </wp:anchor>
        </w:drawing>
      </w:r>
    </w:p>
    <w:p w:rsidR="003F0735" w:rsidRDefault="003F0735" w:rsidP="006462C5">
      <w:pPr>
        <w:spacing w:after="0" w:line="240" w:lineRule="auto"/>
        <w:jc w:val="center"/>
        <w:rPr>
          <w:rFonts w:ascii="Book Antiqua" w:eastAsiaTheme="minorHAnsi" w:hAnsi="Book Antiqua" w:cstheme="majorBidi"/>
          <w:b/>
          <w:bCs/>
          <w:sz w:val="32"/>
          <w:szCs w:val="32"/>
          <w:lang w:val="fr-MA"/>
        </w:rPr>
      </w:pPr>
      <w:bookmarkStart w:id="0" w:name="_GoBack"/>
      <w:bookmarkEnd w:id="0"/>
    </w:p>
    <w:p w:rsidR="003F0735" w:rsidRDefault="003F0735" w:rsidP="006462C5">
      <w:pPr>
        <w:spacing w:after="0" w:line="240" w:lineRule="auto"/>
        <w:jc w:val="center"/>
        <w:rPr>
          <w:rFonts w:ascii="Book Antiqua" w:eastAsiaTheme="minorHAnsi" w:hAnsi="Book Antiqua" w:cstheme="majorBidi"/>
          <w:b/>
          <w:bCs/>
          <w:sz w:val="32"/>
          <w:szCs w:val="32"/>
          <w:lang w:val="fr-MA"/>
        </w:rPr>
      </w:pPr>
    </w:p>
    <w:p w:rsidR="003F0735" w:rsidRDefault="003F0735" w:rsidP="006462C5">
      <w:pPr>
        <w:spacing w:after="0" w:line="240" w:lineRule="auto"/>
        <w:jc w:val="center"/>
        <w:rPr>
          <w:rFonts w:ascii="Book Antiqua" w:eastAsiaTheme="minorHAnsi" w:hAnsi="Book Antiqua" w:cstheme="majorBidi"/>
          <w:b/>
          <w:bCs/>
          <w:sz w:val="32"/>
          <w:szCs w:val="32"/>
          <w:lang w:val="fr-MA"/>
        </w:rPr>
      </w:pPr>
    </w:p>
    <w:p w:rsidR="003F0735" w:rsidRDefault="003F0735" w:rsidP="006462C5">
      <w:pPr>
        <w:spacing w:after="0" w:line="240" w:lineRule="auto"/>
        <w:jc w:val="center"/>
        <w:rPr>
          <w:rFonts w:ascii="Book Antiqua" w:eastAsiaTheme="minorHAnsi" w:hAnsi="Book Antiqua" w:cstheme="majorBidi"/>
          <w:b/>
          <w:bCs/>
          <w:sz w:val="32"/>
          <w:szCs w:val="32"/>
          <w:lang w:val="fr-MA"/>
        </w:rPr>
      </w:pPr>
    </w:p>
    <w:p w:rsidR="003F0735" w:rsidRDefault="003F0735" w:rsidP="006462C5">
      <w:pPr>
        <w:spacing w:after="0" w:line="240" w:lineRule="auto"/>
        <w:jc w:val="center"/>
        <w:rPr>
          <w:rFonts w:ascii="Book Antiqua" w:eastAsiaTheme="minorHAnsi" w:hAnsi="Book Antiqua" w:cstheme="majorBidi"/>
          <w:b/>
          <w:bCs/>
          <w:sz w:val="32"/>
          <w:szCs w:val="32"/>
          <w:lang w:val="fr-MA"/>
        </w:rPr>
      </w:pPr>
    </w:p>
    <w:p w:rsidR="003F0735" w:rsidRDefault="003F0735" w:rsidP="006462C5">
      <w:pPr>
        <w:spacing w:after="0" w:line="240" w:lineRule="auto"/>
        <w:jc w:val="center"/>
        <w:rPr>
          <w:rFonts w:ascii="Book Antiqua" w:eastAsiaTheme="minorHAnsi" w:hAnsi="Book Antiqua" w:cstheme="majorBidi"/>
          <w:b/>
          <w:bCs/>
          <w:sz w:val="32"/>
          <w:szCs w:val="32"/>
          <w:lang w:val="fr-MA"/>
        </w:rPr>
      </w:pPr>
    </w:p>
    <w:p w:rsidR="003F0735" w:rsidRDefault="003F0735" w:rsidP="006462C5">
      <w:pPr>
        <w:spacing w:after="0" w:line="240" w:lineRule="auto"/>
        <w:jc w:val="center"/>
        <w:rPr>
          <w:rFonts w:ascii="Book Antiqua" w:eastAsiaTheme="minorHAnsi" w:hAnsi="Book Antiqua" w:cstheme="majorBidi"/>
          <w:b/>
          <w:bCs/>
          <w:sz w:val="32"/>
          <w:szCs w:val="32"/>
          <w:lang w:val="fr-MA"/>
        </w:rPr>
      </w:pPr>
    </w:p>
    <w:p w:rsidR="006462C5" w:rsidRPr="00940B3B" w:rsidRDefault="00940B3B" w:rsidP="006462C5">
      <w:pPr>
        <w:spacing w:after="0" w:line="240" w:lineRule="auto"/>
        <w:jc w:val="center"/>
        <w:rPr>
          <w:rFonts w:ascii="Book Antiqua" w:eastAsiaTheme="minorHAnsi" w:hAnsi="Book Antiqua" w:cstheme="majorBidi"/>
          <w:b/>
          <w:bCs/>
          <w:sz w:val="32"/>
          <w:szCs w:val="32"/>
          <w:lang w:val="fr-MA"/>
        </w:rPr>
      </w:pPr>
      <w:r w:rsidRPr="00940B3B">
        <w:rPr>
          <w:rFonts w:ascii="Book Antiqua" w:eastAsiaTheme="minorHAnsi" w:hAnsi="Book Antiqua" w:cstheme="majorBidi"/>
          <w:b/>
          <w:bCs/>
          <w:sz w:val="32"/>
          <w:szCs w:val="32"/>
          <w:lang w:val="fr-MA"/>
        </w:rPr>
        <w:t xml:space="preserve">Cartographie </w:t>
      </w:r>
      <w:r w:rsidR="006462C5" w:rsidRPr="00940B3B">
        <w:rPr>
          <w:rFonts w:ascii="Book Antiqua" w:eastAsiaTheme="minorHAnsi" w:hAnsi="Book Antiqua" w:cstheme="majorBidi"/>
          <w:b/>
          <w:bCs/>
          <w:sz w:val="32"/>
          <w:szCs w:val="32"/>
          <w:lang w:val="fr-MA"/>
        </w:rPr>
        <w:t xml:space="preserve">des douars selon </w:t>
      </w:r>
      <w:r w:rsidR="006512DC" w:rsidRPr="00940B3B">
        <w:rPr>
          <w:rFonts w:ascii="Book Antiqua" w:eastAsiaTheme="minorHAnsi" w:hAnsi="Book Antiqua" w:cstheme="majorBidi"/>
          <w:b/>
          <w:bCs/>
          <w:sz w:val="32"/>
          <w:szCs w:val="32"/>
          <w:lang w:val="fr-MA"/>
        </w:rPr>
        <w:t xml:space="preserve">le Recensement </w:t>
      </w:r>
      <w:r w:rsidR="006462C5" w:rsidRPr="00940B3B">
        <w:rPr>
          <w:rFonts w:ascii="Book Antiqua" w:eastAsiaTheme="minorHAnsi" w:hAnsi="Book Antiqua" w:cstheme="majorBidi"/>
          <w:b/>
          <w:bCs/>
          <w:sz w:val="32"/>
          <w:szCs w:val="32"/>
          <w:lang w:val="fr-MA"/>
        </w:rPr>
        <w:t>G</w:t>
      </w:r>
      <w:r w:rsidR="006512DC" w:rsidRPr="00940B3B">
        <w:rPr>
          <w:rFonts w:ascii="Book Antiqua" w:eastAsiaTheme="minorHAnsi" w:hAnsi="Book Antiqua" w:cstheme="majorBidi"/>
          <w:b/>
          <w:bCs/>
          <w:sz w:val="32"/>
          <w:szCs w:val="32"/>
          <w:lang w:val="fr-MA"/>
        </w:rPr>
        <w:t>énéral</w:t>
      </w:r>
    </w:p>
    <w:p w:rsidR="006512DC" w:rsidRPr="00940B3B" w:rsidRDefault="006512DC" w:rsidP="006462C5">
      <w:pPr>
        <w:spacing w:after="0" w:line="240" w:lineRule="auto"/>
        <w:jc w:val="center"/>
        <w:rPr>
          <w:rFonts w:ascii="Book Antiqua" w:eastAsiaTheme="minorHAnsi" w:hAnsi="Book Antiqua" w:cstheme="majorBidi"/>
          <w:b/>
          <w:bCs/>
          <w:sz w:val="32"/>
          <w:szCs w:val="32"/>
          <w:lang w:val="fr-MA"/>
        </w:rPr>
      </w:pPr>
      <w:r w:rsidRPr="00940B3B">
        <w:rPr>
          <w:rFonts w:ascii="Book Antiqua" w:eastAsiaTheme="minorHAnsi" w:hAnsi="Book Antiqua" w:cstheme="majorBidi"/>
          <w:b/>
          <w:bCs/>
          <w:sz w:val="32"/>
          <w:szCs w:val="32"/>
          <w:lang w:val="fr-MA"/>
        </w:rPr>
        <w:t xml:space="preserve">de la </w:t>
      </w:r>
      <w:r w:rsidR="006462C5" w:rsidRPr="00940B3B">
        <w:rPr>
          <w:rFonts w:ascii="Book Antiqua" w:eastAsiaTheme="minorHAnsi" w:hAnsi="Book Antiqua" w:cstheme="majorBidi"/>
          <w:b/>
          <w:bCs/>
          <w:sz w:val="32"/>
          <w:szCs w:val="32"/>
          <w:lang w:val="fr-MA"/>
        </w:rPr>
        <w:t>P</w:t>
      </w:r>
      <w:r w:rsidRPr="00940B3B">
        <w:rPr>
          <w:rFonts w:ascii="Book Antiqua" w:eastAsiaTheme="minorHAnsi" w:hAnsi="Book Antiqua" w:cstheme="majorBidi"/>
          <w:b/>
          <w:bCs/>
          <w:sz w:val="32"/>
          <w:szCs w:val="32"/>
          <w:lang w:val="fr-MA"/>
        </w:rPr>
        <w:t>opulation et de l'</w:t>
      </w:r>
      <w:r w:rsidR="006462C5" w:rsidRPr="00940B3B">
        <w:rPr>
          <w:rFonts w:ascii="Book Antiqua" w:eastAsiaTheme="minorHAnsi" w:hAnsi="Book Antiqua" w:cstheme="majorBidi"/>
          <w:b/>
          <w:bCs/>
          <w:sz w:val="32"/>
          <w:szCs w:val="32"/>
          <w:lang w:val="fr-MA"/>
        </w:rPr>
        <w:t>H</w:t>
      </w:r>
      <w:r w:rsidRPr="00940B3B">
        <w:rPr>
          <w:rFonts w:ascii="Book Antiqua" w:eastAsiaTheme="minorHAnsi" w:hAnsi="Book Antiqua" w:cstheme="majorBidi"/>
          <w:b/>
          <w:bCs/>
          <w:sz w:val="32"/>
          <w:szCs w:val="32"/>
          <w:lang w:val="fr-MA"/>
        </w:rPr>
        <w:t>abitat de 2014</w:t>
      </w:r>
    </w:p>
    <w:p w:rsidR="00117AD8" w:rsidRPr="00940B3B" w:rsidRDefault="00117AD8" w:rsidP="00D403E5">
      <w:pPr>
        <w:spacing w:after="0" w:line="240" w:lineRule="auto"/>
        <w:rPr>
          <w:rFonts w:ascii="Book Antiqua" w:eastAsiaTheme="minorHAnsi" w:hAnsi="Book Antiqua" w:cstheme="majorBidi"/>
          <w:b/>
          <w:bCs/>
          <w:sz w:val="24"/>
          <w:szCs w:val="24"/>
          <w:lang w:val="fr-MA"/>
        </w:rPr>
      </w:pPr>
    </w:p>
    <w:p w:rsidR="00645364" w:rsidRDefault="00645364" w:rsidP="00C508FE">
      <w:pPr>
        <w:spacing w:after="0" w:line="360" w:lineRule="auto"/>
        <w:jc w:val="both"/>
        <w:rPr>
          <w:rFonts w:ascii="Book Antiqua" w:hAnsi="Book Antiqua" w:cstheme="majorBidi"/>
          <w:b/>
          <w:bCs/>
          <w:sz w:val="24"/>
          <w:szCs w:val="24"/>
        </w:rPr>
      </w:pPr>
    </w:p>
    <w:p w:rsidR="00C508FE" w:rsidRPr="00645364" w:rsidRDefault="00C508FE" w:rsidP="00C508FE">
      <w:pPr>
        <w:spacing w:after="0" w:line="360" w:lineRule="auto"/>
        <w:jc w:val="both"/>
        <w:rPr>
          <w:rFonts w:ascii="Book Antiqua" w:hAnsi="Book Antiqua" w:cstheme="majorBidi"/>
          <w:b/>
          <w:bCs/>
          <w:sz w:val="24"/>
          <w:szCs w:val="24"/>
        </w:rPr>
      </w:pPr>
      <w:r w:rsidRPr="00645364">
        <w:rPr>
          <w:rFonts w:ascii="Book Antiqua" w:hAnsi="Book Antiqua" w:cstheme="majorBidi"/>
          <w:b/>
          <w:bCs/>
          <w:sz w:val="24"/>
          <w:szCs w:val="24"/>
        </w:rPr>
        <w:t xml:space="preserve">Cartographie des Douars et de leur situation </w:t>
      </w:r>
      <w:r w:rsidR="00940B3B" w:rsidRPr="00645364">
        <w:rPr>
          <w:rFonts w:ascii="Book Antiqua" w:hAnsi="Book Antiqua" w:cstheme="majorBidi"/>
          <w:b/>
          <w:bCs/>
          <w:sz w:val="24"/>
          <w:szCs w:val="24"/>
        </w:rPr>
        <w:t>socio-économique</w:t>
      </w:r>
    </w:p>
    <w:p w:rsidR="00940B3B" w:rsidRPr="00645364" w:rsidRDefault="00940B3B" w:rsidP="00296367">
      <w:pPr>
        <w:spacing w:after="0"/>
        <w:jc w:val="both"/>
        <w:rPr>
          <w:rFonts w:ascii="Book Antiqua" w:hAnsi="Book Antiqua" w:cstheme="majorBidi"/>
          <w:sz w:val="24"/>
          <w:szCs w:val="24"/>
        </w:rPr>
      </w:pPr>
    </w:p>
    <w:p w:rsidR="0092117A" w:rsidRPr="00676573" w:rsidRDefault="00AC47F6" w:rsidP="00676573">
      <w:pPr>
        <w:spacing w:after="0" w:line="360" w:lineRule="auto"/>
        <w:jc w:val="both"/>
        <w:rPr>
          <w:rFonts w:ascii="Book Antiqua" w:hAnsi="Book Antiqua" w:cstheme="majorBidi"/>
          <w:sz w:val="28"/>
          <w:szCs w:val="28"/>
        </w:rPr>
      </w:pPr>
      <w:r w:rsidRPr="00676573">
        <w:rPr>
          <w:rFonts w:ascii="Book Antiqua" w:hAnsi="Book Antiqua" w:cstheme="majorBidi"/>
          <w:sz w:val="28"/>
          <w:szCs w:val="28"/>
        </w:rPr>
        <w:t>L</w:t>
      </w:r>
      <w:r w:rsidR="0092117A" w:rsidRPr="00676573">
        <w:rPr>
          <w:rFonts w:ascii="Book Antiqua" w:hAnsi="Book Antiqua" w:cstheme="majorBidi"/>
          <w:sz w:val="28"/>
          <w:szCs w:val="28"/>
        </w:rPr>
        <w:t xml:space="preserve">es travaux </w:t>
      </w:r>
      <w:r w:rsidRPr="00676573">
        <w:rPr>
          <w:rFonts w:ascii="Book Antiqua" w:hAnsi="Book Antiqua" w:cstheme="majorBidi"/>
          <w:sz w:val="28"/>
          <w:szCs w:val="28"/>
        </w:rPr>
        <w:t>cartographiques</w:t>
      </w:r>
      <w:r w:rsidR="00C508FE" w:rsidRPr="00676573">
        <w:rPr>
          <w:rFonts w:ascii="Book Antiqua" w:hAnsi="Book Antiqua" w:cstheme="majorBidi"/>
          <w:sz w:val="28"/>
          <w:szCs w:val="28"/>
        </w:rPr>
        <w:t>, sur la base du Recensement Général de la Population et de l’Habitat (RGPH)</w:t>
      </w:r>
      <w:r w:rsidR="00940B3B" w:rsidRPr="00676573">
        <w:rPr>
          <w:rFonts w:ascii="Book Antiqua" w:hAnsi="Book Antiqua" w:cstheme="majorBidi"/>
          <w:sz w:val="28"/>
          <w:szCs w:val="28"/>
        </w:rPr>
        <w:t xml:space="preserve"> de 2014,</w:t>
      </w:r>
      <w:r w:rsidR="0092117A" w:rsidRPr="00676573">
        <w:rPr>
          <w:rFonts w:ascii="Book Antiqua" w:hAnsi="Book Antiqua" w:cstheme="majorBidi"/>
          <w:sz w:val="28"/>
          <w:szCs w:val="28"/>
        </w:rPr>
        <w:t xml:space="preserve">ont permis d'établir la </w:t>
      </w:r>
      <w:r w:rsidR="00F36999" w:rsidRPr="00676573">
        <w:rPr>
          <w:rFonts w:ascii="Book Antiqua" w:hAnsi="Book Antiqua" w:cstheme="majorBidi"/>
          <w:sz w:val="28"/>
          <w:szCs w:val="28"/>
        </w:rPr>
        <w:t>base</w:t>
      </w:r>
      <w:r w:rsidR="00C74219" w:rsidRPr="00676573">
        <w:rPr>
          <w:rFonts w:ascii="Book Antiqua" w:hAnsi="Book Antiqua" w:cstheme="majorBidi"/>
          <w:sz w:val="28"/>
          <w:szCs w:val="28"/>
        </w:rPr>
        <w:t xml:space="preserve">de données </w:t>
      </w:r>
      <w:r w:rsidR="0092117A" w:rsidRPr="00676573">
        <w:rPr>
          <w:rFonts w:ascii="Book Antiqua" w:hAnsi="Book Antiqua" w:cstheme="majorBidi"/>
          <w:sz w:val="28"/>
          <w:szCs w:val="28"/>
        </w:rPr>
        <w:t xml:space="preserve">des douars par commune et fraction et de reporter leurs positions géographiques sur les cartes </w:t>
      </w:r>
      <w:r w:rsidR="00DB62FA" w:rsidRPr="00676573">
        <w:rPr>
          <w:rFonts w:ascii="Book Antiqua" w:hAnsi="Book Antiqua" w:cstheme="majorBidi"/>
          <w:sz w:val="28"/>
          <w:szCs w:val="28"/>
        </w:rPr>
        <w:t>en se basant sur des i</w:t>
      </w:r>
      <w:r w:rsidR="00940B3B" w:rsidRPr="00676573">
        <w:rPr>
          <w:rFonts w:ascii="Book Antiqua" w:hAnsi="Book Antiqua" w:cstheme="majorBidi"/>
          <w:sz w:val="28"/>
          <w:szCs w:val="28"/>
        </w:rPr>
        <w:t xml:space="preserve">mages satellitaires récentes </w:t>
      </w:r>
      <w:r w:rsidR="00DB62FA" w:rsidRPr="00676573">
        <w:rPr>
          <w:rFonts w:ascii="Book Antiqua" w:hAnsi="Book Antiqua" w:cstheme="majorBidi"/>
          <w:sz w:val="28"/>
          <w:szCs w:val="28"/>
        </w:rPr>
        <w:t xml:space="preserve">d'une très haute résolution </w:t>
      </w:r>
      <w:r w:rsidR="0092117A" w:rsidRPr="00676573">
        <w:rPr>
          <w:rFonts w:ascii="Book Antiqua" w:hAnsi="Book Antiqua" w:cstheme="majorBidi"/>
          <w:sz w:val="28"/>
          <w:szCs w:val="28"/>
        </w:rPr>
        <w:t xml:space="preserve">afin </w:t>
      </w:r>
      <w:r w:rsidR="007E2C5F" w:rsidRPr="00676573">
        <w:rPr>
          <w:rFonts w:ascii="Book Antiqua" w:hAnsi="Book Antiqua" w:cstheme="majorBidi"/>
          <w:sz w:val="28"/>
          <w:szCs w:val="28"/>
        </w:rPr>
        <w:t xml:space="preserve">de localiser la population rurale sur le terrain et </w:t>
      </w:r>
      <w:r w:rsidR="008626BB" w:rsidRPr="00676573">
        <w:rPr>
          <w:rFonts w:ascii="Book Antiqua" w:hAnsi="Book Antiqua" w:cstheme="majorBidi"/>
          <w:sz w:val="28"/>
          <w:szCs w:val="28"/>
        </w:rPr>
        <w:t>d'</w:t>
      </w:r>
      <w:r w:rsidR="0092117A" w:rsidRPr="00676573">
        <w:rPr>
          <w:rFonts w:ascii="Book Antiqua" w:hAnsi="Book Antiqua" w:cstheme="majorBidi"/>
          <w:sz w:val="28"/>
          <w:szCs w:val="28"/>
        </w:rPr>
        <w:t xml:space="preserve">assurer l'exhaustivité </w:t>
      </w:r>
      <w:r w:rsidR="005C3F89" w:rsidRPr="00676573">
        <w:rPr>
          <w:rFonts w:ascii="Book Antiqua" w:hAnsi="Book Antiqua" w:cstheme="majorBidi"/>
          <w:sz w:val="28"/>
          <w:szCs w:val="28"/>
        </w:rPr>
        <w:t xml:space="preserve">de son ratissage </w:t>
      </w:r>
      <w:r w:rsidR="008626BB" w:rsidRPr="00676573">
        <w:rPr>
          <w:rFonts w:ascii="Book Antiqua" w:hAnsi="Book Antiqua" w:cstheme="majorBidi"/>
          <w:sz w:val="28"/>
          <w:szCs w:val="28"/>
        </w:rPr>
        <w:t xml:space="preserve">lors de l'exécution du RGPH </w:t>
      </w:r>
      <w:r w:rsidR="005C3F89" w:rsidRPr="00676573">
        <w:rPr>
          <w:rFonts w:ascii="Book Antiqua" w:hAnsi="Book Antiqua" w:cstheme="majorBidi"/>
          <w:sz w:val="28"/>
          <w:szCs w:val="28"/>
        </w:rPr>
        <w:t xml:space="preserve">d'une part, </w:t>
      </w:r>
      <w:r w:rsidR="00A34A84" w:rsidRPr="00676573">
        <w:rPr>
          <w:rFonts w:ascii="Book Antiqua" w:hAnsi="Book Antiqua" w:cstheme="majorBidi"/>
          <w:sz w:val="28"/>
          <w:szCs w:val="28"/>
        </w:rPr>
        <w:t xml:space="preserve">et </w:t>
      </w:r>
      <w:r w:rsidR="00790CA7" w:rsidRPr="00676573">
        <w:rPr>
          <w:rFonts w:ascii="Book Antiqua" w:hAnsi="Book Antiqua" w:cstheme="majorBidi"/>
          <w:sz w:val="28"/>
          <w:szCs w:val="28"/>
        </w:rPr>
        <w:t xml:space="preserve">de </w:t>
      </w:r>
      <w:r w:rsidR="007B566F" w:rsidRPr="00676573">
        <w:rPr>
          <w:rFonts w:ascii="Book Antiqua" w:hAnsi="Book Antiqua" w:cstheme="majorBidi"/>
          <w:sz w:val="28"/>
          <w:szCs w:val="28"/>
        </w:rPr>
        <w:t xml:space="preserve">publier </w:t>
      </w:r>
      <w:r w:rsidR="00FD1620" w:rsidRPr="00676573">
        <w:rPr>
          <w:rFonts w:ascii="Book Antiqua" w:hAnsi="Book Antiqua" w:cstheme="majorBidi"/>
          <w:sz w:val="28"/>
          <w:szCs w:val="28"/>
        </w:rPr>
        <w:t xml:space="preserve">les résultats de </w:t>
      </w:r>
      <w:r w:rsidR="007B566F" w:rsidRPr="00676573">
        <w:rPr>
          <w:rFonts w:ascii="Book Antiqua" w:hAnsi="Book Antiqua" w:cstheme="majorBidi"/>
          <w:sz w:val="28"/>
          <w:szCs w:val="28"/>
        </w:rPr>
        <w:t>l</w:t>
      </w:r>
      <w:r w:rsidR="00790CA7" w:rsidRPr="00676573">
        <w:rPr>
          <w:rFonts w:ascii="Book Antiqua" w:hAnsi="Book Antiqua" w:cstheme="majorBidi"/>
          <w:sz w:val="28"/>
          <w:szCs w:val="28"/>
        </w:rPr>
        <w:t>a population et ses caractéristiques sociodémographiques</w:t>
      </w:r>
      <w:r w:rsidR="005C3F89" w:rsidRPr="00676573">
        <w:rPr>
          <w:rFonts w:ascii="Book Antiqua" w:hAnsi="Book Antiqua" w:cstheme="majorBidi"/>
          <w:sz w:val="28"/>
          <w:szCs w:val="28"/>
        </w:rPr>
        <w:t xml:space="preserve"> selon les douars d'autre part</w:t>
      </w:r>
      <w:r w:rsidR="0092117A" w:rsidRPr="00676573">
        <w:rPr>
          <w:rFonts w:ascii="Book Antiqua" w:hAnsi="Book Antiqua" w:cstheme="majorBidi"/>
          <w:sz w:val="28"/>
          <w:szCs w:val="28"/>
        </w:rPr>
        <w:t>.</w:t>
      </w:r>
    </w:p>
    <w:p w:rsidR="00940B3B" w:rsidRPr="00676573" w:rsidRDefault="00940B3B" w:rsidP="00676573">
      <w:pPr>
        <w:spacing w:after="0" w:line="360" w:lineRule="auto"/>
        <w:jc w:val="both"/>
        <w:rPr>
          <w:rFonts w:ascii="Book Antiqua" w:hAnsi="Book Antiqua" w:cstheme="majorBidi"/>
          <w:sz w:val="28"/>
          <w:szCs w:val="28"/>
        </w:rPr>
      </w:pPr>
      <w:r w:rsidRPr="00676573">
        <w:rPr>
          <w:rFonts w:ascii="Book Antiqua" w:hAnsi="Book Antiqua" w:cstheme="majorBidi"/>
          <w:sz w:val="28"/>
          <w:szCs w:val="28"/>
        </w:rPr>
        <w:t>Pour rappel, Le RGPH 2014 s’est basé sur le découpage administratif du 25 octobre 2010 actualisé le 20 février 2015 dans le cadre de la régionalisation avancée. Selon ce découpage, le Maroc est divisé en 12 régions, 62 provinces, 13 préfectures, 1282 communes rurales et 256 entités urbaines dont 41 arrondissements constituant les 6 grandes villes, à savoir Casablanca, Rabat, Salé, Fès, Tanger et Marrakech.</w:t>
      </w:r>
    </w:p>
    <w:p w:rsidR="00940B3B" w:rsidRPr="00676573" w:rsidRDefault="00940B3B" w:rsidP="00676573">
      <w:pPr>
        <w:spacing w:after="0" w:line="360" w:lineRule="auto"/>
        <w:jc w:val="both"/>
        <w:rPr>
          <w:rFonts w:ascii="Book Antiqua" w:hAnsi="Book Antiqua" w:cstheme="majorBidi"/>
          <w:sz w:val="28"/>
          <w:szCs w:val="28"/>
        </w:rPr>
      </w:pPr>
    </w:p>
    <w:p w:rsidR="0092117A" w:rsidRPr="00676573" w:rsidRDefault="00940B3B" w:rsidP="00676573">
      <w:pPr>
        <w:tabs>
          <w:tab w:val="left" w:pos="-720"/>
        </w:tabs>
        <w:suppressAutoHyphens/>
        <w:spacing w:after="0" w:line="360" w:lineRule="auto"/>
        <w:jc w:val="lowKashida"/>
        <w:rPr>
          <w:rFonts w:ascii="Book Antiqua" w:hAnsi="Book Antiqua" w:cstheme="majorBidi"/>
          <w:sz w:val="28"/>
          <w:szCs w:val="28"/>
        </w:rPr>
      </w:pPr>
      <w:r w:rsidRPr="00676573">
        <w:rPr>
          <w:rFonts w:ascii="Book Antiqua" w:hAnsi="Book Antiqua" w:cstheme="majorBidi"/>
          <w:sz w:val="28"/>
          <w:szCs w:val="28"/>
        </w:rPr>
        <w:t>L</w:t>
      </w:r>
      <w:r w:rsidR="0092117A" w:rsidRPr="00676573">
        <w:rPr>
          <w:rFonts w:ascii="Book Antiqua" w:hAnsi="Book Antiqua" w:cstheme="majorBidi"/>
          <w:sz w:val="28"/>
          <w:szCs w:val="28"/>
        </w:rPr>
        <w:t>e concept de douar </w:t>
      </w:r>
      <w:r w:rsidR="00604209" w:rsidRPr="00676573">
        <w:rPr>
          <w:rFonts w:ascii="Book Antiqua" w:hAnsi="Book Antiqua" w:cstheme="majorBidi"/>
          <w:sz w:val="28"/>
          <w:szCs w:val="28"/>
        </w:rPr>
        <w:t xml:space="preserve">repose sur une </w:t>
      </w:r>
      <w:r w:rsidR="00897541" w:rsidRPr="00676573">
        <w:rPr>
          <w:rFonts w:ascii="Book Antiqua" w:hAnsi="Book Antiqua" w:cstheme="majorBidi"/>
          <w:sz w:val="28"/>
          <w:szCs w:val="28"/>
        </w:rPr>
        <w:t xml:space="preserve">vérité qui renvoie à une </w:t>
      </w:r>
      <w:r w:rsidR="00604209" w:rsidRPr="00676573">
        <w:rPr>
          <w:rFonts w:ascii="Book Antiqua" w:hAnsi="Book Antiqua" w:cstheme="majorBidi"/>
          <w:sz w:val="28"/>
          <w:szCs w:val="28"/>
        </w:rPr>
        <w:t xml:space="preserve">notion ethnique </w:t>
      </w:r>
      <w:r w:rsidR="0092117A" w:rsidRPr="00676573">
        <w:rPr>
          <w:rFonts w:ascii="Book Antiqua" w:hAnsi="Book Antiqua" w:cstheme="majorBidi"/>
          <w:sz w:val="28"/>
          <w:szCs w:val="28"/>
        </w:rPr>
        <w:t xml:space="preserve">difficile à définir à cause de la divergence des critères retenus dans diverses </w:t>
      </w:r>
      <w:r w:rsidR="0092117A" w:rsidRPr="00676573">
        <w:rPr>
          <w:rFonts w:ascii="Book Antiqua" w:hAnsi="Book Antiqua" w:cstheme="majorBidi"/>
          <w:sz w:val="28"/>
          <w:szCs w:val="28"/>
        </w:rPr>
        <w:lastRenderedPageBreak/>
        <w:t xml:space="preserve">régions du Royaume et qui rend presque impossible l'élaboration d'une définition objective pour l'ensemble du pays. </w:t>
      </w:r>
      <w:r w:rsidR="00037215" w:rsidRPr="00676573">
        <w:rPr>
          <w:rFonts w:ascii="Book Antiqua" w:hAnsi="Book Antiqua" w:cstheme="majorBidi"/>
          <w:sz w:val="28"/>
          <w:szCs w:val="28"/>
        </w:rPr>
        <w:t>Par convention</w:t>
      </w:r>
      <w:r w:rsidR="0092117A" w:rsidRPr="00676573">
        <w:rPr>
          <w:rFonts w:ascii="Book Antiqua" w:hAnsi="Book Antiqua" w:cstheme="majorBidi"/>
          <w:sz w:val="28"/>
          <w:szCs w:val="28"/>
        </w:rPr>
        <w:t xml:space="preserve">, </w:t>
      </w:r>
      <w:r w:rsidR="00D20565" w:rsidRPr="00676573">
        <w:rPr>
          <w:rFonts w:ascii="Book Antiqua" w:hAnsi="Book Antiqua" w:cstheme="majorBidi"/>
          <w:sz w:val="28"/>
          <w:szCs w:val="28"/>
        </w:rPr>
        <w:t>nous retenons</w:t>
      </w:r>
      <w:r w:rsidR="00037215" w:rsidRPr="00676573">
        <w:rPr>
          <w:rFonts w:ascii="Book Antiqua" w:hAnsi="Book Antiqua" w:cstheme="majorBidi"/>
          <w:sz w:val="28"/>
          <w:szCs w:val="28"/>
        </w:rPr>
        <w:t xml:space="preserve"> comme </w:t>
      </w:r>
      <w:r w:rsidR="0092117A" w:rsidRPr="00676573">
        <w:rPr>
          <w:rFonts w:ascii="Book Antiqua" w:hAnsi="Book Antiqua" w:cstheme="majorBidi"/>
          <w:sz w:val="28"/>
          <w:szCs w:val="28"/>
        </w:rPr>
        <w:t>douar</w:t>
      </w:r>
      <w:r w:rsidR="00037215" w:rsidRPr="00676573">
        <w:rPr>
          <w:rFonts w:ascii="Book Antiqua" w:hAnsi="Book Antiqua" w:cstheme="majorBidi"/>
          <w:sz w:val="28"/>
          <w:szCs w:val="28"/>
        </w:rPr>
        <w:t>,</w:t>
      </w:r>
      <w:r w:rsidR="0092117A" w:rsidRPr="00676573">
        <w:rPr>
          <w:rFonts w:ascii="Book Antiqua" w:hAnsi="Book Antiqua" w:cstheme="majorBidi"/>
          <w:sz w:val="28"/>
          <w:szCs w:val="28"/>
        </w:rPr>
        <w:t xml:space="preserve"> toute unité géographique ou ethnique déclarée comme tel par les autorités locales.</w:t>
      </w:r>
    </w:p>
    <w:p w:rsidR="001A1283" w:rsidRPr="00676573" w:rsidRDefault="008626BB" w:rsidP="00676573">
      <w:pPr>
        <w:spacing w:after="0" w:line="360" w:lineRule="auto"/>
        <w:jc w:val="both"/>
        <w:rPr>
          <w:rFonts w:ascii="Book Antiqua" w:hAnsi="Book Antiqua" w:cstheme="majorBidi"/>
          <w:sz w:val="28"/>
          <w:szCs w:val="28"/>
        </w:rPr>
      </w:pPr>
      <w:r w:rsidRPr="00676573">
        <w:rPr>
          <w:rFonts w:ascii="Book Antiqua" w:hAnsi="Book Antiqua" w:cstheme="majorBidi"/>
          <w:sz w:val="28"/>
          <w:szCs w:val="28"/>
        </w:rPr>
        <w:t xml:space="preserve">L'approche méthodologique de la cartographie du RGPH préconise </w:t>
      </w:r>
      <w:r w:rsidR="009F311C" w:rsidRPr="00676573">
        <w:rPr>
          <w:rFonts w:ascii="Book Antiqua" w:hAnsi="Book Antiqua" w:cstheme="majorBidi"/>
          <w:sz w:val="28"/>
          <w:szCs w:val="28"/>
        </w:rPr>
        <w:t xml:space="preserve">de classer les douars selon la </w:t>
      </w:r>
      <w:r w:rsidR="00D35C3B" w:rsidRPr="00676573">
        <w:rPr>
          <w:rFonts w:ascii="Book Antiqua" w:hAnsi="Book Antiqua" w:cstheme="majorBidi"/>
          <w:sz w:val="28"/>
          <w:szCs w:val="28"/>
        </w:rPr>
        <w:t>nature de leur groupe</w:t>
      </w:r>
      <w:r w:rsidR="00A71BFD" w:rsidRPr="00676573">
        <w:rPr>
          <w:rFonts w:ascii="Book Antiqua" w:hAnsi="Book Antiqua" w:cstheme="majorBidi"/>
          <w:sz w:val="28"/>
          <w:szCs w:val="28"/>
        </w:rPr>
        <w:t>me</w:t>
      </w:r>
      <w:r w:rsidR="00D35C3B" w:rsidRPr="00676573">
        <w:rPr>
          <w:rFonts w:ascii="Book Antiqua" w:hAnsi="Book Antiqua" w:cstheme="majorBidi"/>
          <w:sz w:val="28"/>
          <w:szCs w:val="28"/>
        </w:rPr>
        <w:t>nt spatial</w:t>
      </w:r>
      <w:r w:rsidR="009F311C" w:rsidRPr="00676573">
        <w:rPr>
          <w:rFonts w:ascii="Book Antiqua" w:hAnsi="Book Antiqua" w:cstheme="majorBidi"/>
          <w:sz w:val="28"/>
          <w:szCs w:val="28"/>
        </w:rPr>
        <w:t xml:space="preserve"> en</w:t>
      </w:r>
      <w:r w:rsidR="001A1283" w:rsidRPr="00676573">
        <w:rPr>
          <w:rFonts w:ascii="Book Antiqua" w:hAnsi="Book Antiqua" w:cstheme="majorBidi"/>
          <w:sz w:val="28"/>
          <w:szCs w:val="28"/>
        </w:rPr>
        <w:t xml:space="preserve"> trois types: </w:t>
      </w:r>
    </w:p>
    <w:p w:rsidR="00940B3B" w:rsidRPr="00676573" w:rsidRDefault="00940B3B" w:rsidP="00676573">
      <w:pPr>
        <w:spacing w:after="0" w:line="360" w:lineRule="auto"/>
        <w:jc w:val="both"/>
        <w:rPr>
          <w:rFonts w:ascii="Book Antiqua" w:hAnsi="Book Antiqua" w:cstheme="majorBidi"/>
          <w:sz w:val="28"/>
          <w:szCs w:val="28"/>
        </w:rPr>
      </w:pPr>
    </w:p>
    <w:p w:rsidR="001A1283" w:rsidRPr="00676573" w:rsidRDefault="001A1283" w:rsidP="00676573">
      <w:pPr>
        <w:numPr>
          <w:ilvl w:val="0"/>
          <w:numId w:val="11"/>
        </w:numPr>
        <w:spacing w:after="0" w:line="360" w:lineRule="auto"/>
        <w:jc w:val="both"/>
        <w:rPr>
          <w:rFonts w:ascii="Book Antiqua" w:hAnsi="Book Antiqua" w:cstheme="majorBidi"/>
          <w:sz w:val="28"/>
          <w:szCs w:val="28"/>
        </w:rPr>
      </w:pPr>
      <w:r w:rsidRPr="00676573">
        <w:rPr>
          <w:rFonts w:ascii="Book Antiqua" w:hAnsi="Book Antiqua" w:cstheme="majorBidi"/>
          <w:b/>
          <w:bCs/>
          <w:sz w:val="28"/>
          <w:szCs w:val="28"/>
        </w:rPr>
        <w:t>Douar groupé</w:t>
      </w:r>
      <w:r w:rsidRPr="00676573">
        <w:rPr>
          <w:rFonts w:ascii="Book Antiqua" w:hAnsi="Book Antiqua" w:cstheme="majorBidi"/>
          <w:sz w:val="28"/>
          <w:szCs w:val="28"/>
          <w:rtl/>
        </w:rPr>
        <w:t> </w:t>
      </w:r>
      <w:r w:rsidRPr="00676573">
        <w:rPr>
          <w:rFonts w:ascii="Book Antiqua" w:hAnsi="Book Antiqua" w:cstheme="majorBidi"/>
          <w:sz w:val="28"/>
          <w:szCs w:val="28"/>
        </w:rPr>
        <w:t>: Groupement d'habitations dont au moins les deux tiers sont situé</w:t>
      </w:r>
      <w:r w:rsidR="009D593A" w:rsidRPr="00676573">
        <w:rPr>
          <w:rFonts w:ascii="Book Antiqua" w:hAnsi="Book Antiqua" w:cstheme="majorBidi"/>
          <w:sz w:val="28"/>
          <w:szCs w:val="28"/>
        </w:rPr>
        <w:t>e</w:t>
      </w:r>
      <w:r w:rsidRPr="00676573">
        <w:rPr>
          <w:rFonts w:ascii="Book Antiqua" w:hAnsi="Book Antiqua" w:cstheme="majorBidi"/>
          <w:sz w:val="28"/>
          <w:szCs w:val="28"/>
        </w:rPr>
        <w:t>s les unes à côté des autres et d'un seul tenant. Les autres habitations peuvent être séparées par une certaine distance, non nécessairement uniforme.</w:t>
      </w:r>
    </w:p>
    <w:p w:rsidR="00F0662B" w:rsidRPr="00676573" w:rsidRDefault="001A1283" w:rsidP="00676573">
      <w:pPr>
        <w:numPr>
          <w:ilvl w:val="0"/>
          <w:numId w:val="11"/>
        </w:numPr>
        <w:spacing w:after="0" w:line="360" w:lineRule="auto"/>
        <w:jc w:val="both"/>
        <w:rPr>
          <w:rFonts w:ascii="Book Antiqua" w:hAnsi="Book Antiqua" w:cstheme="majorBidi"/>
          <w:sz w:val="28"/>
          <w:szCs w:val="28"/>
        </w:rPr>
      </w:pPr>
      <w:r w:rsidRPr="00676573">
        <w:rPr>
          <w:rFonts w:ascii="Book Antiqua" w:hAnsi="Book Antiqua" w:cstheme="majorBidi"/>
          <w:b/>
          <w:bCs/>
          <w:sz w:val="28"/>
          <w:szCs w:val="28"/>
        </w:rPr>
        <w:t>Douar éclaté</w:t>
      </w:r>
      <w:r w:rsidRPr="00676573">
        <w:rPr>
          <w:rFonts w:ascii="Book Antiqua" w:hAnsi="Book Antiqua" w:cstheme="majorBidi"/>
          <w:sz w:val="28"/>
          <w:szCs w:val="28"/>
          <w:rtl/>
        </w:rPr>
        <w:t> </w:t>
      </w:r>
      <w:r w:rsidRPr="00676573">
        <w:rPr>
          <w:rFonts w:ascii="Book Antiqua" w:hAnsi="Book Antiqua" w:cstheme="majorBidi"/>
          <w:sz w:val="28"/>
          <w:szCs w:val="28"/>
        </w:rPr>
        <w:t xml:space="preserve">: Douar d’un ou de plusieurs fragments appelés sous-douars et qui portent des noms différents. Les sous-douars peuvent être rapprochés ou parfois </w:t>
      </w:r>
      <w:r w:rsidR="007010E2" w:rsidRPr="00676573">
        <w:rPr>
          <w:rFonts w:ascii="Book Antiqua" w:hAnsi="Book Antiqua" w:cstheme="majorBidi"/>
          <w:sz w:val="28"/>
          <w:szCs w:val="28"/>
        </w:rPr>
        <w:t>relativement éloignés, leur habitat est généralement groupé.</w:t>
      </w:r>
    </w:p>
    <w:p w:rsidR="001A1283" w:rsidRPr="00676573" w:rsidRDefault="001A1283" w:rsidP="00676573">
      <w:pPr>
        <w:numPr>
          <w:ilvl w:val="0"/>
          <w:numId w:val="11"/>
        </w:numPr>
        <w:spacing w:after="0" w:line="360" w:lineRule="auto"/>
        <w:jc w:val="both"/>
        <w:rPr>
          <w:rFonts w:ascii="Book Antiqua" w:hAnsi="Book Antiqua" w:cstheme="majorBidi"/>
          <w:sz w:val="28"/>
          <w:szCs w:val="28"/>
        </w:rPr>
      </w:pPr>
      <w:r w:rsidRPr="00676573">
        <w:rPr>
          <w:rFonts w:ascii="Book Antiqua" w:hAnsi="Book Antiqua" w:cstheme="majorBidi"/>
          <w:b/>
          <w:bCs/>
          <w:sz w:val="28"/>
          <w:szCs w:val="28"/>
        </w:rPr>
        <w:t>Douar dispersé</w:t>
      </w:r>
      <w:r w:rsidRPr="00676573">
        <w:rPr>
          <w:rFonts w:ascii="Book Antiqua" w:hAnsi="Book Antiqua" w:cstheme="majorBidi"/>
          <w:sz w:val="28"/>
          <w:szCs w:val="28"/>
          <w:rtl/>
        </w:rPr>
        <w:t> </w:t>
      </w:r>
      <w:r w:rsidRPr="00676573">
        <w:rPr>
          <w:rFonts w:ascii="Book Antiqua" w:hAnsi="Book Antiqua" w:cstheme="majorBidi"/>
          <w:sz w:val="28"/>
          <w:szCs w:val="28"/>
        </w:rPr>
        <w:t>: Douar dont plus d'un tiers des habitations sont séparées les unes des autres par une distance dépassant 100 mètres.</w:t>
      </w:r>
    </w:p>
    <w:p w:rsidR="00320785" w:rsidRPr="00676573" w:rsidRDefault="00320785" w:rsidP="00676573">
      <w:pPr>
        <w:spacing w:after="0" w:line="360" w:lineRule="auto"/>
        <w:ind w:left="284"/>
        <w:jc w:val="both"/>
        <w:rPr>
          <w:rFonts w:ascii="Book Antiqua" w:hAnsi="Book Antiqua" w:cstheme="majorBidi"/>
          <w:sz w:val="28"/>
          <w:szCs w:val="28"/>
        </w:rPr>
      </w:pPr>
    </w:p>
    <w:p w:rsidR="00C508FE" w:rsidRPr="00676573" w:rsidRDefault="00C508FE" w:rsidP="00676573">
      <w:pPr>
        <w:spacing w:after="0" w:line="360" w:lineRule="auto"/>
        <w:jc w:val="both"/>
        <w:rPr>
          <w:rFonts w:ascii="Book Antiqua" w:eastAsiaTheme="minorHAnsi" w:hAnsi="Book Antiqua" w:cstheme="majorBidi"/>
          <w:b/>
          <w:bCs/>
          <w:sz w:val="28"/>
          <w:szCs w:val="28"/>
        </w:rPr>
      </w:pPr>
    </w:p>
    <w:p w:rsidR="00320785" w:rsidRPr="00676573" w:rsidRDefault="00320785" w:rsidP="00676573">
      <w:pPr>
        <w:spacing w:after="0" w:line="360" w:lineRule="auto"/>
        <w:jc w:val="both"/>
        <w:rPr>
          <w:rFonts w:ascii="Book Antiqua" w:eastAsiaTheme="minorHAnsi" w:hAnsi="Book Antiqua" w:cstheme="majorBidi"/>
          <w:b/>
          <w:bCs/>
          <w:sz w:val="28"/>
          <w:szCs w:val="28"/>
        </w:rPr>
      </w:pPr>
      <w:r w:rsidRPr="00676573">
        <w:rPr>
          <w:rFonts w:ascii="Book Antiqua" w:eastAsiaTheme="minorHAnsi" w:hAnsi="Book Antiqua" w:cstheme="majorBidi"/>
          <w:b/>
          <w:bCs/>
          <w:sz w:val="28"/>
          <w:szCs w:val="28"/>
        </w:rPr>
        <w:t>Résultats</w:t>
      </w:r>
    </w:p>
    <w:p w:rsidR="006C6CC7" w:rsidRPr="00676573" w:rsidRDefault="00985578" w:rsidP="00676573">
      <w:pPr>
        <w:spacing w:after="0" w:line="360" w:lineRule="auto"/>
        <w:jc w:val="both"/>
        <w:rPr>
          <w:rFonts w:ascii="Book Antiqua" w:eastAsiaTheme="minorHAnsi" w:hAnsi="Book Antiqua" w:cstheme="majorBidi"/>
          <w:sz w:val="28"/>
          <w:szCs w:val="28"/>
        </w:rPr>
      </w:pPr>
      <w:r w:rsidRPr="00676573">
        <w:rPr>
          <w:rFonts w:ascii="Book Antiqua" w:eastAsiaTheme="minorHAnsi" w:hAnsi="Book Antiqua" w:cstheme="majorBidi"/>
          <w:sz w:val="28"/>
          <w:szCs w:val="28"/>
        </w:rPr>
        <w:t xml:space="preserve">Cette note présente </w:t>
      </w:r>
      <w:r w:rsidR="006C6CC7" w:rsidRPr="00676573">
        <w:rPr>
          <w:rFonts w:ascii="Book Antiqua" w:eastAsiaTheme="minorHAnsi" w:hAnsi="Book Antiqua" w:cstheme="majorBidi"/>
          <w:sz w:val="28"/>
          <w:szCs w:val="28"/>
        </w:rPr>
        <w:t xml:space="preserve">les principaux résultats du RGPH 2014 </w:t>
      </w:r>
      <w:r w:rsidRPr="00676573">
        <w:rPr>
          <w:rFonts w:ascii="Book Antiqua" w:eastAsiaTheme="minorHAnsi" w:hAnsi="Book Antiqua" w:cstheme="majorBidi"/>
          <w:sz w:val="28"/>
          <w:szCs w:val="28"/>
        </w:rPr>
        <w:t>selon le type de douars conformément au principe de la résidence</w:t>
      </w:r>
      <w:r w:rsidR="00F95362" w:rsidRPr="00676573">
        <w:rPr>
          <w:rFonts w:ascii="Book Antiqua" w:eastAsiaTheme="minorHAnsi" w:hAnsi="Book Antiqua" w:cstheme="majorBidi"/>
          <w:sz w:val="28"/>
          <w:szCs w:val="28"/>
        </w:rPr>
        <w:t>. U</w:t>
      </w:r>
      <w:r w:rsidRPr="00676573">
        <w:rPr>
          <w:rFonts w:ascii="Book Antiqua" w:eastAsiaTheme="minorHAnsi" w:hAnsi="Book Antiqua" w:cstheme="majorBidi"/>
          <w:sz w:val="28"/>
          <w:szCs w:val="28"/>
        </w:rPr>
        <w:t xml:space="preserve">ne base de données exhaustive </w:t>
      </w:r>
      <w:r w:rsidR="001C6879" w:rsidRPr="00676573">
        <w:rPr>
          <w:rFonts w:ascii="Book Antiqua" w:eastAsiaTheme="minorHAnsi" w:hAnsi="Book Antiqua" w:cstheme="majorBidi"/>
          <w:color w:val="000000" w:themeColor="text1"/>
          <w:sz w:val="28"/>
          <w:szCs w:val="28"/>
        </w:rPr>
        <w:t xml:space="preserve">constituée de </w:t>
      </w:r>
      <w:r w:rsidR="00EC533C" w:rsidRPr="00676573">
        <w:rPr>
          <w:rFonts w:ascii="Book Antiqua" w:eastAsiaTheme="minorHAnsi" w:hAnsi="Book Antiqua" w:cstheme="majorBidi"/>
          <w:b/>
          <w:bCs/>
          <w:color w:val="000000" w:themeColor="text1"/>
          <w:sz w:val="28"/>
          <w:szCs w:val="28"/>
        </w:rPr>
        <w:t>32125</w:t>
      </w:r>
      <w:r w:rsidR="001C6879" w:rsidRPr="00676573">
        <w:rPr>
          <w:rFonts w:ascii="Book Antiqua" w:eastAsiaTheme="minorHAnsi" w:hAnsi="Book Antiqua" w:cstheme="majorBidi"/>
          <w:color w:val="000000" w:themeColor="text1"/>
          <w:sz w:val="28"/>
          <w:szCs w:val="28"/>
        </w:rPr>
        <w:t xml:space="preserve"> douars</w:t>
      </w:r>
      <w:r w:rsidR="001C6879" w:rsidRPr="00676573">
        <w:rPr>
          <w:rFonts w:ascii="Book Antiqua" w:eastAsiaTheme="minorHAnsi" w:hAnsi="Book Antiqua" w:cstheme="majorBidi"/>
          <w:sz w:val="28"/>
          <w:szCs w:val="28"/>
        </w:rPr>
        <w:t xml:space="preserve"> se rapportant aux caractéristiques économiques et sociodémographiques de la population rurale ainsi qu’aux  conditions d’habitation des ménages </w:t>
      </w:r>
      <w:r w:rsidRPr="00676573">
        <w:rPr>
          <w:rFonts w:ascii="Book Antiqua" w:eastAsiaTheme="minorHAnsi" w:hAnsi="Book Antiqua" w:cstheme="majorBidi"/>
          <w:sz w:val="28"/>
          <w:szCs w:val="28"/>
        </w:rPr>
        <w:t xml:space="preserve">par douar et fraction est disponible et sera mise en ligne sur le </w:t>
      </w:r>
      <w:r w:rsidR="00750D5A" w:rsidRPr="00676573">
        <w:rPr>
          <w:rFonts w:ascii="Book Antiqua" w:eastAsiaTheme="minorHAnsi" w:hAnsi="Book Antiqua" w:cstheme="majorBidi"/>
          <w:color w:val="000000" w:themeColor="text1"/>
          <w:sz w:val="28"/>
          <w:szCs w:val="28"/>
        </w:rPr>
        <w:t>site w</w:t>
      </w:r>
      <w:r w:rsidRPr="00676573">
        <w:rPr>
          <w:rFonts w:ascii="Book Antiqua" w:eastAsiaTheme="minorHAnsi" w:hAnsi="Book Antiqua" w:cstheme="majorBidi"/>
          <w:color w:val="000000" w:themeColor="text1"/>
          <w:sz w:val="28"/>
          <w:szCs w:val="28"/>
        </w:rPr>
        <w:t>eb</w:t>
      </w:r>
      <w:r w:rsidRPr="00676573">
        <w:rPr>
          <w:rFonts w:ascii="Book Antiqua" w:eastAsiaTheme="minorHAnsi" w:hAnsi="Book Antiqua" w:cstheme="majorBidi"/>
          <w:sz w:val="28"/>
          <w:szCs w:val="28"/>
        </w:rPr>
        <w:t xml:space="preserve"> officiel du HCP</w:t>
      </w:r>
      <w:r w:rsidR="006C6CC7" w:rsidRPr="00676573">
        <w:rPr>
          <w:rFonts w:ascii="Book Antiqua" w:eastAsiaTheme="minorHAnsi" w:hAnsi="Book Antiqua" w:cstheme="majorBidi"/>
          <w:sz w:val="28"/>
          <w:szCs w:val="28"/>
        </w:rPr>
        <w:t>.</w:t>
      </w:r>
    </w:p>
    <w:p w:rsidR="00296367" w:rsidRPr="00676573" w:rsidRDefault="00296367" w:rsidP="00676573">
      <w:pPr>
        <w:spacing w:after="0" w:line="360" w:lineRule="auto"/>
        <w:jc w:val="both"/>
        <w:rPr>
          <w:rFonts w:ascii="Book Antiqua" w:eastAsiaTheme="minorHAnsi" w:hAnsi="Book Antiqua" w:cstheme="majorBidi"/>
          <w:sz w:val="28"/>
          <w:szCs w:val="28"/>
        </w:rPr>
      </w:pPr>
    </w:p>
    <w:p w:rsidR="00493722" w:rsidRPr="00676573" w:rsidRDefault="000B47A9" w:rsidP="00676573">
      <w:pPr>
        <w:pStyle w:val="Paragraphedeliste"/>
        <w:numPr>
          <w:ilvl w:val="0"/>
          <w:numId w:val="10"/>
        </w:numPr>
        <w:spacing w:after="0" w:line="360" w:lineRule="auto"/>
        <w:jc w:val="both"/>
        <w:rPr>
          <w:rFonts w:ascii="Book Antiqua" w:eastAsiaTheme="minorHAnsi" w:hAnsi="Book Antiqua" w:cstheme="majorBidi"/>
          <w:color w:val="000000" w:themeColor="text1"/>
          <w:sz w:val="28"/>
          <w:szCs w:val="28"/>
        </w:rPr>
      </w:pPr>
      <w:r w:rsidRPr="00676573">
        <w:rPr>
          <w:rFonts w:ascii="Book Antiqua" w:eastAsiaTheme="minorHAnsi" w:hAnsi="Book Antiqua" w:cstheme="majorBidi"/>
          <w:color w:val="000000" w:themeColor="text1"/>
          <w:sz w:val="28"/>
          <w:szCs w:val="28"/>
        </w:rPr>
        <w:lastRenderedPageBreak/>
        <w:t xml:space="preserve">La répartition des douars selon le type fait ressortir </w:t>
      </w:r>
      <w:r w:rsidR="000A1994" w:rsidRPr="00676573">
        <w:rPr>
          <w:rFonts w:ascii="Book Antiqua" w:eastAsiaTheme="minorHAnsi" w:hAnsi="Book Antiqua" w:cstheme="majorBidi"/>
          <w:color w:val="000000" w:themeColor="text1"/>
          <w:sz w:val="28"/>
          <w:szCs w:val="28"/>
        </w:rPr>
        <w:t xml:space="preserve">une prédominance des </w:t>
      </w:r>
      <w:r w:rsidR="003D1427" w:rsidRPr="00676573">
        <w:rPr>
          <w:rFonts w:ascii="Book Antiqua" w:eastAsiaTheme="minorHAnsi" w:hAnsi="Book Antiqua" w:cstheme="majorBidi"/>
          <w:color w:val="000000" w:themeColor="text1"/>
          <w:sz w:val="28"/>
          <w:szCs w:val="28"/>
        </w:rPr>
        <w:t xml:space="preserve">douars groupés </w:t>
      </w:r>
      <w:r w:rsidR="000A1994" w:rsidRPr="00676573">
        <w:rPr>
          <w:rFonts w:ascii="Book Antiqua" w:eastAsiaTheme="minorHAnsi" w:hAnsi="Book Antiqua" w:cstheme="majorBidi"/>
          <w:color w:val="000000" w:themeColor="text1"/>
          <w:sz w:val="28"/>
          <w:szCs w:val="28"/>
        </w:rPr>
        <w:t xml:space="preserve">qui </w:t>
      </w:r>
      <w:r w:rsidR="003D1427" w:rsidRPr="00676573">
        <w:rPr>
          <w:rFonts w:ascii="Book Antiqua" w:eastAsiaTheme="minorHAnsi" w:hAnsi="Book Antiqua" w:cstheme="majorBidi"/>
          <w:color w:val="000000" w:themeColor="text1"/>
          <w:sz w:val="28"/>
          <w:szCs w:val="28"/>
        </w:rPr>
        <w:t xml:space="preserve">représentent </w:t>
      </w:r>
      <w:r w:rsidR="003D1427" w:rsidRPr="00676573">
        <w:rPr>
          <w:rFonts w:ascii="Book Antiqua" w:eastAsiaTheme="minorHAnsi" w:hAnsi="Book Antiqua" w:cstheme="majorBidi"/>
          <w:b/>
          <w:bCs/>
          <w:color w:val="000000" w:themeColor="text1"/>
          <w:sz w:val="28"/>
          <w:szCs w:val="28"/>
        </w:rPr>
        <w:t>5</w:t>
      </w:r>
      <w:r w:rsidR="0098201E" w:rsidRPr="00676573">
        <w:rPr>
          <w:rFonts w:ascii="Book Antiqua" w:eastAsiaTheme="minorHAnsi" w:hAnsi="Book Antiqua" w:cstheme="majorBidi"/>
          <w:b/>
          <w:bCs/>
          <w:color w:val="000000" w:themeColor="text1"/>
          <w:sz w:val="28"/>
          <w:szCs w:val="28"/>
        </w:rPr>
        <w:t>6</w:t>
      </w:r>
      <w:r w:rsidR="00A5152E" w:rsidRPr="00676573">
        <w:rPr>
          <w:rFonts w:ascii="Book Antiqua" w:eastAsiaTheme="minorHAnsi" w:hAnsi="Book Antiqua" w:cstheme="majorBidi"/>
          <w:b/>
          <w:bCs/>
          <w:color w:val="000000" w:themeColor="text1"/>
          <w:sz w:val="28"/>
          <w:szCs w:val="28"/>
        </w:rPr>
        <w:t>,</w:t>
      </w:r>
      <w:r w:rsidR="00F01A8A" w:rsidRPr="00676573">
        <w:rPr>
          <w:rFonts w:ascii="Book Antiqua" w:eastAsiaTheme="minorHAnsi" w:hAnsi="Book Antiqua" w:cstheme="majorBidi"/>
          <w:b/>
          <w:bCs/>
          <w:color w:val="000000" w:themeColor="text1"/>
          <w:sz w:val="28"/>
          <w:szCs w:val="28"/>
        </w:rPr>
        <w:t>4</w:t>
      </w:r>
      <w:r w:rsidR="003D1427" w:rsidRPr="00676573">
        <w:rPr>
          <w:rFonts w:ascii="Book Antiqua" w:eastAsiaTheme="minorHAnsi" w:hAnsi="Book Antiqua" w:cstheme="majorBidi"/>
          <w:b/>
          <w:bCs/>
          <w:color w:val="000000" w:themeColor="text1"/>
          <w:sz w:val="28"/>
          <w:szCs w:val="28"/>
        </w:rPr>
        <w:t>%</w:t>
      </w:r>
      <w:r w:rsidR="000A1994" w:rsidRPr="00676573">
        <w:rPr>
          <w:rFonts w:ascii="Book Antiqua" w:eastAsiaTheme="minorHAnsi" w:hAnsi="Book Antiqua" w:cstheme="majorBidi"/>
          <w:color w:val="000000" w:themeColor="text1"/>
          <w:sz w:val="28"/>
          <w:szCs w:val="28"/>
        </w:rPr>
        <w:t xml:space="preserve">contre </w:t>
      </w:r>
      <w:r w:rsidR="00EC533C" w:rsidRPr="00676573">
        <w:rPr>
          <w:rFonts w:ascii="Book Antiqua" w:eastAsiaTheme="minorHAnsi" w:hAnsi="Book Antiqua" w:cstheme="majorBidi"/>
          <w:b/>
          <w:bCs/>
          <w:color w:val="000000" w:themeColor="text1"/>
          <w:sz w:val="28"/>
          <w:szCs w:val="28"/>
        </w:rPr>
        <w:t>26,9</w:t>
      </w:r>
      <w:r w:rsidR="000A1994" w:rsidRPr="00676573">
        <w:rPr>
          <w:rFonts w:ascii="Book Antiqua" w:eastAsiaTheme="minorHAnsi" w:hAnsi="Book Antiqua" w:cstheme="majorBidi"/>
          <w:b/>
          <w:bCs/>
          <w:color w:val="000000" w:themeColor="text1"/>
          <w:sz w:val="28"/>
          <w:szCs w:val="28"/>
        </w:rPr>
        <w:t>%</w:t>
      </w:r>
      <w:r w:rsidR="000A1994" w:rsidRPr="00676573">
        <w:rPr>
          <w:rFonts w:ascii="Book Antiqua" w:eastAsiaTheme="minorHAnsi" w:hAnsi="Book Antiqua" w:cstheme="majorBidi"/>
          <w:color w:val="000000" w:themeColor="text1"/>
          <w:sz w:val="28"/>
          <w:szCs w:val="28"/>
        </w:rPr>
        <w:t xml:space="preserve"> de douars éclatés, les </w:t>
      </w:r>
      <w:r w:rsidR="00493722" w:rsidRPr="00676573">
        <w:rPr>
          <w:rFonts w:ascii="Book Antiqua" w:eastAsiaTheme="minorHAnsi" w:hAnsi="Book Antiqua" w:cstheme="majorBidi"/>
          <w:color w:val="000000" w:themeColor="text1"/>
          <w:sz w:val="28"/>
          <w:szCs w:val="28"/>
        </w:rPr>
        <w:t>douars dispersés</w:t>
      </w:r>
      <w:r w:rsidR="000A1994" w:rsidRPr="00676573">
        <w:rPr>
          <w:rFonts w:ascii="Book Antiqua" w:eastAsiaTheme="minorHAnsi" w:hAnsi="Book Antiqua" w:cstheme="majorBidi"/>
          <w:color w:val="000000" w:themeColor="text1"/>
          <w:sz w:val="28"/>
          <w:szCs w:val="28"/>
        </w:rPr>
        <w:t xml:space="preserve"> représentent </w:t>
      </w:r>
      <w:r w:rsidR="009D2843" w:rsidRPr="00676573">
        <w:rPr>
          <w:rFonts w:ascii="Book Antiqua" w:eastAsiaTheme="minorHAnsi" w:hAnsi="Book Antiqua" w:cstheme="majorBidi"/>
          <w:color w:val="000000" w:themeColor="text1"/>
          <w:sz w:val="28"/>
          <w:szCs w:val="28"/>
        </w:rPr>
        <w:t xml:space="preserve">quant à eux </w:t>
      </w:r>
      <w:r w:rsidR="000A1994" w:rsidRPr="00676573">
        <w:rPr>
          <w:rFonts w:ascii="Book Antiqua" w:eastAsiaTheme="minorHAnsi" w:hAnsi="Book Antiqua" w:cstheme="majorBidi"/>
          <w:b/>
          <w:bCs/>
          <w:color w:val="000000" w:themeColor="text1"/>
          <w:sz w:val="28"/>
          <w:szCs w:val="28"/>
        </w:rPr>
        <w:t>16</w:t>
      </w:r>
      <w:r w:rsidR="00A5152E" w:rsidRPr="00676573">
        <w:rPr>
          <w:rFonts w:ascii="Book Antiqua" w:eastAsiaTheme="minorHAnsi" w:hAnsi="Book Antiqua" w:cstheme="majorBidi"/>
          <w:b/>
          <w:bCs/>
          <w:color w:val="000000" w:themeColor="text1"/>
          <w:sz w:val="28"/>
          <w:szCs w:val="28"/>
        </w:rPr>
        <w:t>,</w:t>
      </w:r>
      <w:r w:rsidR="00EC533C" w:rsidRPr="00676573">
        <w:rPr>
          <w:rFonts w:ascii="Book Antiqua" w:eastAsiaTheme="minorHAnsi" w:hAnsi="Book Antiqua" w:cstheme="majorBidi"/>
          <w:b/>
          <w:bCs/>
          <w:color w:val="000000" w:themeColor="text1"/>
          <w:sz w:val="28"/>
          <w:szCs w:val="28"/>
        </w:rPr>
        <w:t>7</w:t>
      </w:r>
      <w:r w:rsidR="000A1994" w:rsidRPr="00676573">
        <w:rPr>
          <w:rFonts w:ascii="Book Antiqua" w:eastAsiaTheme="minorHAnsi" w:hAnsi="Book Antiqua" w:cstheme="majorBidi"/>
          <w:b/>
          <w:bCs/>
          <w:color w:val="000000" w:themeColor="text1"/>
          <w:sz w:val="28"/>
          <w:szCs w:val="28"/>
        </w:rPr>
        <w:t>%</w:t>
      </w:r>
      <w:r w:rsidR="00493722" w:rsidRPr="00676573">
        <w:rPr>
          <w:rFonts w:ascii="Book Antiqua" w:eastAsiaTheme="minorHAnsi" w:hAnsi="Book Antiqua" w:cstheme="majorBidi"/>
          <w:color w:val="000000" w:themeColor="text1"/>
          <w:sz w:val="28"/>
          <w:szCs w:val="28"/>
        </w:rPr>
        <w:t>.</w:t>
      </w:r>
    </w:p>
    <w:p w:rsidR="00296367" w:rsidRPr="00676573" w:rsidRDefault="00296367" w:rsidP="00676573">
      <w:pPr>
        <w:pStyle w:val="Paragraphedeliste"/>
        <w:spacing w:after="0" w:line="360" w:lineRule="auto"/>
        <w:jc w:val="both"/>
        <w:rPr>
          <w:rFonts w:ascii="Book Antiqua" w:eastAsiaTheme="minorHAnsi" w:hAnsi="Book Antiqua" w:cstheme="majorBidi"/>
          <w:color w:val="000000" w:themeColor="text1"/>
          <w:sz w:val="28"/>
          <w:szCs w:val="28"/>
        </w:rPr>
      </w:pPr>
    </w:p>
    <w:p w:rsidR="004E2328" w:rsidRPr="00676573" w:rsidRDefault="00261669" w:rsidP="00676573">
      <w:pPr>
        <w:pStyle w:val="Paragraphedeliste"/>
        <w:numPr>
          <w:ilvl w:val="0"/>
          <w:numId w:val="10"/>
        </w:numPr>
        <w:spacing w:after="0" w:line="360" w:lineRule="auto"/>
        <w:jc w:val="both"/>
        <w:rPr>
          <w:rFonts w:ascii="Book Antiqua" w:eastAsiaTheme="minorHAnsi" w:hAnsi="Book Antiqua" w:cstheme="majorBidi"/>
          <w:color w:val="000000" w:themeColor="text1"/>
          <w:sz w:val="28"/>
          <w:szCs w:val="28"/>
        </w:rPr>
      </w:pPr>
      <w:r w:rsidRPr="00676573">
        <w:rPr>
          <w:rFonts w:ascii="Book Antiqua" w:eastAsiaTheme="minorHAnsi" w:hAnsi="Book Antiqua" w:cstheme="majorBidi"/>
          <w:color w:val="000000" w:themeColor="text1"/>
          <w:sz w:val="28"/>
          <w:szCs w:val="28"/>
        </w:rPr>
        <w:t>Le</w:t>
      </w:r>
      <w:r w:rsidR="008822D9" w:rsidRPr="00676573">
        <w:rPr>
          <w:rFonts w:ascii="Book Antiqua" w:eastAsiaTheme="minorHAnsi" w:hAnsi="Book Antiqua" w:cstheme="majorBidi"/>
          <w:color w:val="000000" w:themeColor="text1"/>
          <w:sz w:val="28"/>
          <w:szCs w:val="28"/>
        </w:rPr>
        <w:t xml:space="preserve"> nombre moyen de douars par commune </w:t>
      </w:r>
      <w:r w:rsidRPr="00676573">
        <w:rPr>
          <w:rFonts w:ascii="Book Antiqua" w:eastAsiaTheme="minorHAnsi" w:hAnsi="Book Antiqua" w:cstheme="majorBidi"/>
          <w:color w:val="000000" w:themeColor="text1"/>
          <w:sz w:val="28"/>
          <w:szCs w:val="28"/>
        </w:rPr>
        <w:t xml:space="preserve">a atteint </w:t>
      </w:r>
      <w:r w:rsidRPr="00676573">
        <w:rPr>
          <w:rFonts w:ascii="Book Antiqua" w:eastAsiaTheme="minorHAnsi" w:hAnsi="Book Antiqua" w:cstheme="majorBidi"/>
          <w:b/>
          <w:bCs/>
          <w:color w:val="000000" w:themeColor="text1"/>
          <w:sz w:val="28"/>
          <w:szCs w:val="28"/>
        </w:rPr>
        <w:t>2</w:t>
      </w:r>
      <w:r w:rsidR="00163F51" w:rsidRPr="00676573">
        <w:rPr>
          <w:rFonts w:ascii="Book Antiqua" w:eastAsiaTheme="minorHAnsi" w:hAnsi="Book Antiqua" w:cstheme="majorBidi"/>
          <w:b/>
          <w:bCs/>
          <w:color w:val="000000" w:themeColor="text1"/>
          <w:sz w:val="28"/>
          <w:szCs w:val="28"/>
        </w:rPr>
        <w:t>5</w:t>
      </w:r>
      <w:r w:rsidRPr="00676573">
        <w:rPr>
          <w:rFonts w:ascii="Book Antiqua" w:eastAsiaTheme="minorHAnsi" w:hAnsi="Book Antiqua" w:cstheme="majorBidi"/>
          <w:b/>
          <w:bCs/>
          <w:color w:val="000000" w:themeColor="text1"/>
          <w:sz w:val="28"/>
          <w:szCs w:val="28"/>
        </w:rPr>
        <w:t>,</w:t>
      </w:r>
      <w:r w:rsidR="00163F51" w:rsidRPr="00676573">
        <w:rPr>
          <w:rFonts w:ascii="Book Antiqua" w:eastAsiaTheme="minorHAnsi" w:hAnsi="Book Antiqua" w:cstheme="majorBidi"/>
          <w:b/>
          <w:bCs/>
          <w:color w:val="000000" w:themeColor="text1"/>
          <w:sz w:val="28"/>
          <w:szCs w:val="28"/>
        </w:rPr>
        <w:t>1</w:t>
      </w:r>
      <w:r w:rsidRPr="00676573">
        <w:rPr>
          <w:rFonts w:ascii="Book Antiqua" w:eastAsiaTheme="minorHAnsi" w:hAnsi="Book Antiqua" w:cstheme="majorBidi"/>
          <w:color w:val="000000" w:themeColor="text1"/>
          <w:sz w:val="28"/>
          <w:szCs w:val="28"/>
        </w:rPr>
        <w:t xml:space="preserve"> au niveau national</w:t>
      </w:r>
      <w:r w:rsidR="00C54537" w:rsidRPr="00676573">
        <w:rPr>
          <w:rFonts w:ascii="Book Antiqua" w:eastAsiaTheme="minorHAnsi" w:hAnsi="Book Antiqua" w:cstheme="majorBidi"/>
          <w:color w:val="000000" w:themeColor="text1"/>
          <w:sz w:val="28"/>
          <w:szCs w:val="28"/>
        </w:rPr>
        <w:t xml:space="preserve">. </w:t>
      </w:r>
      <w:r w:rsidR="001469CA" w:rsidRPr="00676573">
        <w:rPr>
          <w:rFonts w:ascii="Book Antiqua" w:eastAsiaTheme="minorHAnsi" w:hAnsi="Book Antiqua" w:cstheme="majorBidi"/>
          <w:color w:val="000000" w:themeColor="text1"/>
          <w:sz w:val="28"/>
          <w:szCs w:val="28"/>
        </w:rPr>
        <w:t>P</w:t>
      </w:r>
      <w:r w:rsidR="004E2328" w:rsidRPr="00676573">
        <w:rPr>
          <w:rFonts w:ascii="Book Antiqua" w:eastAsiaTheme="minorHAnsi" w:hAnsi="Book Antiqua" w:cstheme="majorBidi"/>
          <w:color w:val="000000" w:themeColor="text1"/>
          <w:sz w:val="28"/>
          <w:szCs w:val="28"/>
        </w:rPr>
        <w:t xml:space="preserve">our 10 régions, cette moyenne varie entre </w:t>
      </w:r>
      <w:r w:rsidR="00163F51" w:rsidRPr="00676573">
        <w:rPr>
          <w:rFonts w:ascii="Book Antiqua" w:eastAsiaTheme="minorHAnsi" w:hAnsi="Book Antiqua" w:cstheme="majorBidi"/>
          <w:b/>
          <w:bCs/>
          <w:color w:val="000000" w:themeColor="text1"/>
          <w:sz w:val="28"/>
          <w:szCs w:val="28"/>
        </w:rPr>
        <w:t>20,2</w:t>
      </w:r>
      <w:r w:rsidR="003A12A2" w:rsidRPr="00676573">
        <w:rPr>
          <w:rFonts w:ascii="Book Antiqua" w:eastAsiaTheme="minorHAnsi" w:hAnsi="Book Antiqua" w:cstheme="majorBidi"/>
          <w:color w:val="000000" w:themeColor="text1"/>
          <w:sz w:val="28"/>
          <w:szCs w:val="28"/>
        </w:rPr>
        <w:t xml:space="preserve">douars </w:t>
      </w:r>
      <w:r w:rsidR="00F95362" w:rsidRPr="00676573">
        <w:rPr>
          <w:rFonts w:ascii="Book Antiqua" w:eastAsiaTheme="minorHAnsi" w:hAnsi="Book Antiqua" w:cstheme="majorBidi"/>
          <w:color w:val="000000" w:themeColor="text1"/>
          <w:sz w:val="28"/>
          <w:szCs w:val="28"/>
        </w:rPr>
        <w:t xml:space="preserve">pour les régions de </w:t>
      </w:r>
      <w:r w:rsidR="004E2328" w:rsidRPr="00676573">
        <w:rPr>
          <w:rFonts w:ascii="Book Antiqua" w:eastAsiaTheme="minorHAnsi" w:hAnsi="Book Antiqua" w:cstheme="majorBidi"/>
          <w:color w:val="000000" w:themeColor="text1"/>
          <w:sz w:val="28"/>
          <w:szCs w:val="28"/>
        </w:rPr>
        <w:t xml:space="preserve">Béni Mellal-Khénifra et Drâa-Tafilalet et </w:t>
      </w:r>
      <w:r w:rsidR="004E2328" w:rsidRPr="00676573">
        <w:rPr>
          <w:rFonts w:ascii="Book Antiqua" w:eastAsiaTheme="minorHAnsi" w:hAnsi="Book Antiqua" w:cstheme="majorBidi"/>
          <w:b/>
          <w:bCs/>
          <w:color w:val="000000" w:themeColor="text1"/>
          <w:sz w:val="28"/>
          <w:szCs w:val="28"/>
        </w:rPr>
        <w:t>35,</w:t>
      </w:r>
      <w:r w:rsidR="00163F51" w:rsidRPr="00676573">
        <w:rPr>
          <w:rFonts w:ascii="Book Antiqua" w:eastAsiaTheme="minorHAnsi" w:hAnsi="Book Antiqua" w:cstheme="majorBidi"/>
          <w:b/>
          <w:bCs/>
          <w:color w:val="000000" w:themeColor="text1"/>
          <w:sz w:val="28"/>
          <w:szCs w:val="28"/>
        </w:rPr>
        <w:t>6</w:t>
      </w:r>
      <w:r w:rsidR="003A12A2" w:rsidRPr="00676573">
        <w:rPr>
          <w:rFonts w:ascii="Book Antiqua" w:eastAsiaTheme="minorHAnsi" w:hAnsi="Book Antiqua" w:cstheme="majorBidi"/>
          <w:color w:val="000000" w:themeColor="text1"/>
          <w:sz w:val="28"/>
          <w:szCs w:val="28"/>
        </w:rPr>
        <w:t>douars</w:t>
      </w:r>
      <w:r w:rsidR="00F95362" w:rsidRPr="00676573">
        <w:rPr>
          <w:rFonts w:ascii="Book Antiqua" w:eastAsiaTheme="minorHAnsi" w:hAnsi="Book Antiqua" w:cstheme="majorBidi"/>
          <w:color w:val="000000" w:themeColor="text1"/>
          <w:sz w:val="28"/>
          <w:szCs w:val="28"/>
        </w:rPr>
        <w:t xml:space="preserve">au niveau de la région de </w:t>
      </w:r>
      <w:r w:rsidR="004E2328" w:rsidRPr="00676573">
        <w:rPr>
          <w:rFonts w:ascii="Book Antiqua" w:eastAsiaTheme="minorHAnsi" w:hAnsi="Book Antiqua" w:cstheme="majorBidi"/>
          <w:color w:val="000000" w:themeColor="text1"/>
          <w:sz w:val="28"/>
          <w:szCs w:val="28"/>
        </w:rPr>
        <w:t>Souss-Massa</w:t>
      </w:r>
      <w:r w:rsidR="00F95362" w:rsidRPr="00676573">
        <w:rPr>
          <w:rFonts w:ascii="Book Antiqua" w:eastAsiaTheme="minorHAnsi" w:hAnsi="Book Antiqua" w:cstheme="majorBidi"/>
          <w:color w:val="000000" w:themeColor="text1"/>
          <w:sz w:val="28"/>
          <w:szCs w:val="28"/>
        </w:rPr>
        <w:t>,</w:t>
      </w:r>
      <w:r w:rsidR="001437C7" w:rsidRPr="00676573">
        <w:rPr>
          <w:rFonts w:ascii="Book Antiqua" w:eastAsiaTheme="minorHAnsi" w:hAnsi="Book Antiqua" w:cstheme="majorBidi"/>
          <w:color w:val="000000" w:themeColor="text1"/>
          <w:sz w:val="28"/>
          <w:szCs w:val="28"/>
        </w:rPr>
        <w:t xml:space="preserve"> contrairement aux </w:t>
      </w:r>
      <w:r w:rsidR="004E2328" w:rsidRPr="00676573">
        <w:rPr>
          <w:rFonts w:ascii="Book Antiqua" w:eastAsiaTheme="minorHAnsi" w:hAnsi="Book Antiqua" w:cstheme="majorBidi"/>
          <w:color w:val="000000" w:themeColor="text1"/>
          <w:sz w:val="28"/>
          <w:szCs w:val="28"/>
        </w:rPr>
        <w:t>régions de Laâyoune-Sakia El Hamra et Dakhla-Oued Ed-Dahab</w:t>
      </w:r>
      <w:r w:rsidR="001437C7" w:rsidRPr="00676573">
        <w:rPr>
          <w:rFonts w:ascii="Book Antiqua" w:eastAsiaTheme="minorHAnsi" w:hAnsi="Book Antiqua" w:cstheme="majorBidi"/>
          <w:color w:val="000000" w:themeColor="text1"/>
          <w:sz w:val="28"/>
          <w:szCs w:val="28"/>
        </w:rPr>
        <w:t xml:space="preserve">qui </w:t>
      </w:r>
      <w:r w:rsidR="004E2328" w:rsidRPr="00676573">
        <w:rPr>
          <w:rFonts w:ascii="Book Antiqua" w:eastAsiaTheme="minorHAnsi" w:hAnsi="Book Antiqua" w:cstheme="majorBidi"/>
          <w:color w:val="000000" w:themeColor="text1"/>
          <w:sz w:val="28"/>
          <w:szCs w:val="28"/>
        </w:rPr>
        <w:t xml:space="preserve">ont enregistré </w:t>
      </w:r>
      <w:r w:rsidR="000133FA" w:rsidRPr="00676573">
        <w:rPr>
          <w:rFonts w:ascii="Book Antiqua" w:eastAsiaTheme="minorHAnsi" w:hAnsi="Book Antiqua" w:cstheme="majorBidi"/>
          <w:color w:val="000000" w:themeColor="text1"/>
          <w:sz w:val="28"/>
          <w:szCs w:val="28"/>
        </w:rPr>
        <w:t>de</w:t>
      </w:r>
      <w:r w:rsidR="004E2328" w:rsidRPr="00676573">
        <w:rPr>
          <w:rFonts w:ascii="Book Antiqua" w:eastAsiaTheme="minorHAnsi" w:hAnsi="Book Antiqua" w:cstheme="majorBidi"/>
          <w:color w:val="000000" w:themeColor="text1"/>
          <w:sz w:val="28"/>
          <w:szCs w:val="28"/>
        </w:rPr>
        <w:t xml:space="preserve"> faible</w:t>
      </w:r>
      <w:r w:rsidR="000133FA" w:rsidRPr="00676573">
        <w:rPr>
          <w:rFonts w:ascii="Book Antiqua" w:eastAsiaTheme="minorHAnsi" w:hAnsi="Book Antiqua" w:cstheme="majorBidi"/>
          <w:color w:val="000000" w:themeColor="text1"/>
          <w:sz w:val="28"/>
          <w:szCs w:val="28"/>
        </w:rPr>
        <w:t>s</w:t>
      </w:r>
      <w:r w:rsidR="004E2328" w:rsidRPr="00676573">
        <w:rPr>
          <w:rFonts w:ascii="Book Antiqua" w:eastAsiaTheme="minorHAnsi" w:hAnsi="Book Antiqua" w:cstheme="majorBidi"/>
          <w:color w:val="000000" w:themeColor="text1"/>
          <w:sz w:val="28"/>
          <w:szCs w:val="28"/>
        </w:rPr>
        <w:t xml:space="preserve"> moyenne</w:t>
      </w:r>
      <w:r w:rsidR="000133FA" w:rsidRPr="00676573">
        <w:rPr>
          <w:rFonts w:ascii="Book Antiqua" w:eastAsiaTheme="minorHAnsi" w:hAnsi="Book Antiqua" w:cstheme="majorBidi"/>
          <w:color w:val="000000" w:themeColor="text1"/>
          <w:sz w:val="28"/>
          <w:szCs w:val="28"/>
        </w:rPr>
        <w:t>s</w:t>
      </w:r>
      <w:r w:rsidR="004E2328" w:rsidRPr="00676573">
        <w:rPr>
          <w:rFonts w:ascii="Book Antiqua" w:eastAsiaTheme="minorHAnsi" w:hAnsi="Book Antiqua" w:cstheme="majorBidi"/>
          <w:color w:val="000000" w:themeColor="text1"/>
          <w:sz w:val="28"/>
          <w:szCs w:val="28"/>
        </w:rPr>
        <w:t>, soit</w:t>
      </w:r>
      <w:r w:rsidR="00FA0A22" w:rsidRPr="00676573">
        <w:rPr>
          <w:rFonts w:ascii="Book Antiqua" w:eastAsiaTheme="minorHAnsi" w:hAnsi="Book Antiqua" w:cstheme="majorBidi"/>
          <w:color w:val="000000" w:themeColor="text1"/>
          <w:sz w:val="28"/>
          <w:szCs w:val="28"/>
        </w:rPr>
        <w:t xml:space="preserve"> successivement</w:t>
      </w:r>
      <w:r w:rsidR="00163F51" w:rsidRPr="00676573">
        <w:rPr>
          <w:rFonts w:ascii="Book Antiqua" w:eastAsiaTheme="minorHAnsi" w:hAnsi="Book Antiqua" w:cstheme="majorBidi"/>
          <w:b/>
          <w:bCs/>
          <w:color w:val="000000" w:themeColor="text1"/>
          <w:sz w:val="28"/>
          <w:szCs w:val="28"/>
        </w:rPr>
        <w:t>2,1</w:t>
      </w:r>
      <w:r w:rsidR="004E2328" w:rsidRPr="00676573">
        <w:rPr>
          <w:rFonts w:ascii="Book Antiqua" w:eastAsiaTheme="minorHAnsi" w:hAnsi="Book Antiqua" w:cstheme="majorBidi"/>
          <w:color w:val="000000" w:themeColor="text1"/>
          <w:sz w:val="28"/>
          <w:szCs w:val="28"/>
        </w:rPr>
        <w:t xml:space="preserve"> et </w:t>
      </w:r>
      <w:r w:rsidR="004E2328" w:rsidRPr="00676573">
        <w:rPr>
          <w:rFonts w:ascii="Book Antiqua" w:eastAsiaTheme="minorHAnsi" w:hAnsi="Book Antiqua" w:cstheme="majorBidi"/>
          <w:b/>
          <w:bCs/>
          <w:color w:val="000000" w:themeColor="text1"/>
          <w:sz w:val="28"/>
          <w:szCs w:val="28"/>
        </w:rPr>
        <w:t>2,</w:t>
      </w:r>
      <w:r w:rsidR="00163F51" w:rsidRPr="00676573">
        <w:rPr>
          <w:rFonts w:ascii="Book Antiqua" w:eastAsiaTheme="minorHAnsi" w:hAnsi="Book Antiqua" w:cstheme="majorBidi"/>
          <w:b/>
          <w:bCs/>
          <w:color w:val="000000" w:themeColor="text1"/>
          <w:sz w:val="28"/>
          <w:szCs w:val="28"/>
        </w:rPr>
        <w:t>7</w:t>
      </w:r>
      <w:r w:rsidR="004E2328" w:rsidRPr="00676573">
        <w:rPr>
          <w:rFonts w:ascii="Book Antiqua" w:eastAsiaTheme="minorHAnsi" w:hAnsi="Book Antiqua" w:cstheme="majorBidi"/>
          <w:color w:val="000000" w:themeColor="text1"/>
          <w:sz w:val="28"/>
          <w:szCs w:val="28"/>
        </w:rPr>
        <w:t xml:space="preserve"> douar</w:t>
      </w:r>
      <w:r w:rsidR="001469CA" w:rsidRPr="00676573">
        <w:rPr>
          <w:rFonts w:ascii="Book Antiqua" w:eastAsiaTheme="minorHAnsi" w:hAnsi="Book Antiqua" w:cstheme="majorBidi"/>
          <w:color w:val="000000" w:themeColor="text1"/>
          <w:sz w:val="28"/>
          <w:szCs w:val="28"/>
        </w:rPr>
        <w:t>s</w:t>
      </w:r>
      <w:r w:rsidR="004E2328" w:rsidRPr="00676573">
        <w:rPr>
          <w:rFonts w:ascii="Book Antiqua" w:eastAsiaTheme="minorHAnsi" w:hAnsi="Book Antiqua" w:cstheme="majorBidi"/>
          <w:color w:val="000000" w:themeColor="text1"/>
          <w:sz w:val="28"/>
          <w:szCs w:val="28"/>
        </w:rPr>
        <w:t xml:space="preserve"> par commune</w:t>
      </w:r>
      <w:r w:rsidR="000133FA" w:rsidRPr="00676573">
        <w:rPr>
          <w:rFonts w:ascii="Book Antiqua" w:eastAsiaTheme="minorHAnsi" w:hAnsi="Book Antiqua" w:cstheme="majorBidi"/>
          <w:color w:val="000000" w:themeColor="text1"/>
          <w:sz w:val="28"/>
          <w:szCs w:val="28"/>
        </w:rPr>
        <w:t>.</w:t>
      </w:r>
    </w:p>
    <w:p w:rsidR="00296367" w:rsidRPr="00676573" w:rsidRDefault="00296367" w:rsidP="00676573">
      <w:pPr>
        <w:spacing w:after="0" w:line="360" w:lineRule="auto"/>
        <w:jc w:val="both"/>
        <w:rPr>
          <w:rFonts w:ascii="Book Antiqua" w:eastAsiaTheme="minorHAnsi" w:hAnsi="Book Antiqua" w:cstheme="majorBidi"/>
          <w:color w:val="000000" w:themeColor="text1"/>
          <w:sz w:val="28"/>
          <w:szCs w:val="28"/>
        </w:rPr>
      </w:pPr>
    </w:p>
    <w:p w:rsidR="00287983" w:rsidRPr="00676573" w:rsidRDefault="001F5A0B" w:rsidP="00676573">
      <w:pPr>
        <w:pStyle w:val="Paragraphedeliste"/>
        <w:numPr>
          <w:ilvl w:val="0"/>
          <w:numId w:val="10"/>
        </w:numPr>
        <w:spacing w:after="0" w:line="360" w:lineRule="auto"/>
        <w:jc w:val="both"/>
        <w:rPr>
          <w:rFonts w:ascii="Book Antiqua" w:eastAsia="Times New Roman" w:hAnsi="Book Antiqua" w:cs="Times New Roman"/>
          <w:b/>
          <w:bCs/>
          <w:i/>
          <w:iCs/>
          <w:color w:val="000000"/>
          <w:sz w:val="28"/>
          <w:szCs w:val="28"/>
          <w:lang w:eastAsia="fr-FR"/>
        </w:rPr>
      </w:pPr>
      <w:r w:rsidRPr="00676573">
        <w:rPr>
          <w:rFonts w:ascii="Book Antiqua" w:eastAsiaTheme="minorHAnsi" w:hAnsi="Book Antiqua" w:cstheme="majorBidi"/>
          <w:color w:val="000000" w:themeColor="text1"/>
          <w:sz w:val="28"/>
          <w:szCs w:val="28"/>
        </w:rPr>
        <w:t xml:space="preserve">La répartition de la population </w:t>
      </w:r>
      <w:r w:rsidR="00FA4659" w:rsidRPr="00676573">
        <w:rPr>
          <w:rFonts w:ascii="Book Antiqua" w:eastAsiaTheme="minorHAnsi" w:hAnsi="Book Antiqua" w:cstheme="majorBidi"/>
          <w:color w:val="000000" w:themeColor="text1"/>
          <w:sz w:val="28"/>
          <w:szCs w:val="28"/>
        </w:rPr>
        <w:t xml:space="preserve">rurale </w:t>
      </w:r>
      <w:r w:rsidRPr="00676573">
        <w:rPr>
          <w:rFonts w:ascii="Book Antiqua" w:eastAsiaTheme="minorHAnsi" w:hAnsi="Book Antiqua" w:cstheme="majorBidi"/>
          <w:color w:val="000000" w:themeColor="text1"/>
          <w:sz w:val="28"/>
          <w:szCs w:val="28"/>
        </w:rPr>
        <w:t xml:space="preserve">selon le type de douar </w:t>
      </w:r>
      <w:r w:rsidR="006C0EE8" w:rsidRPr="00676573">
        <w:rPr>
          <w:rFonts w:ascii="Book Antiqua" w:eastAsiaTheme="minorHAnsi" w:hAnsi="Book Antiqua" w:cstheme="majorBidi"/>
          <w:color w:val="000000" w:themeColor="text1"/>
          <w:sz w:val="28"/>
          <w:szCs w:val="28"/>
        </w:rPr>
        <w:t>permet de constater</w:t>
      </w:r>
      <w:r w:rsidRPr="00676573">
        <w:rPr>
          <w:rFonts w:ascii="Book Antiqua" w:eastAsiaTheme="minorHAnsi" w:hAnsi="Book Antiqua" w:cstheme="majorBidi"/>
          <w:color w:val="000000" w:themeColor="text1"/>
          <w:sz w:val="28"/>
          <w:szCs w:val="28"/>
        </w:rPr>
        <w:t xml:space="preserve"> que les douars groupés </w:t>
      </w:r>
      <w:r w:rsidR="00171D74" w:rsidRPr="00676573">
        <w:rPr>
          <w:rFonts w:ascii="Book Antiqua" w:eastAsiaTheme="minorHAnsi" w:hAnsi="Book Antiqua" w:cstheme="majorBidi"/>
          <w:color w:val="000000" w:themeColor="text1"/>
          <w:sz w:val="28"/>
          <w:szCs w:val="28"/>
        </w:rPr>
        <w:t xml:space="preserve">abritent </w:t>
      </w:r>
      <w:r w:rsidR="00171D74" w:rsidRPr="00676573">
        <w:rPr>
          <w:rFonts w:ascii="Book Antiqua" w:eastAsiaTheme="minorHAnsi" w:hAnsi="Book Antiqua" w:cstheme="majorBidi"/>
          <w:b/>
          <w:bCs/>
          <w:color w:val="000000" w:themeColor="text1"/>
          <w:sz w:val="28"/>
          <w:szCs w:val="28"/>
        </w:rPr>
        <w:t>4</w:t>
      </w:r>
      <w:r w:rsidR="007D2575" w:rsidRPr="00676573">
        <w:rPr>
          <w:rFonts w:ascii="Book Antiqua" w:eastAsiaTheme="minorHAnsi" w:hAnsi="Book Antiqua" w:cstheme="majorBidi"/>
          <w:b/>
          <w:bCs/>
          <w:color w:val="000000" w:themeColor="text1"/>
          <w:sz w:val="28"/>
          <w:szCs w:val="28"/>
        </w:rPr>
        <w:t>3</w:t>
      </w:r>
      <w:r w:rsidR="00171D74" w:rsidRPr="00676573">
        <w:rPr>
          <w:rFonts w:ascii="Book Antiqua" w:eastAsiaTheme="minorHAnsi" w:hAnsi="Book Antiqua" w:cstheme="majorBidi"/>
          <w:b/>
          <w:bCs/>
          <w:color w:val="000000" w:themeColor="text1"/>
          <w:sz w:val="28"/>
          <w:szCs w:val="28"/>
        </w:rPr>
        <w:t>,</w:t>
      </w:r>
      <w:r w:rsidR="00EC533C" w:rsidRPr="00676573">
        <w:rPr>
          <w:rFonts w:ascii="Book Antiqua" w:eastAsiaTheme="minorHAnsi" w:hAnsi="Book Antiqua" w:cstheme="majorBidi"/>
          <w:b/>
          <w:bCs/>
          <w:color w:val="000000" w:themeColor="text1"/>
          <w:sz w:val="28"/>
          <w:szCs w:val="28"/>
        </w:rPr>
        <w:t>7</w:t>
      </w:r>
      <w:r w:rsidR="00171D74" w:rsidRPr="00676573">
        <w:rPr>
          <w:rFonts w:ascii="Book Antiqua" w:eastAsiaTheme="minorHAnsi" w:hAnsi="Book Antiqua" w:cstheme="majorBidi"/>
          <w:b/>
          <w:bCs/>
          <w:color w:val="000000" w:themeColor="text1"/>
          <w:sz w:val="28"/>
          <w:szCs w:val="28"/>
        </w:rPr>
        <w:t>%</w:t>
      </w:r>
      <w:r w:rsidR="00171D74" w:rsidRPr="00676573">
        <w:rPr>
          <w:rFonts w:ascii="Book Antiqua" w:eastAsiaTheme="minorHAnsi" w:hAnsi="Book Antiqua" w:cstheme="majorBidi"/>
          <w:color w:val="000000" w:themeColor="text1"/>
          <w:sz w:val="28"/>
          <w:szCs w:val="28"/>
        </w:rPr>
        <w:t xml:space="preserve"> de la population, </w:t>
      </w:r>
      <w:r w:rsidRPr="00676573">
        <w:rPr>
          <w:rFonts w:ascii="Book Antiqua" w:eastAsiaTheme="minorHAnsi" w:hAnsi="Book Antiqua" w:cstheme="majorBidi"/>
          <w:color w:val="000000" w:themeColor="text1"/>
          <w:sz w:val="28"/>
          <w:szCs w:val="28"/>
        </w:rPr>
        <w:t xml:space="preserve">soit </w:t>
      </w:r>
      <w:r w:rsidRPr="00676573">
        <w:rPr>
          <w:rFonts w:ascii="Book Antiqua" w:eastAsiaTheme="minorHAnsi" w:hAnsi="Book Antiqua" w:cstheme="majorBidi"/>
          <w:b/>
          <w:bCs/>
          <w:color w:val="000000" w:themeColor="text1"/>
          <w:sz w:val="28"/>
          <w:szCs w:val="28"/>
        </w:rPr>
        <w:t>4</w:t>
      </w:r>
      <w:r w:rsidR="007D2575" w:rsidRPr="00676573">
        <w:rPr>
          <w:rFonts w:ascii="Book Antiqua" w:eastAsiaTheme="minorHAnsi" w:hAnsi="Book Antiqua" w:cstheme="majorBidi"/>
          <w:b/>
          <w:bCs/>
          <w:color w:val="000000" w:themeColor="text1"/>
          <w:sz w:val="28"/>
          <w:szCs w:val="28"/>
        </w:rPr>
        <w:t>3</w:t>
      </w:r>
      <w:r w:rsidRPr="00676573">
        <w:rPr>
          <w:rFonts w:ascii="Book Antiqua" w:eastAsiaTheme="minorHAnsi" w:hAnsi="Book Antiqua" w:cstheme="majorBidi"/>
          <w:b/>
          <w:bCs/>
          <w:color w:val="000000" w:themeColor="text1"/>
          <w:sz w:val="28"/>
          <w:szCs w:val="28"/>
        </w:rPr>
        <w:t>,</w:t>
      </w:r>
      <w:r w:rsidR="00EC533C" w:rsidRPr="00676573">
        <w:rPr>
          <w:rFonts w:ascii="Book Antiqua" w:eastAsiaTheme="minorHAnsi" w:hAnsi="Book Antiqua" w:cstheme="majorBidi"/>
          <w:b/>
          <w:bCs/>
          <w:color w:val="000000" w:themeColor="text1"/>
          <w:sz w:val="28"/>
          <w:szCs w:val="28"/>
        </w:rPr>
        <w:t>6</w:t>
      </w:r>
      <w:r w:rsidR="00F37AAE" w:rsidRPr="00676573">
        <w:rPr>
          <w:rFonts w:ascii="Book Antiqua" w:eastAsiaTheme="minorHAnsi" w:hAnsi="Book Antiqua" w:cstheme="majorBidi"/>
          <w:b/>
          <w:bCs/>
          <w:color w:val="000000" w:themeColor="text1"/>
          <w:sz w:val="28"/>
          <w:szCs w:val="28"/>
        </w:rPr>
        <w:t>%</w:t>
      </w:r>
      <w:r w:rsidR="00F37AAE" w:rsidRPr="00676573">
        <w:rPr>
          <w:rFonts w:ascii="Book Antiqua" w:eastAsiaTheme="minorHAnsi" w:hAnsi="Book Antiqua" w:cstheme="majorBidi"/>
          <w:color w:val="000000" w:themeColor="text1"/>
          <w:sz w:val="28"/>
          <w:szCs w:val="28"/>
        </w:rPr>
        <w:t xml:space="preserve"> des ménages, </w:t>
      </w:r>
      <w:r w:rsidR="00EC533C" w:rsidRPr="00676573">
        <w:rPr>
          <w:rFonts w:ascii="Book Antiqua" w:eastAsiaTheme="minorHAnsi" w:hAnsi="Book Antiqua" w:cstheme="majorBidi"/>
          <w:b/>
          <w:bCs/>
          <w:color w:val="000000" w:themeColor="text1"/>
          <w:sz w:val="28"/>
          <w:szCs w:val="28"/>
        </w:rPr>
        <w:t>41,0</w:t>
      </w:r>
      <w:r w:rsidR="00F37AAE" w:rsidRPr="00676573">
        <w:rPr>
          <w:rFonts w:ascii="Book Antiqua" w:eastAsiaTheme="minorHAnsi" w:hAnsi="Book Antiqua" w:cstheme="majorBidi"/>
          <w:b/>
          <w:bCs/>
          <w:color w:val="000000" w:themeColor="text1"/>
          <w:sz w:val="28"/>
          <w:szCs w:val="28"/>
        </w:rPr>
        <w:t>%</w:t>
      </w:r>
      <w:r w:rsidR="00F37AAE" w:rsidRPr="00676573">
        <w:rPr>
          <w:rFonts w:ascii="Book Antiqua" w:eastAsiaTheme="minorHAnsi" w:hAnsi="Book Antiqua" w:cstheme="majorBidi"/>
          <w:color w:val="000000" w:themeColor="text1"/>
          <w:sz w:val="28"/>
          <w:szCs w:val="28"/>
        </w:rPr>
        <w:t xml:space="preserve"> de la population habitent dans des douars éclatés</w:t>
      </w:r>
      <w:r w:rsidR="007D2575" w:rsidRPr="00676573">
        <w:rPr>
          <w:rFonts w:ascii="Book Antiqua" w:eastAsiaTheme="minorHAnsi" w:hAnsi="Book Antiqua" w:cstheme="majorBidi"/>
          <w:color w:val="000000" w:themeColor="text1"/>
          <w:sz w:val="28"/>
          <w:szCs w:val="28"/>
        </w:rPr>
        <w:t xml:space="preserve">, soit </w:t>
      </w:r>
      <w:r w:rsidR="007D2575" w:rsidRPr="00676573">
        <w:rPr>
          <w:rFonts w:ascii="Book Antiqua" w:eastAsiaTheme="minorHAnsi" w:hAnsi="Book Antiqua" w:cstheme="majorBidi"/>
          <w:b/>
          <w:bCs/>
          <w:color w:val="000000" w:themeColor="text1"/>
          <w:sz w:val="28"/>
          <w:szCs w:val="28"/>
        </w:rPr>
        <w:t>40,</w:t>
      </w:r>
      <w:r w:rsidR="00EC533C" w:rsidRPr="00676573">
        <w:rPr>
          <w:rFonts w:ascii="Book Antiqua" w:eastAsiaTheme="minorHAnsi" w:hAnsi="Book Antiqua" w:cstheme="majorBidi"/>
          <w:b/>
          <w:bCs/>
          <w:color w:val="000000" w:themeColor="text1"/>
          <w:sz w:val="28"/>
          <w:szCs w:val="28"/>
        </w:rPr>
        <w:t>9</w:t>
      </w:r>
      <w:r w:rsidR="007D2575" w:rsidRPr="00676573">
        <w:rPr>
          <w:rFonts w:ascii="Book Antiqua" w:eastAsiaTheme="minorHAnsi" w:hAnsi="Book Antiqua" w:cstheme="majorBidi"/>
          <w:b/>
          <w:bCs/>
          <w:color w:val="000000" w:themeColor="text1"/>
          <w:sz w:val="28"/>
          <w:szCs w:val="28"/>
        </w:rPr>
        <w:t>%</w:t>
      </w:r>
      <w:r w:rsidR="007D2575" w:rsidRPr="00676573">
        <w:rPr>
          <w:rFonts w:ascii="Book Antiqua" w:eastAsiaTheme="minorHAnsi" w:hAnsi="Book Antiqua" w:cstheme="majorBidi"/>
          <w:color w:val="000000" w:themeColor="text1"/>
          <w:sz w:val="28"/>
          <w:szCs w:val="28"/>
        </w:rPr>
        <w:t xml:space="preserve"> des ménages,</w:t>
      </w:r>
      <w:r w:rsidR="006C0EE8" w:rsidRPr="00676573">
        <w:rPr>
          <w:rFonts w:ascii="Book Antiqua" w:eastAsiaTheme="minorHAnsi" w:hAnsi="Book Antiqua" w:cstheme="majorBidi"/>
          <w:color w:val="000000" w:themeColor="text1"/>
          <w:sz w:val="28"/>
          <w:szCs w:val="28"/>
        </w:rPr>
        <w:t xml:space="preserve"> contre </w:t>
      </w:r>
      <w:r w:rsidR="006C0EE8" w:rsidRPr="00676573">
        <w:rPr>
          <w:rFonts w:ascii="Book Antiqua" w:eastAsiaTheme="minorHAnsi" w:hAnsi="Book Antiqua" w:cstheme="majorBidi"/>
          <w:b/>
          <w:bCs/>
          <w:color w:val="000000" w:themeColor="text1"/>
          <w:sz w:val="28"/>
          <w:szCs w:val="28"/>
        </w:rPr>
        <w:t>15,</w:t>
      </w:r>
      <w:r w:rsidR="007D2575" w:rsidRPr="00676573">
        <w:rPr>
          <w:rFonts w:ascii="Book Antiqua" w:eastAsiaTheme="minorHAnsi" w:hAnsi="Book Antiqua" w:cstheme="majorBidi"/>
          <w:b/>
          <w:bCs/>
          <w:color w:val="000000" w:themeColor="text1"/>
          <w:sz w:val="28"/>
          <w:szCs w:val="28"/>
        </w:rPr>
        <w:t>3</w:t>
      </w:r>
      <w:r w:rsidR="006C0EE8" w:rsidRPr="00676573">
        <w:rPr>
          <w:rFonts w:ascii="Book Antiqua" w:eastAsiaTheme="minorHAnsi" w:hAnsi="Book Antiqua" w:cstheme="majorBidi"/>
          <w:b/>
          <w:bCs/>
          <w:color w:val="000000" w:themeColor="text1"/>
          <w:sz w:val="28"/>
          <w:szCs w:val="28"/>
        </w:rPr>
        <w:t>%</w:t>
      </w:r>
      <w:r w:rsidR="006C0EE8" w:rsidRPr="00676573">
        <w:rPr>
          <w:rFonts w:ascii="Book Antiqua" w:eastAsiaTheme="minorHAnsi" w:hAnsi="Book Antiqua" w:cstheme="majorBidi"/>
          <w:color w:val="000000" w:themeColor="text1"/>
          <w:sz w:val="28"/>
          <w:szCs w:val="28"/>
        </w:rPr>
        <w:t xml:space="preserve"> de la population </w:t>
      </w:r>
      <w:r w:rsidR="007D2575" w:rsidRPr="00676573">
        <w:rPr>
          <w:rFonts w:ascii="Book Antiqua" w:eastAsiaTheme="minorHAnsi" w:hAnsi="Book Antiqua" w:cstheme="majorBidi"/>
          <w:color w:val="000000" w:themeColor="text1"/>
          <w:sz w:val="28"/>
          <w:szCs w:val="28"/>
        </w:rPr>
        <w:t xml:space="preserve">qui </w:t>
      </w:r>
      <w:r w:rsidR="006C0EE8" w:rsidRPr="00676573">
        <w:rPr>
          <w:rFonts w:ascii="Book Antiqua" w:eastAsiaTheme="minorHAnsi" w:hAnsi="Book Antiqua" w:cstheme="majorBidi"/>
          <w:color w:val="000000" w:themeColor="text1"/>
          <w:sz w:val="28"/>
          <w:szCs w:val="28"/>
        </w:rPr>
        <w:t>résident dans des douars dispersés</w:t>
      </w:r>
      <w:r w:rsidR="007D2575" w:rsidRPr="00676573">
        <w:rPr>
          <w:rFonts w:ascii="Book Antiqua" w:eastAsiaTheme="minorHAnsi" w:hAnsi="Book Antiqua" w:cstheme="majorBidi"/>
          <w:color w:val="000000" w:themeColor="text1"/>
          <w:sz w:val="28"/>
          <w:szCs w:val="28"/>
        </w:rPr>
        <w:t xml:space="preserve"> ce qui représente </w:t>
      </w:r>
      <w:r w:rsidR="007D2575" w:rsidRPr="00676573">
        <w:rPr>
          <w:rFonts w:ascii="Book Antiqua" w:eastAsiaTheme="minorHAnsi" w:hAnsi="Book Antiqua" w:cstheme="majorBidi"/>
          <w:b/>
          <w:bCs/>
          <w:color w:val="000000" w:themeColor="text1"/>
          <w:sz w:val="28"/>
          <w:szCs w:val="28"/>
        </w:rPr>
        <w:t>15,5%</w:t>
      </w:r>
      <w:r w:rsidR="007D2575" w:rsidRPr="00676573">
        <w:rPr>
          <w:rFonts w:ascii="Book Antiqua" w:eastAsiaTheme="minorHAnsi" w:hAnsi="Book Antiqua" w:cstheme="majorBidi"/>
          <w:color w:val="000000" w:themeColor="text1"/>
          <w:sz w:val="28"/>
          <w:szCs w:val="28"/>
        </w:rPr>
        <w:t xml:space="preserve"> des ménages</w:t>
      </w:r>
      <w:r w:rsidR="006C0EE8" w:rsidRPr="00676573">
        <w:rPr>
          <w:rFonts w:ascii="Book Antiqua" w:eastAsiaTheme="minorHAnsi" w:hAnsi="Book Antiqua" w:cstheme="majorBidi"/>
          <w:color w:val="000000" w:themeColor="text1"/>
          <w:sz w:val="28"/>
          <w:szCs w:val="28"/>
        </w:rPr>
        <w:t>.</w:t>
      </w:r>
    </w:p>
    <w:sectPr w:rsidR="00287983" w:rsidRPr="00676573" w:rsidSect="0076103A">
      <w:footerReference w:type="default" r:id="rId9"/>
      <w:headerReference w:type="first" r:id="rId10"/>
      <w:footerReference w:type="first" r:id="rId11"/>
      <w:pgSz w:w="11906" w:h="16838"/>
      <w:pgMar w:top="1304" w:right="964" w:bottom="1304" w:left="96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E8F" w:rsidRDefault="003F3E8F" w:rsidP="00494F13">
      <w:pPr>
        <w:spacing w:after="0" w:line="240" w:lineRule="auto"/>
      </w:pPr>
      <w:r>
        <w:separator/>
      </w:r>
    </w:p>
  </w:endnote>
  <w:endnote w:type="continuationSeparator" w:id="1">
    <w:p w:rsidR="003F3E8F" w:rsidRDefault="003F3E8F" w:rsidP="00494F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6875345"/>
      <w:docPartObj>
        <w:docPartGallery w:val="Page Numbers (Bottom of Page)"/>
        <w:docPartUnique/>
      </w:docPartObj>
    </w:sdtPr>
    <w:sdtContent>
      <w:p w:rsidR="00897541" w:rsidRDefault="00897541" w:rsidP="00D403E5">
        <w:pPr>
          <w:pStyle w:val="Pieddepage"/>
          <w:jc w:val="center"/>
        </w:pPr>
      </w:p>
      <w:p w:rsidR="00897541" w:rsidRPr="00D403E5" w:rsidRDefault="00897541" w:rsidP="00D403E5">
        <w:pPr>
          <w:pStyle w:val="Pieddepage"/>
          <w:jc w:val="center"/>
        </w:pPr>
        <w:r w:rsidRPr="00A7259B">
          <w:rPr>
            <w:rFonts w:ascii="Garamond" w:hAnsi="Garamond"/>
            <w:b/>
            <w:bCs/>
            <w:szCs w:val="20"/>
          </w:rPr>
          <w:t xml:space="preserve">- </w:t>
        </w:r>
        <w:r w:rsidR="00BA4395" w:rsidRPr="00A7259B">
          <w:rPr>
            <w:rFonts w:ascii="Garamond" w:hAnsi="Garamond"/>
            <w:b/>
            <w:bCs/>
            <w:szCs w:val="20"/>
          </w:rPr>
          <w:fldChar w:fldCharType="begin"/>
        </w:r>
        <w:r w:rsidRPr="00A7259B">
          <w:rPr>
            <w:rFonts w:ascii="Garamond" w:hAnsi="Garamond"/>
            <w:b/>
            <w:bCs/>
            <w:szCs w:val="20"/>
          </w:rPr>
          <w:instrText>PAGE    \* MERGEFORMAT</w:instrText>
        </w:r>
        <w:r w:rsidR="00BA4395" w:rsidRPr="00A7259B">
          <w:rPr>
            <w:rFonts w:ascii="Garamond" w:hAnsi="Garamond"/>
            <w:b/>
            <w:bCs/>
            <w:szCs w:val="20"/>
          </w:rPr>
          <w:fldChar w:fldCharType="separate"/>
        </w:r>
        <w:r w:rsidR="00676573">
          <w:rPr>
            <w:rFonts w:ascii="Garamond" w:hAnsi="Garamond"/>
            <w:b/>
            <w:bCs/>
            <w:noProof/>
            <w:szCs w:val="20"/>
          </w:rPr>
          <w:t>1</w:t>
        </w:r>
        <w:r w:rsidR="00BA4395" w:rsidRPr="00A7259B">
          <w:rPr>
            <w:rFonts w:ascii="Garamond" w:hAnsi="Garamond"/>
            <w:b/>
            <w:bCs/>
            <w:szCs w:val="20"/>
          </w:rPr>
          <w:fldChar w:fldCharType="end"/>
        </w:r>
        <w:r w:rsidRPr="00A7259B">
          <w:rPr>
            <w:rFonts w:ascii="Garamond" w:hAnsi="Garamond"/>
            <w:b/>
            <w:bCs/>
            <w:szCs w:val="20"/>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6875346"/>
      <w:docPartObj>
        <w:docPartGallery w:val="Page Numbers (Bottom of Page)"/>
        <w:docPartUnique/>
      </w:docPartObj>
    </w:sdtPr>
    <w:sdtContent>
      <w:p w:rsidR="00897541" w:rsidRDefault="00BA4395" w:rsidP="00D403E5">
        <w:pPr>
          <w:pStyle w:val="Pieddepage"/>
          <w:jc w:val="center"/>
        </w:pPr>
        <w:r>
          <w:rPr>
            <w:noProof/>
            <w:lang w:eastAsia="fr-FR"/>
          </w:rPr>
        </w:r>
        <w:r>
          <w:rPr>
            <w:noProof/>
            <w:lang w:eastAsia="fr-FR"/>
          </w:rPr>
          <w:pict>
            <v:shapetype id="_x0000_t110" coordsize="21600,21600" o:spt="110" path="m10800,l,10800,10800,21600,21600,10800xe">
              <v:stroke joinstyle="miter"/>
              <v:path gradientshapeok="t" o:connecttype="rect" textboxrect="5400,5400,16200,16200"/>
            </v:shapetype>
            <v:shape id="AutoShape 1" o:spid="_x0000_s4097" type="#_x0000_t110" alt="Description : Light horizontal" style="width:468pt;height:3.55pt;flip:y;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" fillcolor="black [3213]" stroked="f" strokecolor="black [3213]">
              <v:fill r:id="rId1" o:title="" type="pattern"/>
              <w10:anchorlock/>
            </v:shape>
          </w:pict>
        </w:r>
      </w:p>
      <w:p w:rsidR="00897541" w:rsidRDefault="00897541" w:rsidP="00D403E5">
        <w:pPr>
          <w:pStyle w:val="Pieddepage"/>
          <w:jc w:val="center"/>
        </w:pPr>
        <w:r w:rsidRPr="00A7259B">
          <w:rPr>
            <w:rFonts w:ascii="Garamond" w:hAnsi="Garamond"/>
            <w:b/>
            <w:bCs/>
            <w:szCs w:val="20"/>
          </w:rPr>
          <w:t xml:space="preserve">- </w:t>
        </w:r>
        <w:r w:rsidR="00BA4395" w:rsidRPr="00A7259B">
          <w:rPr>
            <w:rFonts w:ascii="Garamond" w:hAnsi="Garamond"/>
            <w:b/>
            <w:bCs/>
            <w:szCs w:val="20"/>
          </w:rPr>
          <w:fldChar w:fldCharType="begin"/>
        </w:r>
        <w:r w:rsidRPr="00A7259B">
          <w:rPr>
            <w:rFonts w:ascii="Garamond" w:hAnsi="Garamond"/>
            <w:b/>
            <w:bCs/>
            <w:szCs w:val="20"/>
          </w:rPr>
          <w:instrText>PAGE    \* MERGEFORMAT</w:instrText>
        </w:r>
        <w:r w:rsidR="00BA4395" w:rsidRPr="00A7259B">
          <w:rPr>
            <w:rFonts w:ascii="Garamond" w:hAnsi="Garamond"/>
            <w:b/>
            <w:bCs/>
            <w:szCs w:val="20"/>
          </w:rPr>
          <w:fldChar w:fldCharType="separate"/>
        </w:r>
        <w:r>
          <w:rPr>
            <w:rFonts w:ascii="Garamond" w:hAnsi="Garamond"/>
            <w:b/>
            <w:bCs/>
            <w:noProof/>
            <w:szCs w:val="20"/>
          </w:rPr>
          <w:t>1</w:t>
        </w:r>
        <w:r w:rsidR="00BA4395" w:rsidRPr="00A7259B">
          <w:rPr>
            <w:rFonts w:ascii="Garamond" w:hAnsi="Garamond"/>
            <w:b/>
            <w:bCs/>
            <w:szCs w:val="20"/>
          </w:rPr>
          <w:fldChar w:fldCharType="end"/>
        </w:r>
        <w:r w:rsidRPr="00A7259B">
          <w:rPr>
            <w:rFonts w:ascii="Garamond" w:hAnsi="Garamond"/>
            <w:b/>
            <w:bCs/>
            <w:szCs w:val="20"/>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E8F" w:rsidRDefault="003F3E8F" w:rsidP="00494F13">
      <w:pPr>
        <w:spacing w:after="0" w:line="240" w:lineRule="auto"/>
      </w:pPr>
      <w:r>
        <w:separator/>
      </w:r>
    </w:p>
  </w:footnote>
  <w:footnote w:type="continuationSeparator" w:id="1">
    <w:p w:rsidR="003F3E8F" w:rsidRDefault="003F3E8F" w:rsidP="00494F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541" w:rsidRPr="00D403E5" w:rsidRDefault="00BA4395" w:rsidP="00D403E5">
    <w:pPr>
      <w:pStyle w:val="En-tte"/>
      <w:jc w:val="right"/>
      <w:rPr>
        <w:rFonts w:ascii="Garamond" w:hAnsi="Garamond" w:cs="Sakkal Majalla"/>
        <w:i/>
        <w:iCs/>
        <w:szCs w:val="20"/>
      </w:rPr>
    </w:pPr>
    <w:r w:rsidRPr="00A223C5">
      <w:rPr>
        <w:rFonts w:ascii="Garamond" w:hAnsi="Garamond" w:cs="Sakkal Majalla"/>
        <w:i/>
        <w:iCs/>
        <w:szCs w:val="20"/>
      </w:rPr>
      <w:fldChar w:fldCharType="begin"/>
    </w:r>
    <w:r w:rsidR="00897541" w:rsidRPr="00A223C5">
      <w:rPr>
        <w:rFonts w:ascii="Garamond" w:hAnsi="Garamond" w:cs="Sakkal Majalla"/>
        <w:i/>
        <w:iCs/>
        <w:szCs w:val="20"/>
      </w:rPr>
      <w:instrText xml:space="preserve"> TIME \@ "dd/MM/yyyy" </w:instrText>
    </w:r>
    <w:r w:rsidRPr="00A223C5">
      <w:rPr>
        <w:rFonts w:ascii="Garamond" w:hAnsi="Garamond" w:cs="Sakkal Majalla"/>
        <w:i/>
        <w:iCs/>
        <w:szCs w:val="20"/>
      </w:rPr>
      <w:fldChar w:fldCharType="separate"/>
    </w:r>
    <w:r w:rsidR="00676573">
      <w:rPr>
        <w:rFonts w:ascii="Garamond" w:hAnsi="Garamond" w:cs="Sakkal Majalla"/>
        <w:i/>
        <w:iCs/>
        <w:noProof/>
        <w:szCs w:val="20"/>
      </w:rPr>
      <w:t>03/10/2019</w:t>
    </w:r>
    <w:r w:rsidRPr="00A223C5">
      <w:rPr>
        <w:rFonts w:ascii="Garamond" w:hAnsi="Garamond" w:cs="Sakkal Majalla"/>
        <w:i/>
        <w:iCs/>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C1BD1"/>
    <w:multiLevelType w:val="hybridMultilevel"/>
    <w:tmpl w:val="257A07E4"/>
    <w:lvl w:ilvl="0" w:tplc="09E4D59A">
      <w:start w:val="1"/>
      <w:numFmt w:val="decimal"/>
      <w:lvlText w:val="%1."/>
      <w:lvlJc w:val="left"/>
      <w:pPr>
        <w:ind w:left="720" w:hanging="360"/>
      </w:pPr>
      <w:rPr>
        <w:rFonts w:hint="default"/>
        <w:b/>
        <w:i w:val="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5347B86"/>
    <w:multiLevelType w:val="hybridMultilevel"/>
    <w:tmpl w:val="4ACA79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32F52AE"/>
    <w:multiLevelType w:val="hybridMultilevel"/>
    <w:tmpl w:val="562E87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07C1F64"/>
    <w:multiLevelType w:val="hybridMultilevel"/>
    <w:tmpl w:val="07848C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4291660"/>
    <w:multiLevelType w:val="hybridMultilevel"/>
    <w:tmpl w:val="D258259A"/>
    <w:lvl w:ilvl="0" w:tplc="D6505DD0">
      <w:start w:val="1"/>
      <w:numFmt w:val="decimal"/>
      <w:lvlText w:val="%1."/>
      <w:lvlJc w:val="left"/>
      <w:pPr>
        <w:ind w:left="360" w:hanging="360"/>
      </w:pPr>
      <w:rPr>
        <w:b/>
        <w:bCs/>
      </w:rPr>
    </w:lvl>
    <w:lvl w:ilvl="1" w:tplc="040C000F">
      <w:start w:val="1"/>
      <w:numFmt w:val="decimal"/>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4494244D"/>
    <w:multiLevelType w:val="hybridMultilevel"/>
    <w:tmpl w:val="A1523B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27A28CA"/>
    <w:multiLevelType w:val="hybridMultilevel"/>
    <w:tmpl w:val="1D0E0524"/>
    <w:lvl w:ilvl="0" w:tplc="A2B8E642">
      <w:start w:val="1"/>
      <w:numFmt w:val="bullet"/>
      <w:lvlText w:val=""/>
      <w:lvlJc w:val="left"/>
      <w:pPr>
        <w:ind w:left="720" w:hanging="360"/>
      </w:pPr>
      <w:rPr>
        <w:rFonts w:ascii="Symbol" w:hAnsi="Symbol" w:cs="Symbo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6D1222D"/>
    <w:multiLevelType w:val="hybridMultilevel"/>
    <w:tmpl w:val="C728C90E"/>
    <w:lvl w:ilvl="0" w:tplc="040C0001">
      <w:start w:val="1"/>
      <w:numFmt w:val="bullet"/>
      <w:lvlText w:val=""/>
      <w:lvlJc w:val="left"/>
      <w:pPr>
        <w:ind w:left="360" w:hanging="360"/>
      </w:pPr>
      <w:rPr>
        <w:rFonts w:ascii="Symbol" w:hAnsi="Symbol" w:hint="default"/>
        <w:b/>
        <w:i w:val="0"/>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6C6417AC"/>
    <w:multiLevelType w:val="hybridMultilevel"/>
    <w:tmpl w:val="B748F8E0"/>
    <w:lvl w:ilvl="0" w:tplc="36D26504">
      <w:start w:val="1"/>
      <w:numFmt w:val="bullet"/>
      <w:lvlText w:val=""/>
      <w:lvlJc w:val="left"/>
      <w:pPr>
        <w:ind w:left="720" w:hanging="360"/>
      </w:pPr>
      <w:rPr>
        <w:rFonts w:ascii="Wingdings" w:hAnsi="Wingdings" w:cs="Wingdings" w:hint="default"/>
        <w:color w:val="31849B"/>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755412F"/>
    <w:multiLevelType w:val="hybridMultilevel"/>
    <w:tmpl w:val="EE827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E9A386F"/>
    <w:multiLevelType w:val="hybridMultilevel"/>
    <w:tmpl w:val="4ED01528"/>
    <w:lvl w:ilvl="0" w:tplc="A2B8E642">
      <w:start w:val="1"/>
      <w:numFmt w:val="bullet"/>
      <w:lvlText w:val=""/>
      <w:lvlJc w:val="left"/>
      <w:pPr>
        <w:ind w:left="720" w:hanging="360"/>
      </w:pPr>
      <w:rPr>
        <w:rFonts w:ascii="Symbol" w:hAnsi="Symbol" w:cs="Symbo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6"/>
  </w:num>
  <w:num w:numId="5">
    <w:abstractNumId w:val="10"/>
  </w:num>
  <w:num w:numId="6">
    <w:abstractNumId w:val="0"/>
  </w:num>
  <w:num w:numId="7">
    <w:abstractNumId w:val="9"/>
  </w:num>
  <w:num w:numId="8">
    <w:abstractNumId w:val="5"/>
  </w:num>
  <w:num w:numId="9">
    <w:abstractNumId w:val="1"/>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10"/>
  <w:displayHorizontalDrawingGridEvery w:val="2"/>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547E4F"/>
    <w:rsid w:val="000133FA"/>
    <w:rsid w:val="000174F3"/>
    <w:rsid w:val="000252EB"/>
    <w:rsid w:val="000268C1"/>
    <w:rsid w:val="00026B0D"/>
    <w:rsid w:val="00027E16"/>
    <w:rsid w:val="000339A1"/>
    <w:rsid w:val="00037215"/>
    <w:rsid w:val="00044848"/>
    <w:rsid w:val="00050DE3"/>
    <w:rsid w:val="000564D8"/>
    <w:rsid w:val="00056AEF"/>
    <w:rsid w:val="000572BC"/>
    <w:rsid w:val="00064E0C"/>
    <w:rsid w:val="000768CC"/>
    <w:rsid w:val="00076D07"/>
    <w:rsid w:val="000824A8"/>
    <w:rsid w:val="00084763"/>
    <w:rsid w:val="000873D4"/>
    <w:rsid w:val="000950B9"/>
    <w:rsid w:val="000A1994"/>
    <w:rsid w:val="000A1FA3"/>
    <w:rsid w:val="000A3C10"/>
    <w:rsid w:val="000A7CCC"/>
    <w:rsid w:val="000B37FD"/>
    <w:rsid w:val="000B47A9"/>
    <w:rsid w:val="000B7AC9"/>
    <w:rsid w:val="000C61A2"/>
    <w:rsid w:val="000E6F59"/>
    <w:rsid w:val="001134AD"/>
    <w:rsid w:val="00117AD8"/>
    <w:rsid w:val="001437C7"/>
    <w:rsid w:val="001469CA"/>
    <w:rsid w:val="00152548"/>
    <w:rsid w:val="001528A0"/>
    <w:rsid w:val="0016087D"/>
    <w:rsid w:val="00163F51"/>
    <w:rsid w:val="00171D74"/>
    <w:rsid w:val="00182124"/>
    <w:rsid w:val="00191B28"/>
    <w:rsid w:val="001933E6"/>
    <w:rsid w:val="001A1283"/>
    <w:rsid w:val="001B12CB"/>
    <w:rsid w:val="001B29BD"/>
    <w:rsid w:val="001C0B99"/>
    <w:rsid w:val="001C3D29"/>
    <w:rsid w:val="001C6879"/>
    <w:rsid w:val="001D67EB"/>
    <w:rsid w:val="001D6AAF"/>
    <w:rsid w:val="001D7D75"/>
    <w:rsid w:val="001E2054"/>
    <w:rsid w:val="001F209B"/>
    <w:rsid w:val="001F2ED8"/>
    <w:rsid w:val="001F5A0B"/>
    <w:rsid w:val="001F679D"/>
    <w:rsid w:val="001F7B73"/>
    <w:rsid w:val="0020040A"/>
    <w:rsid w:val="00201376"/>
    <w:rsid w:val="00204A1E"/>
    <w:rsid w:val="00226685"/>
    <w:rsid w:val="00227B75"/>
    <w:rsid w:val="002424F8"/>
    <w:rsid w:val="00261669"/>
    <w:rsid w:val="00287983"/>
    <w:rsid w:val="00290DB4"/>
    <w:rsid w:val="00296367"/>
    <w:rsid w:val="002B2136"/>
    <w:rsid w:val="002B37B6"/>
    <w:rsid w:val="002C0551"/>
    <w:rsid w:val="002E044B"/>
    <w:rsid w:val="002E77FE"/>
    <w:rsid w:val="002F28A0"/>
    <w:rsid w:val="002F41DA"/>
    <w:rsid w:val="00302787"/>
    <w:rsid w:val="00302AD1"/>
    <w:rsid w:val="00315477"/>
    <w:rsid w:val="00316F52"/>
    <w:rsid w:val="00320785"/>
    <w:rsid w:val="00320B7C"/>
    <w:rsid w:val="00325BE2"/>
    <w:rsid w:val="00327B51"/>
    <w:rsid w:val="00343E7B"/>
    <w:rsid w:val="003452ED"/>
    <w:rsid w:val="00355DCE"/>
    <w:rsid w:val="003746DC"/>
    <w:rsid w:val="00383E0D"/>
    <w:rsid w:val="003949CC"/>
    <w:rsid w:val="003A12A2"/>
    <w:rsid w:val="003B30CC"/>
    <w:rsid w:val="003B416F"/>
    <w:rsid w:val="003C4EDB"/>
    <w:rsid w:val="003C6DB8"/>
    <w:rsid w:val="003D1427"/>
    <w:rsid w:val="003D20F2"/>
    <w:rsid w:val="003D7572"/>
    <w:rsid w:val="003E2892"/>
    <w:rsid w:val="003E4261"/>
    <w:rsid w:val="003F0735"/>
    <w:rsid w:val="003F3E8F"/>
    <w:rsid w:val="004010F4"/>
    <w:rsid w:val="004014D1"/>
    <w:rsid w:val="00404E21"/>
    <w:rsid w:val="004100C8"/>
    <w:rsid w:val="004167B6"/>
    <w:rsid w:val="004208AC"/>
    <w:rsid w:val="0042638A"/>
    <w:rsid w:val="00430978"/>
    <w:rsid w:val="004400A9"/>
    <w:rsid w:val="00446FEC"/>
    <w:rsid w:val="004575BB"/>
    <w:rsid w:val="0046663E"/>
    <w:rsid w:val="0047159B"/>
    <w:rsid w:val="00476CD8"/>
    <w:rsid w:val="00482FFC"/>
    <w:rsid w:val="00484F6E"/>
    <w:rsid w:val="00485F0F"/>
    <w:rsid w:val="00486E51"/>
    <w:rsid w:val="00490702"/>
    <w:rsid w:val="00492AEB"/>
    <w:rsid w:val="00493662"/>
    <w:rsid w:val="00493722"/>
    <w:rsid w:val="00494F13"/>
    <w:rsid w:val="004A04AE"/>
    <w:rsid w:val="004A161F"/>
    <w:rsid w:val="004B31DB"/>
    <w:rsid w:val="004B4DC5"/>
    <w:rsid w:val="004B7D3B"/>
    <w:rsid w:val="004C0E7C"/>
    <w:rsid w:val="004C447D"/>
    <w:rsid w:val="004C7464"/>
    <w:rsid w:val="004D5BD3"/>
    <w:rsid w:val="004D6483"/>
    <w:rsid w:val="004D687F"/>
    <w:rsid w:val="004E2328"/>
    <w:rsid w:val="004F59C0"/>
    <w:rsid w:val="005042C8"/>
    <w:rsid w:val="005060EE"/>
    <w:rsid w:val="005079F4"/>
    <w:rsid w:val="005148CA"/>
    <w:rsid w:val="005162C9"/>
    <w:rsid w:val="00517663"/>
    <w:rsid w:val="00517CF0"/>
    <w:rsid w:val="00524F4F"/>
    <w:rsid w:val="00525B8A"/>
    <w:rsid w:val="0053308E"/>
    <w:rsid w:val="00534438"/>
    <w:rsid w:val="00534B72"/>
    <w:rsid w:val="005378F2"/>
    <w:rsid w:val="00547E4F"/>
    <w:rsid w:val="0055120B"/>
    <w:rsid w:val="0057650D"/>
    <w:rsid w:val="005832B8"/>
    <w:rsid w:val="00590C0B"/>
    <w:rsid w:val="0059464D"/>
    <w:rsid w:val="005A2DE6"/>
    <w:rsid w:val="005A592F"/>
    <w:rsid w:val="005B169D"/>
    <w:rsid w:val="005B4673"/>
    <w:rsid w:val="005B4A8C"/>
    <w:rsid w:val="005B4ABB"/>
    <w:rsid w:val="005C3F89"/>
    <w:rsid w:val="005E1EF4"/>
    <w:rsid w:val="0060173E"/>
    <w:rsid w:val="00604209"/>
    <w:rsid w:val="00630E64"/>
    <w:rsid w:val="00631E15"/>
    <w:rsid w:val="00631FAD"/>
    <w:rsid w:val="006332BC"/>
    <w:rsid w:val="00644E97"/>
    <w:rsid w:val="00645364"/>
    <w:rsid w:val="00645EBA"/>
    <w:rsid w:val="006462C5"/>
    <w:rsid w:val="006512DC"/>
    <w:rsid w:val="00655229"/>
    <w:rsid w:val="00660DDC"/>
    <w:rsid w:val="00661126"/>
    <w:rsid w:val="00665066"/>
    <w:rsid w:val="0066616E"/>
    <w:rsid w:val="00672F6F"/>
    <w:rsid w:val="00676573"/>
    <w:rsid w:val="006777A7"/>
    <w:rsid w:val="00687BE9"/>
    <w:rsid w:val="00690091"/>
    <w:rsid w:val="00691404"/>
    <w:rsid w:val="006A3CCC"/>
    <w:rsid w:val="006B01FA"/>
    <w:rsid w:val="006B4234"/>
    <w:rsid w:val="006B6218"/>
    <w:rsid w:val="006C0EE8"/>
    <w:rsid w:val="006C67E9"/>
    <w:rsid w:val="006C6CC7"/>
    <w:rsid w:val="006D5F0E"/>
    <w:rsid w:val="006E50AE"/>
    <w:rsid w:val="006F21AA"/>
    <w:rsid w:val="007010E2"/>
    <w:rsid w:val="00714B15"/>
    <w:rsid w:val="00716BFB"/>
    <w:rsid w:val="00722A60"/>
    <w:rsid w:val="00744ED1"/>
    <w:rsid w:val="007506E1"/>
    <w:rsid w:val="00750D5A"/>
    <w:rsid w:val="0076103A"/>
    <w:rsid w:val="00761B89"/>
    <w:rsid w:val="00787E8C"/>
    <w:rsid w:val="00790CA7"/>
    <w:rsid w:val="00793D8A"/>
    <w:rsid w:val="0079539E"/>
    <w:rsid w:val="0079539F"/>
    <w:rsid w:val="007A56B5"/>
    <w:rsid w:val="007B566F"/>
    <w:rsid w:val="007B6F48"/>
    <w:rsid w:val="007D2575"/>
    <w:rsid w:val="007D291D"/>
    <w:rsid w:val="007E04A9"/>
    <w:rsid w:val="007E2C5F"/>
    <w:rsid w:val="007F0706"/>
    <w:rsid w:val="007F5B49"/>
    <w:rsid w:val="00802239"/>
    <w:rsid w:val="00811443"/>
    <w:rsid w:val="00816EC8"/>
    <w:rsid w:val="00826FAB"/>
    <w:rsid w:val="00832A69"/>
    <w:rsid w:val="0083378F"/>
    <w:rsid w:val="008349C9"/>
    <w:rsid w:val="008416F2"/>
    <w:rsid w:val="00850FC4"/>
    <w:rsid w:val="00853009"/>
    <w:rsid w:val="00856A6A"/>
    <w:rsid w:val="008626BB"/>
    <w:rsid w:val="00870960"/>
    <w:rsid w:val="00871970"/>
    <w:rsid w:val="008822D9"/>
    <w:rsid w:val="00884932"/>
    <w:rsid w:val="00896457"/>
    <w:rsid w:val="00896463"/>
    <w:rsid w:val="0089672A"/>
    <w:rsid w:val="00897541"/>
    <w:rsid w:val="008A7671"/>
    <w:rsid w:val="008B30BE"/>
    <w:rsid w:val="008B6CC3"/>
    <w:rsid w:val="008D0193"/>
    <w:rsid w:val="008F24E7"/>
    <w:rsid w:val="00902D87"/>
    <w:rsid w:val="009117DC"/>
    <w:rsid w:val="009140C3"/>
    <w:rsid w:val="0092117A"/>
    <w:rsid w:val="009216BF"/>
    <w:rsid w:val="00921C69"/>
    <w:rsid w:val="00940B3B"/>
    <w:rsid w:val="00955720"/>
    <w:rsid w:val="009636AF"/>
    <w:rsid w:val="00964273"/>
    <w:rsid w:val="00971151"/>
    <w:rsid w:val="0098201E"/>
    <w:rsid w:val="00985578"/>
    <w:rsid w:val="00994233"/>
    <w:rsid w:val="0099610D"/>
    <w:rsid w:val="009A0859"/>
    <w:rsid w:val="009A438E"/>
    <w:rsid w:val="009D2843"/>
    <w:rsid w:val="009D593A"/>
    <w:rsid w:val="009D7965"/>
    <w:rsid w:val="009F311C"/>
    <w:rsid w:val="009F31AD"/>
    <w:rsid w:val="00A0450F"/>
    <w:rsid w:val="00A30BAC"/>
    <w:rsid w:val="00A31425"/>
    <w:rsid w:val="00A34A84"/>
    <w:rsid w:val="00A373E7"/>
    <w:rsid w:val="00A4766A"/>
    <w:rsid w:val="00A505FE"/>
    <w:rsid w:val="00A5152E"/>
    <w:rsid w:val="00A71BFD"/>
    <w:rsid w:val="00A80772"/>
    <w:rsid w:val="00A86EE0"/>
    <w:rsid w:val="00AA2659"/>
    <w:rsid w:val="00AC2F46"/>
    <w:rsid w:val="00AC3167"/>
    <w:rsid w:val="00AC47F6"/>
    <w:rsid w:val="00AC4D00"/>
    <w:rsid w:val="00AD2FD2"/>
    <w:rsid w:val="00AD3681"/>
    <w:rsid w:val="00AD699F"/>
    <w:rsid w:val="00AE26D3"/>
    <w:rsid w:val="00AE502A"/>
    <w:rsid w:val="00B02649"/>
    <w:rsid w:val="00B13F05"/>
    <w:rsid w:val="00B230D1"/>
    <w:rsid w:val="00B2359B"/>
    <w:rsid w:val="00B27DA2"/>
    <w:rsid w:val="00B40C25"/>
    <w:rsid w:val="00B43629"/>
    <w:rsid w:val="00B4491E"/>
    <w:rsid w:val="00B5077B"/>
    <w:rsid w:val="00B55B5D"/>
    <w:rsid w:val="00B80565"/>
    <w:rsid w:val="00B8194E"/>
    <w:rsid w:val="00B81E6A"/>
    <w:rsid w:val="00BA1A59"/>
    <w:rsid w:val="00BA4395"/>
    <w:rsid w:val="00BA51F1"/>
    <w:rsid w:val="00BB5DAC"/>
    <w:rsid w:val="00BD7B94"/>
    <w:rsid w:val="00BE5BD9"/>
    <w:rsid w:val="00BE752C"/>
    <w:rsid w:val="00C02464"/>
    <w:rsid w:val="00C12281"/>
    <w:rsid w:val="00C12756"/>
    <w:rsid w:val="00C223F6"/>
    <w:rsid w:val="00C2330C"/>
    <w:rsid w:val="00C2708D"/>
    <w:rsid w:val="00C33106"/>
    <w:rsid w:val="00C45505"/>
    <w:rsid w:val="00C508FE"/>
    <w:rsid w:val="00C54537"/>
    <w:rsid w:val="00C55A1A"/>
    <w:rsid w:val="00C562AA"/>
    <w:rsid w:val="00C651D8"/>
    <w:rsid w:val="00C74219"/>
    <w:rsid w:val="00C82A9A"/>
    <w:rsid w:val="00CA13BA"/>
    <w:rsid w:val="00CB108A"/>
    <w:rsid w:val="00CB39E6"/>
    <w:rsid w:val="00CD2209"/>
    <w:rsid w:val="00CF3DF5"/>
    <w:rsid w:val="00CF793D"/>
    <w:rsid w:val="00D00268"/>
    <w:rsid w:val="00D0537A"/>
    <w:rsid w:val="00D12D09"/>
    <w:rsid w:val="00D14712"/>
    <w:rsid w:val="00D155FF"/>
    <w:rsid w:val="00D17900"/>
    <w:rsid w:val="00D20565"/>
    <w:rsid w:val="00D2195B"/>
    <w:rsid w:val="00D35C3B"/>
    <w:rsid w:val="00D403E5"/>
    <w:rsid w:val="00D45BA4"/>
    <w:rsid w:val="00D45DF8"/>
    <w:rsid w:val="00D644AC"/>
    <w:rsid w:val="00D72440"/>
    <w:rsid w:val="00D82CA9"/>
    <w:rsid w:val="00D92188"/>
    <w:rsid w:val="00DA373A"/>
    <w:rsid w:val="00DB3135"/>
    <w:rsid w:val="00DB62FA"/>
    <w:rsid w:val="00DC24CB"/>
    <w:rsid w:val="00DC754B"/>
    <w:rsid w:val="00DD2A36"/>
    <w:rsid w:val="00DE158F"/>
    <w:rsid w:val="00DF717B"/>
    <w:rsid w:val="00E01AED"/>
    <w:rsid w:val="00E02A73"/>
    <w:rsid w:val="00E04D04"/>
    <w:rsid w:val="00E1250E"/>
    <w:rsid w:val="00E220F2"/>
    <w:rsid w:val="00E23C59"/>
    <w:rsid w:val="00E340E4"/>
    <w:rsid w:val="00E45B69"/>
    <w:rsid w:val="00E526C5"/>
    <w:rsid w:val="00E53771"/>
    <w:rsid w:val="00E5696F"/>
    <w:rsid w:val="00E56F7D"/>
    <w:rsid w:val="00E658F2"/>
    <w:rsid w:val="00E74CB5"/>
    <w:rsid w:val="00EA77D1"/>
    <w:rsid w:val="00EB63D3"/>
    <w:rsid w:val="00EC533C"/>
    <w:rsid w:val="00ED6047"/>
    <w:rsid w:val="00EE5BFE"/>
    <w:rsid w:val="00EF109D"/>
    <w:rsid w:val="00F01A8A"/>
    <w:rsid w:val="00F0662B"/>
    <w:rsid w:val="00F151DE"/>
    <w:rsid w:val="00F1669A"/>
    <w:rsid w:val="00F27E27"/>
    <w:rsid w:val="00F36999"/>
    <w:rsid w:val="00F37AAE"/>
    <w:rsid w:val="00F42D7D"/>
    <w:rsid w:val="00F5115E"/>
    <w:rsid w:val="00F564FC"/>
    <w:rsid w:val="00F63A7D"/>
    <w:rsid w:val="00F65FC7"/>
    <w:rsid w:val="00F72760"/>
    <w:rsid w:val="00F728F2"/>
    <w:rsid w:val="00F7790B"/>
    <w:rsid w:val="00F93A62"/>
    <w:rsid w:val="00F95362"/>
    <w:rsid w:val="00F97B53"/>
    <w:rsid w:val="00FA0A22"/>
    <w:rsid w:val="00FA2655"/>
    <w:rsid w:val="00FA26C6"/>
    <w:rsid w:val="00FA4659"/>
    <w:rsid w:val="00FD1620"/>
    <w:rsid w:val="00FE3CEF"/>
    <w:rsid w:val="00FE5AE9"/>
    <w:rsid w:val="00FE7927"/>
    <w:rsid w:val="00FF0B6E"/>
    <w:rsid w:val="00FF57D9"/>
    <w:rsid w:val="00FF755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DF8"/>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94F13"/>
    <w:pPr>
      <w:tabs>
        <w:tab w:val="center" w:pos="4536"/>
        <w:tab w:val="right" w:pos="9072"/>
      </w:tabs>
    </w:pPr>
  </w:style>
  <w:style w:type="character" w:customStyle="1" w:styleId="En-tteCar">
    <w:name w:val="En-tête Car"/>
    <w:basedOn w:val="Policepardfaut"/>
    <w:link w:val="En-tte"/>
    <w:uiPriority w:val="99"/>
    <w:rsid w:val="00494F13"/>
    <w:rPr>
      <w:sz w:val="22"/>
      <w:szCs w:val="22"/>
      <w:lang w:eastAsia="en-US"/>
    </w:rPr>
  </w:style>
  <w:style w:type="paragraph" w:styleId="Pieddepage">
    <w:name w:val="footer"/>
    <w:basedOn w:val="Normal"/>
    <w:link w:val="PieddepageCar"/>
    <w:uiPriority w:val="99"/>
    <w:unhideWhenUsed/>
    <w:rsid w:val="00494F13"/>
    <w:pPr>
      <w:tabs>
        <w:tab w:val="center" w:pos="4536"/>
        <w:tab w:val="right" w:pos="9072"/>
      </w:tabs>
    </w:pPr>
  </w:style>
  <w:style w:type="character" w:customStyle="1" w:styleId="PieddepageCar">
    <w:name w:val="Pied de page Car"/>
    <w:basedOn w:val="Policepardfaut"/>
    <w:link w:val="Pieddepage"/>
    <w:uiPriority w:val="99"/>
    <w:rsid w:val="00494F13"/>
    <w:rPr>
      <w:sz w:val="22"/>
      <w:szCs w:val="22"/>
      <w:lang w:eastAsia="en-US"/>
    </w:rPr>
  </w:style>
  <w:style w:type="table" w:styleId="Grilledutableau">
    <w:name w:val="Table Grid"/>
    <w:basedOn w:val="TableauNormal"/>
    <w:uiPriority w:val="59"/>
    <w:rsid w:val="00687B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xplorateurdedocuments">
    <w:name w:val="Document Map"/>
    <w:basedOn w:val="Normal"/>
    <w:link w:val="ExplorateurdedocumentsCar"/>
    <w:uiPriority w:val="99"/>
    <w:semiHidden/>
    <w:unhideWhenUsed/>
    <w:rsid w:val="00D644AC"/>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D644AC"/>
    <w:rPr>
      <w:rFonts w:ascii="Tahoma" w:hAnsi="Tahoma" w:cs="Tahoma"/>
      <w:sz w:val="16"/>
      <w:szCs w:val="16"/>
      <w:lang w:eastAsia="en-US"/>
    </w:rPr>
  </w:style>
  <w:style w:type="paragraph" w:styleId="Textedebulles">
    <w:name w:val="Balloon Text"/>
    <w:basedOn w:val="Normal"/>
    <w:link w:val="TextedebullesCar"/>
    <w:uiPriority w:val="99"/>
    <w:semiHidden/>
    <w:unhideWhenUsed/>
    <w:rsid w:val="00AE502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502A"/>
    <w:rPr>
      <w:rFonts w:ascii="Tahoma" w:hAnsi="Tahoma" w:cs="Tahoma"/>
      <w:sz w:val="16"/>
      <w:szCs w:val="16"/>
      <w:lang w:eastAsia="en-US"/>
    </w:rPr>
  </w:style>
  <w:style w:type="paragraph" w:styleId="Paragraphedeliste">
    <w:name w:val="List Paragraph"/>
    <w:basedOn w:val="Normal"/>
    <w:uiPriority w:val="34"/>
    <w:qFormat/>
    <w:rsid w:val="00C331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DF8"/>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94F13"/>
    <w:pPr>
      <w:tabs>
        <w:tab w:val="center" w:pos="4536"/>
        <w:tab w:val="right" w:pos="9072"/>
      </w:tabs>
    </w:pPr>
  </w:style>
  <w:style w:type="character" w:customStyle="1" w:styleId="En-tteCar">
    <w:name w:val="En-tête Car"/>
    <w:basedOn w:val="Policepardfaut"/>
    <w:link w:val="En-tte"/>
    <w:uiPriority w:val="99"/>
    <w:rsid w:val="00494F13"/>
    <w:rPr>
      <w:sz w:val="22"/>
      <w:szCs w:val="22"/>
      <w:lang w:eastAsia="en-US"/>
    </w:rPr>
  </w:style>
  <w:style w:type="paragraph" w:styleId="Pieddepage">
    <w:name w:val="footer"/>
    <w:basedOn w:val="Normal"/>
    <w:link w:val="PieddepageCar"/>
    <w:uiPriority w:val="99"/>
    <w:unhideWhenUsed/>
    <w:rsid w:val="00494F13"/>
    <w:pPr>
      <w:tabs>
        <w:tab w:val="center" w:pos="4536"/>
        <w:tab w:val="right" w:pos="9072"/>
      </w:tabs>
    </w:pPr>
  </w:style>
  <w:style w:type="character" w:customStyle="1" w:styleId="PieddepageCar">
    <w:name w:val="Pied de page Car"/>
    <w:basedOn w:val="Policepardfaut"/>
    <w:link w:val="Pieddepage"/>
    <w:uiPriority w:val="99"/>
    <w:rsid w:val="00494F13"/>
    <w:rPr>
      <w:sz w:val="22"/>
      <w:szCs w:val="22"/>
      <w:lang w:eastAsia="en-US"/>
    </w:rPr>
  </w:style>
  <w:style w:type="table" w:styleId="Grilledutableau">
    <w:name w:val="Table Grid"/>
    <w:basedOn w:val="TableauNormal"/>
    <w:uiPriority w:val="59"/>
    <w:rsid w:val="00687B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xplorateurdedocuments">
    <w:name w:val="Document Map"/>
    <w:basedOn w:val="Normal"/>
    <w:link w:val="ExplorateurdedocumentsCar"/>
    <w:uiPriority w:val="99"/>
    <w:semiHidden/>
    <w:unhideWhenUsed/>
    <w:rsid w:val="00D644AC"/>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D644AC"/>
    <w:rPr>
      <w:rFonts w:ascii="Tahoma" w:hAnsi="Tahoma" w:cs="Tahoma"/>
      <w:sz w:val="16"/>
      <w:szCs w:val="16"/>
      <w:lang w:eastAsia="en-US"/>
    </w:rPr>
  </w:style>
  <w:style w:type="paragraph" w:styleId="Textedebulles">
    <w:name w:val="Balloon Text"/>
    <w:basedOn w:val="Normal"/>
    <w:link w:val="TextedebullesCar"/>
    <w:uiPriority w:val="99"/>
    <w:semiHidden/>
    <w:unhideWhenUsed/>
    <w:rsid w:val="00AE502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502A"/>
    <w:rPr>
      <w:rFonts w:ascii="Tahoma" w:hAnsi="Tahoma" w:cs="Tahoma"/>
      <w:sz w:val="16"/>
      <w:szCs w:val="16"/>
      <w:lang w:eastAsia="en-US"/>
    </w:rPr>
  </w:style>
  <w:style w:type="paragraph" w:styleId="Paragraphedeliste">
    <w:name w:val="List Paragraph"/>
    <w:basedOn w:val="Normal"/>
    <w:uiPriority w:val="34"/>
    <w:qFormat/>
    <w:rsid w:val="00C33106"/>
    <w:pPr>
      <w:ind w:left="720"/>
      <w:contextualSpacing/>
    </w:pPr>
  </w:style>
</w:styles>
</file>

<file path=word/webSettings.xml><?xml version="1.0" encoding="utf-8"?>
<w:webSettings xmlns:r="http://schemas.openxmlformats.org/officeDocument/2006/relationships" xmlns:w="http://schemas.openxmlformats.org/wordprocessingml/2006/main">
  <w:divs>
    <w:div w:id="51655970">
      <w:bodyDiv w:val="1"/>
      <w:marLeft w:val="0"/>
      <w:marRight w:val="0"/>
      <w:marTop w:val="0"/>
      <w:marBottom w:val="0"/>
      <w:divBdr>
        <w:top w:val="none" w:sz="0" w:space="0" w:color="auto"/>
        <w:left w:val="none" w:sz="0" w:space="0" w:color="auto"/>
        <w:bottom w:val="none" w:sz="0" w:space="0" w:color="auto"/>
        <w:right w:val="none" w:sz="0" w:space="0" w:color="auto"/>
      </w:divBdr>
    </w:div>
    <w:div w:id="232356354">
      <w:bodyDiv w:val="1"/>
      <w:marLeft w:val="0"/>
      <w:marRight w:val="0"/>
      <w:marTop w:val="0"/>
      <w:marBottom w:val="0"/>
      <w:divBdr>
        <w:top w:val="none" w:sz="0" w:space="0" w:color="auto"/>
        <w:left w:val="none" w:sz="0" w:space="0" w:color="auto"/>
        <w:bottom w:val="none" w:sz="0" w:space="0" w:color="auto"/>
        <w:right w:val="none" w:sz="0" w:space="0" w:color="auto"/>
      </w:divBdr>
    </w:div>
    <w:div w:id="258762480">
      <w:bodyDiv w:val="1"/>
      <w:marLeft w:val="0"/>
      <w:marRight w:val="0"/>
      <w:marTop w:val="0"/>
      <w:marBottom w:val="0"/>
      <w:divBdr>
        <w:top w:val="none" w:sz="0" w:space="0" w:color="auto"/>
        <w:left w:val="none" w:sz="0" w:space="0" w:color="auto"/>
        <w:bottom w:val="none" w:sz="0" w:space="0" w:color="auto"/>
        <w:right w:val="none" w:sz="0" w:space="0" w:color="auto"/>
      </w:divBdr>
    </w:div>
    <w:div w:id="271666103">
      <w:bodyDiv w:val="1"/>
      <w:marLeft w:val="0"/>
      <w:marRight w:val="0"/>
      <w:marTop w:val="0"/>
      <w:marBottom w:val="0"/>
      <w:divBdr>
        <w:top w:val="none" w:sz="0" w:space="0" w:color="auto"/>
        <w:left w:val="none" w:sz="0" w:space="0" w:color="auto"/>
        <w:bottom w:val="none" w:sz="0" w:space="0" w:color="auto"/>
        <w:right w:val="none" w:sz="0" w:space="0" w:color="auto"/>
      </w:divBdr>
    </w:div>
    <w:div w:id="299501169">
      <w:bodyDiv w:val="1"/>
      <w:marLeft w:val="0"/>
      <w:marRight w:val="0"/>
      <w:marTop w:val="0"/>
      <w:marBottom w:val="0"/>
      <w:divBdr>
        <w:top w:val="none" w:sz="0" w:space="0" w:color="auto"/>
        <w:left w:val="none" w:sz="0" w:space="0" w:color="auto"/>
        <w:bottom w:val="none" w:sz="0" w:space="0" w:color="auto"/>
        <w:right w:val="none" w:sz="0" w:space="0" w:color="auto"/>
      </w:divBdr>
    </w:div>
    <w:div w:id="562646821">
      <w:bodyDiv w:val="1"/>
      <w:marLeft w:val="0"/>
      <w:marRight w:val="0"/>
      <w:marTop w:val="0"/>
      <w:marBottom w:val="0"/>
      <w:divBdr>
        <w:top w:val="none" w:sz="0" w:space="0" w:color="auto"/>
        <w:left w:val="none" w:sz="0" w:space="0" w:color="auto"/>
        <w:bottom w:val="none" w:sz="0" w:space="0" w:color="auto"/>
        <w:right w:val="none" w:sz="0" w:space="0" w:color="auto"/>
      </w:divBdr>
    </w:div>
    <w:div w:id="844053326">
      <w:bodyDiv w:val="1"/>
      <w:marLeft w:val="0"/>
      <w:marRight w:val="0"/>
      <w:marTop w:val="0"/>
      <w:marBottom w:val="0"/>
      <w:divBdr>
        <w:top w:val="none" w:sz="0" w:space="0" w:color="auto"/>
        <w:left w:val="none" w:sz="0" w:space="0" w:color="auto"/>
        <w:bottom w:val="none" w:sz="0" w:space="0" w:color="auto"/>
        <w:right w:val="none" w:sz="0" w:space="0" w:color="auto"/>
      </w:divBdr>
    </w:div>
    <w:div w:id="870609926">
      <w:bodyDiv w:val="1"/>
      <w:marLeft w:val="0"/>
      <w:marRight w:val="0"/>
      <w:marTop w:val="0"/>
      <w:marBottom w:val="0"/>
      <w:divBdr>
        <w:top w:val="none" w:sz="0" w:space="0" w:color="auto"/>
        <w:left w:val="none" w:sz="0" w:space="0" w:color="auto"/>
        <w:bottom w:val="none" w:sz="0" w:space="0" w:color="auto"/>
        <w:right w:val="none" w:sz="0" w:space="0" w:color="auto"/>
      </w:divBdr>
    </w:div>
    <w:div w:id="902912447">
      <w:bodyDiv w:val="1"/>
      <w:marLeft w:val="0"/>
      <w:marRight w:val="0"/>
      <w:marTop w:val="0"/>
      <w:marBottom w:val="0"/>
      <w:divBdr>
        <w:top w:val="none" w:sz="0" w:space="0" w:color="auto"/>
        <w:left w:val="none" w:sz="0" w:space="0" w:color="auto"/>
        <w:bottom w:val="none" w:sz="0" w:space="0" w:color="auto"/>
        <w:right w:val="none" w:sz="0" w:space="0" w:color="auto"/>
      </w:divBdr>
    </w:div>
    <w:div w:id="1134063500">
      <w:bodyDiv w:val="1"/>
      <w:marLeft w:val="0"/>
      <w:marRight w:val="0"/>
      <w:marTop w:val="0"/>
      <w:marBottom w:val="0"/>
      <w:divBdr>
        <w:top w:val="none" w:sz="0" w:space="0" w:color="auto"/>
        <w:left w:val="none" w:sz="0" w:space="0" w:color="auto"/>
        <w:bottom w:val="none" w:sz="0" w:space="0" w:color="auto"/>
        <w:right w:val="none" w:sz="0" w:space="0" w:color="auto"/>
      </w:divBdr>
    </w:div>
    <w:div w:id="1363634164">
      <w:bodyDiv w:val="1"/>
      <w:marLeft w:val="0"/>
      <w:marRight w:val="0"/>
      <w:marTop w:val="0"/>
      <w:marBottom w:val="0"/>
      <w:divBdr>
        <w:top w:val="none" w:sz="0" w:space="0" w:color="auto"/>
        <w:left w:val="none" w:sz="0" w:space="0" w:color="auto"/>
        <w:bottom w:val="none" w:sz="0" w:space="0" w:color="auto"/>
        <w:right w:val="none" w:sz="0" w:space="0" w:color="auto"/>
      </w:divBdr>
    </w:div>
    <w:div w:id="1413434926">
      <w:bodyDiv w:val="1"/>
      <w:marLeft w:val="0"/>
      <w:marRight w:val="0"/>
      <w:marTop w:val="0"/>
      <w:marBottom w:val="0"/>
      <w:divBdr>
        <w:top w:val="none" w:sz="0" w:space="0" w:color="auto"/>
        <w:left w:val="none" w:sz="0" w:space="0" w:color="auto"/>
        <w:bottom w:val="none" w:sz="0" w:space="0" w:color="auto"/>
        <w:right w:val="none" w:sz="0" w:space="0" w:color="auto"/>
      </w:divBdr>
    </w:div>
    <w:div w:id="1419710138">
      <w:bodyDiv w:val="1"/>
      <w:marLeft w:val="0"/>
      <w:marRight w:val="0"/>
      <w:marTop w:val="0"/>
      <w:marBottom w:val="0"/>
      <w:divBdr>
        <w:top w:val="none" w:sz="0" w:space="0" w:color="auto"/>
        <w:left w:val="none" w:sz="0" w:space="0" w:color="auto"/>
        <w:bottom w:val="none" w:sz="0" w:space="0" w:color="auto"/>
        <w:right w:val="none" w:sz="0" w:space="0" w:color="auto"/>
      </w:divBdr>
    </w:div>
    <w:div w:id="1473448778">
      <w:bodyDiv w:val="1"/>
      <w:marLeft w:val="0"/>
      <w:marRight w:val="0"/>
      <w:marTop w:val="0"/>
      <w:marBottom w:val="0"/>
      <w:divBdr>
        <w:top w:val="none" w:sz="0" w:space="0" w:color="auto"/>
        <w:left w:val="none" w:sz="0" w:space="0" w:color="auto"/>
        <w:bottom w:val="none" w:sz="0" w:space="0" w:color="auto"/>
        <w:right w:val="none" w:sz="0" w:space="0" w:color="auto"/>
      </w:divBdr>
    </w:div>
    <w:div w:id="1607270455">
      <w:bodyDiv w:val="1"/>
      <w:marLeft w:val="0"/>
      <w:marRight w:val="0"/>
      <w:marTop w:val="0"/>
      <w:marBottom w:val="0"/>
      <w:divBdr>
        <w:top w:val="none" w:sz="0" w:space="0" w:color="auto"/>
        <w:left w:val="none" w:sz="0" w:space="0" w:color="auto"/>
        <w:bottom w:val="none" w:sz="0" w:space="0" w:color="auto"/>
        <w:right w:val="none" w:sz="0" w:space="0" w:color="auto"/>
      </w:divBdr>
    </w:div>
    <w:div w:id="1670718017">
      <w:bodyDiv w:val="1"/>
      <w:marLeft w:val="0"/>
      <w:marRight w:val="0"/>
      <w:marTop w:val="0"/>
      <w:marBottom w:val="0"/>
      <w:divBdr>
        <w:top w:val="none" w:sz="0" w:space="0" w:color="auto"/>
        <w:left w:val="none" w:sz="0" w:space="0" w:color="auto"/>
        <w:bottom w:val="none" w:sz="0" w:space="0" w:color="auto"/>
        <w:right w:val="none" w:sz="0" w:space="0" w:color="auto"/>
      </w:divBdr>
    </w:div>
    <w:div w:id="1683435644">
      <w:bodyDiv w:val="1"/>
      <w:marLeft w:val="0"/>
      <w:marRight w:val="0"/>
      <w:marTop w:val="0"/>
      <w:marBottom w:val="0"/>
      <w:divBdr>
        <w:top w:val="none" w:sz="0" w:space="0" w:color="auto"/>
        <w:left w:val="none" w:sz="0" w:space="0" w:color="auto"/>
        <w:bottom w:val="none" w:sz="0" w:space="0" w:color="auto"/>
        <w:right w:val="none" w:sz="0" w:space="0" w:color="auto"/>
      </w:divBdr>
    </w:div>
    <w:div w:id="1930964018">
      <w:bodyDiv w:val="1"/>
      <w:marLeft w:val="0"/>
      <w:marRight w:val="0"/>
      <w:marTop w:val="0"/>
      <w:marBottom w:val="0"/>
      <w:divBdr>
        <w:top w:val="none" w:sz="0" w:space="0" w:color="auto"/>
        <w:left w:val="none" w:sz="0" w:space="0" w:color="auto"/>
        <w:bottom w:val="none" w:sz="0" w:space="0" w:color="auto"/>
        <w:right w:val="none" w:sz="0" w:space="0" w:color="auto"/>
      </w:divBdr>
    </w:div>
    <w:div w:id="197787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809521-AB01-4206-9BBC-C49DA0422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565</Words>
  <Characters>3110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RGPH 2014 - Note sur la population des douars</vt:lpstr>
    </vt:vector>
  </TitlesOfParts>
  <Company>Hewlett-Packard Company</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RGPH 2014 - Note sur la population des douars</dc:title>
  <dc:creator>abenjahad</dc:creator>
  <cp:lastModifiedBy>User</cp:lastModifiedBy>
  <cp:revision>6</cp:revision>
  <cp:lastPrinted>2019-10-03T17:55:00Z</cp:lastPrinted>
  <dcterms:created xsi:type="dcterms:W3CDTF">2019-10-03T12:56:00Z</dcterms:created>
  <dcterms:modified xsi:type="dcterms:W3CDTF">2019-10-03T17:55:00Z</dcterms:modified>
</cp:coreProperties>
</file>