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18E" w:rsidRDefault="008D518E">
      <w:pPr>
        <w:jc w:val="center"/>
        <w:rPr>
          <w:color w:val="0000FF"/>
          <w:sz w:val="40"/>
          <w:szCs w:val="40"/>
        </w:rPr>
      </w:pPr>
      <w:r>
        <w:rPr>
          <w:color w:val="0000FF"/>
          <w:sz w:val="40"/>
          <w:szCs w:val="40"/>
        </w:rPr>
        <w:t xml:space="preserve"> </w:t>
      </w:r>
    </w:p>
    <w:p w:rsidR="008D518E" w:rsidRDefault="008D518E">
      <w:pPr>
        <w:jc w:val="center"/>
        <w:rPr>
          <w:color w:val="0000FF"/>
          <w:sz w:val="40"/>
          <w:szCs w:val="40"/>
        </w:rPr>
      </w:pPr>
    </w:p>
    <w:p w:rsidR="00333EFC" w:rsidRDefault="00333EFC">
      <w:pPr>
        <w:jc w:val="center"/>
        <w:rPr>
          <w:color w:val="0000FF"/>
          <w:sz w:val="40"/>
          <w:szCs w:val="40"/>
          <w:rtl/>
        </w:rPr>
      </w:pPr>
    </w:p>
    <w:p w:rsidR="008D518E" w:rsidRDefault="008D518E">
      <w:pPr>
        <w:pStyle w:val="Corpsdetexte"/>
        <w:jc w:val="both"/>
        <w:rPr>
          <w:color w:val="0000FF"/>
          <w:sz w:val="28"/>
        </w:rPr>
      </w:pPr>
    </w:p>
    <w:p w:rsidR="00333EFC" w:rsidRDefault="00333EFC">
      <w:pPr>
        <w:pStyle w:val="Corpsdetexte"/>
        <w:jc w:val="both"/>
        <w:rPr>
          <w:color w:val="0000FF"/>
          <w:sz w:val="28"/>
        </w:rPr>
      </w:pPr>
    </w:p>
    <w:p w:rsidR="008D518E" w:rsidRPr="00B31D70" w:rsidRDefault="008D518E">
      <w:pPr>
        <w:pStyle w:val="Corpsdetexte"/>
        <w:jc w:val="center"/>
        <w:rPr>
          <w:rFonts w:ascii="Book Antiqua" w:hAnsi="Book Antiqua" w:cs="Arial"/>
          <w:b/>
          <w:bCs/>
          <w:color w:val="0000FF"/>
          <w:sz w:val="32"/>
          <w:szCs w:val="32"/>
        </w:rPr>
      </w:pPr>
      <w:r w:rsidRPr="00B31D70">
        <w:rPr>
          <w:rFonts w:ascii="Book Antiqua" w:hAnsi="Book Antiqua" w:cs="Arial"/>
          <w:b/>
          <w:bCs/>
          <w:color w:val="0000FF"/>
          <w:sz w:val="32"/>
          <w:szCs w:val="32"/>
        </w:rPr>
        <w:t>Communiqué du Haut</w:t>
      </w:r>
      <w:r w:rsidRPr="00B31D70">
        <w:rPr>
          <w:rFonts w:ascii="Book Antiqua" w:hAnsi="Book Antiqua" w:cs="Arial"/>
          <w:b/>
          <w:bCs/>
          <w:color w:val="0000FF"/>
          <w:sz w:val="32"/>
          <w:szCs w:val="32"/>
          <w:rtl/>
        </w:rPr>
        <w:t xml:space="preserve"> </w:t>
      </w:r>
      <w:r w:rsidRPr="00B31D70">
        <w:rPr>
          <w:rFonts w:ascii="Book Antiqua" w:hAnsi="Book Antiqua" w:cs="Arial"/>
          <w:b/>
          <w:bCs/>
          <w:color w:val="0000FF"/>
          <w:sz w:val="32"/>
          <w:szCs w:val="32"/>
        </w:rPr>
        <w:t>Commissariat au Plan </w:t>
      </w:r>
    </w:p>
    <w:p w:rsidR="009C14E7" w:rsidRPr="00107247" w:rsidRDefault="009C14E7">
      <w:pPr>
        <w:pStyle w:val="Corpsdetexte"/>
        <w:jc w:val="center"/>
        <w:rPr>
          <w:rFonts w:ascii="Book Antiqua" w:hAnsi="Book Antiqua" w:cs="Arial"/>
          <w:color w:val="0000FF"/>
          <w:sz w:val="32"/>
          <w:szCs w:val="32"/>
        </w:rPr>
      </w:pPr>
    </w:p>
    <w:p w:rsidR="00107247" w:rsidRDefault="008D518E">
      <w:pPr>
        <w:pStyle w:val="Corpsdetexte"/>
        <w:jc w:val="center"/>
        <w:rPr>
          <w:rFonts w:ascii="Book Antiqua" w:hAnsi="Book Antiqua"/>
          <w:b/>
          <w:bCs/>
          <w:color w:val="0000FF"/>
          <w:sz w:val="32"/>
        </w:rPr>
      </w:pPr>
      <w:r w:rsidRPr="00107247">
        <w:rPr>
          <w:rFonts w:ascii="Book Antiqua" w:hAnsi="Book Antiqua"/>
          <w:b/>
          <w:bCs/>
          <w:color w:val="0000FF"/>
          <w:sz w:val="32"/>
        </w:rPr>
        <w:t>Mise en place d’un nouvel indice de la production</w:t>
      </w:r>
      <w:r w:rsidR="002E23CA">
        <w:rPr>
          <w:rFonts w:ascii="Book Antiqua" w:hAnsi="Book Antiqua"/>
          <w:b/>
          <w:bCs/>
          <w:color w:val="0000FF"/>
          <w:sz w:val="32"/>
        </w:rPr>
        <w:t xml:space="preserve"> industrielle, énergétique et minière</w:t>
      </w:r>
    </w:p>
    <w:p w:rsidR="00166DE8" w:rsidRDefault="00166DE8">
      <w:pPr>
        <w:pStyle w:val="Corpsdetexte"/>
        <w:jc w:val="center"/>
        <w:rPr>
          <w:rFonts w:ascii="Book Antiqua" w:hAnsi="Book Antiqua"/>
          <w:b/>
          <w:bCs/>
          <w:color w:val="0000FF"/>
          <w:sz w:val="32"/>
        </w:rPr>
      </w:pPr>
      <w:r>
        <w:rPr>
          <w:rFonts w:ascii="Book Antiqua" w:hAnsi="Book Antiqua"/>
          <w:b/>
          <w:bCs/>
          <w:color w:val="0000FF"/>
          <w:sz w:val="32"/>
        </w:rPr>
        <w:t>(Base 100 : 2015)</w:t>
      </w:r>
    </w:p>
    <w:p w:rsidR="008D518E" w:rsidRPr="00107247" w:rsidRDefault="008D518E">
      <w:pPr>
        <w:pStyle w:val="Corpsdetexte"/>
        <w:jc w:val="both"/>
        <w:rPr>
          <w:rFonts w:ascii="Book Antiqua" w:hAnsi="Book Antiqua"/>
        </w:rPr>
      </w:pPr>
    </w:p>
    <w:p w:rsidR="00BC561F" w:rsidRDefault="00BC561F" w:rsidP="000A5CBA">
      <w:pPr>
        <w:pStyle w:val="Corpsdetexte"/>
        <w:spacing w:line="276" w:lineRule="auto"/>
        <w:ind w:firstLine="708"/>
        <w:jc w:val="both"/>
        <w:rPr>
          <w:rFonts w:ascii="Book Antiqua" w:hAnsi="Book Antiqua" w:cs="Arial"/>
          <w:sz w:val="28"/>
          <w:rtl/>
        </w:rPr>
      </w:pPr>
    </w:p>
    <w:p w:rsidR="004E6B03" w:rsidRPr="000A5CBA" w:rsidRDefault="00594E0F" w:rsidP="00DA2C61">
      <w:pPr>
        <w:pStyle w:val="Corpsdetexte"/>
        <w:spacing w:line="276" w:lineRule="auto"/>
        <w:ind w:firstLine="708"/>
        <w:jc w:val="both"/>
        <w:rPr>
          <w:rFonts w:ascii="Book Antiqua" w:hAnsi="Book Antiqua" w:cs="Arial"/>
          <w:sz w:val="28"/>
        </w:rPr>
      </w:pPr>
      <w:r w:rsidRPr="000A5CBA">
        <w:rPr>
          <w:rFonts w:ascii="Book Antiqua" w:hAnsi="Book Antiqua" w:cs="Arial"/>
          <w:sz w:val="28"/>
        </w:rPr>
        <w:t xml:space="preserve">Le Haut Commissariat au Plan </w:t>
      </w:r>
      <w:r>
        <w:rPr>
          <w:rFonts w:ascii="Book Antiqua" w:hAnsi="Book Antiqua" w:cs="Arial"/>
          <w:sz w:val="28"/>
        </w:rPr>
        <w:t xml:space="preserve">informe les utilisateurs des indices statistiques qu’il a adopté une nouvelle année de </w:t>
      </w:r>
      <w:r w:rsidR="00DA2C61">
        <w:rPr>
          <w:rFonts w:ascii="Book Antiqua" w:hAnsi="Book Antiqua" w:cs="Arial"/>
          <w:sz w:val="28"/>
        </w:rPr>
        <w:t>base</w:t>
      </w:r>
      <w:r>
        <w:rPr>
          <w:rFonts w:ascii="Book Antiqua" w:hAnsi="Book Antiqua" w:cs="Arial"/>
          <w:sz w:val="28"/>
        </w:rPr>
        <w:t xml:space="preserve"> 2015 au lieu de 2010 de l’indice de </w:t>
      </w:r>
      <w:r w:rsidRPr="000A5CBA">
        <w:rPr>
          <w:rFonts w:ascii="Book Antiqua" w:hAnsi="Book Antiqua" w:cs="Arial"/>
          <w:sz w:val="28"/>
        </w:rPr>
        <w:t>la production industrielle, énergétique et minière</w:t>
      </w:r>
      <w:r w:rsidR="004E6B03" w:rsidRPr="000A5CBA">
        <w:rPr>
          <w:rFonts w:ascii="Book Antiqua" w:hAnsi="Book Antiqua" w:cs="Arial"/>
          <w:sz w:val="28"/>
        </w:rPr>
        <w:t xml:space="preserve">.   </w:t>
      </w:r>
    </w:p>
    <w:p w:rsidR="00643A28" w:rsidRPr="000A5CBA" w:rsidRDefault="00643A28" w:rsidP="000A5CBA">
      <w:pPr>
        <w:pStyle w:val="Corpsdetexte"/>
        <w:spacing w:line="276" w:lineRule="auto"/>
        <w:jc w:val="both"/>
        <w:rPr>
          <w:rFonts w:ascii="Book Antiqua" w:hAnsi="Book Antiqua" w:cs="Arial"/>
          <w:sz w:val="28"/>
        </w:rPr>
      </w:pPr>
    </w:p>
    <w:p w:rsidR="008D518E" w:rsidRPr="000A5CBA" w:rsidRDefault="00DA2C61" w:rsidP="0033211B">
      <w:pPr>
        <w:pStyle w:val="Corpsdetexte"/>
        <w:spacing w:line="276" w:lineRule="auto"/>
        <w:ind w:firstLine="708"/>
        <w:jc w:val="both"/>
        <w:rPr>
          <w:rFonts w:ascii="Book Antiqua" w:hAnsi="Book Antiqua" w:cs="Arial"/>
          <w:sz w:val="28"/>
        </w:rPr>
      </w:pPr>
      <w:r>
        <w:rPr>
          <w:rFonts w:ascii="Book Antiqua" w:hAnsi="Book Antiqua" w:cs="Arial"/>
          <w:sz w:val="28"/>
        </w:rPr>
        <w:t>Cette nouvelle série</w:t>
      </w:r>
      <w:r w:rsidR="00414690">
        <w:rPr>
          <w:rFonts w:ascii="Book Antiqua" w:hAnsi="Book Antiqua" w:cs="Arial"/>
          <w:sz w:val="28"/>
        </w:rPr>
        <w:t xml:space="preserve"> </w:t>
      </w:r>
      <w:r>
        <w:rPr>
          <w:rFonts w:ascii="Book Antiqua" w:hAnsi="Book Antiqua" w:cs="Arial"/>
          <w:sz w:val="28"/>
        </w:rPr>
        <w:t xml:space="preserve">a connu </w:t>
      </w:r>
      <w:r w:rsidR="00643A28" w:rsidRPr="000A5CBA">
        <w:rPr>
          <w:rFonts w:ascii="Book Antiqua" w:hAnsi="Book Antiqua" w:cs="Arial"/>
          <w:sz w:val="28"/>
        </w:rPr>
        <w:t>l’actualisation de l’échantillon des produits et des entreprises</w:t>
      </w:r>
      <w:r w:rsidR="00107247" w:rsidRPr="000A5CBA">
        <w:rPr>
          <w:rFonts w:ascii="Book Antiqua" w:hAnsi="Book Antiqua" w:cs="Arial"/>
          <w:sz w:val="28"/>
        </w:rPr>
        <w:t xml:space="preserve">, </w:t>
      </w:r>
      <w:r w:rsidR="00643A28" w:rsidRPr="000A5CBA">
        <w:rPr>
          <w:rFonts w:ascii="Book Antiqua" w:hAnsi="Book Antiqua" w:cs="Arial"/>
          <w:sz w:val="28"/>
        </w:rPr>
        <w:t>la révision de</w:t>
      </w:r>
      <w:r w:rsidR="00107247" w:rsidRPr="000A5CBA">
        <w:rPr>
          <w:rFonts w:ascii="Book Antiqua" w:hAnsi="Book Antiqua" w:cs="Arial"/>
          <w:sz w:val="28"/>
        </w:rPr>
        <w:t xml:space="preserve"> la structure des pondérations et l’adoption de la </w:t>
      </w:r>
      <w:r w:rsidR="000A5CBA" w:rsidRPr="000A5CBA">
        <w:rPr>
          <w:rFonts w:ascii="Book Antiqua" w:hAnsi="Book Antiqua" w:cs="Arial"/>
          <w:sz w:val="28"/>
        </w:rPr>
        <w:t>Nomenclature Marocaine des A</w:t>
      </w:r>
      <w:r w:rsidR="00107247" w:rsidRPr="000A5CBA">
        <w:rPr>
          <w:rFonts w:ascii="Book Antiqua" w:hAnsi="Book Antiqua" w:cs="Arial"/>
          <w:sz w:val="28"/>
        </w:rPr>
        <w:t>ctivités de l’année 2010 au lieu de celle de 1999.</w:t>
      </w:r>
    </w:p>
    <w:p w:rsidR="00643A28" w:rsidRPr="000A5CBA" w:rsidRDefault="00643A28" w:rsidP="000A5CBA">
      <w:pPr>
        <w:pStyle w:val="Corpsdetexte"/>
        <w:spacing w:line="276" w:lineRule="auto"/>
        <w:jc w:val="both"/>
        <w:rPr>
          <w:rFonts w:ascii="Book Antiqua" w:hAnsi="Book Antiqua" w:cs="Arial"/>
          <w:sz w:val="28"/>
        </w:rPr>
      </w:pPr>
    </w:p>
    <w:p w:rsidR="00364EAF" w:rsidRDefault="00414690" w:rsidP="004303B9">
      <w:pPr>
        <w:pStyle w:val="Corpsdetexte"/>
        <w:spacing w:line="276" w:lineRule="auto"/>
        <w:ind w:firstLine="708"/>
        <w:jc w:val="both"/>
        <w:rPr>
          <w:rFonts w:ascii="Book Antiqua" w:hAnsi="Book Antiqua" w:cs="Arial"/>
          <w:sz w:val="28"/>
        </w:rPr>
      </w:pPr>
      <w:r>
        <w:rPr>
          <w:rFonts w:ascii="Book Antiqua" w:hAnsi="Book Antiqua" w:cs="Arial"/>
          <w:sz w:val="28"/>
        </w:rPr>
        <w:t xml:space="preserve">A noter que </w:t>
      </w:r>
      <w:r w:rsidR="00107247" w:rsidRPr="000A5CBA">
        <w:rPr>
          <w:rFonts w:ascii="Book Antiqua" w:hAnsi="Book Antiqua" w:cs="Arial"/>
          <w:sz w:val="28"/>
        </w:rPr>
        <w:t>l</w:t>
      </w:r>
      <w:r w:rsidR="00643A28" w:rsidRPr="000A5CBA">
        <w:rPr>
          <w:rFonts w:ascii="Book Antiqua" w:hAnsi="Book Antiqua" w:cs="Arial"/>
          <w:sz w:val="28"/>
        </w:rPr>
        <w:t>e</w:t>
      </w:r>
      <w:r>
        <w:rPr>
          <w:rFonts w:ascii="Book Antiqua" w:hAnsi="Book Antiqua" w:cs="Arial"/>
          <w:sz w:val="28"/>
        </w:rPr>
        <w:t xml:space="preserve"> nouveau</w:t>
      </w:r>
      <w:r w:rsidR="00520753" w:rsidRPr="000A5CBA">
        <w:rPr>
          <w:rFonts w:ascii="Book Antiqua" w:hAnsi="Book Antiqua" w:cs="Arial"/>
          <w:sz w:val="28"/>
        </w:rPr>
        <w:t xml:space="preserve"> </w:t>
      </w:r>
      <w:r w:rsidR="00643A28" w:rsidRPr="000A5CBA">
        <w:rPr>
          <w:rFonts w:ascii="Book Antiqua" w:hAnsi="Book Antiqua" w:cs="Arial"/>
          <w:sz w:val="28"/>
        </w:rPr>
        <w:t xml:space="preserve">panier de référence </w:t>
      </w:r>
      <w:r w:rsidR="00520753" w:rsidRPr="000A5CBA">
        <w:rPr>
          <w:rFonts w:ascii="Book Antiqua" w:hAnsi="Book Antiqua" w:cs="Arial"/>
          <w:sz w:val="28"/>
        </w:rPr>
        <w:t>contient</w:t>
      </w:r>
      <w:r w:rsidR="00643A28" w:rsidRPr="000A5CBA">
        <w:rPr>
          <w:rFonts w:ascii="Book Antiqua" w:hAnsi="Book Antiqua" w:cs="Arial"/>
          <w:sz w:val="28"/>
        </w:rPr>
        <w:t xml:space="preserve"> </w:t>
      </w:r>
      <w:r w:rsidR="00396B7B" w:rsidRPr="000A5CBA">
        <w:rPr>
          <w:rFonts w:ascii="Book Antiqua" w:hAnsi="Book Antiqua" w:cs="Arial"/>
          <w:sz w:val="28"/>
        </w:rPr>
        <w:t>436</w:t>
      </w:r>
      <w:r w:rsidR="00643A28" w:rsidRPr="000A5CBA">
        <w:rPr>
          <w:rFonts w:ascii="Book Antiqua" w:hAnsi="Book Antiqua" w:cs="Arial"/>
          <w:sz w:val="28"/>
        </w:rPr>
        <w:t xml:space="preserve"> articles au lieu de </w:t>
      </w:r>
      <w:r w:rsidR="00520753" w:rsidRPr="000A5CBA">
        <w:rPr>
          <w:rFonts w:ascii="Book Antiqua" w:hAnsi="Book Antiqua" w:cs="Arial"/>
          <w:sz w:val="28"/>
        </w:rPr>
        <w:t>378</w:t>
      </w:r>
      <w:r>
        <w:rPr>
          <w:rFonts w:ascii="Book Antiqua" w:hAnsi="Book Antiqua" w:cs="Arial"/>
          <w:sz w:val="28"/>
        </w:rPr>
        <w:t xml:space="preserve"> articles et que l</w:t>
      </w:r>
      <w:r w:rsidR="00643A28" w:rsidRPr="000A5CBA">
        <w:rPr>
          <w:rFonts w:ascii="Book Antiqua" w:hAnsi="Book Antiqua" w:cs="Arial"/>
          <w:sz w:val="28"/>
        </w:rPr>
        <w:t xml:space="preserve">es pondérations des </w:t>
      </w:r>
      <w:r w:rsidR="00003D30" w:rsidRPr="000A5CBA">
        <w:rPr>
          <w:rFonts w:ascii="Book Antiqua" w:hAnsi="Book Antiqua" w:cs="Arial"/>
          <w:sz w:val="28"/>
        </w:rPr>
        <w:t xml:space="preserve">produits </w:t>
      </w:r>
      <w:r w:rsidR="00643A28" w:rsidRPr="000A5CBA">
        <w:rPr>
          <w:rFonts w:ascii="Book Antiqua" w:hAnsi="Book Antiqua" w:cs="Arial"/>
          <w:sz w:val="28"/>
        </w:rPr>
        <w:t>ont été actualisées sur la base de</w:t>
      </w:r>
      <w:r w:rsidR="00003D30" w:rsidRPr="000A5CBA">
        <w:rPr>
          <w:rFonts w:ascii="Book Antiqua" w:hAnsi="Book Antiqua" w:cs="Arial"/>
          <w:sz w:val="28"/>
        </w:rPr>
        <w:t>s</w:t>
      </w:r>
      <w:r w:rsidR="00643A28" w:rsidRPr="000A5CBA">
        <w:rPr>
          <w:rFonts w:ascii="Book Antiqua" w:hAnsi="Book Antiqua" w:cs="Arial"/>
          <w:sz w:val="28"/>
        </w:rPr>
        <w:t xml:space="preserve"> nouvelles données </w:t>
      </w:r>
      <w:r w:rsidR="000A5CBA" w:rsidRPr="000A5CBA">
        <w:rPr>
          <w:rFonts w:ascii="Book Antiqua" w:hAnsi="Book Antiqua" w:cs="Arial"/>
          <w:sz w:val="28"/>
        </w:rPr>
        <w:t>sur l</w:t>
      </w:r>
      <w:r w:rsidR="00003D30" w:rsidRPr="000A5CBA">
        <w:rPr>
          <w:rFonts w:ascii="Book Antiqua" w:hAnsi="Book Antiqua" w:cs="Arial"/>
          <w:sz w:val="28"/>
        </w:rPr>
        <w:t xml:space="preserve">a </w:t>
      </w:r>
      <w:r>
        <w:rPr>
          <w:rFonts w:ascii="Book Antiqua" w:hAnsi="Book Antiqua" w:cs="Arial"/>
          <w:sz w:val="28"/>
        </w:rPr>
        <w:t xml:space="preserve">structure de production issue de l’enquête </w:t>
      </w:r>
      <w:r w:rsidR="00364EAF">
        <w:rPr>
          <w:rFonts w:ascii="Book Antiqua" w:hAnsi="Book Antiqua" w:cs="Arial"/>
          <w:sz w:val="28"/>
        </w:rPr>
        <w:t xml:space="preserve">de </w:t>
      </w:r>
      <w:r>
        <w:rPr>
          <w:rFonts w:ascii="Book Antiqua" w:hAnsi="Book Antiqua" w:cs="Arial"/>
          <w:sz w:val="28"/>
        </w:rPr>
        <w:t xml:space="preserve">structure </w:t>
      </w:r>
      <w:r w:rsidR="00364EAF">
        <w:rPr>
          <w:rFonts w:ascii="Book Antiqua" w:hAnsi="Book Antiqua" w:cs="Arial"/>
          <w:sz w:val="28"/>
        </w:rPr>
        <w:t>réalisée par le HCP en 2014.</w:t>
      </w:r>
    </w:p>
    <w:p w:rsidR="00643A28" w:rsidRPr="000A5CBA" w:rsidRDefault="00364EAF" w:rsidP="00364EAF">
      <w:pPr>
        <w:pStyle w:val="Corpsdetexte"/>
        <w:spacing w:line="276" w:lineRule="auto"/>
        <w:ind w:firstLine="708"/>
        <w:jc w:val="both"/>
        <w:rPr>
          <w:rFonts w:ascii="Book Antiqua" w:hAnsi="Book Antiqua" w:cs="Arial"/>
          <w:sz w:val="28"/>
        </w:rPr>
      </w:pPr>
      <w:r>
        <w:rPr>
          <w:rFonts w:ascii="Book Antiqua" w:hAnsi="Book Antiqua" w:cs="Arial"/>
          <w:sz w:val="28"/>
        </w:rPr>
        <w:t xml:space="preserve"> </w:t>
      </w:r>
    </w:p>
    <w:p w:rsidR="00643A28" w:rsidRPr="000A5CBA" w:rsidRDefault="00F72C66" w:rsidP="000A5CBA">
      <w:pPr>
        <w:pStyle w:val="Corpsdetexte"/>
        <w:spacing w:line="276" w:lineRule="auto"/>
        <w:ind w:firstLine="708"/>
        <w:jc w:val="both"/>
        <w:rPr>
          <w:rFonts w:ascii="Book Antiqua" w:hAnsi="Book Antiqua"/>
          <w:sz w:val="28"/>
        </w:rPr>
      </w:pPr>
      <w:r w:rsidRPr="000A5CBA">
        <w:rPr>
          <w:rFonts w:ascii="Book Antiqua" w:hAnsi="Book Antiqua" w:cs="Arial"/>
          <w:sz w:val="28"/>
        </w:rPr>
        <w:t xml:space="preserve">Enfin, il est à signaler que </w:t>
      </w:r>
      <w:r w:rsidR="00003D30" w:rsidRPr="000A5CBA">
        <w:rPr>
          <w:rFonts w:ascii="Book Antiqua" w:hAnsi="Book Antiqua" w:cs="Arial"/>
          <w:sz w:val="28"/>
        </w:rPr>
        <w:t>l</w:t>
      </w:r>
      <w:r w:rsidRPr="000A5CBA">
        <w:rPr>
          <w:rFonts w:ascii="Book Antiqua" w:hAnsi="Book Antiqua" w:cs="Arial"/>
          <w:sz w:val="28"/>
        </w:rPr>
        <w:t>e HCP procèdera à la publication</w:t>
      </w:r>
      <w:r w:rsidR="00003D30" w:rsidRPr="000A5CBA">
        <w:rPr>
          <w:rFonts w:ascii="Book Antiqua" w:hAnsi="Book Antiqua" w:cs="Arial"/>
          <w:sz w:val="28"/>
        </w:rPr>
        <w:t>,</w:t>
      </w:r>
      <w:r w:rsidRPr="000A5CBA">
        <w:rPr>
          <w:rFonts w:ascii="Book Antiqua" w:hAnsi="Book Antiqua" w:cs="Arial"/>
          <w:sz w:val="28"/>
        </w:rPr>
        <w:t xml:space="preserve"> sur son site web</w:t>
      </w:r>
      <w:r w:rsidR="00003D30" w:rsidRPr="000A5CBA">
        <w:rPr>
          <w:rFonts w:ascii="Book Antiqua" w:hAnsi="Book Antiqua" w:cs="Arial"/>
          <w:sz w:val="28"/>
        </w:rPr>
        <w:t>,</w:t>
      </w:r>
      <w:r w:rsidR="00094466" w:rsidRPr="000A5CBA">
        <w:rPr>
          <w:rFonts w:ascii="Book Antiqua" w:hAnsi="Book Antiqua" w:cs="Arial"/>
          <w:sz w:val="28"/>
        </w:rPr>
        <w:t xml:space="preserve"> </w:t>
      </w:r>
      <w:r w:rsidRPr="000A5CBA">
        <w:rPr>
          <w:rFonts w:ascii="Book Antiqua" w:hAnsi="Book Antiqua" w:cs="Arial"/>
          <w:sz w:val="28"/>
        </w:rPr>
        <w:t xml:space="preserve">des indices trimestriels et annuels du nouvel indice de </w:t>
      </w:r>
      <w:r w:rsidR="00C516BD" w:rsidRPr="000A5CBA">
        <w:rPr>
          <w:rFonts w:ascii="Book Antiqua" w:hAnsi="Book Antiqua" w:cs="Arial"/>
          <w:sz w:val="28"/>
        </w:rPr>
        <w:t xml:space="preserve">la </w:t>
      </w:r>
      <w:r w:rsidRPr="000A5CBA">
        <w:rPr>
          <w:rFonts w:ascii="Book Antiqua" w:hAnsi="Book Antiqua" w:cs="Arial"/>
          <w:sz w:val="28"/>
        </w:rPr>
        <w:t xml:space="preserve">production </w:t>
      </w:r>
      <w:r w:rsidR="00E0251E" w:rsidRPr="000A5CBA">
        <w:rPr>
          <w:rFonts w:ascii="Book Antiqua" w:hAnsi="Book Antiqua" w:cs="Arial"/>
          <w:sz w:val="28"/>
        </w:rPr>
        <w:t xml:space="preserve">et ce </w:t>
      </w:r>
      <w:r w:rsidRPr="000A5CBA">
        <w:rPr>
          <w:rFonts w:ascii="Book Antiqua" w:hAnsi="Book Antiqua" w:cs="Arial"/>
          <w:sz w:val="28"/>
        </w:rPr>
        <w:t>pour la période allant de 201</w:t>
      </w:r>
      <w:r w:rsidR="00396B7B" w:rsidRPr="000A5CBA">
        <w:rPr>
          <w:rFonts w:ascii="Book Antiqua" w:hAnsi="Book Antiqua" w:cs="Arial"/>
          <w:sz w:val="28"/>
        </w:rPr>
        <w:t>6</w:t>
      </w:r>
      <w:r w:rsidRPr="000A5CBA">
        <w:rPr>
          <w:rFonts w:ascii="Book Antiqua" w:hAnsi="Book Antiqua" w:cs="Arial"/>
          <w:sz w:val="28"/>
        </w:rPr>
        <w:t xml:space="preserve"> à 201</w:t>
      </w:r>
      <w:r w:rsidR="00520753" w:rsidRPr="000A5CBA">
        <w:rPr>
          <w:rFonts w:ascii="Book Antiqua" w:hAnsi="Book Antiqua" w:cs="Arial"/>
          <w:sz w:val="28"/>
        </w:rPr>
        <w:t>9</w:t>
      </w:r>
      <w:r w:rsidRPr="000A5CBA">
        <w:rPr>
          <w:rFonts w:ascii="Book Antiqua" w:hAnsi="Book Antiqua" w:cs="Arial"/>
          <w:sz w:val="28"/>
        </w:rPr>
        <w:t>.</w:t>
      </w:r>
    </w:p>
    <w:p w:rsidR="008D518E" w:rsidRPr="000A5CBA" w:rsidRDefault="008D518E" w:rsidP="000A5CBA">
      <w:pPr>
        <w:pStyle w:val="Corpsdetexte"/>
        <w:spacing w:line="276" w:lineRule="auto"/>
        <w:jc w:val="both"/>
        <w:rPr>
          <w:rFonts w:ascii="Book Antiqua" w:hAnsi="Book Antiqua"/>
          <w:sz w:val="28"/>
        </w:rPr>
      </w:pPr>
    </w:p>
    <w:p w:rsidR="008D518E" w:rsidRDefault="008D518E">
      <w:pPr>
        <w:pStyle w:val="Corpsdetexte"/>
        <w:jc w:val="both"/>
        <w:rPr>
          <w:sz w:val="28"/>
        </w:rPr>
      </w:pPr>
    </w:p>
    <w:p w:rsidR="008D518E" w:rsidRDefault="00B31D70">
      <w:pPr>
        <w:pStyle w:val="Corpsdetexte"/>
        <w:jc w:val="both"/>
        <w:rPr>
          <w:sz w:val="28"/>
        </w:rPr>
      </w:pPr>
      <w:r>
        <w:rPr>
          <w:sz w:val="28"/>
        </w:rPr>
        <w:t xml:space="preserve">                    </w:t>
      </w:r>
    </w:p>
    <w:sectPr w:rsidR="008D518E" w:rsidSect="00A223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D707E"/>
    <w:multiLevelType w:val="hybridMultilevel"/>
    <w:tmpl w:val="FC387FCE"/>
    <w:lvl w:ilvl="0" w:tplc="2CA41B2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noPunctuationKerning/>
  <w:characterSpacingControl w:val="doNotCompress"/>
  <w:compat/>
  <w:rsids>
    <w:rsidRoot w:val="0062732F"/>
    <w:rsid w:val="00003D30"/>
    <w:rsid w:val="000740A4"/>
    <w:rsid w:val="00092B04"/>
    <w:rsid w:val="00094466"/>
    <w:rsid w:val="000A5CBA"/>
    <w:rsid w:val="00107247"/>
    <w:rsid w:val="00127C5D"/>
    <w:rsid w:val="00166DE8"/>
    <w:rsid w:val="00296964"/>
    <w:rsid w:val="002A104F"/>
    <w:rsid w:val="002E23CA"/>
    <w:rsid w:val="0033211B"/>
    <w:rsid w:val="00333EFC"/>
    <w:rsid w:val="00364EAF"/>
    <w:rsid w:val="00396B7B"/>
    <w:rsid w:val="003B17B1"/>
    <w:rsid w:val="003C48C3"/>
    <w:rsid w:val="004126B6"/>
    <w:rsid w:val="004131A9"/>
    <w:rsid w:val="00414690"/>
    <w:rsid w:val="004303B9"/>
    <w:rsid w:val="004E6B03"/>
    <w:rsid w:val="00520753"/>
    <w:rsid w:val="00522EFA"/>
    <w:rsid w:val="00594E0F"/>
    <w:rsid w:val="005A4CDB"/>
    <w:rsid w:val="0062732F"/>
    <w:rsid w:val="00643A28"/>
    <w:rsid w:val="0070267B"/>
    <w:rsid w:val="007603E9"/>
    <w:rsid w:val="007A4B4D"/>
    <w:rsid w:val="007D370A"/>
    <w:rsid w:val="007F11B7"/>
    <w:rsid w:val="00806FDD"/>
    <w:rsid w:val="0084114D"/>
    <w:rsid w:val="008B7252"/>
    <w:rsid w:val="008D518E"/>
    <w:rsid w:val="00944365"/>
    <w:rsid w:val="009C14E7"/>
    <w:rsid w:val="00A223FA"/>
    <w:rsid w:val="00A24B90"/>
    <w:rsid w:val="00A41257"/>
    <w:rsid w:val="00A546D1"/>
    <w:rsid w:val="00A6032B"/>
    <w:rsid w:val="00B31D70"/>
    <w:rsid w:val="00BC561F"/>
    <w:rsid w:val="00C40D50"/>
    <w:rsid w:val="00C516BD"/>
    <w:rsid w:val="00D11C0C"/>
    <w:rsid w:val="00DA2C61"/>
    <w:rsid w:val="00DE5C6B"/>
    <w:rsid w:val="00E0251E"/>
    <w:rsid w:val="00E31610"/>
    <w:rsid w:val="00EE3F32"/>
    <w:rsid w:val="00F10CF7"/>
    <w:rsid w:val="00F72C66"/>
    <w:rsid w:val="00FA7895"/>
    <w:rsid w:val="00FB7167"/>
    <w:rsid w:val="00FE4A12"/>
    <w:rsid w:val="00FF50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FA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rsid w:val="00A223FA"/>
    <w:rPr>
      <w:sz w:val="52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BC56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BC561F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61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169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Communiqué du Haut-Commissariat au Plan :</vt:lpstr>
    </vt:vector>
  </TitlesOfParts>
  <Company>ds</Company>
  <LinksUpToDate>false</LinksUpToDate>
  <CharactersWithSpaces>1100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Communiqué du Haut-Commissariat au Plan :</dc:title>
  <dc:creator>jbourchachen</dc:creator>
  <cp:lastModifiedBy>hp</cp:lastModifiedBy>
  <cp:revision>3</cp:revision>
  <cp:lastPrinted>2019-12-11T08:00:00Z</cp:lastPrinted>
  <dcterms:created xsi:type="dcterms:W3CDTF">2019-12-12T21:29:00Z</dcterms:created>
  <dcterms:modified xsi:type="dcterms:W3CDTF">2019-12-12T21:35:00Z</dcterms:modified>
</cp:coreProperties>
</file>