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6B0E86" w:rsidP="006B0E86">
      <w:pPr>
        <w:jc w:val="center"/>
        <w:rPr>
          <w:rtl/>
          <w:lang w:bidi="ar-MA"/>
        </w:rPr>
      </w:pPr>
      <w:r>
        <w:rPr>
          <w:lang w:bidi="ar-MA"/>
        </w:rPr>
        <w:t xml:space="preserve">                        </w:t>
      </w: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9E034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9E0341">
        <w:rPr>
          <w:b/>
          <w:bCs/>
          <w:color w:val="0000FF"/>
          <w:sz w:val="24"/>
          <w:szCs w:val="24"/>
        </w:rPr>
        <w:t>20</w:t>
      </w:r>
    </w:p>
    <w:p w:rsidR="00637B14" w:rsidRPr="00637B14" w:rsidRDefault="00637B14" w:rsidP="001D3DB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A55048" w:rsidRPr="005534FA" w:rsidRDefault="0080465E" w:rsidP="00FE2B1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F64AF2">
        <w:rPr>
          <w:rFonts w:ascii="Arial" w:hAnsi="Arial" w:cs="Arial"/>
          <w:sz w:val="24"/>
          <w:szCs w:val="24"/>
        </w:rPr>
        <w:t xml:space="preserve"> </w:t>
      </w:r>
      <w:r w:rsidR="00F64AF2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8B19CE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9E0341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</w:t>
      </w:r>
      <w:r w:rsidR="008B19CE">
        <w:rPr>
          <w:rFonts w:ascii="Arial" w:hAnsi="Arial" w:cs="Arial"/>
          <w:sz w:val="24"/>
          <w:szCs w:val="24"/>
        </w:rPr>
        <w:t>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F81122" w:rsidRDefault="00F81122" w:rsidP="00F8112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A55048" w:rsidRPr="00EF6D62" w:rsidRDefault="00EB0E60" w:rsidP="00B3164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1122" w:rsidRPr="005534FA">
        <w:rPr>
          <w:rFonts w:ascii="Arial" w:hAnsi="Arial" w:cs="Arial"/>
          <w:sz w:val="24"/>
          <w:szCs w:val="24"/>
        </w:rPr>
        <w:t>La</w:t>
      </w:r>
      <w:r w:rsidR="008B19CE">
        <w:rPr>
          <w:rFonts w:ascii="Arial" w:hAnsi="Arial" w:cs="Arial"/>
          <w:sz w:val="24"/>
          <w:szCs w:val="24"/>
        </w:rPr>
        <w:t xml:space="preserve"> baisse </w:t>
      </w:r>
      <w:r w:rsidR="008B19CE" w:rsidRPr="005534FA">
        <w:rPr>
          <w:rFonts w:ascii="Arial" w:hAnsi="Arial" w:cs="Arial"/>
          <w:sz w:val="24"/>
          <w:szCs w:val="24"/>
        </w:rPr>
        <w:t xml:space="preserve">de </w:t>
      </w:r>
      <w:r w:rsidR="008B19CE">
        <w:rPr>
          <w:rFonts w:ascii="Arial" w:hAnsi="Arial" w:cs="Arial"/>
          <w:sz w:val="24"/>
          <w:szCs w:val="24"/>
        </w:rPr>
        <w:t>0</w:t>
      </w:r>
      <w:r w:rsidR="008B19CE" w:rsidRPr="005534FA">
        <w:rPr>
          <w:rFonts w:ascii="Arial" w:hAnsi="Arial" w:cs="Arial"/>
          <w:sz w:val="24"/>
          <w:szCs w:val="24"/>
        </w:rPr>
        <w:t>,</w:t>
      </w:r>
      <w:r w:rsidR="009E0341">
        <w:rPr>
          <w:rFonts w:ascii="Arial" w:hAnsi="Arial" w:cs="Arial"/>
          <w:sz w:val="24"/>
          <w:szCs w:val="24"/>
        </w:rPr>
        <w:t>7</w:t>
      </w:r>
      <w:r w:rsidR="008B19CE" w:rsidRPr="005534FA">
        <w:rPr>
          <w:rFonts w:ascii="Arial" w:hAnsi="Arial" w:cs="Arial"/>
          <w:sz w:val="24"/>
          <w:szCs w:val="24"/>
        </w:rPr>
        <w:t>%</w:t>
      </w:r>
      <w:r w:rsidR="008B19CE">
        <w:rPr>
          <w:rFonts w:ascii="Arial" w:hAnsi="Arial" w:cs="Arial"/>
          <w:sz w:val="24"/>
          <w:szCs w:val="24"/>
        </w:rPr>
        <w:t xml:space="preserve"> des prix enregistrée dans la </w:t>
      </w:r>
      <w:r w:rsidR="008B19CE" w:rsidRPr="005534FA">
        <w:rPr>
          <w:rFonts w:ascii="Arial" w:hAnsi="Arial" w:cs="Arial"/>
          <w:sz w:val="24"/>
          <w:szCs w:val="24"/>
        </w:rPr>
        <w:t>«</w:t>
      </w:r>
      <w:r w:rsidR="009E0341" w:rsidRPr="009E0341">
        <w:rPr>
          <w:rFonts w:ascii="Arial" w:hAnsi="Arial" w:cs="Arial"/>
          <w:sz w:val="24"/>
          <w:szCs w:val="24"/>
        </w:rPr>
        <w:t>Métallurgie</w:t>
      </w:r>
      <w:r w:rsidR="008B19CE" w:rsidRPr="005534FA">
        <w:rPr>
          <w:rFonts w:ascii="Arial" w:hAnsi="Arial" w:cs="Arial"/>
          <w:sz w:val="24"/>
          <w:szCs w:val="24"/>
        </w:rPr>
        <w:t>»</w:t>
      </w:r>
      <w:r w:rsidR="008B19CE">
        <w:rPr>
          <w:rFonts w:ascii="Arial" w:hAnsi="Arial" w:cs="Arial"/>
          <w:sz w:val="24"/>
          <w:szCs w:val="24"/>
        </w:rPr>
        <w:t>,</w:t>
      </w:r>
      <w:r w:rsidR="008B19CE" w:rsidRPr="00010C51">
        <w:rPr>
          <w:rFonts w:ascii="Arial" w:hAnsi="Arial" w:cs="Arial"/>
          <w:sz w:val="24"/>
          <w:szCs w:val="24"/>
        </w:rPr>
        <w:t xml:space="preserve"> </w:t>
      </w:r>
      <w:r w:rsidR="008B19CE" w:rsidRPr="005534FA">
        <w:rPr>
          <w:rFonts w:ascii="Arial" w:hAnsi="Arial" w:cs="Arial"/>
          <w:sz w:val="24"/>
          <w:szCs w:val="24"/>
        </w:rPr>
        <w:t xml:space="preserve">de </w:t>
      </w:r>
      <w:r w:rsidR="008B19CE">
        <w:rPr>
          <w:rFonts w:ascii="Arial" w:hAnsi="Arial" w:cs="Arial"/>
          <w:sz w:val="24"/>
          <w:szCs w:val="24"/>
        </w:rPr>
        <w:t>0</w:t>
      </w:r>
      <w:r w:rsidR="008B19CE" w:rsidRPr="005534FA">
        <w:rPr>
          <w:rFonts w:ascii="Arial" w:hAnsi="Arial" w:cs="Arial"/>
          <w:sz w:val="24"/>
          <w:szCs w:val="24"/>
        </w:rPr>
        <w:t>,</w:t>
      </w:r>
      <w:r w:rsidR="008B19CE">
        <w:rPr>
          <w:rFonts w:ascii="Arial" w:hAnsi="Arial" w:cs="Arial"/>
          <w:sz w:val="24"/>
          <w:szCs w:val="24"/>
        </w:rPr>
        <w:t>5</w:t>
      </w:r>
      <w:r w:rsidR="008B19CE" w:rsidRPr="005534FA">
        <w:rPr>
          <w:rFonts w:ascii="Arial" w:hAnsi="Arial" w:cs="Arial"/>
          <w:sz w:val="24"/>
          <w:szCs w:val="24"/>
        </w:rPr>
        <w:t>%</w:t>
      </w:r>
      <w:r w:rsidR="008B19CE">
        <w:rPr>
          <w:rFonts w:ascii="Arial" w:hAnsi="Arial" w:cs="Arial"/>
          <w:sz w:val="24"/>
          <w:szCs w:val="24"/>
        </w:rPr>
        <w:t xml:space="preserve">  de </w:t>
      </w:r>
      <w:r w:rsidR="009E0341">
        <w:rPr>
          <w:rFonts w:ascii="Arial" w:hAnsi="Arial" w:cs="Arial"/>
          <w:sz w:val="24"/>
          <w:szCs w:val="24"/>
        </w:rPr>
        <w:t>l</w:t>
      </w:r>
      <w:r w:rsidR="009E0341" w:rsidRPr="005534FA">
        <w:rPr>
          <w:rFonts w:ascii="Arial" w:hAnsi="Arial" w:cs="Arial"/>
          <w:sz w:val="24"/>
          <w:szCs w:val="24"/>
        </w:rPr>
        <w:t>’«</w:t>
      </w:r>
      <w:r w:rsidR="009E0341" w:rsidRPr="009E0341">
        <w:rPr>
          <w:rFonts w:ascii="Arial" w:hAnsi="Arial" w:cs="Arial"/>
          <w:sz w:val="24"/>
          <w:szCs w:val="24"/>
        </w:rPr>
        <w:t xml:space="preserve">Industrie </w:t>
      </w:r>
      <w:r w:rsidR="009E0341" w:rsidRPr="00EF6D62">
        <w:rPr>
          <w:rFonts w:ascii="Arial" w:hAnsi="Arial" w:cs="Arial"/>
          <w:sz w:val="24"/>
          <w:szCs w:val="24"/>
        </w:rPr>
        <w:t>d’habillement</w:t>
      </w:r>
      <w:r w:rsidR="008B19CE" w:rsidRPr="00EF6D62">
        <w:rPr>
          <w:rFonts w:ascii="Arial" w:hAnsi="Arial" w:cs="Arial"/>
          <w:sz w:val="24"/>
          <w:szCs w:val="24"/>
        </w:rPr>
        <w:t xml:space="preserve">», de </w:t>
      </w:r>
      <w:r w:rsidR="009E0341" w:rsidRPr="00EF6D62">
        <w:rPr>
          <w:rFonts w:ascii="Arial" w:hAnsi="Arial" w:cs="Arial"/>
          <w:sz w:val="24"/>
          <w:szCs w:val="24"/>
        </w:rPr>
        <w:t>0</w:t>
      </w:r>
      <w:r w:rsidR="008B19CE" w:rsidRPr="00EF6D62">
        <w:rPr>
          <w:rFonts w:ascii="Arial" w:hAnsi="Arial" w:cs="Arial"/>
          <w:sz w:val="24"/>
          <w:szCs w:val="24"/>
        </w:rPr>
        <w:t xml:space="preserve">,3% </w:t>
      </w:r>
      <w:r w:rsidR="00FE2B1A" w:rsidRPr="00EF6D62">
        <w:rPr>
          <w:rFonts w:ascii="Arial" w:hAnsi="Arial" w:cs="Arial"/>
          <w:sz w:val="24"/>
          <w:szCs w:val="24"/>
        </w:rPr>
        <w:t xml:space="preserve">aussi bien </w:t>
      </w:r>
      <w:r w:rsidR="00F81122" w:rsidRPr="00EF6D62">
        <w:rPr>
          <w:rFonts w:ascii="Arial" w:hAnsi="Arial" w:cs="Arial"/>
          <w:sz w:val="24"/>
          <w:szCs w:val="24"/>
        </w:rPr>
        <w:t>dans la</w:t>
      </w:r>
      <w:r w:rsidR="008B19CE" w:rsidRPr="00EF6D62">
        <w:rPr>
          <w:rFonts w:ascii="Arial" w:hAnsi="Arial" w:cs="Arial"/>
          <w:sz w:val="24"/>
          <w:szCs w:val="24"/>
        </w:rPr>
        <w:t xml:space="preserve"> «</w:t>
      </w:r>
      <w:r w:rsidR="009E0341" w:rsidRPr="00EF6D62">
        <w:rPr>
          <w:rFonts w:ascii="Arial" w:hAnsi="Arial" w:cs="Arial"/>
          <w:sz w:val="24"/>
          <w:szCs w:val="24"/>
        </w:rPr>
        <w:t>Fabrication d’autres produits minéraux non métalliques</w:t>
      </w:r>
      <w:r w:rsidR="008B19CE" w:rsidRPr="00EF6D62">
        <w:rPr>
          <w:rFonts w:ascii="Arial" w:hAnsi="Arial" w:cs="Arial"/>
          <w:sz w:val="24"/>
          <w:szCs w:val="24"/>
        </w:rPr>
        <w:t>»</w:t>
      </w:r>
      <w:r w:rsidR="00FE2B1A" w:rsidRPr="00EF6D62">
        <w:rPr>
          <w:rFonts w:ascii="Arial" w:hAnsi="Arial" w:cs="Arial"/>
          <w:sz w:val="24"/>
          <w:szCs w:val="24"/>
        </w:rPr>
        <w:t xml:space="preserve"> que</w:t>
      </w:r>
      <w:r w:rsidR="009E0341" w:rsidRPr="00EF6D62">
        <w:rPr>
          <w:rFonts w:ascii="Arial" w:hAnsi="Arial" w:cs="Arial"/>
          <w:sz w:val="24"/>
          <w:szCs w:val="24"/>
        </w:rPr>
        <w:t xml:space="preserve"> dans la «</w:t>
      </w:r>
      <w:r w:rsidR="00F81122" w:rsidRPr="00EF6D62">
        <w:rPr>
          <w:rFonts w:ascii="Arial" w:hAnsi="Arial" w:cs="Arial"/>
          <w:sz w:val="24"/>
          <w:szCs w:val="24"/>
        </w:rPr>
        <w:t>Fabrication de meubles</w:t>
      </w:r>
      <w:r w:rsidR="009E0341" w:rsidRPr="00EF6D62">
        <w:rPr>
          <w:rFonts w:ascii="Arial" w:hAnsi="Arial" w:cs="Arial"/>
          <w:sz w:val="24"/>
          <w:szCs w:val="24"/>
        </w:rPr>
        <w:t>»</w:t>
      </w:r>
      <w:r w:rsidR="00B31641" w:rsidRPr="00EF6D62">
        <w:rPr>
          <w:rFonts w:ascii="Arial" w:hAnsi="Arial" w:cs="Arial"/>
          <w:sz w:val="24"/>
          <w:szCs w:val="24"/>
        </w:rPr>
        <w:t xml:space="preserve"> et </w:t>
      </w:r>
      <w:r w:rsidR="00FE2B1A" w:rsidRPr="00EF6D62">
        <w:rPr>
          <w:rFonts w:ascii="Arial" w:hAnsi="Arial" w:cs="Arial"/>
          <w:sz w:val="24"/>
          <w:szCs w:val="24"/>
        </w:rPr>
        <w:t xml:space="preserve">enfin </w:t>
      </w:r>
      <w:r w:rsidR="008B19CE" w:rsidRPr="00EF6D62">
        <w:rPr>
          <w:rFonts w:ascii="Arial" w:hAnsi="Arial" w:cs="Arial"/>
          <w:sz w:val="24"/>
          <w:szCs w:val="24"/>
        </w:rPr>
        <w:t>de 0,</w:t>
      </w:r>
      <w:r w:rsidR="00F81122" w:rsidRPr="00EF6D62">
        <w:rPr>
          <w:rFonts w:ascii="Arial" w:hAnsi="Arial" w:cs="Arial"/>
          <w:sz w:val="24"/>
          <w:szCs w:val="24"/>
        </w:rPr>
        <w:t>4</w:t>
      </w:r>
      <w:r w:rsidR="008B19CE" w:rsidRPr="00EF6D62">
        <w:rPr>
          <w:rFonts w:ascii="Arial" w:hAnsi="Arial" w:cs="Arial"/>
          <w:sz w:val="24"/>
          <w:szCs w:val="24"/>
        </w:rPr>
        <w:t xml:space="preserve">%  </w:t>
      </w:r>
      <w:r w:rsidR="00F81122" w:rsidRPr="00EF6D62">
        <w:rPr>
          <w:rFonts w:ascii="Arial" w:hAnsi="Arial" w:cs="Arial"/>
          <w:sz w:val="24"/>
          <w:szCs w:val="24"/>
        </w:rPr>
        <w:t xml:space="preserve">dans le </w:t>
      </w:r>
      <w:r w:rsidR="008B19CE" w:rsidRPr="00EF6D62">
        <w:rPr>
          <w:rFonts w:ascii="Arial" w:hAnsi="Arial" w:cs="Arial"/>
          <w:sz w:val="24"/>
          <w:szCs w:val="24"/>
        </w:rPr>
        <w:t>«</w:t>
      </w:r>
      <w:r w:rsidR="00F81122" w:rsidRPr="00EF6D62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8B19CE" w:rsidRPr="00EF6D62">
        <w:rPr>
          <w:rFonts w:ascii="Arial" w:hAnsi="Arial" w:cs="Arial"/>
          <w:sz w:val="24"/>
          <w:szCs w:val="24"/>
        </w:rPr>
        <w:t>»</w:t>
      </w:r>
      <w:r w:rsidR="00001991" w:rsidRPr="00EF6D62">
        <w:rPr>
          <w:rFonts w:ascii="Arial" w:hAnsi="Arial" w:cs="Arial" w:hint="cs"/>
          <w:sz w:val="24"/>
          <w:szCs w:val="24"/>
          <w:rtl/>
        </w:rPr>
        <w:t>.</w:t>
      </w:r>
    </w:p>
    <w:p w:rsidR="00001991" w:rsidRPr="00EF6D62" w:rsidRDefault="00001991" w:rsidP="0000199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</w:rPr>
      </w:pPr>
    </w:p>
    <w:p w:rsidR="009A431E" w:rsidRPr="00EF6D62" w:rsidRDefault="006F70D5" w:rsidP="001850A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EF6D62">
        <w:rPr>
          <w:rFonts w:ascii="Arial" w:hAnsi="Arial" w:cs="Arial" w:hint="cs"/>
          <w:sz w:val="24"/>
          <w:szCs w:val="24"/>
          <w:rtl/>
        </w:rPr>
        <w:t>-</w:t>
      </w:r>
      <w:r w:rsidRPr="00EF6D62">
        <w:rPr>
          <w:rFonts w:ascii="Arial" w:hAnsi="Arial" w:cs="Arial"/>
          <w:sz w:val="24"/>
          <w:szCs w:val="24"/>
        </w:rPr>
        <w:t xml:space="preserve"> </w:t>
      </w:r>
      <w:r w:rsidR="00B31641" w:rsidRPr="00EF6D62">
        <w:rPr>
          <w:rFonts w:ascii="Arial" w:hAnsi="Arial" w:cs="Arial"/>
          <w:sz w:val="24"/>
          <w:szCs w:val="24"/>
        </w:rPr>
        <w:t>L</w:t>
      </w:r>
      <w:r w:rsidR="00001991" w:rsidRPr="00EF6D62">
        <w:rPr>
          <w:rFonts w:ascii="Arial" w:hAnsi="Arial" w:cs="Arial"/>
          <w:sz w:val="24"/>
          <w:szCs w:val="24"/>
        </w:rPr>
        <w:t>a s</w:t>
      </w:r>
      <w:r w:rsidRPr="00EF6D62">
        <w:rPr>
          <w:rFonts w:ascii="Arial" w:hAnsi="Arial" w:cs="Arial"/>
          <w:sz w:val="24"/>
          <w:szCs w:val="24"/>
        </w:rPr>
        <w:t>tagnation des prix des « indu</w:t>
      </w:r>
      <w:r w:rsidR="00B31641" w:rsidRPr="00EF6D62">
        <w:rPr>
          <w:rFonts w:ascii="Arial" w:hAnsi="Arial" w:cs="Arial"/>
          <w:sz w:val="24"/>
          <w:szCs w:val="24"/>
        </w:rPr>
        <w:t>stries alimentaires » et de l’«</w:t>
      </w:r>
      <w:r w:rsidRPr="00EF6D62">
        <w:rPr>
          <w:rFonts w:ascii="Arial" w:hAnsi="Arial" w:cs="Arial"/>
          <w:sz w:val="24"/>
          <w:szCs w:val="24"/>
        </w:rPr>
        <w:t xml:space="preserve">industrie </w:t>
      </w:r>
      <w:r w:rsidR="00B31641" w:rsidRPr="00EF6D62">
        <w:rPr>
          <w:rFonts w:ascii="Arial" w:hAnsi="Arial" w:cs="Arial"/>
          <w:sz w:val="24"/>
          <w:szCs w:val="24"/>
        </w:rPr>
        <w:t>chimique</w:t>
      </w:r>
      <w:r w:rsidRPr="00EF6D62">
        <w:rPr>
          <w:rFonts w:ascii="Arial" w:hAnsi="Arial" w:cs="Arial"/>
          <w:sz w:val="24"/>
          <w:szCs w:val="24"/>
        </w:rPr>
        <w:t>».</w:t>
      </w:r>
    </w:p>
    <w:p w:rsidR="00FE2B1A" w:rsidRPr="00EF6D62" w:rsidRDefault="00FE2B1A" w:rsidP="00FE2B1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EF6D62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8B19C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EF6D62">
        <w:rPr>
          <w:rFonts w:ascii="Arial" w:hAnsi="Arial" w:cs="Arial"/>
          <w:sz w:val="24"/>
          <w:szCs w:val="24"/>
        </w:rPr>
        <w:t xml:space="preserve">Par ailleurs, les </w:t>
      </w:r>
      <w:r w:rsidR="00717834" w:rsidRPr="00EF6D62">
        <w:rPr>
          <w:rFonts w:ascii="Arial" w:hAnsi="Arial" w:cs="Arial"/>
          <w:sz w:val="24"/>
          <w:szCs w:val="24"/>
        </w:rPr>
        <w:t xml:space="preserve">indices des </w:t>
      </w:r>
      <w:r w:rsidRPr="00EF6D62">
        <w:rPr>
          <w:rFonts w:ascii="Arial" w:hAnsi="Arial" w:cs="Arial"/>
          <w:sz w:val="24"/>
          <w:szCs w:val="24"/>
        </w:rPr>
        <w:t xml:space="preserve">prix à la production des secteurs des «Industries </w:t>
      </w:r>
      <w:r w:rsidR="00D80817" w:rsidRPr="00EF6D62">
        <w:rPr>
          <w:rFonts w:ascii="Arial" w:hAnsi="Arial" w:cs="Arial"/>
          <w:sz w:val="24"/>
          <w:szCs w:val="24"/>
        </w:rPr>
        <w:t>e</w:t>
      </w:r>
      <w:r w:rsidRPr="00EF6D62">
        <w:rPr>
          <w:rFonts w:ascii="Arial" w:hAnsi="Arial" w:cs="Arial"/>
          <w:sz w:val="24"/>
          <w:szCs w:val="24"/>
        </w:rPr>
        <w:t xml:space="preserve">xtractives», de la «Production et distribution d’électricité» et de la «Production et distribution d’eau» ont </w:t>
      </w:r>
      <w:r w:rsidR="00FE2B1A" w:rsidRPr="00EF6D62">
        <w:rPr>
          <w:rFonts w:ascii="Arial" w:hAnsi="Arial" w:cs="Arial"/>
          <w:sz w:val="24"/>
          <w:szCs w:val="24"/>
        </w:rPr>
        <w:t xml:space="preserve">également </w:t>
      </w:r>
      <w:r w:rsidRPr="00EF6D62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 xml:space="preserve">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>
        <w:rPr>
          <w:rFonts w:ascii="Arial" w:hAnsi="Arial" w:cs="Arial"/>
          <w:sz w:val="24"/>
          <w:szCs w:val="24"/>
        </w:rPr>
        <w:t>20</w:t>
      </w:r>
      <w:r w:rsidR="008B19C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EF6D62" w:rsidRDefault="00EF6D62" w:rsidP="00EF6D62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EF6D62" w:rsidRPr="005534FA" w:rsidRDefault="00EF6D62" w:rsidP="00EF6D62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8B1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8B19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8B19CE" w:rsidRPr="00537C2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B19CE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DE26F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8B19CE" w:rsidRPr="00537C2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B19C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8B19CE" w:rsidRPr="007452C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B19C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8B19CE" w:rsidRPr="00B5324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8B19CE" w:rsidRPr="00CF11CF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B19CE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8B19CE" w:rsidRPr="00CF11CF" w:rsidRDefault="008B19C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B19CE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B19CE" w:rsidRPr="00537C21" w:rsidRDefault="008B19C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8B19CE" w:rsidRPr="00824379" w:rsidRDefault="008B19C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824379" w:rsidRDefault="008B19C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8B19CE" w:rsidRPr="00CD7F18" w:rsidRDefault="008B19C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F6D62" w:rsidRDefault="00414515" w:rsidP="00EF6D62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BE6079">
        <w:rPr>
          <w:rFonts w:cs="Arial"/>
          <w:b/>
          <w:bCs/>
          <w:sz w:val="16"/>
          <w:szCs w:val="16"/>
        </w:rPr>
        <w:t xml:space="preserve">       </w:t>
      </w:r>
      <w:r w:rsidR="0055633A">
        <w:rPr>
          <w:rFonts w:cs="Arial" w:hint="cs"/>
          <w:b/>
          <w:bCs/>
          <w:sz w:val="16"/>
          <w:szCs w:val="16"/>
          <w:rtl/>
        </w:rPr>
        <w:t>*</w:t>
      </w:r>
      <w:r w:rsidRPr="00BE6079">
        <w:rPr>
          <w:rFonts w:cs="Arial"/>
          <w:b/>
          <w:bCs/>
          <w:sz w:val="16"/>
          <w:szCs w:val="16"/>
          <w:rtl/>
        </w:rPr>
        <w:t xml:space="preserve"> </w:t>
      </w:r>
      <w:r w:rsidRPr="00BE6079">
        <w:rPr>
          <w:rFonts w:cs="Arial"/>
          <w:b/>
          <w:bCs/>
          <w:sz w:val="18"/>
          <w:szCs w:val="18"/>
          <w:rtl/>
        </w:rPr>
        <w:t>مؤقت</w:t>
      </w:r>
      <w:r w:rsidRPr="00BE6079">
        <w:rPr>
          <w:rFonts w:cs="Arial"/>
          <w:b/>
          <w:bCs/>
          <w:sz w:val="16"/>
          <w:szCs w:val="16"/>
          <w:rtl/>
        </w:rPr>
        <w:tab/>
      </w:r>
      <w:r w:rsidR="0055633A">
        <w:rPr>
          <w:rFonts w:cs="Arial"/>
          <w:b/>
          <w:bCs/>
          <w:sz w:val="16"/>
          <w:szCs w:val="16"/>
        </w:rPr>
        <w:t xml:space="preserve">    </w:t>
      </w:r>
      <w:r w:rsidR="0055633A">
        <w:rPr>
          <w:rFonts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>
        <w:rPr>
          <w:rFonts w:cs="Arial"/>
          <w:b/>
          <w:bCs/>
          <w:sz w:val="16"/>
          <w:szCs w:val="16"/>
        </w:rPr>
        <w:t xml:space="preserve">     </w:t>
      </w:r>
      <w:r w:rsidRPr="00BE6079">
        <w:rPr>
          <w:rFonts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</w:rPr>
        <w:t xml:space="preserve">                      </w:t>
      </w:r>
      <w:r w:rsidR="00EF6D62" w:rsidRPr="00BE6079">
        <w:rPr>
          <w:rFonts w:cs="Arial"/>
          <w:b/>
          <w:bCs/>
          <w:sz w:val="16"/>
          <w:szCs w:val="16"/>
        </w:rPr>
        <w:t xml:space="preserve">* Indices provisoires        </w:t>
      </w:r>
    </w:p>
    <w:p w:rsidR="00414515" w:rsidRDefault="008B5EC9" w:rsidP="0055633A">
      <w:pPr>
        <w:spacing w:line="320" w:lineRule="exact"/>
        <w:ind w:left="-540" w:right="-540"/>
        <w:jc w:val="center"/>
      </w:pPr>
      <w:r w:rsidRPr="008B5EC9">
        <w:rPr>
          <w:rFonts w:cs="Simplified Arabic"/>
          <w:b/>
          <w:bCs/>
          <w:noProof/>
          <w:color w:val="0000FF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10.75pt;margin-top:6.3pt;width:451.1pt;height:49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">
            <v:textbox>
              <w:txbxContent>
                <w:p w:rsidR="00EF6D62" w:rsidRPr="00C026E6" w:rsidRDefault="00EF6D62" w:rsidP="00EF6D62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  <w:r w:rsidRPr="008B5EC9">
        <w:rPr>
          <w:rFonts w:cs="Simplified Arabic"/>
          <w:b/>
          <w:bCs/>
          <w:noProof/>
          <w:color w:val="0000FF"/>
          <w:sz w:val="36"/>
          <w:szCs w:val="36"/>
        </w:rPr>
        <w:pict>
          <v:shape id="Text Box 5" o:spid="_x0000_s1027" type="#_x0000_t202" style="position:absolute;left:0;text-align:left;margin-left:-9.25pt;margin-top:57.6pt;width:450.35pt;height:44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">
            <v:textbox>
              <w:txbxContent>
                <w:p w:rsidR="00EF6D62" w:rsidRPr="00C026E6" w:rsidRDefault="00EF6D62" w:rsidP="00EF6D6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</w:p>
    <w:sectPr w:rsidR="00414515" w:rsidSect="006B0E86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14515"/>
    <w:rsid w:val="00001991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3EA8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C4A31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523CF"/>
    <w:rsid w:val="00165097"/>
    <w:rsid w:val="00174109"/>
    <w:rsid w:val="001775B4"/>
    <w:rsid w:val="00181DF7"/>
    <w:rsid w:val="00183726"/>
    <w:rsid w:val="001850A0"/>
    <w:rsid w:val="001853EE"/>
    <w:rsid w:val="00185A38"/>
    <w:rsid w:val="001878CF"/>
    <w:rsid w:val="00190259"/>
    <w:rsid w:val="001C0293"/>
    <w:rsid w:val="001C4D6D"/>
    <w:rsid w:val="001D3DB8"/>
    <w:rsid w:val="001E4700"/>
    <w:rsid w:val="001F0EF4"/>
    <w:rsid w:val="001F1FD3"/>
    <w:rsid w:val="001F3261"/>
    <w:rsid w:val="001F43EC"/>
    <w:rsid w:val="001F51B0"/>
    <w:rsid w:val="002029B2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450D8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3D4"/>
    <w:rsid w:val="003F3924"/>
    <w:rsid w:val="00403A4A"/>
    <w:rsid w:val="004100DD"/>
    <w:rsid w:val="00414515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8239B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24B7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66516"/>
    <w:rsid w:val="00692187"/>
    <w:rsid w:val="00695C37"/>
    <w:rsid w:val="00696E2F"/>
    <w:rsid w:val="006A00EE"/>
    <w:rsid w:val="006B0628"/>
    <w:rsid w:val="006B0E86"/>
    <w:rsid w:val="006B22EE"/>
    <w:rsid w:val="006B6C33"/>
    <w:rsid w:val="006C4F76"/>
    <w:rsid w:val="006C6B29"/>
    <w:rsid w:val="006C6F5D"/>
    <w:rsid w:val="006D1530"/>
    <w:rsid w:val="006E0C70"/>
    <w:rsid w:val="006E3178"/>
    <w:rsid w:val="006F0C77"/>
    <w:rsid w:val="006F2E60"/>
    <w:rsid w:val="006F6069"/>
    <w:rsid w:val="006F70D5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127A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19CE"/>
    <w:rsid w:val="008B5B22"/>
    <w:rsid w:val="008B5EC9"/>
    <w:rsid w:val="008B7FFB"/>
    <w:rsid w:val="008D0225"/>
    <w:rsid w:val="008D07A2"/>
    <w:rsid w:val="008E1EC6"/>
    <w:rsid w:val="008E4CD5"/>
    <w:rsid w:val="008F4398"/>
    <w:rsid w:val="008F6530"/>
    <w:rsid w:val="00903E06"/>
    <w:rsid w:val="0090724B"/>
    <w:rsid w:val="00921810"/>
    <w:rsid w:val="00921ED3"/>
    <w:rsid w:val="0092419E"/>
    <w:rsid w:val="00926DAF"/>
    <w:rsid w:val="00934573"/>
    <w:rsid w:val="00934785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7F"/>
    <w:rsid w:val="009933AC"/>
    <w:rsid w:val="00995B90"/>
    <w:rsid w:val="00996FC8"/>
    <w:rsid w:val="009A431E"/>
    <w:rsid w:val="009B0C00"/>
    <w:rsid w:val="009B1CB7"/>
    <w:rsid w:val="009B3262"/>
    <w:rsid w:val="009C4A51"/>
    <w:rsid w:val="009C5A77"/>
    <w:rsid w:val="009D0A59"/>
    <w:rsid w:val="009E0341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37626"/>
    <w:rsid w:val="00A541D9"/>
    <w:rsid w:val="00A54DA6"/>
    <w:rsid w:val="00A55048"/>
    <w:rsid w:val="00A82D41"/>
    <w:rsid w:val="00A83F38"/>
    <w:rsid w:val="00A84D17"/>
    <w:rsid w:val="00A9180D"/>
    <w:rsid w:val="00A97328"/>
    <w:rsid w:val="00A976A5"/>
    <w:rsid w:val="00AA34CF"/>
    <w:rsid w:val="00AA45B0"/>
    <w:rsid w:val="00AA734C"/>
    <w:rsid w:val="00AB3039"/>
    <w:rsid w:val="00AB3488"/>
    <w:rsid w:val="00AC06EB"/>
    <w:rsid w:val="00AC4061"/>
    <w:rsid w:val="00AD728D"/>
    <w:rsid w:val="00AE185B"/>
    <w:rsid w:val="00AE395A"/>
    <w:rsid w:val="00AE40CA"/>
    <w:rsid w:val="00AE5724"/>
    <w:rsid w:val="00AF703D"/>
    <w:rsid w:val="00AF74CC"/>
    <w:rsid w:val="00B0116B"/>
    <w:rsid w:val="00B0600E"/>
    <w:rsid w:val="00B15AB8"/>
    <w:rsid w:val="00B31641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07CCF"/>
    <w:rsid w:val="00C15A5C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4412C"/>
    <w:rsid w:val="00C545E3"/>
    <w:rsid w:val="00C6393E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148E"/>
    <w:rsid w:val="00D42067"/>
    <w:rsid w:val="00D42F91"/>
    <w:rsid w:val="00D434BD"/>
    <w:rsid w:val="00D50270"/>
    <w:rsid w:val="00D61726"/>
    <w:rsid w:val="00D61C67"/>
    <w:rsid w:val="00D6664C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ECD"/>
    <w:rsid w:val="00DE26F5"/>
    <w:rsid w:val="00DE7AC7"/>
    <w:rsid w:val="00DF0944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41083"/>
    <w:rsid w:val="00E45025"/>
    <w:rsid w:val="00E5166E"/>
    <w:rsid w:val="00E57C8D"/>
    <w:rsid w:val="00E62548"/>
    <w:rsid w:val="00E71067"/>
    <w:rsid w:val="00E7186D"/>
    <w:rsid w:val="00E83EEB"/>
    <w:rsid w:val="00E87C61"/>
    <w:rsid w:val="00E87CD7"/>
    <w:rsid w:val="00E90D79"/>
    <w:rsid w:val="00EA38A1"/>
    <w:rsid w:val="00EB0E60"/>
    <w:rsid w:val="00EB0F8F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D62"/>
    <w:rsid w:val="00F03496"/>
    <w:rsid w:val="00F14938"/>
    <w:rsid w:val="00F15A34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1122"/>
    <w:rsid w:val="00F82E5E"/>
    <w:rsid w:val="00F91D51"/>
    <w:rsid w:val="00F94A2B"/>
    <w:rsid w:val="00F94B1D"/>
    <w:rsid w:val="00F95529"/>
    <w:rsid w:val="00FB50A7"/>
    <w:rsid w:val="00FC3B18"/>
    <w:rsid w:val="00FD680A"/>
    <w:rsid w:val="00FD75A9"/>
    <w:rsid w:val="00FE2B1A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2018-05-29T09:26:00Z</cp:lastPrinted>
  <dcterms:created xsi:type="dcterms:W3CDTF">2020-05-28T18:20:00Z</dcterms:created>
  <dcterms:modified xsi:type="dcterms:W3CDTF">2020-05-28T18:34:00Z</dcterms:modified>
</cp:coreProperties>
</file>