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27D" w:rsidRPr="00407B6F" w:rsidRDefault="0000227D" w:rsidP="00605B3C">
      <w:pPr>
        <w:pStyle w:val="Titre"/>
        <w:spacing w:line="400" w:lineRule="exact"/>
        <w:ind w:firstLine="720"/>
        <w:jc w:val="right"/>
        <w:rPr>
          <w:rFonts w:asciiTheme="majorHAnsi" w:hAnsiTheme="majorHAnsi"/>
          <w:b w:val="0"/>
          <w:bCs w:val="0"/>
          <w:rtl/>
        </w:rPr>
      </w:pPr>
    </w:p>
    <w:p w:rsidR="0000227D" w:rsidRPr="00407B6F" w:rsidRDefault="0000227D" w:rsidP="005E47B3">
      <w:pPr>
        <w:pStyle w:val="Titre"/>
        <w:spacing w:line="400" w:lineRule="exact"/>
        <w:ind w:firstLine="720"/>
        <w:jc w:val="right"/>
        <w:rPr>
          <w:rFonts w:asciiTheme="majorHAnsi" w:hAnsiTheme="majorHAnsi"/>
          <w:b w:val="0"/>
          <w:bCs w:val="0"/>
        </w:rPr>
      </w:pPr>
    </w:p>
    <w:p w:rsidR="0000227D" w:rsidRPr="00407B6F" w:rsidRDefault="0000227D" w:rsidP="005E47B3">
      <w:pPr>
        <w:pStyle w:val="Titre"/>
        <w:spacing w:line="400" w:lineRule="exact"/>
        <w:ind w:firstLine="720"/>
        <w:jc w:val="right"/>
        <w:rPr>
          <w:rFonts w:asciiTheme="majorHAnsi" w:hAnsiTheme="majorHAnsi"/>
        </w:rPr>
      </w:pPr>
    </w:p>
    <w:p w:rsidR="0000227D" w:rsidRPr="00407B6F" w:rsidRDefault="0000227D" w:rsidP="00700E1F">
      <w:pPr>
        <w:pStyle w:val="Titre"/>
        <w:ind w:firstLine="720"/>
        <w:jc w:val="left"/>
        <w:rPr>
          <w:rFonts w:asciiTheme="majorHAnsi" w:hAnsiTheme="majorHAnsi"/>
          <w:color w:val="339966"/>
        </w:rPr>
      </w:pPr>
    </w:p>
    <w:p w:rsidR="00772F32" w:rsidRPr="00407B6F" w:rsidRDefault="000E51B0" w:rsidP="00407B6F">
      <w:pPr>
        <w:pStyle w:val="Titre"/>
        <w:rPr>
          <w:rFonts w:asciiTheme="majorHAnsi" w:hAnsiTheme="majorHAnsi"/>
          <w:i/>
          <w:iCs/>
          <w:color w:val="C00000"/>
          <w:sz w:val="32"/>
          <w:szCs w:val="32"/>
          <w:u w:val="single"/>
        </w:rPr>
      </w:pPr>
      <w:r w:rsidRPr="00407B6F">
        <w:rPr>
          <w:rFonts w:asciiTheme="majorHAnsi" w:hAnsiTheme="majorHAnsi"/>
          <w:i/>
          <w:iCs/>
          <w:color w:val="C00000"/>
          <w:sz w:val="32"/>
          <w:szCs w:val="32"/>
          <w:u w:val="single"/>
        </w:rPr>
        <w:t>N</w:t>
      </w:r>
      <w:r w:rsidR="009A6859" w:rsidRPr="00407B6F">
        <w:rPr>
          <w:rFonts w:asciiTheme="majorHAnsi" w:hAnsiTheme="majorHAnsi"/>
          <w:i/>
          <w:iCs/>
          <w:color w:val="C00000"/>
          <w:sz w:val="32"/>
          <w:szCs w:val="32"/>
          <w:u w:val="single"/>
        </w:rPr>
        <w:t xml:space="preserve">ote d’information </w:t>
      </w:r>
      <w:r w:rsidR="0073725C" w:rsidRPr="00407B6F">
        <w:rPr>
          <w:rFonts w:asciiTheme="majorHAnsi" w:hAnsiTheme="majorHAnsi"/>
          <w:i/>
          <w:iCs/>
          <w:color w:val="C00000"/>
          <w:sz w:val="32"/>
          <w:szCs w:val="32"/>
          <w:u w:val="single"/>
        </w:rPr>
        <w:t>relative à</w:t>
      </w:r>
      <w:r w:rsidR="00906DAF" w:rsidRPr="00407B6F">
        <w:rPr>
          <w:rFonts w:asciiTheme="majorHAnsi" w:hAnsiTheme="majorHAnsi"/>
          <w:i/>
          <w:iCs/>
          <w:color w:val="C00000"/>
          <w:sz w:val="32"/>
          <w:szCs w:val="32"/>
          <w:u w:val="single"/>
        </w:rPr>
        <w:t xml:space="preserve"> </w:t>
      </w:r>
      <w:r w:rsidR="0073725C" w:rsidRPr="00407B6F">
        <w:rPr>
          <w:rFonts w:asciiTheme="majorHAnsi" w:hAnsiTheme="majorHAnsi"/>
          <w:i/>
          <w:iCs/>
          <w:color w:val="C00000"/>
          <w:sz w:val="32"/>
          <w:szCs w:val="32"/>
          <w:u w:val="single"/>
        </w:rPr>
        <w:t>l</w:t>
      </w:r>
      <w:r w:rsidR="006C17FE" w:rsidRPr="00407B6F">
        <w:rPr>
          <w:rFonts w:asciiTheme="majorHAnsi" w:hAnsiTheme="majorHAnsi"/>
          <w:i/>
          <w:iCs/>
          <w:color w:val="C00000"/>
          <w:sz w:val="32"/>
          <w:szCs w:val="32"/>
          <w:u w:val="single"/>
        </w:rPr>
        <w:t>a situation de l’économie nationale en 20</w:t>
      </w:r>
      <w:r w:rsidR="00407B6F" w:rsidRPr="00407B6F">
        <w:rPr>
          <w:rFonts w:asciiTheme="majorHAnsi" w:hAnsiTheme="majorHAnsi"/>
          <w:i/>
          <w:iCs/>
          <w:color w:val="C00000"/>
          <w:sz w:val="32"/>
          <w:szCs w:val="32"/>
          <w:u w:val="single"/>
        </w:rPr>
        <w:t>20</w:t>
      </w:r>
      <w:r w:rsidR="006C17FE" w:rsidRPr="00407B6F">
        <w:rPr>
          <w:rFonts w:asciiTheme="majorHAnsi" w:hAnsiTheme="majorHAnsi"/>
          <w:i/>
          <w:iCs/>
          <w:color w:val="C00000"/>
          <w:sz w:val="32"/>
          <w:szCs w:val="32"/>
          <w:u w:val="single"/>
        </w:rPr>
        <w:t xml:space="preserve"> et </w:t>
      </w:r>
      <w:r w:rsidR="003F2EE1" w:rsidRPr="00407B6F">
        <w:rPr>
          <w:rFonts w:asciiTheme="majorHAnsi" w:hAnsiTheme="majorHAnsi"/>
          <w:i/>
          <w:iCs/>
          <w:color w:val="C00000"/>
          <w:sz w:val="32"/>
          <w:szCs w:val="32"/>
          <w:u w:val="single"/>
        </w:rPr>
        <w:t xml:space="preserve">ses </w:t>
      </w:r>
      <w:r w:rsidR="00906DAF" w:rsidRPr="00407B6F">
        <w:rPr>
          <w:rFonts w:asciiTheme="majorHAnsi" w:hAnsiTheme="majorHAnsi"/>
          <w:i/>
          <w:iCs/>
          <w:color w:val="C00000"/>
          <w:sz w:val="32"/>
          <w:szCs w:val="32"/>
          <w:u w:val="single"/>
        </w:rPr>
        <w:t xml:space="preserve">perspectives </w:t>
      </w:r>
      <w:r w:rsidR="003F2EE1" w:rsidRPr="00407B6F">
        <w:rPr>
          <w:rFonts w:asciiTheme="majorHAnsi" w:hAnsiTheme="majorHAnsi"/>
          <w:i/>
          <w:iCs/>
          <w:color w:val="C00000"/>
          <w:sz w:val="32"/>
          <w:szCs w:val="32"/>
          <w:u w:val="single"/>
        </w:rPr>
        <w:t xml:space="preserve">d’évolution </w:t>
      </w:r>
      <w:r w:rsidR="006C17FE" w:rsidRPr="00407B6F">
        <w:rPr>
          <w:rFonts w:asciiTheme="majorHAnsi" w:hAnsiTheme="majorHAnsi"/>
          <w:i/>
          <w:iCs/>
          <w:color w:val="C00000"/>
          <w:sz w:val="32"/>
          <w:szCs w:val="32"/>
          <w:u w:val="single"/>
        </w:rPr>
        <w:t>en</w:t>
      </w:r>
      <w:r w:rsidR="00906DAF" w:rsidRPr="00407B6F">
        <w:rPr>
          <w:rFonts w:asciiTheme="majorHAnsi" w:hAnsiTheme="majorHAnsi"/>
          <w:i/>
          <w:iCs/>
          <w:color w:val="C00000"/>
          <w:sz w:val="32"/>
          <w:szCs w:val="32"/>
          <w:u w:val="single"/>
        </w:rPr>
        <w:t xml:space="preserve"> 20</w:t>
      </w:r>
      <w:r w:rsidR="00407B6F" w:rsidRPr="00407B6F">
        <w:rPr>
          <w:rFonts w:asciiTheme="majorHAnsi" w:hAnsiTheme="majorHAnsi"/>
          <w:i/>
          <w:iCs/>
          <w:color w:val="C00000"/>
          <w:sz w:val="32"/>
          <w:szCs w:val="32"/>
          <w:u w:val="single"/>
        </w:rPr>
        <w:t>21</w:t>
      </w:r>
      <w:r w:rsidR="00906DAF" w:rsidRPr="00407B6F">
        <w:rPr>
          <w:rFonts w:asciiTheme="majorHAnsi" w:hAnsiTheme="majorHAnsi"/>
          <w:i/>
          <w:iCs/>
          <w:color w:val="C00000"/>
          <w:sz w:val="32"/>
          <w:szCs w:val="32"/>
          <w:u w:val="single"/>
        </w:rPr>
        <w:t xml:space="preserve"> </w:t>
      </w:r>
    </w:p>
    <w:p w:rsidR="00407B6F" w:rsidRDefault="003F2EE1" w:rsidP="00407B6F">
      <w:pPr>
        <w:pStyle w:val="Titre"/>
        <w:spacing w:line="400" w:lineRule="exact"/>
        <w:rPr>
          <w:rFonts w:asciiTheme="majorHAnsi" w:hAnsiTheme="majorHAnsi"/>
          <w:i/>
          <w:iCs/>
          <w:u w:val="single"/>
        </w:rPr>
      </w:pPr>
      <w:r w:rsidRPr="00407B6F">
        <w:rPr>
          <w:rFonts w:asciiTheme="majorHAnsi" w:hAnsiTheme="majorHAnsi"/>
          <w:i/>
          <w:iCs/>
          <w:u w:val="single"/>
        </w:rPr>
        <w:t>J</w:t>
      </w:r>
      <w:r w:rsidR="00C0618A" w:rsidRPr="00407B6F">
        <w:rPr>
          <w:rFonts w:asciiTheme="majorHAnsi" w:hAnsiTheme="majorHAnsi"/>
          <w:i/>
          <w:iCs/>
          <w:u w:val="single"/>
        </w:rPr>
        <w:t>ui</w:t>
      </w:r>
      <w:r w:rsidR="00407B6F" w:rsidRPr="00407B6F">
        <w:rPr>
          <w:rFonts w:asciiTheme="majorHAnsi" w:hAnsiTheme="majorHAnsi"/>
          <w:i/>
          <w:iCs/>
          <w:u w:val="single"/>
        </w:rPr>
        <w:t>llet 2021</w:t>
      </w:r>
    </w:p>
    <w:p w:rsidR="00407B6F" w:rsidRPr="00914FC2" w:rsidRDefault="00117A45" w:rsidP="00914FC2">
      <w:pPr>
        <w:widowControl w:val="0"/>
        <w:tabs>
          <w:tab w:val="left" w:pos="720"/>
        </w:tabs>
        <w:adjustRightInd w:val="0"/>
        <w:spacing w:before="240" w:after="120"/>
        <w:jc w:val="lowKashida"/>
        <w:rPr>
          <w:rFonts w:asciiTheme="majorHAnsi" w:hAnsiTheme="majorHAnsi" w:cs="Calibri"/>
          <w:b w:val="0"/>
          <w:color w:val="000000"/>
          <w:sz w:val="28"/>
          <w:szCs w:val="28"/>
        </w:rPr>
      </w:pPr>
      <w:r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              </w:t>
      </w:r>
    </w:p>
    <w:p w:rsidR="00C80967" w:rsidRDefault="00914FC2" w:rsidP="00E94CF4">
      <w:pPr>
        <w:widowControl w:val="0"/>
        <w:tabs>
          <w:tab w:val="left" w:pos="720"/>
        </w:tabs>
        <w:adjustRightInd w:val="0"/>
        <w:spacing w:before="240" w:after="120"/>
        <w:jc w:val="lowKashida"/>
        <w:rPr>
          <w:rFonts w:asciiTheme="majorHAnsi" w:hAnsiTheme="majorHAnsi" w:cs="Calibri"/>
          <w:b w:val="0"/>
          <w:color w:val="000000"/>
          <w:sz w:val="28"/>
          <w:szCs w:val="28"/>
        </w:rPr>
      </w:pPr>
      <w:r>
        <w:rPr>
          <w:rFonts w:asciiTheme="majorHAnsi" w:hAnsiTheme="majorHAnsi" w:cs="Calibri"/>
          <w:b w:val="0"/>
          <w:color w:val="000000"/>
          <w:sz w:val="28"/>
          <w:szCs w:val="28"/>
        </w:rPr>
        <w:tab/>
      </w:r>
      <w:r w:rsidR="007A0490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</w:t>
      </w:r>
      <w:r w:rsidR="00C80967" w:rsidRPr="00C80967">
        <w:rPr>
          <w:rFonts w:asciiTheme="majorHAnsi" w:hAnsiTheme="majorHAnsi" w:cs="Calibri"/>
          <w:b w:val="0"/>
          <w:color w:val="000000"/>
          <w:sz w:val="28"/>
          <w:szCs w:val="28"/>
        </w:rPr>
        <w:t>L’élaboration d</w:t>
      </w:r>
      <w:r w:rsidR="00E94CF4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u </w:t>
      </w:r>
      <w:r w:rsidR="00C80967">
        <w:rPr>
          <w:rFonts w:asciiTheme="majorHAnsi" w:hAnsiTheme="majorHAnsi" w:cs="Calibri"/>
          <w:b w:val="0"/>
          <w:color w:val="000000"/>
          <w:sz w:val="28"/>
          <w:szCs w:val="28"/>
        </w:rPr>
        <w:t>b</w:t>
      </w:r>
      <w:r w:rsidR="00C80967" w:rsidRPr="00C80967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udget </w:t>
      </w:r>
      <w:r w:rsidR="00E94CF4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économique</w:t>
      </w:r>
      <w:r w:rsidR="00E94CF4" w:rsidRPr="008B28D6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</w:t>
      </w:r>
      <w:r w:rsidR="00E94CF4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exploratoire 2021 </w:t>
      </w:r>
      <w:r w:rsidR="00C80967" w:rsidRPr="00C80967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intervient dans un contexte </w:t>
      </w:r>
      <w:r w:rsidR="00552B65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inédit </w:t>
      </w:r>
      <w:r w:rsidR="00C80967" w:rsidRPr="00C80967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marqué par une crise sanitaire qui s’est propagée dans le monde entier et dont les conséquences seraient plus lourdes que celles de la crise financière. </w:t>
      </w:r>
    </w:p>
    <w:p w:rsidR="00E94CF4" w:rsidRDefault="00914FC2" w:rsidP="00552B65">
      <w:pPr>
        <w:widowControl w:val="0"/>
        <w:tabs>
          <w:tab w:val="left" w:pos="720"/>
        </w:tabs>
        <w:adjustRightInd w:val="0"/>
        <w:spacing w:before="240" w:after="120"/>
        <w:jc w:val="lowKashida"/>
        <w:rPr>
          <w:rFonts w:asciiTheme="majorHAnsi" w:hAnsiTheme="majorHAnsi" w:cs="Calibri"/>
          <w:b w:val="0"/>
          <w:color w:val="000000"/>
          <w:sz w:val="28"/>
          <w:szCs w:val="28"/>
        </w:rPr>
      </w:pPr>
      <w:bookmarkStart w:id="0" w:name="_Toc296590331"/>
      <w:bookmarkStart w:id="1" w:name="_Toc296590853"/>
      <w:bookmarkStart w:id="2" w:name="_Toc328056254"/>
      <w:bookmarkStart w:id="3" w:name="_Toc328056508"/>
      <w:bookmarkStart w:id="4" w:name="_Toc202419655"/>
      <w:r>
        <w:rPr>
          <w:rFonts w:asciiTheme="majorHAnsi" w:hAnsiTheme="majorHAnsi" w:cs="Calibri"/>
          <w:b w:val="0"/>
          <w:color w:val="000000"/>
          <w:sz w:val="28"/>
          <w:szCs w:val="28"/>
        </w:rPr>
        <w:tab/>
      </w:r>
      <w:r w:rsidR="00C80967" w:rsidRPr="00C80967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L’activité mondiale devrait ainsi enregistrer une forte récession </w:t>
      </w:r>
      <w:r w:rsidR="00552B65">
        <w:rPr>
          <w:rFonts w:asciiTheme="majorHAnsi" w:hAnsiTheme="majorHAnsi" w:cs="Calibri"/>
          <w:b w:val="0"/>
          <w:color w:val="000000"/>
          <w:sz w:val="28"/>
          <w:szCs w:val="28"/>
        </w:rPr>
        <w:t>prévue</w:t>
      </w:r>
      <w:r w:rsidR="00C80967" w:rsidRPr="00C80967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à 4,9% en 2020 sous l’effet des mesures drastiques prises pour faire face à la </w:t>
      </w:r>
      <w:r w:rsidR="00552B65">
        <w:rPr>
          <w:rFonts w:asciiTheme="majorHAnsi" w:hAnsiTheme="majorHAnsi" w:cs="Calibri"/>
          <w:b w:val="0"/>
          <w:color w:val="000000"/>
          <w:sz w:val="28"/>
          <w:szCs w:val="28"/>
        </w:rPr>
        <w:t>pandémie</w:t>
      </w:r>
      <w:r w:rsidR="00C80967" w:rsidRPr="00C80967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. La croissance mondiale devrait se redresser en 2021 d’environ 5,4%, soutenue par une relance budgétaire importante et par la poursuite de l’assouplissement de la politique monétaire. </w:t>
      </w:r>
    </w:p>
    <w:p w:rsidR="00C80967" w:rsidRPr="00C80967" w:rsidRDefault="00552B65" w:rsidP="00E94CF4">
      <w:pPr>
        <w:widowControl w:val="0"/>
        <w:tabs>
          <w:tab w:val="left" w:pos="720"/>
        </w:tabs>
        <w:adjustRightInd w:val="0"/>
        <w:spacing w:before="240" w:after="120"/>
        <w:jc w:val="lowKashida"/>
        <w:rPr>
          <w:rFonts w:asciiTheme="majorHAnsi" w:hAnsiTheme="majorHAnsi" w:cs="Calibri"/>
          <w:b w:val="0"/>
          <w:color w:val="000000"/>
          <w:sz w:val="28"/>
          <w:szCs w:val="28"/>
        </w:rPr>
      </w:pPr>
      <w:r>
        <w:rPr>
          <w:rFonts w:asciiTheme="majorHAnsi" w:hAnsiTheme="majorHAnsi" w:cs="Calibri"/>
          <w:b w:val="0"/>
          <w:color w:val="000000"/>
          <w:sz w:val="28"/>
          <w:szCs w:val="28"/>
        </w:rPr>
        <w:tab/>
      </w:r>
      <w:r w:rsidR="00C80967" w:rsidRPr="00C80967">
        <w:rPr>
          <w:rFonts w:asciiTheme="majorHAnsi" w:hAnsiTheme="majorHAnsi" w:cs="Calibri"/>
          <w:b w:val="0"/>
          <w:color w:val="000000"/>
          <w:sz w:val="28"/>
          <w:szCs w:val="28"/>
        </w:rPr>
        <w:t>De son côté, le commerce mondial qui faiblissait déjà en 2019</w:t>
      </w:r>
      <w:r w:rsidR="00C80967">
        <w:rPr>
          <w:rFonts w:asciiTheme="majorHAnsi" w:hAnsiTheme="majorHAnsi" w:cs="Calibri"/>
          <w:b w:val="0"/>
          <w:color w:val="000000"/>
          <w:sz w:val="28"/>
          <w:szCs w:val="28"/>
        </w:rPr>
        <w:t>,</w:t>
      </w:r>
      <w:r w:rsidR="00C80967" w:rsidRPr="00C80967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en devrait être également impacté, accusant ainsi une contraction de 11,9% </w:t>
      </w:r>
      <w:r w:rsidR="00E94CF4">
        <w:rPr>
          <w:rFonts w:asciiTheme="majorHAnsi" w:hAnsiTheme="majorHAnsi" w:cs="Calibri"/>
          <w:b w:val="0"/>
          <w:color w:val="000000"/>
          <w:sz w:val="28"/>
          <w:szCs w:val="28"/>
        </w:rPr>
        <w:t>avant   d’</w:t>
      </w:r>
      <w:r w:rsidR="00C80967" w:rsidRPr="00C80967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augmenter de 8% en 2021. De même, le prix du pétrole devrait chuter pour atteindre 36,18 USD/ baril cette année puis 37,45 en 2021 au lieu de 61,4 USD / baril en 2019. </w:t>
      </w:r>
    </w:p>
    <w:p w:rsidR="00A97B0B" w:rsidRPr="00BB2656" w:rsidRDefault="008A721A" w:rsidP="00534561">
      <w:pPr>
        <w:widowControl w:val="0"/>
        <w:tabs>
          <w:tab w:val="left" w:pos="720"/>
        </w:tabs>
        <w:adjustRightInd w:val="0"/>
        <w:spacing w:before="240" w:after="120"/>
        <w:jc w:val="lowKashida"/>
        <w:rPr>
          <w:rFonts w:asciiTheme="majorHAnsi" w:hAnsiTheme="majorHAnsi" w:cs="Calibri"/>
          <w:b w:val="0"/>
          <w:color w:val="000000"/>
          <w:sz w:val="28"/>
          <w:szCs w:val="28"/>
        </w:rPr>
      </w:pPr>
      <w:r>
        <w:rPr>
          <w:rFonts w:asciiTheme="majorHAnsi" w:hAnsiTheme="majorHAnsi" w:cs="Calibri"/>
          <w:b w:val="0"/>
          <w:color w:val="000000"/>
          <w:sz w:val="28"/>
          <w:szCs w:val="28"/>
        </w:rPr>
        <w:tab/>
      </w:r>
      <w:r w:rsidRPr="008A721A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Cet environnement économique international défavorable devrait impacter négativement l’économie </w:t>
      </w:r>
      <w:r w:rsidR="00E94CF4">
        <w:rPr>
          <w:rFonts w:asciiTheme="majorHAnsi" w:hAnsiTheme="majorHAnsi" w:cs="Calibri"/>
          <w:b w:val="0"/>
          <w:color w:val="000000"/>
          <w:sz w:val="28"/>
          <w:szCs w:val="28"/>
        </w:rPr>
        <w:t>nationale</w:t>
      </w:r>
      <w:r w:rsidR="00534561">
        <w:rPr>
          <w:rFonts w:asciiTheme="majorHAnsi" w:hAnsiTheme="majorHAnsi" w:cs="Calibri"/>
          <w:b w:val="0"/>
          <w:color w:val="000000"/>
          <w:sz w:val="28"/>
          <w:szCs w:val="28"/>
        </w:rPr>
        <w:t>. L</w:t>
      </w:r>
      <w:r w:rsidR="00A97B0B" w:rsidRPr="00BB2656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es répercussions de la crise sur nos principaux partenaires européens devraient se traduire par une chute de la demande adressée au Maroc, </w:t>
      </w:r>
      <w:r w:rsidR="005C2E17">
        <w:rPr>
          <w:rFonts w:asciiTheme="majorHAnsi" w:hAnsiTheme="majorHAnsi" w:cs="Calibri"/>
          <w:b w:val="0"/>
          <w:color w:val="000000"/>
          <w:sz w:val="28"/>
          <w:szCs w:val="28"/>
        </w:rPr>
        <w:t>prévue</w:t>
      </w:r>
      <w:r w:rsidR="00A97B0B" w:rsidRPr="00BB2656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à </w:t>
      </w:r>
      <w:r w:rsidR="00BB2656" w:rsidRPr="008A721A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16,2% </w:t>
      </w:r>
      <w:r w:rsidR="00A97B0B" w:rsidRPr="00BB2656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avant de se rétablir en 2021 à </w:t>
      </w:r>
      <w:r w:rsidR="00BB2656" w:rsidRPr="008A721A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12,2%.  </w:t>
      </w:r>
    </w:p>
    <w:p w:rsidR="00DA7A7A" w:rsidRDefault="008A721A" w:rsidP="00810B8E">
      <w:pPr>
        <w:widowControl w:val="0"/>
        <w:tabs>
          <w:tab w:val="left" w:pos="720"/>
        </w:tabs>
        <w:adjustRightInd w:val="0"/>
        <w:spacing w:before="240" w:after="120"/>
        <w:jc w:val="lowKashida"/>
        <w:rPr>
          <w:rFonts w:asciiTheme="majorHAnsi" w:hAnsiTheme="majorHAnsi" w:cs="Calibri"/>
          <w:b w:val="0"/>
          <w:color w:val="000000"/>
          <w:sz w:val="28"/>
          <w:szCs w:val="28"/>
        </w:rPr>
      </w:pPr>
      <w:r w:rsidRPr="008A721A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  </w:t>
      </w:r>
      <w:bookmarkStart w:id="5" w:name="_Toc328056270"/>
      <w:bookmarkStart w:id="6" w:name="_Toc328056524"/>
      <w:bookmarkStart w:id="7" w:name="_Toc202419671"/>
      <w:bookmarkStart w:id="8" w:name="_Toc328056267"/>
      <w:bookmarkStart w:id="9" w:name="_Toc328056521"/>
      <w:bookmarkStart w:id="10" w:name="_Toc202419668"/>
      <w:bookmarkEnd w:id="0"/>
      <w:bookmarkEnd w:id="1"/>
      <w:bookmarkEnd w:id="2"/>
      <w:bookmarkEnd w:id="3"/>
      <w:bookmarkEnd w:id="4"/>
      <w:r w:rsidR="00914FC2">
        <w:rPr>
          <w:rFonts w:asciiTheme="majorHAnsi" w:hAnsiTheme="majorHAnsi" w:cs="Calibri"/>
          <w:b w:val="0"/>
          <w:color w:val="000000"/>
          <w:sz w:val="28"/>
          <w:szCs w:val="28"/>
        </w:rPr>
        <w:tab/>
      </w:r>
      <w:r w:rsidR="00534561">
        <w:rPr>
          <w:rFonts w:asciiTheme="majorHAnsi" w:hAnsiTheme="majorHAnsi" w:cs="Calibri"/>
          <w:b w:val="0"/>
          <w:color w:val="000000"/>
          <w:sz w:val="28"/>
          <w:szCs w:val="28"/>
        </w:rPr>
        <w:t>Dans ces conditions</w:t>
      </w:r>
      <w:r w:rsidR="00691891" w:rsidRPr="00313996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, </w:t>
      </w:r>
      <w:r w:rsidR="00534561">
        <w:rPr>
          <w:rFonts w:asciiTheme="majorHAnsi" w:hAnsiTheme="majorHAnsi" w:cs="Calibri"/>
          <w:b w:val="0"/>
          <w:color w:val="000000"/>
          <w:sz w:val="28"/>
          <w:szCs w:val="28"/>
        </w:rPr>
        <w:t>l’économie nationale</w:t>
      </w:r>
      <w:r w:rsidR="00F27050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devrait,</w:t>
      </w:r>
      <w:r w:rsidR="00F27050" w:rsidRPr="00313996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</w:t>
      </w:r>
      <w:r w:rsidR="003671F2" w:rsidRPr="00313996">
        <w:rPr>
          <w:rFonts w:asciiTheme="majorHAnsi" w:hAnsiTheme="majorHAnsi" w:cs="Calibri"/>
          <w:b w:val="0"/>
          <w:color w:val="000000"/>
          <w:sz w:val="28"/>
          <w:szCs w:val="28"/>
        </w:rPr>
        <w:t>connaît</w:t>
      </w:r>
      <w:r w:rsidR="003671F2">
        <w:rPr>
          <w:rFonts w:asciiTheme="majorHAnsi" w:hAnsiTheme="majorHAnsi" w:cs="Calibri"/>
          <w:b w:val="0"/>
          <w:color w:val="000000"/>
          <w:sz w:val="28"/>
          <w:szCs w:val="28"/>
        </w:rPr>
        <w:t>re</w:t>
      </w:r>
      <w:r w:rsidR="00313996" w:rsidRPr="00313996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une récession en 2020, la première depuis plus de deux décennies</w:t>
      </w:r>
      <w:r w:rsidR="003671F2">
        <w:rPr>
          <w:rFonts w:asciiTheme="majorHAnsi" w:hAnsiTheme="majorHAnsi" w:cs="Calibri"/>
          <w:b w:val="0"/>
          <w:color w:val="000000"/>
          <w:sz w:val="28"/>
          <w:szCs w:val="28"/>
        </w:rPr>
        <w:t>,</w:t>
      </w:r>
      <w:r w:rsidR="003671F2" w:rsidRPr="003671F2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</w:t>
      </w:r>
      <w:r w:rsidR="003671F2" w:rsidRPr="00313996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sous l’effet conjugué de la sécheresse et de </w:t>
      </w:r>
      <w:r w:rsidR="003671F2">
        <w:rPr>
          <w:rFonts w:asciiTheme="majorHAnsi" w:hAnsiTheme="majorHAnsi" w:cs="Calibri"/>
          <w:b w:val="0"/>
          <w:color w:val="000000"/>
          <w:sz w:val="28"/>
          <w:szCs w:val="28"/>
        </w:rPr>
        <w:t>la pandémie.</w:t>
      </w:r>
      <w:r w:rsidR="00484B11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</w:t>
      </w:r>
      <w:r w:rsidR="00BB2656">
        <w:rPr>
          <w:rFonts w:asciiTheme="majorHAnsi" w:hAnsiTheme="majorHAnsi" w:cs="Calibri"/>
          <w:b w:val="0"/>
          <w:color w:val="000000"/>
          <w:sz w:val="28"/>
          <w:szCs w:val="28"/>
        </w:rPr>
        <w:t>Le</w:t>
      </w:r>
      <w:r w:rsidR="007A0490" w:rsidRPr="00484B11">
        <w:rPr>
          <w:rFonts w:asciiTheme="majorHAnsi" w:hAnsiTheme="majorHAnsi" w:cs="Calibri"/>
          <w:bCs w:val="0"/>
          <w:color w:val="000000"/>
          <w:sz w:val="28"/>
          <w:szCs w:val="28"/>
        </w:rPr>
        <w:t xml:space="preserve"> secteur primaire</w:t>
      </w:r>
      <w:r w:rsidR="007A0490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</w:t>
      </w:r>
      <w:r w:rsidR="00DA7A7A" w:rsidRPr="00DA7A7A">
        <w:rPr>
          <w:rFonts w:asciiTheme="majorHAnsi" w:hAnsiTheme="majorHAnsi" w:cs="Calibri"/>
          <w:b w:val="0"/>
          <w:color w:val="000000"/>
          <w:sz w:val="28"/>
          <w:szCs w:val="28"/>
        </w:rPr>
        <w:t>dégager</w:t>
      </w:r>
      <w:r w:rsidR="00F27050">
        <w:rPr>
          <w:rFonts w:asciiTheme="majorHAnsi" w:hAnsiTheme="majorHAnsi" w:cs="Calibri"/>
          <w:b w:val="0"/>
          <w:color w:val="000000"/>
          <w:sz w:val="28"/>
          <w:szCs w:val="28"/>
        </w:rPr>
        <w:t>ait</w:t>
      </w:r>
      <w:r w:rsidR="00DA7A7A" w:rsidRPr="00DA7A7A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une valeur ajoutée en repli de 5,7% en 2020 après avoir régressé de 4,6% en 2019</w:t>
      </w:r>
      <w:r w:rsidR="00307068">
        <w:rPr>
          <w:rFonts w:asciiTheme="majorHAnsi" w:hAnsiTheme="majorHAnsi" w:cs="Calibri"/>
          <w:b w:val="0"/>
          <w:color w:val="000000"/>
          <w:sz w:val="28"/>
          <w:szCs w:val="28"/>
        </w:rPr>
        <w:t>.</w:t>
      </w:r>
      <w:r w:rsidR="00DA7A7A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</w:t>
      </w:r>
      <w:bookmarkStart w:id="11" w:name="_Toc328056271"/>
      <w:bookmarkStart w:id="12" w:name="_Toc328056525"/>
      <w:bookmarkStart w:id="13" w:name="_Toc202419672"/>
      <w:bookmarkEnd w:id="5"/>
      <w:bookmarkEnd w:id="6"/>
      <w:bookmarkEnd w:id="7"/>
    </w:p>
    <w:p w:rsidR="00DA7A7A" w:rsidRPr="00DA7A7A" w:rsidRDefault="00021169" w:rsidP="0059492C">
      <w:pPr>
        <w:spacing w:before="240" w:after="120"/>
        <w:ind w:left="66" w:firstLine="642"/>
        <w:jc w:val="both"/>
        <w:rPr>
          <w:rFonts w:asciiTheme="majorHAnsi" w:hAnsiTheme="majorHAnsi" w:cs="Calibri"/>
          <w:b w:val="0"/>
          <w:color w:val="000000"/>
          <w:sz w:val="28"/>
          <w:szCs w:val="28"/>
        </w:rPr>
      </w:pPr>
      <w:r w:rsidRPr="00914FC2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De leur côté, les </w:t>
      </w:r>
      <w:r w:rsidRPr="00E94CF4">
        <w:rPr>
          <w:rFonts w:asciiTheme="majorHAnsi" w:hAnsiTheme="majorHAnsi" w:cs="Calibri"/>
          <w:bCs w:val="0"/>
          <w:color w:val="000000"/>
          <w:sz w:val="28"/>
          <w:szCs w:val="28"/>
        </w:rPr>
        <w:t>activités non agricoles</w:t>
      </w:r>
      <w:r w:rsidRPr="00914FC2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devraient connaitre un net recul, de 5,3% en 2020 après une hausse de 3,7% </w:t>
      </w:r>
      <w:r w:rsidR="00534561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l’année </w:t>
      </w:r>
      <w:r w:rsidR="00810B8E">
        <w:rPr>
          <w:rFonts w:asciiTheme="majorHAnsi" w:hAnsiTheme="majorHAnsi" w:cs="Calibri"/>
          <w:b w:val="0"/>
          <w:color w:val="000000"/>
          <w:sz w:val="28"/>
          <w:szCs w:val="28"/>
        </w:rPr>
        <w:t>précédente</w:t>
      </w:r>
      <w:r w:rsidRPr="00914FC2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. S’agissant du </w:t>
      </w:r>
      <w:r w:rsidRPr="00E94CF4">
        <w:rPr>
          <w:rFonts w:asciiTheme="majorHAnsi" w:hAnsiTheme="majorHAnsi" w:cs="Calibri"/>
          <w:bCs w:val="0"/>
          <w:color w:val="000000"/>
          <w:sz w:val="28"/>
          <w:szCs w:val="28"/>
        </w:rPr>
        <w:t>secteur secondaire</w:t>
      </w:r>
      <w:r w:rsidR="00810B8E">
        <w:rPr>
          <w:rFonts w:asciiTheme="majorHAnsi" w:hAnsiTheme="majorHAnsi" w:cs="Calibri"/>
          <w:b w:val="0"/>
          <w:color w:val="000000"/>
          <w:sz w:val="28"/>
          <w:szCs w:val="28"/>
        </w:rPr>
        <w:t>, il</w:t>
      </w:r>
      <w:r w:rsidRPr="00914FC2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devrait enregistrer un repli de près de </w:t>
      </w:r>
      <w:r w:rsidR="00E94CF4">
        <w:rPr>
          <w:rFonts w:asciiTheme="majorHAnsi" w:hAnsiTheme="majorHAnsi" w:cs="Calibri"/>
          <w:b w:val="0"/>
          <w:color w:val="000000"/>
          <w:sz w:val="28"/>
          <w:szCs w:val="28"/>
        </w:rPr>
        <w:t>6,9</w:t>
      </w:r>
      <w:r w:rsidRPr="00914FC2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% en 2020 après </w:t>
      </w:r>
      <w:r w:rsidR="00810B8E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une hausse de </w:t>
      </w:r>
      <w:r w:rsidRPr="00914FC2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3,6% en 2019. A l’exception des activités des industries chimiques et para-chimiques et du secteur minier, </w:t>
      </w:r>
      <w:r w:rsidRPr="00914FC2">
        <w:rPr>
          <w:rFonts w:asciiTheme="majorHAnsi" w:hAnsiTheme="majorHAnsi" w:cs="Calibri"/>
          <w:b w:val="0"/>
          <w:color w:val="000000"/>
          <w:sz w:val="28"/>
          <w:szCs w:val="28"/>
        </w:rPr>
        <w:lastRenderedPageBreak/>
        <w:t xml:space="preserve">les autres </w:t>
      </w:r>
      <w:r w:rsidR="003671F2">
        <w:rPr>
          <w:rFonts w:asciiTheme="majorHAnsi" w:hAnsiTheme="majorHAnsi" w:cs="Calibri"/>
          <w:b w:val="0"/>
          <w:color w:val="000000"/>
          <w:sz w:val="28"/>
          <w:szCs w:val="28"/>
        </w:rPr>
        <w:t>activités secondaire</w:t>
      </w:r>
      <w:r w:rsidR="00534561">
        <w:rPr>
          <w:rFonts w:asciiTheme="majorHAnsi" w:hAnsiTheme="majorHAnsi" w:cs="Calibri"/>
          <w:b w:val="0"/>
          <w:color w:val="000000"/>
          <w:sz w:val="28"/>
          <w:szCs w:val="28"/>
        </w:rPr>
        <w:t>s</w:t>
      </w:r>
      <w:r w:rsidR="003671F2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</w:t>
      </w:r>
      <w:r w:rsidRPr="00914FC2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devraient afficher une baisse remarquable de leur valeur ajoutée. </w:t>
      </w:r>
      <w:r w:rsidR="003671F2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De même, </w:t>
      </w:r>
      <w:r w:rsidR="00810B8E">
        <w:rPr>
          <w:rFonts w:asciiTheme="majorHAnsi" w:hAnsiTheme="majorHAnsi" w:cs="Calibri"/>
          <w:b w:val="0"/>
          <w:color w:val="000000"/>
          <w:sz w:val="28"/>
          <w:szCs w:val="28"/>
        </w:rPr>
        <w:t>l</w:t>
      </w:r>
      <w:r w:rsidRPr="00914FC2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es activités du </w:t>
      </w:r>
      <w:r w:rsidRPr="00E94CF4">
        <w:rPr>
          <w:rFonts w:asciiTheme="majorHAnsi" w:hAnsiTheme="majorHAnsi" w:cs="Calibri"/>
          <w:bCs w:val="0"/>
          <w:color w:val="000000"/>
          <w:sz w:val="28"/>
          <w:szCs w:val="28"/>
        </w:rPr>
        <w:t>secteur tertiaire</w:t>
      </w:r>
      <w:r w:rsidRPr="00914FC2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devraient </w:t>
      </w:r>
      <w:r w:rsidR="00534561">
        <w:rPr>
          <w:rFonts w:asciiTheme="majorHAnsi" w:hAnsiTheme="majorHAnsi" w:cs="Calibri"/>
          <w:b w:val="0"/>
          <w:color w:val="000000"/>
          <w:sz w:val="28"/>
          <w:szCs w:val="28"/>
        </w:rPr>
        <w:t>baisser</w:t>
      </w:r>
      <w:r w:rsidRPr="00E94CF4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de 4,5% après une hausse de 3,8% </w:t>
      </w:r>
      <w:r w:rsidR="003671F2">
        <w:rPr>
          <w:rFonts w:asciiTheme="majorHAnsi" w:hAnsiTheme="majorHAnsi" w:cs="Calibri"/>
          <w:b w:val="0"/>
          <w:color w:val="000000"/>
          <w:sz w:val="28"/>
          <w:szCs w:val="28"/>
        </w:rPr>
        <w:t>en 2019</w:t>
      </w:r>
      <w:r w:rsidR="0059492C">
        <w:rPr>
          <w:rFonts w:asciiTheme="majorHAnsi" w:hAnsiTheme="majorHAnsi" w:cs="Calibri"/>
          <w:b w:val="0"/>
          <w:color w:val="000000"/>
          <w:sz w:val="28"/>
          <w:szCs w:val="28"/>
        </w:rPr>
        <w:t>.</w:t>
      </w:r>
      <w:r w:rsidRPr="00E94CF4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</w:t>
      </w:r>
      <w:r w:rsidR="0059492C">
        <w:rPr>
          <w:rFonts w:asciiTheme="majorHAnsi" w:hAnsiTheme="majorHAnsi" w:cs="Calibri"/>
          <w:b w:val="0"/>
          <w:color w:val="000000"/>
          <w:sz w:val="28"/>
          <w:szCs w:val="28"/>
        </w:rPr>
        <w:t>L</w:t>
      </w:r>
      <w:r w:rsidRPr="00E94CF4">
        <w:rPr>
          <w:rFonts w:asciiTheme="majorHAnsi" w:hAnsiTheme="majorHAnsi" w:cs="Calibri"/>
          <w:b w:val="0"/>
          <w:color w:val="000000"/>
          <w:sz w:val="28"/>
          <w:szCs w:val="28"/>
        </w:rPr>
        <w:t>e</w:t>
      </w:r>
      <w:r w:rsidR="0059492C">
        <w:rPr>
          <w:rFonts w:asciiTheme="majorHAnsi" w:hAnsiTheme="majorHAnsi" w:cs="Calibri"/>
          <w:b w:val="0"/>
          <w:color w:val="000000"/>
          <w:sz w:val="28"/>
          <w:szCs w:val="28"/>
        </w:rPr>
        <w:t>s</w:t>
      </w:r>
      <w:r w:rsidRPr="00E94CF4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secteur</w:t>
      </w:r>
      <w:r w:rsidR="0059492C">
        <w:rPr>
          <w:rFonts w:asciiTheme="majorHAnsi" w:hAnsiTheme="majorHAnsi" w:cs="Calibri"/>
          <w:b w:val="0"/>
          <w:color w:val="000000"/>
          <w:sz w:val="28"/>
          <w:szCs w:val="28"/>
        </w:rPr>
        <w:t>s</w:t>
      </w:r>
      <w:r w:rsidRPr="00E94CF4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du tourisme </w:t>
      </w:r>
      <w:r w:rsidR="0059492C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et du transport, </w:t>
      </w:r>
      <w:r w:rsidR="003671F2">
        <w:rPr>
          <w:rFonts w:asciiTheme="majorHAnsi" w:hAnsiTheme="majorHAnsi" w:cs="Calibri"/>
          <w:b w:val="0"/>
          <w:color w:val="000000"/>
          <w:sz w:val="28"/>
          <w:szCs w:val="28"/>
        </w:rPr>
        <w:t>f</w:t>
      </w:r>
      <w:r w:rsidR="005C2E17" w:rsidRPr="00E94CF4">
        <w:rPr>
          <w:rFonts w:asciiTheme="majorHAnsi" w:hAnsiTheme="majorHAnsi" w:cs="Calibri"/>
          <w:b w:val="0"/>
          <w:color w:val="000000"/>
          <w:sz w:val="28"/>
          <w:szCs w:val="28"/>
        </w:rPr>
        <w:t>ortement impacté</w:t>
      </w:r>
      <w:r w:rsidR="0059492C">
        <w:rPr>
          <w:rFonts w:asciiTheme="majorHAnsi" w:hAnsiTheme="majorHAnsi" w:cs="Calibri"/>
          <w:b w:val="0"/>
          <w:color w:val="000000"/>
          <w:sz w:val="28"/>
          <w:szCs w:val="28"/>
        </w:rPr>
        <w:t>s</w:t>
      </w:r>
      <w:r w:rsidR="005C2E17" w:rsidRPr="00E94CF4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par l</w:t>
      </w:r>
      <w:r w:rsidR="002A1E9E">
        <w:rPr>
          <w:rFonts w:asciiTheme="majorHAnsi" w:hAnsiTheme="majorHAnsi" w:cs="Calibri"/>
          <w:b w:val="0"/>
          <w:color w:val="000000"/>
          <w:sz w:val="28"/>
          <w:szCs w:val="28"/>
        </w:rPr>
        <w:t>a</w:t>
      </w:r>
      <w:r w:rsidR="005C2E17" w:rsidRPr="00E94CF4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fermeture des frontières</w:t>
      </w:r>
      <w:r w:rsidR="002A1E9E" w:rsidRPr="002A1E9E">
        <w:rPr>
          <w:rFonts w:ascii="Calisto MT" w:eastAsia="Batang" w:hAnsi="Calisto MT"/>
          <w:color w:val="8064A2" w:themeColor="accent4"/>
          <w:sz w:val="26"/>
          <w:szCs w:val="26"/>
        </w:rPr>
        <w:t xml:space="preserve"> </w:t>
      </w:r>
      <w:r w:rsidR="002A1E9E" w:rsidRPr="002A1E9E">
        <w:rPr>
          <w:rFonts w:asciiTheme="majorHAnsi" w:hAnsiTheme="majorHAnsi" w:cs="Calibri"/>
          <w:b w:val="0"/>
          <w:color w:val="000000"/>
          <w:sz w:val="28"/>
          <w:szCs w:val="28"/>
        </w:rPr>
        <w:t>et les mesures prises pour l’endiguement de la pandémie</w:t>
      </w:r>
      <w:r w:rsidR="000C3B99">
        <w:rPr>
          <w:rFonts w:asciiTheme="majorHAnsi" w:hAnsiTheme="majorHAnsi" w:cs="Calibri"/>
          <w:b w:val="0"/>
          <w:color w:val="000000"/>
          <w:sz w:val="28"/>
          <w:szCs w:val="28"/>
        </w:rPr>
        <w:t>,</w:t>
      </w:r>
      <w:r w:rsidR="005C2E17" w:rsidRPr="00DA7A7A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</w:t>
      </w:r>
      <w:r w:rsidRPr="00DA7A7A">
        <w:rPr>
          <w:rFonts w:asciiTheme="majorHAnsi" w:hAnsiTheme="majorHAnsi" w:cs="Calibri"/>
          <w:b w:val="0"/>
          <w:color w:val="000000"/>
          <w:sz w:val="28"/>
          <w:szCs w:val="28"/>
        </w:rPr>
        <w:t>serai</w:t>
      </w:r>
      <w:r w:rsidR="0059492C">
        <w:rPr>
          <w:rFonts w:asciiTheme="majorHAnsi" w:hAnsiTheme="majorHAnsi" w:cs="Calibri"/>
          <w:b w:val="0"/>
          <w:color w:val="000000"/>
          <w:sz w:val="28"/>
          <w:szCs w:val="28"/>
        </w:rPr>
        <w:t>en</w:t>
      </w:r>
      <w:r w:rsidRPr="00DA7A7A">
        <w:rPr>
          <w:rFonts w:asciiTheme="majorHAnsi" w:hAnsiTheme="majorHAnsi" w:cs="Calibri"/>
          <w:b w:val="0"/>
          <w:color w:val="000000"/>
          <w:sz w:val="28"/>
          <w:szCs w:val="28"/>
        </w:rPr>
        <w:t>t le</w:t>
      </w:r>
      <w:r w:rsidR="0059492C">
        <w:rPr>
          <w:rFonts w:asciiTheme="majorHAnsi" w:hAnsiTheme="majorHAnsi" w:cs="Calibri"/>
          <w:b w:val="0"/>
          <w:color w:val="000000"/>
          <w:sz w:val="28"/>
          <w:szCs w:val="28"/>
        </w:rPr>
        <w:t>s</w:t>
      </w:r>
      <w:r w:rsidRPr="00DA7A7A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plus touc</w:t>
      </w:r>
      <w:r>
        <w:rPr>
          <w:rFonts w:asciiTheme="majorHAnsi" w:hAnsiTheme="majorHAnsi" w:cs="Calibri"/>
          <w:b w:val="0"/>
          <w:color w:val="000000"/>
          <w:sz w:val="28"/>
          <w:szCs w:val="28"/>
        </w:rPr>
        <w:t>hé</w:t>
      </w:r>
      <w:r w:rsidR="0059492C">
        <w:rPr>
          <w:rFonts w:asciiTheme="majorHAnsi" w:hAnsiTheme="majorHAnsi" w:cs="Calibri"/>
          <w:b w:val="0"/>
          <w:color w:val="000000"/>
          <w:sz w:val="28"/>
          <w:szCs w:val="28"/>
        </w:rPr>
        <w:t>s.</w:t>
      </w:r>
      <w:r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</w:t>
      </w:r>
    </w:p>
    <w:p w:rsidR="00280562" w:rsidRDefault="000C3B99" w:rsidP="000C3B99">
      <w:pPr>
        <w:spacing w:before="240" w:after="120"/>
        <w:ind w:left="66" w:firstLine="642"/>
        <w:jc w:val="both"/>
        <w:rPr>
          <w:rFonts w:asciiTheme="majorHAnsi" w:hAnsiTheme="majorHAnsi" w:cs="Calibri"/>
          <w:b w:val="0"/>
          <w:color w:val="000000"/>
          <w:sz w:val="28"/>
          <w:szCs w:val="28"/>
        </w:rPr>
      </w:pPr>
      <w:r>
        <w:rPr>
          <w:rFonts w:asciiTheme="majorHAnsi" w:hAnsiTheme="majorHAnsi" w:cs="Calibri"/>
          <w:bCs w:val="0"/>
          <w:color w:val="000000"/>
          <w:sz w:val="28"/>
          <w:szCs w:val="28"/>
        </w:rPr>
        <w:t>Ainsi, l</w:t>
      </w:r>
      <w:r w:rsidR="00021169">
        <w:rPr>
          <w:rFonts w:asciiTheme="majorHAnsi" w:hAnsiTheme="majorHAnsi" w:cs="Calibri"/>
          <w:bCs w:val="0"/>
          <w:color w:val="000000"/>
          <w:sz w:val="28"/>
          <w:szCs w:val="28"/>
        </w:rPr>
        <w:t>e</w:t>
      </w:r>
      <w:r w:rsidR="00DA7A7A" w:rsidRPr="00DA7A7A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</w:t>
      </w:r>
      <w:r w:rsidR="00DA7A7A" w:rsidRPr="00484B11">
        <w:rPr>
          <w:rFonts w:asciiTheme="majorHAnsi" w:hAnsiTheme="majorHAnsi" w:cs="Calibri"/>
          <w:bCs w:val="0"/>
          <w:color w:val="000000"/>
          <w:sz w:val="28"/>
          <w:szCs w:val="28"/>
        </w:rPr>
        <w:t>Produit Intérieur Brut</w:t>
      </w:r>
      <w:r w:rsidR="00DA7A7A" w:rsidRPr="00DA7A7A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devrait</w:t>
      </w:r>
      <w:r w:rsidR="00021169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, </w:t>
      </w:r>
      <w:r w:rsidR="006641EA" w:rsidRPr="006641EA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compte tenu d’une baisse prévue de </w:t>
      </w:r>
      <w:r w:rsidR="006641EA">
        <w:rPr>
          <w:rFonts w:asciiTheme="majorHAnsi" w:hAnsiTheme="majorHAnsi" w:cs="Calibri"/>
          <w:b w:val="0"/>
          <w:color w:val="000000"/>
          <w:sz w:val="28"/>
          <w:szCs w:val="28"/>
        </w:rPr>
        <w:t>9</w:t>
      </w:r>
      <w:r w:rsidR="006641EA" w:rsidRPr="006641EA">
        <w:rPr>
          <w:rFonts w:asciiTheme="majorHAnsi" w:hAnsiTheme="majorHAnsi" w:cs="Calibri"/>
          <w:b w:val="0"/>
          <w:color w:val="000000"/>
          <w:sz w:val="28"/>
          <w:szCs w:val="28"/>
        </w:rPr>
        <w:t>% des impôts et taxes sur produits nets de subventions</w:t>
      </w:r>
      <w:r w:rsidR="006641EA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, </w:t>
      </w:r>
      <w:r w:rsidR="00DA7A7A" w:rsidRPr="00DA7A7A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enregistrer une décroissance de 5,8% en 2020 au lieu d’une </w:t>
      </w:r>
      <w:r>
        <w:rPr>
          <w:rFonts w:asciiTheme="majorHAnsi" w:hAnsiTheme="majorHAnsi" w:cs="Calibri"/>
          <w:b w:val="0"/>
          <w:color w:val="000000"/>
          <w:sz w:val="28"/>
          <w:szCs w:val="28"/>
        </w:rPr>
        <w:t>progression</w:t>
      </w:r>
      <w:r w:rsidR="00DA7A7A" w:rsidRPr="00DA7A7A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de 2,5% enregistrée en 2019. Concernant l’évolution des prix intérieurs, le fléchissement des cours d</w:t>
      </w:r>
      <w:r w:rsidR="00810B8E">
        <w:rPr>
          <w:rFonts w:asciiTheme="majorHAnsi" w:hAnsiTheme="majorHAnsi" w:cs="Calibri"/>
          <w:b w:val="0"/>
          <w:color w:val="000000"/>
          <w:sz w:val="28"/>
          <w:szCs w:val="28"/>
        </w:rPr>
        <w:t>es matières premières, conjugué</w:t>
      </w:r>
      <w:r w:rsidR="00DA7A7A" w:rsidRPr="00DA7A7A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à un recul de la demande, devrait entrainer une baisse du niveau général des prix qui se situerait aux alentours de -0,4% au lieu d’une hausse de 1,3% </w:t>
      </w:r>
      <w:r w:rsidR="006641EA">
        <w:rPr>
          <w:rFonts w:asciiTheme="majorHAnsi" w:hAnsiTheme="majorHAnsi" w:cs="Calibri"/>
          <w:b w:val="0"/>
          <w:color w:val="000000"/>
          <w:sz w:val="28"/>
          <w:szCs w:val="28"/>
        </w:rPr>
        <w:t>l’année précédente</w:t>
      </w:r>
      <w:r w:rsidR="00DA7A7A" w:rsidRPr="00DA7A7A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. </w:t>
      </w:r>
    </w:p>
    <w:p w:rsidR="00DA7A7A" w:rsidRPr="00DA7A7A" w:rsidRDefault="009E7477" w:rsidP="009E7477">
      <w:pPr>
        <w:spacing w:before="240" w:after="120"/>
        <w:ind w:left="66" w:firstLine="642"/>
        <w:jc w:val="both"/>
        <w:rPr>
          <w:rFonts w:asciiTheme="majorHAnsi" w:hAnsiTheme="majorHAnsi" w:cs="Calibri"/>
          <w:b w:val="0"/>
          <w:color w:val="000000"/>
          <w:sz w:val="28"/>
          <w:szCs w:val="28"/>
        </w:rPr>
      </w:pPr>
      <w:r>
        <w:rPr>
          <w:rFonts w:asciiTheme="majorHAnsi" w:hAnsiTheme="majorHAnsi" w:cs="Calibri"/>
          <w:b w:val="0"/>
          <w:color w:val="000000"/>
          <w:sz w:val="28"/>
          <w:szCs w:val="28"/>
        </w:rPr>
        <w:t>Dans c</w:t>
      </w:r>
      <w:r w:rsidR="00CC2861" w:rsidRPr="00280562">
        <w:rPr>
          <w:rFonts w:asciiTheme="majorHAnsi" w:hAnsiTheme="majorHAnsi" w:cs="Calibri"/>
          <w:b w:val="0"/>
          <w:color w:val="000000"/>
          <w:sz w:val="28"/>
          <w:szCs w:val="28"/>
        </w:rPr>
        <w:t>e contexte de détérioration de la croissance économique</w:t>
      </w:r>
      <w:r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et</w:t>
      </w:r>
      <w:r w:rsidR="00810B8E">
        <w:rPr>
          <w:rFonts w:asciiTheme="majorHAnsi" w:hAnsiTheme="majorHAnsi" w:cs="Calibri"/>
          <w:b w:val="0"/>
          <w:color w:val="000000"/>
          <w:sz w:val="28"/>
          <w:szCs w:val="28"/>
        </w:rPr>
        <w:t>,</w:t>
      </w:r>
      <w:r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</w:t>
      </w:r>
      <w:r w:rsidR="00CC2861" w:rsidRPr="00280562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sous l’hypothèse d’une poursuite de la baisse tendancielle du taux d’activité</w:t>
      </w:r>
      <w:r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au niveau national</w:t>
      </w:r>
      <w:r w:rsidR="00CC2861" w:rsidRPr="00280562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, le </w:t>
      </w:r>
      <w:r w:rsidR="00CC2861" w:rsidRPr="000A0F5B">
        <w:rPr>
          <w:rFonts w:asciiTheme="majorHAnsi" w:hAnsiTheme="majorHAnsi" w:cs="Calibri"/>
          <w:bCs w:val="0"/>
          <w:color w:val="000000"/>
          <w:sz w:val="28"/>
          <w:szCs w:val="28"/>
        </w:rPr>
        <w:t>taux de chômage</w:t>
      </w:r>
      <w:r w:rsidR="00CC2861" w:rsidRPr="00280562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</w:t>
      </w:r>
      <w:r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devrait atteindre </w:t>
      </w:r>
      <w:r w:rsidR="00CC2861" w:rsidRPr="00280562">
        <w:rPr>
          <w:rFonts w:asciiTheme="majorHAnsi" w:hAnsiTheme="majorHAnsi" w:cs="Calibri"/>
          <w:b w:val="0"/>
          <w:color w:val="000000"/>
          <w:sz w:val="28"/>
          <w:szCs w:val="28"/>
        </w:rPr>
        <w:t>près de 14,8%, soit une hausse de 5,6 points par rapport au niveau enregistré en 2019</w:t>
      </w:r>
      <w:r w:rsidR="00810B8E">
        <w:rPr>
          <w:rFonts w:asciiTheme="majorHAnsi" w:hAnsiTheme="majorHAnsi" w:cs="Calibri"/>
          <w:b w:val="0"/>
          <w:color w:val="000000"/>
          <w:sz w:val="28"/>
          <w:szCs w:val="28"/>
        </w:rPr>
        <w:t>.</w:t>
      </w:r>
    </w:p>
    <w:bookmarkEnd w:id="11"/>
    <w:bookmarkEnd w:id="12"/>
    <w:bookmarkEnd w:id="13"/>
    <w:p w:rsidR="00544FCD" w:rsidRPr="00407B6F" w:rsidRDefault="00610F0E" w:rsidP="00810B8E">
      <w:pPr>
        <w:spacing w:before="240" w:after="120"/>
        <w:ind w:firstLine="709"/>
        <w:jc w:val="both"/>
        <w:rPr>
          <w:rFonts w:asciiTheme="majorHAnsi" w:hAnsiTheme="majorHAnsi" w:cs="Calibri"/>
          <w:b w:val="0"/>
          <w:color w:val="000000"/>
          <w:sz w:val="28"/>
          <w:szCs w:val="28"/>
        </w:rPr>
      </w:pPr>
      <w:r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Dans ce</w:t>
      </w:r>
      <w:r w:rsidR="00691891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s conditions,</w:t>
      </w:r>
      <w:r w:rsidR="009607D4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</w:t>
      </w:r>
      <w:r w:rsidR="009607D4" w:rsidRPr="00407B6F">
        <w:rPr>
          <w:rFonts w:asciiTheme="majorHAnsi" w:hAnsiTheme="majorHAnsi" w:cs="Calibri"/>
          <w:bCs w:val="0"/>
          <w:color w:val="000000"/>
          <w:sz w:val="28"/>
          <w:szCs w:val="28"/>
        </w:rPr>
        <w:t>la demande intérieure</w:t>
      </w:r>
      <w:r w:rsidR="0054568F" w:rsidRPr="00407B6F">
        <w:rPr>
          <w:rFonts w:asciiTheme="majorHAnsi" w:hAnsiTheme="majorHAnsi" w:cs="Calibri"/>
          <w:bCs w:val="0"/>
          <w:color w:val="000000"/>
          <w:sz w:val="28"/>
          <w:szCs w:val="28"/>
        </w:rPr>
        <w:t xml:space="preserve"> </w:t>
      </w:r>
      <w:r w:rsidR="00A00FE2">
        <w:rPr>
          <w:rFonts w:asciiTheme="majorHAnsi" w:hAnsiTheme="majorHAnsi" w:cs="Calibri"/>
          <w:b w:val="0"/>
          <w:color w:val="000000"/>
          <w:sz w:val="28"/>
          <w:szCs w:val="28"/>
        </w:rPr>
        <w:t>devrait</w:t>
      </w:r>
      <w:r w:rsidR="000409A5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</w:t>
      </w:r>
      <w:r w:rsidR="00A00FE2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enregistrer une baisse </w:t>
      </w:r>
      <w:r w:rsidR="000409A5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de </w:t>
      </w:r>
      <w:r w:rsidR="006641EA">
        <w:rPr>
          <w:rFonts w:asciiTheme="majorHAnsi" w:hAnsiTheme="majorHAnsi" w:cs="Calibri"/>
          <w:b w:val="0"/>
          <w:color w:val="000000"/>
          <w:sz w:val="28"/>
          <w:szCs w:val="28"/>
        </w:rPr>
        <w:t>4</w:t>
      </w:r>
      <w:r w:rsidR="000409A5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% en 20</w:t>
      </w:r>
      <w:r w:rsidR="00484B11">
        <w:rPr>
          <w:rFonts w:asciiTheme="majorHAnsi" w:hAnsiTheme="majorHAnsi" w:cs="Calibri"/>
          <w:b w:val="0"/>
          <w:color w:val="000000"/>
          <w:sz w:val="28"/>
          <w:szCs w:val="28"/>
        </w:rPr>
        <w:t>20</w:t>
      </w:r>
      <w:r w:rsidR="00A00FE2">
        <w:rPr>
          <w:rFonts w:asciiTheme="majorHAnsi" w:hAnsiTheme="majorHAnsi" w:cs="Calibri"/>
          <w:b w:val="0"/>
          <w:color w:val="000000"/>
          <w:sz w:val="28"/>
          <w:szCs w:val="28"/>
        </w:rPr>
        <w:t>, s</w:t>
      </w:r>
      <w:r w:rsidR="000D7317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a contribution à la croissance </w:t>
      </w:r>
      <w:r w:rsidR="00B96FC3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serait </w:t>
      </w:r>
      <w:r w:rsidR="00A00FE2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ainsi </w:t>
      </w:r>
      <w:r w:rsidR="00484B11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négative </w:t>
      </w:r>
      <w:r w:rsidR="000D7317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de</w:t>
      </w:r>
      <w:r w:rsidR="00484B11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4,4</w:t>
      </w:r>
      <w:r w:rsidR="000D7317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points au lieu de </w:t>
      </w:r>
      <w:r w:rsidR="00A00FE2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d’une contribution positive de </w:t>
      </w:r>
      <w:r w:rsidR="00484B11">
        <w:rPr>
          <w:rFonts w:asciiTheme="majorHAnsi" w:hAnsiTheme="majorHAnsi" w:cs="Calibri"/>
          <w:b w:val="0"/>
          <w:color w:val="000000"/>
          <w:sz w:val="28"/>
          <w:szCs w:val="28"/>
        </w:rPr>
        <w:t>1,9</w:t>
      </w:r>
      <w:r w:rsidR="00F84AF0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point </w:t>
      </w:r>
      <w:r w:rsidR="000D7317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en 201</w:t>
      </w:r>
      <w:r w:rsidR="00484B11">
        <w:rPr>
          <w:rFonts w:asciiTheme="majorHAnsi" w:hAnsiTheme="majorHAnsi" w:cs="Calibri"/>
          <w:b w:val="0"/>
          <w:color w:val="000000"/>
          <w:sz w:val="28"/>
          <w:szCs w:val="28"/>
        </w:rPr>
        <w:t>9</w:t>
      </w:r>
      <w:r w:rsidR="000D7317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.</w:t>
      </w:r>
      <w:bookmarkStart w:id="14" w:name="_Toc328056274"/>
      <w:bookmarkStart w:id="15" w:name="_Toc328056528"/>
      <w:bookmarkStart w:id="16" w:name="_Toc202419677"/>
      <w:r w:rsidR="000D7317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</w:t>
      </w:r>
      <w:r w:rsidR="004E66E1">
        <w:rPr>
          <w:rFonts w:asciiTheme="majorHAnsi" w:hAnsiTheme="majorHAnsi" w:cs="Calibri"/>
          <w:b w:val="0"/>
          <w:color w:val="000000"/>
          <w:sz w:val="28"/>
          <w:szCs w:val="28"/>
        </w:rPr>
        <w:t>De même,</w:t>
      </w:r>
      <w:r w:rsidR="000C3B99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</w:t>
      </w:r>
      <w:r w:rsidR="002B4050">
        <w:rPr>
          <w:rFonts w:asciiTheme="majorHAnsi" w:hAnsiTheme="majorHAnsi" w:cs="Calibri"/>
          <w:b w:val="0"/>
          <w:color w:val="000000"/>
          <w:sz w:val="28"/>
          <w:szCs w:val="28"/>
        </w:rPr>
        <w:t>la</w:t>
      </w:r>
      <w:r w:rsidR="002B4050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contribution</w:t>
      </w:r>
      <w:r w:rsidR="002B4050">
        <w:rPr>
          <w:rFonts w:asciiTheme="majorHAnsi" w:hAnsiTheme="majorHAnsi" w:cs="Calibri"/>
          <w:bCs w:val="0"/>
          <w:color w:val="000000"/>
          <w:sz w:val="28"/>
          <w:szCs w:val="28"/>
        </w:rPr>
        <w:t xml:space="preserve"> de </w:t>
      </w:r>
      <w:r w:rsidR="00406FA2">
        <w:rPr>
          <w:rFonts w:asciiTheme="majorHAnsi" w:hAnsiTheme="majorHAnsi" w:cs="Calibri"/>
          <w:bCs w:val="0"/>
          <w:color w:val="000000"/>
          <w:sz w:val="28"/>
          <w:szCs w:val="28"/>
        </w:rPr>
        <w:t xml:space="preserve">la demande </w:t>
      </w:r>
      <w:r w:rsidR="004E66E1">
        <w:rPr>
          <w:rFonts w:asciiTheme="majorHAnsi" w:hAnsiTheme="majorHAnsi" w:cs="Calibri"/>
          <w:bCs w:val="0"/>
          <w:color w:val="000000"/>
          <w:sz w:val="28"/>
          <w:szCs w:val="28"/>
        </w:rPr>
        <w:t>extérieure</w:t>
      </w:r>
      <w:r w:rsidR="004E66E1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</w:t>
      </w:r>
      <w:r w:rsidR="00810B8E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à la croissance </w:t>
      </w:r>
      <w:r w:rsidR="002B4050">
        <w:rPr>
          <w:rFonts w:asciiTheme="majorHAnsi" w:hAnsiTheme="majorHAnsi" w:cs="Calibri"/>
          <w:b w:val="0"/>
          <w:color w:val="000000"/>
          <w:sz w:val="28"/>
          <w:szCs w:val="28"/>
        </w:rPr>
        <w:t>s</w:t>
      </w:r>
      <w:r w:rsidR="00A00FE2">
        <w:rPr>
          <w:rFonts w:asciiTheme="majorHAnsi" w:hAnsiTheme="majorHAnsi" w:cs="Calibri"/>
          <w:b w:val="0"/>
          <w:color w:val="000000"/>
          <w:sz w:val="28"/>
          <w:szCs w:val="28"/>
        </w:rPr>
        <w:t>er</w:t>
      </w:r>
      <w:r w:rsidR="00F73609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ait </w:t>
      </w:r>
      <w:r w:rsidR="000D7317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négative </w:t>
      </w:r>
      <w:r w:rsidR="004E66E1">
        <w:rPr>
          <w:rFonts w:asciiTheme="majorHAnsi" w:hAnsiTheme="majorHAnsi" w:cs="Calibri"/>
          <w:b w:val="0"/>
          <w:color w:val="000000"/>
          <w:sz w:val="28"/>
          <w:szCs w:val="28"/>
        </w:rPr>
        <w:t>d</w:t>
      </w:r>
      <w:r w:rsidR="000D7317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e 1,</w:t>
      </w:r>
      <w:r w:rsidR="00A039FC">
        <w:rPr>
          <w:rFonts w:asciiTheme="majorHAnsi" w:hAnsiTheme="majorHAnsi" w:cs="Calibri"/>
          <w:b w:val="0"/>
          <w:color w:val="000000"/>
          <w:sz w:val="28"/>
          <w:szCs w:val="28"/>
        </w:rPr>
        <w:t>4</w:t>
      </w:r>
      <w:r w:rsidR="000D7317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point</w:t>
      </w:r>
      <w:r w:rsidR="00B96FC3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,</w:t>
      </w:r>
      <w:r w:rsidR="000D7317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après avoir </w:t>
      </w:r>
      <w:r w:rsidR="002B4050">
        <w:rPr>
          <w:rFonts w:asciiTheme="majorHAnsi" w:hAnsiTheme="majorHAnsi" w:cs="Calibri"/>
          <w:b w:val="0"/>
          <w:color w:val="000000"/>
          <w:sz w:val="28"/>
          <w:szCs w:val="28"/>
        </w:rPr>
        <w:t>été</w:t>
      </w:r>
      <w:r w:rsidR="000D7317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</w:t>
      </w:r>
      <w:r w:rsidR="00A039FC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positive de 0,6 point </w:t>
      </w:r>
      <w:r w:rsidR="002B4050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l’année </w:t>
      </w:r>
      <w:r w:rsidR="006623BF">
        <w:rPr>
          <w:rFonts w:asciiTheme="majorHAnsi" w:hAnsiTheme="majorHAnsi" w:cs="Calibri"/>
          <w:b w:val="0"/>
          <w:color w:val="000000"/>
          <w:sz w:val="28"/>
          <w:szCs w:val="28"/>
        </w:rPr>
        <w:t>précédente</w:t>
      </w:r>
      <w:r w:rsidR="000D7317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. </w:t>
      </w:r>
      <w:bookmarkEnd w:id="14"/>
      <w:bookmarkEnd w:id="15"/>
      <w:bookmarkEnd w:id="16"/>
    </w:p>
    <w:p w:rsidR="00016BE6" w:rsidRPr="00407B6F" w:rsidRDefault="00C01C78" w:rsidP="00E65F72">
      <w:pPr>
        <w:spacing w:before="240" w:after="120"/>
        <w:ind w:firstLine="709"/>
        <w:jc w:val="both"/>
        <w:rPr>
          <w:rFonts w:asciiTheme="majorHAnsi" w:hAnsiTheme="majorHAnsi" w:cs="Calibri"/>
          <w:b w:val="0"/>
          <w:color w:val="000000"/>
          <w:sz w:val="28"/>
          <w:szCs w:val="28"/>
        </w:rPr>
      </w:pPr>
      <w:bookmarkStart w:id="17" w:name="_Toc328056276"/>
      <w:bookmarkStart w:id="18" w:name="_Toc328056530"/>
      <w:bookmarkStart w:id="19" w:name="_Toc202419679"/>
      <w:bookmarkStart w:id="20" w:name="_Toc296590348"/>
      <w:bookmarkStart w:id="21" w:name="_Toc296590870"/>
      <w:bookmarkEnd w:id="8"/>
      <w:bookmarkEnd w:id="9"/>
      <w:bookmarkEnd w:id="10"/>
      <w:r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Concernant </w:t>
      </w:r>
      <w:r w:rsidRPr="006641EA">
        <w:rPr>
          <w:rFonts w:asciiTheme="majorHAnsi" w:hAnsiTheme="majorHAnsi" w:cs="Calibri"/>
          <w:bCs w:val="0"/>
          <w:color w:val="000000"/>
          <w:sz w:val="28"/>
          <w:szCs w:val="28"/>
        </w:rPr>
        <w:t>le financement de l’économie</w:t>
      </w:r>
      <w:r>
        <w:rPr>
          <w:rFonts w:asciiTheme="majorHAnsi" w:hAnsiTheme="majorHAnsi" w:cs="Calibri"/>
          <w:b w:val="0"/>
          <w:color w:val="000000"/>
          <w:sz w:val="28"/>
          <w:szCs w:val="28"/>
        </w:rPr>
        <w:t>, l</w:t>
      </w:r>
      <w:r w:rsidR="00E73CCB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’épargne intérieure</w:t>
      </w:r>
      <w:r w:rsidR="00610F0E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,</w:t>
      </w:r>
      <w:r w:rsidR="008A2680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qui était </w:t>
      </w:r>
      <w:r w:rsidR="00FA11DA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de l’ordre de </w:t>
      </w:r>
      <w:r w:rsidR="00610F0E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2</w:t>
      </w:r>
      <w:r w:rsidR="00A039FC">
        <w:rPr>
          <w:rFonts w:asciiTheme="majorHAnsi" w:hAnsiTheme="majorHAnsi" w:cs="Calibri"/>
          <w:b w:val="0"/>
          <w:color w:val="000000"/>
          <w:sz w:val="28"/>
          <w:szCs w:val="28"/>
        </w:rPr>
        <w:t>3</w:t>
      </w:r>
      <w:r w:rsidR="00610F0E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,</w:t>
      </w:r>
      <w:r w:rsidR="00A039FC">
        <w:rPr>
          <w:rFonts w:asciiTheme="majorHAnsi" w:hAnsiTheme="majorHAnsi" w:cs="Calibri"/>
          <w:b w:val="0"/>
          <w:color w:val="000000"/>
          <w:sz w:val="28"/>
          <w:szCs w:val="28"/>
        </w:rPr>
        <w:t>3</w:t>
      </w:r>
      <w:r w:rsidR="00610F0E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% </w:t>
      </w:r>
      <w:r w:rsidR="00FA11DA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du PIB </w:t>
      </w:r>
      <w:r w:rsidR="00610F0E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en 201</w:t>
      </w:r>
      <w:r w:rsidR="00A039FC">
        <w:rPr>
          <w:rFonts w:asciiTheme="majorHAnsi" w:hAnsiTheme="majorHAnsi" w:cs="Calibri"/>
          <w:b w:val="0"/>
          <w:color w:val="000000"/>
          <w:sz w:val="28"/>
          <w:szCs w:val="28"/>
        </w:rPr>
        <w:t>9</w:t>
      </w:r>
      <w:r w:rsidR="00610F0E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, </w:t>
      </w:r>
      <w:r w:rsidR="004E66E1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devrait </w:t>
      </w:r>
      <w:r w:rsidR="008A2680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baisser</w:t>
      </w:r>
      <w:r w:rsidR="004E66E1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</w:t>
      </w:r>
      <w:r w:rsidR="008A2680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à </w:t>
      </w:r>
      <w:r w:rsidR="00FA11DA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19,</w:t>
      </w:r>
      <w:r w:rsidR="00A039FC">
        <w:rPr>
          <w:rFonts w:asciiTheme="majorHAnsi" w:hAnsiTheme="majorHAnsi" w:cs="Calibri"/>
          <w:b w:val="0"/>
          <w:color w:val="000000"/>
          <w:sz w:val="28"/>
          <w:szCs w:val="28"/>
        </w:rPr>
        <w:t>1</w:t>
      </w:r>
      <w:r w:rsidR="00FA11DA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%</w:t>
      </w:r>
      <w:r w:rsidR="008A2680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</w:t>
      </w:r>
      <w:r w:rsidR="00F5243E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du PIB </w:t>
      </w:r>
      <w:r w:rsidR="00FA11DA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en 20</w:t>
      </w:r>
      <w:r w:rsidR="00A039FC">
        <w:rPr>
          <w:rFonts w:asciiTheme="majorHAnsi" w:hAnsiTheme="majorHAnsi" w:cs="Calibri"/>
          <w:b w:val="0"/>
          <w:color w:val="000000"/>
          <w:sz w:val="28"/>
          <w:szCs w:val="28"/>
        </w:rPr>
        <w:t>20</w:t>
      </w:r>
      <w:r w:rsidR="00610F0E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.</w:t>
      </w:r>
      <w:bookmarkStart w:id="22" w:name="_Toc328056277"/>
      <w:bookmarkStart w:id="23" w:name="_Toc328056531"/>
      <w:bookmarkStart w:id="24" w:name="_Toc202419680"/>
      <w:r w:rsidR="00A039FC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</w:t>
      </w:r>
      <w:r w:rsidR="00F5243E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Parallèlement</w:t>
      </w:r>
      <w:r w:rsidR="00F5243E" w:rsidRPr="00407B6F">
        <w:rPr>
          <w:rFonts w:asciiTheme="majorHAnsi" w:hAnsiTheme="majorHAnsi" w:cs="Calibri"/>
          <w:bCs w:val="0"/>
          <w:color w:val="000000"/>
          <w:sz w:val="28"/>
          <w:szCs w:val="28"/>
        </w:rPr>
        <w:t>, l</w:t>
      </w:r>
      <w:r w:rsidR="00583AB6" w:rsidRPr="00407B6F">
        <w:rPr>
          <w:rFonts w:asciiTheme="majorHAnsi" w:hAnsiTheme="majorHAnsi" w:cs="Calibri"/>
          <w:bCs w:val="0"/>
          <w:color w:val="000000"/>
          <w:sz w:val="28"/>
          <w:szCs w:val="28"/>
        </w:rPr>
        <w:t>es</w:t>
      </w:r>
      <w:r w:rsidR="00C23F0C" w:rsidRPr="00407B6F">
        <w:rPr>
          <w:rFonts w:asciiTheme="majorHAnsi" w:hAnsiTheme="majorHAnsi" w:cs="Calibri"/>
          <w:bCs w:val="0"/>
          <w:color w:val="000000"/>
          <w:sz w:val="28"/>
          <w:szCs w:val="28"/>
        </w:rPr>
        <w:t xml:space="preserve"> revenus nets en provenance du reste du monde</w:t>
      </w:r>
      <w:r w:rsidR="00C23F0C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</w:t>
      </w:r>
      <w:r w:rsidR="006E633F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devraient </w:t>
      </w:r>
      <w:r w:rsidR="002733CE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continuer de </w:t>
      </w:r>
      <w:r w:rsidR="00BB415D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régresser affichant une baisse de 4,6% après </w:t>
      </w:r>
      <w:r>
        <w:rPr>
          <w:rFonts w:asciiTheme="majorHAnsi" w:hAnsiTheme="majorHAnsi" w:cs="Calibri"/>
          <w:b w:val="0"/>
          <w:color w:val="000000"/>
          <w:sz w:val="28"/>
          <w:szCs w:val="28"/>
        </w:rPr>
        <w:t>-</w:t>
      </w:r>
      <w:r w:rsidR="00BB415D">
        <w:rPr>
          <w:rFonts w:asciiTheme="majorHAnsi" w:hAnsiTheme="majorHAnsi" w:cs="Calibri"/>
          <w:b w:val="0"/>
          <w:color w:val="000000"/>
          <w:sz w:val="28"/>
          <w:szCs w:val="28"/>
        </w:rPr>
        <w:t>1,5% en 2019</w:t>
      </w:r>
      <w:r w:rsidR="006641EA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et -16,9% en 2018</w:t>
      </w:r>
      <w:r w:rsidR="00BB415D">
        <w:rPr>
          <w:rFonts w:asciiTheme="majorHAnsi" w:hAnsiTheme="majorHAnsi" w:cs="Calibri"/>
          <w:b w:val="0"/>
          <w:color w:val="000000"/>
          <w:sz w:val="28"/>
          <w:szCs w:val="28"/>
        </w:rPr>
        <w:t>.</w:t>
      </w:r>
      <w:r w:rsidR="00A039FC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</w:t>
      </w:r>
      <w:r w:rsidR="00583AB6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Ce</w:t>
      </w:r>
      <w:r w:rsidR="00A039FC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s évolutions </w:t>
      </w:r>
      <w:r w:rsidR="002733CE">
        <w:rPr>
          <w:rFonts w:asciiTheme="majorHAnsi" w:hAnsiTheme="majorHAnsi" w:cs="Calibri"/>
          <w:b w:val="0"/>
          <w:color w:val="000000"/>
          <w:sz w:val="28"/>
          <w:szCs w:val="28"/>
        </w:rPr>
        <w:t>devraient se traduire par</w:t>
      </w:r>
      <w:r w:rsidR="00583AB6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une </w:t>
      </w:r>
      <w:r w:rsidR="00A039FC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diminution </w:t>
      </w:r>
      <w:r w:rsidR="00583AB6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de </w:t>
      </w:r>
      <w:r w:rsidR="000B0B88" w:rsidRPr="00407B6F">
        <w:rPr>
          <w:rFonts w:asciiTheme="majorHAnsi" w:hAnsiTheme="majorHAnsi" w:cs="Calibri"/>
          <w:bCs w:val="0"/>
          <w:color w:val="000000"/>
          <w:sz w:val="28"/>
          <w:szCs w:val="28"/>
        </w:rPr>
        <w:t>l</w:t>
      </w:r>
      <w:r w:rsidR="007D5203" w:rsidRPr="00407B6F">
        <w:rPr>
          <w:rFonts w:asciiTheme="majorHAnsi" w:hAnsiTheme="majorHAnsi" w:cs="Calibri"/>
          <w:bCs w:val="0"/>
          <w:color w:val="000000"/>
          <w:sz w:val="28"/>
          <w:szCs w:val="28"/>
        </w:rPr>
        <w:t>’épargne nationale</w:t>
      </w:r>
      <w:r w:rsidR="00A039FC">
        <w:rPr>
          <w:rFonts w:asciiTheme="majorHAnsi" w:hAnsiTheme="majorHAnsi" w:cs="Calibri"/>
          <w:bCs w:val="0"/>
          <w:color w:val="000000"/>
          <w:sz w:val="28"/>
          <w:szCs w:val="28"/>
        </w:rPr>
        <w:t xml:space="preserve"> pour atteindre </w:t>
      </w:r>
      <w:r w:rsidR="007A1F8B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2</w:t>
      </w:r>
      <w:r w:rsidR="00A039FC">
        <w:rPr>
          <w:rFonts w:asciiTheme="majorHAnsi" w:hAnsiTheme="majorHAnsi" w:cs="Calibri"/>
          <w:b w:val="0"/>
          <w:color w:val="000000"/>
          <w:sz w:val="28"/>
          <w:szCs w:val="28"/>
        </w:rPr>
        <w:t>3</w:t>
      </w:r>
      <w:r w:rsidR="007A1F8B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,</w:t>
      </w:r>
      <w:r w:rsidR="00A039FC">
        <w:rPr>
          <w:rFonts w:asciiTheme="majorHAnsi" w:hAnsiTheme="majorHAnsi" w:cs="Calibri"/>
          <w:b w:val="0"/>
          <w:color w:val="000000"/>
          <w:sz w:val="28"/>
          <w:szCs w:val="28"/>
        </w:rPr>
        <w:t>7</w:t>
      </w:r>
      <w:r w:rsidR="007A1F8B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%</w:t>
      </w:r>
      <w:r w:rsidR="0027524D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du PIB </w:t>
      </w:r>
      <w:r w:rsidR="007A1F8B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au lieu de 2</w:t>
      </w:r>
      <w:r w:rsidR="00A039FC">
        <w:rPr>
          <w:rFonts w:asciiTheme="majorHAnsi" w:hAnsiTheme="majorHAnsi" w:cs="Calibri"/>
          <w:b w:val="0"/>
          <w:color w:val="000000"/>
          <w:sz w:val="28"/>
          <w:szCs w:val="28"/>
        </w:rPr>
        <w:t>7</w:t>
      </w:r>
      <w:r w:rsidR="007A1F8B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,</w:t>
      </w:r>
      <w:r w:rsidR="00A039FC">
        <w:rPr>
          <w:rFonts w:asciiTheme="majorHAnsi" w:hAnsiTheme="majorHAnsi" w:cs="Calibri"/>
          <w:b w:val="0"/>
          <w:color w:val="000000"/>
          <w:sz w:val="28"/>
          <w:szCs w:val="28"/>
        </w:rPr>
        <w:t>8</w:t>
      </w:r>
      <w:r w:rsidR="007A1F8B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% </w:t>
      </w:r>
      <w:r w:rsidR="00A039FC">
        <w:rPr>
          <w:rFonts w:asciiTheme="majorHAnsi" w:hAnsiTheme="majorHAnsi" w:cs="Calibri"/>
          <w:b w:val="0"/>
          <w:color w:val="000000"/>
          <w:sz w:val="28"/>
          <w:szCs w:val="28"/>
        </w:rPr>
        <w:t>en 2019</w:t>
      </w:r>
      <w:r w:rsidR="00D838B6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.</w:t>
      </w:r>
      <w:r w:rsidR="00B2534D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</w:t>
      </w:r>
      <w:r w:rsidR="00810B8E">
        <w:rPr>
          <w:rFonts w:asciiTheme="majorHAnsi" w:hAnsiTheme="majorHAnsi" w:cs="Calibri"/>
          <w:b w:val="0"/>
          <w:color w:val="000000"/>
          <w:sz w:val="28"/>
          <w:szCs w:val="28"/>
        </w:rPr>
        <w:t>Compte tenu d’un ni</w:t>
      </w:r>
      <w:r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veau d’investissement </w:t>
      </w:r>
      <w:r w:rsidR="00583AB6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de l’ordre de 3</w:t>
      </w:r>
      <w:r w:rsidR="00A039FC">
        <w:rPr>
          <w:rFonts w:asciiTheme="majorHAnsi" w:hAnsiTheme="majorHAnsi" w:cs="Calibri"/>
          <w:b w:val="0"/>
          <w:color w:val="000000"/>
          <w:sz w:val="28"/>
          <w:szCs w:val="28"/>
        </w:rPr>
        <w:t>0,6</w:t>
      </w:r>
      <w:r w:rsidR="00583AB6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% du PIB </w:t>
      </w:r>
      <w:r w:rsidR="00E65F72">
        <w:rPr>
          <w:rFonts w:asciiTheme="majorHAnsi" w:hAnsiTheme="majorHAnsi" w:cs="Calibri"/>
          <w:b w:val="0"/>
          <w:color w:val="000000"/>
          <w:sz w:val="28"/>
          <w:szCs w:val="28"/>
        </w:rPr>
        <w:t>attendu</w:t>
      </w:r>
      <w:r w:rsidR="00406FA2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</w:t>
      </w:r>
      <w:r w:rsidR="00583AB6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en 20</w:t>
      </w:r>
      <w:r w:rsidR="00A039FC">
        <w:rPr>
          <w:rFonts w:asciiTheme="majorHAnsi" w:hAnsiTheme="majorHAnsi" w:cs="Calibri"/>
          <w:b w:val="0"/>
          <w:color w:val="000000"/>
          <w:sz w:val="28"/>
          <w:szCs w:val="28"/>
        </w:rPr>
        <w:t>20</w:t>
      </w:r>
      <w:r w:rsidR="00583AB6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</w:t>
      </w:r>
      <w:r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en baisse par rapport </w:t>
      </w:r>
      <w:r w:rsidR="00534CAE">
        <w:rPr>
          <w:rFonts w:asciiTheme="majorHAnsi" w:hAnsiTheme="majorHAnsi" w:cs="Calibri"/>
          <w:b w:val="0"/>
          <w:color w:val="000000"/>
          <w:sz w:val="28"/>
          <w:szCs w:val="28"/>
        </w:rPr>
        <w:t>à</w:t>
      </w:r>
      <w:r w:rsidR="00583AB6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3</w:t>
      </w:r>
      <w:r w:rsidR="00A039FC">
        <w:rPr>
          <w:rFonts w:asciiTheme="majorHAnsi" w:hAnsiTheme="majorHAnsi" w:cs="Calibri"/>
          <w:b w:val="0"/>
          <w:color w:val="000000"/>
          <w:sz w:val="28"/>
          <w:szCs w:val="28"/>
        </w:rPr>
        <w:t>2</w:t>
      </w:r>
      <w:r w:rsidR="00583AB6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,</w:t>
      </w:r>
      <w:r w:rsidR="00A039FC">
        <w:rPr>
          <w:rFonts w:asciiTheme="majorHAnsi" w:hAnsiTheme="majorHAnsi" w:cs="Calibri"/>
          <w:b w:val="0"/>
          <w:color w:val="000000"/>
          <w:sz w:val="28"/>
          <w:szCs w:val="28"/>
        </w:rPr>
        <w:t>2</w:t>
      </w:r>
      <w:r w:rsidR="00583AB6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% </w:t>
      </w:r>
      <w:r w:rsidR="00534CAE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enregistré  </w:t>
      </w:r>
      <w:r w:rsidR="00583AB6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en 201</w:t>
      </w:r>
      <w:r w:rsidR="00A039FC">
        <w:rPr>
          <w:rFonts w:asciiTheme="majorHAnsi" w:hAnsiTheme="majorHAnsi" w:cs="Calibri"/>
          <w:b w:val="0"/>
          <w:color w:val="000000"/>
          <w:sz w:val="28"/>
          <w:szCs w:val="28"/>
        </w:rPr>
        <w:t>9</w:t>
      </w:r>
      <w:r w:rsidR="00583AB6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,</w:t>
      </w:r>
      <w:r w:rsidR="00583AB6" w:rsidRPr="00407B6F">
        <w:rPr>
          <w:rFonts w:asciiTheme="majorHAnsi" w:hAnsiTheme="majorHAnsi" w:cs="Calibri"/>
          <w:bCs w:val="0"/>
          <w:color w:val="000000"/>
          <w:sz w:val="28"/>
          <w:szCs w:val="28"/>
        </w:rPr>
        <w:t xml:space="preserve"> l</w:t>
      </w:r>
      <w:r w:rsidR="00E550F4" w:rsidRPr="00407B6F">
        <w:rPr>
          <w:rFonts w:asciiTheme="majorHAnsi" w:hAnsiTheme="majorHAnsi" w:cs="Calibri"/>
          <w:bCs w:val="0"/>
          <w:color w:val="000000"/>
          <w:sz w:val="28"/>
          <w:szCs w:val="28"/>
        </w:rPr>
        <w:t>e</w:t>
      </w:r>
      <w:r w:rsidR="003A2420" w:rsidRPr="00407B6F">
        <w:rPr>
          <w:rFonts w:asciiTheme="majorHAnsi" w:hAnsiTheme="majorHAnsi" w:cs="Calibri"/>
          <w:bCs w:val="0"/>
          <w:color w:val="000000"/>
          <w:sz w:val="28"/>
          <w:szCs w:val="28"/>
        </w:rPr>
        <w:t>s</w:t>
      </w:r>
      <w:r w:rsidR="00E550F4" w:rsidRPr="00407B6F">
        <w:rPr>
          <w:rFonts w:asciiTheme="majorHAnsi" w:hAnsiTheme="majorHAnsi" w:cs="Calibri"/>
          <w:bCs w:val="0"/>
          <w:color w:val="000000"/>
          <w:sz w:val="28"/>
          <w:szCs w:val="28"/>
        </w:rPr>
        <w:t xml:space="preserve"> besoin</w:t>
      </w:r>
      <w:r w:rsidR="003A2420" w:rsidRPr="00407B6F">
        <w:rPr>
          <w:rFonts w:asciiTheme="majorHAnsi" w:hAnsiTheme="majorHAnsi" w:cs="Calibri"/>
          <w:bCs w:val="0"/>
          <w:color w:val="000000"/>
          <w:sz w:val="28"/>
          <w:szCs w:val="28"/>
        </w:rPr>
        <w:t>s</w:t>
      </w:r>
      <w:r w:rsidR="00E550F4" w:rsidRPr="00407B6F">
        <w:rPr>
          <w:rFonts w:asciiTheme="majorHAnsi" w:hAnsiTheme="majorHAnsi" w:cs="Calibri"/>
          <w:bCs w:val="0"/>
          <w:color w:val="000000"/>
          <w:sz w:val="28"/>
          <w:szCs w:val="28"/>
        </w:rPr>
        <w:t xml:space="preserve"> de financement de </w:t>
      </w:r>
      <w:r w:rsidR="00E550F4" w:rsidRPr="00246DF8">
        <w:rPr>
          <w:rFonts w:asciiTheme="majorHAnsi" w:hAnsiTheme="majorHAnsi" w:cs="Calibri"/>
          <w:b w:val="0"/>
          <w:color w:val="000000"/>
          <w:sz w:val="28"/>
          <w:szCs w:val="28"/>
        </w:rPr>
        <w:t>l’économie nationale</w:t>
      </w:r>
      <w:r w:rsidR="00246DF8" w:rsidRPr="00246DF8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se seraient accentués à </w:t>
      </w:r>
      <w:r w:rsidR="00E550F4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6,</w:t>
      </w:r>
      <w:r w:rsidR="00246DF8">
        <w:rPr>
          <w:rFonts w:asciiTheme="majorHAnsi" w:hAnsiTheme="majorHAnsi" w:cs="Calibri"/>
          <w:b w:val="0"/>
          <w:color w:val="000000"/>
          <w:sz w:val="28"/>
          <w:szCs w:val="28"/>
        </w:rPr>
        <w:t>9</w:t>
      </w:r>
      <w:r w:rsidR="00E550F4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>% du PIB</w:t>
      </w:r>
      <w:r w:rsidR="00AF6ABC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</w:t>
      </w:r>
      <w:r w:rsidR="00E550F4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au lieu de </w:t>
      </w:r>
      <w:r w:rsidR="00246DF8">
        <w:rPr>
          <w:rFonts w:asciiTheme="majorHAnsi" w:hAnsiTheme="majorHAnsi" w:cs="Calibri"/>
          <w:b w:val="0"/>
          <w:color w:val="000000"/>
          <w:sz w:val="28"/>
          <w:szCs w:val="28"/>
        </w:rPr>
        <w:t>4,4</w:t>
      </w:r>
      <w:r w:rsidR="00E550F4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% </w:t>
      </w:r>
      <w:r w:rsidR="00534CAE">
        <w:rPr>
          <w:rFonts w:asciiTheme="majorHAnsi" w:hAnsiTheme="majorHAnsi" w:cs="Calibri"/>
          <w:b w:val="0"/>
          <w:color w:val="000000"/>
          <w:sz w:val="28"/>
          <w:szCs w:val="28"/>
        </w:rPr>
        <w:t>une année auparavant</w:t>
      </w:r>
      <w:r w:rsidR="00E550F4" w:rsidRPr="00407B6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. </w:t>
      </w:r>
    </w:p>
    <w:p w:rsidR="001441DF" w:rsidRPr="00127E34" w:rsidRDefault="001441DF" w:rsidP="005B29F4">
      <w:pPr>
        <w:spacing w:before="240" w:after="120"/>
        <w:ind w:firstLine="709"/>
        <w:jc w:val="both"/>
        <w:rPr>
          <w:rFonts w:ascii="Calisto MT" w:eastAsia="Batang" w:hAnsi="Calisto MT"/>
          <w:sz w:val="26"/>
          <w:szCs w:val="26"/>
        </w:rPr>
      </w:pPr>
      <w:bookmarkStart w:id="25" w:name="_Toc328056279"/>
      <w:bookmarkStart w:id="26" w:name="_Toc328056533"/>
      <w:bookmarkStart w:id="27" w:name="_Toc202419682"/>
      <w:bookmarkStart w:id="28" w:name="_Toc328056280"/>
      <w:bookmarkStart w:id="29" w:name="_Toc328056534"/>
      <w:bookmarkStart w:id="30" w:name="_Toc202419683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1441D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Au niveau des </w:t>
      </w:r>
      <w:r w:rsidRPr="00406FA2">
        <w:rPr>
          <w:rFonts w:asciiTheme="majorHAnsi" w:hAnsiTheme="majorHAnsi" w:cs="Calibri"/>
          <w:bCs w:val="0"/>
          <w:color w:val="000000"/>
          <w:sz w:val="28"/>
          <w:szCs w:val="28"/>
        </w:rPr>
        <w:t>finances publiques,</w:t>
      </w:r>
      <w:r w:rsidRPr="001441D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la pandémie et le gel de l’activité économique nationale durant la période de confinement, devraient induire des effets néfastes sur le budget de l’Etat </w:t>
      </w:r>
      <w:r w:rsidR="00463AB4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en termes de recettes </w:t>
      </w:r>
      <w:r w:rsidR="00463AB4" w:rsidRPr="001441DF">
        <w:rPr>
          <w:rFonts w:asciiTheme="majorHAnsi" w:hAnsiTheme="majorHAnsi" w:cs="Calibri"/>
          <w:b w:val="0"/>
          <w:color w:val="000000"/>
          <w:sz w:val="28"/>
          <w:szCs w:val="28"/>
        </w:rPr>
        <w:t>fiscales</w:t>
      </w:r>
      <w:r w:rsidRPr="001441D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. Les mesures prises par le gouvernement </w:t>
      </w:r>
      <w:r w:rsidR="00EB26DB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pour </w:t>
      </w:r>
      <w:r w:rsidR="00463AB4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limiter </w:t>
      </w:r>
      <w:r w:rsidRPr="001441D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la </w:t>
      </w:r>
      <w:r w:rsidR="00463AB4">
        <w:rPr>
          <w:rFonts w:asciiTheme="majorHAnsi" w:hAnsiTheme="majorHAnsi" w:cs="Calibri"/>
          <w:b w:val="0"/>
          <w:color w:val="000000"/>
          <w:sz w:val="28"/>
          <w:szCs w:val="28"/>
        </w:rPr>
        <w:t>propagation du virus,</w:t>
      </w:r>
      <w:r w:rsidRPr="001441D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devraient </w:t>
      </w:r>
      <w:r w:rsidR="006623B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engendrer des dépenses </w:t>
      </w:r>
      <w:r w:rsidR="00810B8E">
        <w:rPr>
          <w:rFonts w:asciiTheme="majorHAnsi" w:hAnsiTheme="majorHAnsi" w:cs="Calibri"/>
          <w:b w:val="0"/>
          <w:color w:val="000000"/>
          <w:sz w:val="28"/>
          <w:szCs w:val="28"/>
        </w:rPr>
        <w:t>supplémentaires</w:t>
      </w:r>
      <w:r w:rsidR="006623B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aux charges ordinaires</w:t>
      </w:r>
      <w:r w:rsidR="0065408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. En </w:t>
      </w:r>
      <w:r w:rsidR="00810B8E">
        <w:rPr>
          <w:rFonts w:asciiTheme="majorHAnsi" w:hAnsiTheme="majorHAnsi" w:cs="Calibri"/>
          <w:b w:val="0"/>
          <w:color w:val="000000"/>
          <w:sz w:val="28"/>
          <w:szCs w:val="28"/>
        </w:rPr>
        <w:t>conséquence</w:t>
      </w:r>
      <w:r w:rsidR="0065408F">
        <w:rPr>
          <w:rFonts w:asciiTheme="majorHAnsi" w:hAnsiTheme="majorHAnsi" w:cs="Calibri"/>
          <w:b w:val="0"/>
          <w:color w:val="000000"/>
          <w:sz w:val="28"/>
          <w:szCs w:val="28"/>
        </w:rPr>
        <w:t>,</w:t>
      </w:r>
      <w:r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le déficit budgétaire </w:t>
      </w:r>
      <w:r w:rsidRPr="001441D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devrait s’accentuer en 2020 pour </w:t>
      </w:r>
      <w:r w:rsidRPr="001441DF">
        <w:rPr>
          <w:rFonts w:asciiTheme="majorHAnsi" w:hAnsiTheme="majorHAnsi" w:cs="Calibri"/>
          <w:b w:val="0"/>
          <w:color w:val="000000"/>
          <w:sz w:val="28"/>
          <w:szCs w:val="28"/>
        </w:rPr>
        <w:lastRenderedPageBreak/>
        <w:t>atteindre près de 7,</w:t>
      </w:r>
      <w:r w:rsidR="005B29F4">
        <w:rPr>
          <w:rFonts w:asciiTheme="majorHAnsi" w:hAnsiTheme="majorHAnsi" w:cs="Calibri"/>
          <w:b w:val="0"/>
          <w:color w:val="000000"/>
          <w:sz w:val="28"/>
          <w:szCs w:val="28"/>
        </w:rPr>
        <w:t>4</w:t>
      </w:r>
      <w:r w:rsidRPr="001441DF">
        <w:rPr>
          <w:rFonts w:asciiTheme="majorHAnsi" w:hAnsiTheme="majorHAnsi" w:cs="Calibri"/>
          <w:b w:val="0"/>
          <w:color w:val="000000"/>
          <w:sz w:val="28"/>
          <w:szCs w:val="28"/>
        </w:rPr>
        <w:t>% du PIB, dépassant largement le niveau atteint en moyenne annuelle entre les années 2011 et 2013, soit 6,1% du PIB.</w:t>
      </w:r>
    </w:p>
    <w:p w:rsidR="00353396" w:rsidRPr="00353396" w:rsidRDefault="001441DF" w:rsidP="00534CAE">
      <w:pPr>
        <w:spacing w:before="240" w:after="120"/>
        <w:ind w:firstLine="709"/>
        <w:jc w:val="both"/>
        <w:rPr>
          <w:rFonts w:asciiTheme="majorHAnsi" w:hAnsiTheme="majorHAnsi" w:cs="Calibri"/>
          <w:b w:val="0"/>
          <w:color w:val="000000"/>
          <w:sz w:val="28"/>
          <w:szCs w:val="28"/>
        </w:rPr>
      </w:pPr>
      <w:r w:rsidRPr="001441D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Pour couvrir ces besoins, le Maroc ferait recours </w:t>
      </w:r>
      <w:r>
        <w:rPr>
          <w:rFonts w:asciiTheme="majorHAnsi" w:hAnsiTheme="majorHAnsi" w:cs="Calibri"/>
          <w:b w:val="0"/>
          <w:color w:val="000000"/>
          <w:sz w:val="28"/>
          <w:szCs w:val="28"/>
        </w:rPr>
        <w:t>aux emprunts extérieurs,</w:t>
      </w:r>
      <w:r w:rsidRPr="001441D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dépassant le plafond des financements extérieurs fixé par la loi des finances 2020 à </w:t>
      </w:r>
      <w:r w:rsidR="00353396">
        <w:rPr>
          <w:rFonts w:asciiTheme="majorHAnsi" w:hAnsiTheme="majorHAnsi" w:cs="Calibri"/>
          <w:b w:val="0"/>
          <w:color w:val="000000"/>
          <w:sz w:val="28"/>
          <w:szCs w:val="28"/>
        </w:rPr>
        <w:t>31 MMDH</w:t>
      </w:r>
      <w:r w:rsidRPr="001441D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. Ces conditions devraient porter l’encours de </w:t>
      </w:r>
      <w:r w:rsidRPr="006A1255">
        <w:rPr>
          <w:rFonts w:asciiTheme="majorHAnsi" w:hAnsiTheme="majorHAnsi" w:cs="Calibri"/>
          <w:bCs w:val="0"/>
          <w:color w:val="000000"/>
          <w:sz w:val="28"/>
          <w:szCs w:val="28"/>
        </w:rPr>
        <w:t>l’endettement global du trésor</w:t>
      </w:r>
      <w:r w:rsidRPr="00353396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</w:t>
      </w:r>
      <w:r w:rsidR="00353396" w:rsidRPr="00353396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à </w:t>
      </w:r>
      <w:r w:rsidRPr="00353396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74,4% du PIB en 2020. </w:t>
      </w:r>
      <w:r w:rsidR="00353396" w:rsidRPr="00353396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S’ajoutant à la part </w:t>
      </w:r>
      <w:r w:rsidRPr="00353396">
        <w:rPr>
          <w:rFonts w:asciiTheme="majorHAnsi" w:hAnsiTheme="majorHAnsi" w:cs="Calibri"/>
          <w:b w:val="0"/>
          <w:color w:val="000000"/>
          <w:sz w:val="28"/>
          <w:szCs w:val="28"/>
        </w:rPr>
        <w:t>de la dette extérieure garantie, la dette publique globale dépasserait le seuil de 90% du PIB, en hausse de près de dix points par rapport à un an auparavant.</w:t>
      </w:r>
    </w:p>
    <w:p w:rsidR="001441DF" w:rsidRPr="00353396" w:rsidRDefault="00353396" w:rsidP="00810B8E">
      <w:pPr>
        <w:spacing w:before="240" w:after="120"/>
        <w:ind w:firstLine="709"/>
        <w:jc w:val="both"/>
        <w:rPr>
          <w:rFonts w:asciiTheme="majorHAnsi" w:hAnsiTheme="majorHAnsi" w:cs="Calibri"/>
          <w:b w:val="0"/>
          <w:color w:val="000000"/>
          <w:sz w:val="28"/>
          <w:szCs w:val="28"/>
        </w:rPr>
      </w:pPr>
      <w:r w:rsidRPr="00353396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De son côté le </w:t>
      </w:r>
      <w:r w:rsidRPr="006A1255">
        <w:rPr>
          <w:rFonts w:asciiTheme="majorHAnsi" w:hAnsiTheme="majorHAnsi" w:cs="Calibri"/>
          <w:bCs w:val="0"/>
          <w:color w:val="000000"/>
          <w:sz w:val="28"/>
          <w:szCs w:val="28"/>
        </w:rPr>
        <w:t>marché monétaire</w:t>
      </w:r>
      <w:r w:rsidRPr="00353396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devrait subir les effets de la baisse des flux nets financiers. Ce</w:t>
      </w:r>
      <w:r w:rsidR="004F6026">
        <w:rPr>
          <w:rFonts w:asciiTheme="majorHAnsi" w:hAnsiTheme="majorHAnsi" w:cs="Calibri"/>
          <w:b w:val="0"/>
          <w:color w:val="000000"/>
          <w:sz w:val="28"/>
          <w:szCs w:val="28"/>
        </w:rPr>
        <w:t>ci</w:t>
      </w:r>
      <w:r w:rsidRPr="00353396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devrait engendrer un repli des stocks en devises en 2020 à près de 212 MMDH (non compris l’utilisation de la Ligne de Précaution de la Liquidité de 3 MM do</w:t>
      </w:r>
      <w:r w:rsidR="00810B8E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llars du FMI). Tenant compte </w:t>
      </w:r>
      <w:r w:rsidR="00534CAE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d’une </w:t>
      </w:r>
      <w:r w:rsidR="00810B8E">
        <w:rPr>
          <w:rFonts w:asciiTheme="majorHAnsi" w:hAnsiTheme="majorHAnsi" w:cs="Calibri"/>
          <w:b w:val="0"/>
          <w:color w:val="000000"/>
          <w:sz w:val="28"/>
          <w:szCs w:val="28"/>
        </w:rPr>
        <w:t>amélioration</w:t>
      </w:r>
      <w:r w:rsidR="00534CAE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des créances à l’économie de </w:t>
      </w:r>
      <w:r w:rsidR="00810B8E">
        <w:rPr>
          <w:rFonts w:asciiTheme="majorHAnsi" w:hAnsiTheme="majorHAnsi" w:cs="Calibri"/>
          <w:b w:val="0"/>
          <w:color w:val="000000"/>
          <w:sz w:val="28"/>
          <w:szCs w:val="28"/>
        </w:rPr>
        <w:t>près</w:t>
      </w:r>
      <w:r w:rsidR="00534CAE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de 4,9% suite aux mesures </w:t>
      </w:r>
      <w:r w:rsidR="004F6026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d’assouplissement monétaire </w:t>
      </w:r>
      <w:r w:rsidR="00534CAE">
        <w:rPr>
          <w:rFonts w:asciiTheme="majorHAnsi" w:hAnsiTheme="majorHAnsi" w:cs="Calibri"/>
          <w:b w:val="0"/>
          <w:color w:val="000000"/>
          <w:sz w:val="28"/>
          <w:szCs w:val="28"/>
        </w:rPr>
        <w:t>mises en œuvre,</w:t>
      </w:r>
      <w:r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la création monétaire en 2020 devrait augmenter de </w:t>
      </w:r>
      <w:r w:rsidRPr="00353396">
        <w:rPr>
          <w:rFonts w:asciiTheme="majorHAnsi" w:hAnsiTheme="majorHAnsi" w:cs="Calibri"/>
          <w:b w:val="0"/>
          <w:color w:val="000000"/>
          <w:sz w:val="28"/>
          <w:szCs w:val="28"/>
        </w:rPr>
        <w:t>1,6% en 2020 au lieu de 3,8% en 2019.</w:t>
      </w:r>
    </w:p>
    <w:bookmarkEnd w:id="25"/>
    <w:bookmarkEnd w:id="26"/>
    <w:bookmarkEnd w:id="27"/>
    <w:p w:rsidR="00834491" w:rsidRPr="00B4080B" w:rsidRDefault="00834491" w:rsidP="00834491">
      <w:pPr>
        <w:spacing w:before="240" w:after="120"/>
        <w:ind w:firstLine="709"/>
        <w:jc w:val="both"/>
        <w:rPr>
          <w:rFonts w:asciiTheme="majorHAnsi" w:hAnsiTheme="majorHAnsi" w:cs="Calibri"/>
          <w:b w:val="0"/>
          <w:color w:val="000000"/>
          <w:sz w:val="28"/>
          <w:szCs w:val="28"/>
        </w:rPr>
      </w:pPr>
      <w:r>
        <w:rPr>
          <w:rFonts w:asciiTheme="majorHAnsi" w:hAnsiTheme="majorHAnsi" w:cs="Calibri"/>
          <w:b w:val="0"/>
          <w:color w:val="000000"/>
          <w:sz w:val="28"/>
          <w:szCs w:val="28"/>
        </w:rPr>
        <w:t>En 2021, l</w:t>
      </w:r>
      <w:r w:rsidRPr="00B4080B">
        <w:rPr>
          <w:rFonts w:asciiTheme="majorHAnsi" w:hAnsiTheme="majorHAnsi" w:cs="Calibri"/>
          <w:b w:val="0"/>
          <w:color w:val="000000"/>
          <w:sz w:val="28"/>
          <w:szCs w:val="28"/>
        </w:rPr>
        <w:t>es perspectives économiques établies  supposent la fin de la pandémie du covid-19 en décembre 2020 et se basent sur un scenario moyen de la production agricole durant la campagne 2020/2021. Ces prévisions prennent également en considération les nouvelles tendances de l’environnement international, notamment l’évolution des prix des matières premières et de la demande mondiale adressée au Maroc.</w:t>
      </w:r>
    </w:p>
    <w:p w:rsidR="00834491" w:rsidRDefault="00834491" w:rsidP="004F6026">
      <w:pPr>
        <w:spacing w:before="240" w:after="120"/>
        <w:ind w:firstLine="709"/>
        <w:jc w:val="both"/>
        <w:rPr>
          <w:rFonts w:asciiTheme="majorHAnsi" w:hAnsiTheme="majorHAnsi" w:cs="Calibri"/>
          <w:b w:val="0"/>
          <w:color w:val="000000"/>
          <w:sz w:val="28"/>
          <w:szCs w:val="28"/>
        </w:rPr>
      </w:pPr>
      <w:r w:rsidRPr="00B4080B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Sur la base de ces hypothèses, </w:t>
      </w:r>
      <w:r w:rsidRPr="00B4080B">
        <w:rPr>
          <w:rFonts w:asciiTheme="majorHAnsi" w:hAnsiTheme="majorHAnsi" w:cs="Calibri"/>
          <w:bCs w:val="0"/>
          <w:color w:val="000000"/>
          <w:sz w:val="28"/>
          <w:szCs w:val="28"/>
        </w:rPr>
        <w:t>le secteur primaire</w:t>
      </w:r>
      <w:r w:rsidRPr="00B4080B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devrait connaitre une hausse de l’ordre de 9,1% en 2021 au lieu d’une baisse de 5,7% attendue en 2020. </w:t>
      </w:r>
      <w:r w:rsidRPr="00B4080B">
        <w:rPr>
          <w:rFonts w:asciiTheme="majorHAnsi" w:hAnsiTheme="majorHAnsi" w:cs="Calibri"/>
          <w:bCs w:val="0"/>
          <w:color w:val="000000"/>
          <w:sz w:val="28"/>
          <w:szCs w:val="28"/>
        </w:rPr>
        <w:t>Les activités non agricoles</w:t>
      </w:r>
      <w:r w:rsidRPr="00B4080B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devraient enregistrer un rythme d’accroissement modéré de l’ordre de 3,6% en 2021 au lieu d’une baisse de 5,3% en 2020, en raison, notamment, de la </w:t>
      </w:r>
      <w:r w:rsidR="004F6026">
        <w:rPr>
          <w:rFonts w:asciiTheme="majorHAnsi" w:hAnsiTheme="majorHAnsi" w:cs="Calibri"/>
          <w:b w:val="0"/>
          <w:color w:val="000000"/>
          <w:sz w:val="28"/>
          <w:szCs w:val="28"/>
        </w:rPr>
        <w:t>reprise timide attendue</w:t>
      </w:r>
      <w:r w:rsidRPr="00B4080B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des secteurs des services et du BTP et des industries de transformation.</w:t>
      </w:r>
    </w:p>
    <w:p w:rsidR="00B4080B" w:rsidRPr="00B4080B" w:rsidRDefault="00B4080B" w:rsidP="00810B8E">
      <w:pPr>
        <w:spacing w:before="240" w:after="120"/>
        <w:ind w:firstLine="709"/>
        <w:jc w:val="both"/>
        <w:rPr>
          <w:rFonts w:asciiTheme="majorHAnsi" w:hAnsiTheme="majorHAnsi" w:cs="Calibri"/>
          <w:b w:val="0"/>
          <w:color w:val="000000"/>
          <w:sz w:val="28"/>
          <w:szCs w:val="28"/>
        </w:rPr>
      </w:pPr>
      <w:r w:rsidRPr="00B4080B">
        <w:rPr>
          <w:rFonts w:asciiTheme="majorHAnsi" w:hAnsiTheme="majorHAnsi" w:cs="Calibri"/>
          <w:b w:val="0"/>
          <w:color w:val="000000"/>
          <w:sz w:val="28"/>
          <w:szCs w:val="28"/>
        </w:rPr>
        <w:t>Compte tenu d’une évolution de 4,9% des impôts et taxes sur produits nets de subventions</w:t>
      </w:r>
      <w:r w:rsidR="0008006E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au lieu d’une baisse de 9% prévu en 2020</w:t>
      </w:r>
      <w:r w:rsidRPr="00B4080B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, </w:t>
      </w:r>
      <w:r w:rsidRPr="00B4080B">
        <w:rPr>
          <w:rFonts w:asciiTheme="majorHAnsi" w:hAnsiTheme="majorHAnsi" w:cs="Calibri"/>
          <w:bCs w:val="0"/>
          <w:color w:val="000000"/>
          <w:sz w:val="28"/>
          <w:szCs w:val="28"/>
        </w:rPr>
        <w:t>le Produit Intérieur Brut</w:t>
      </w:r>
      <w:r w:rsidRPr="00B4080B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devrait enregistrer </w:t>
      </w:r>
      <w:r w:rsidR="00347F41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une </w:t>
      </w:r>
      <w:r w:rsidRPr="00B4080B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croissance de </w:t>
      </w:r>
      <w:r w:rsidRPr="00834491">
        <w:rPr>
          <w:rFonts w:asciiTheme="majorHAnsi" w:hAnsiTheme="majorHAnsi" w:cs="Calibri"/>
          <w:bCs w:val="0"/>
          <w:color w:val="000000"/>
          <w:sz w:val="28"/>
          <w:szCs w:val="28"/>
        </w:rPr>
        <w:t>4,4% en 2021 après une ré</w:t>
      </w:r>
      <w:r w:rsidR="00810B8E">
        <w:rPr>
          <w:rFonts w:asciiTheme="majorHAnsi" w:hAnsiTheme="majorHAnsi" w:cs="Calibri"/>
          <w:bCs w:val="0"/>
          <w:color w:val="000000"/>
          <w:sz w:val="28"/>
          <w:szCs w:val="28"/>
        </w:rPr>
        <w:t>gression</w:t>
      </w:r>
      <w:r w:rsidRPr="00834491">
        <w:rPr>
          <w:rFonts w:asciiTheme="majorHAnsi" w:hAnsiTheme="majorHAnsi" w:cs="Calibri"/>
          <w:bCs w:val="0"/>
          <w:color w:val="000000"/>
          <w:sz w:val="28"/>
          <w:szCs w:val="28"/>
        </w:rPr>
        <w:t xml:space="preserve"> de 5,8%</w:t>
      </w:r>
      <w:r w:rsidRPr="00B4080B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attendue en 2020. En terme nominal, le Produit Intérieur Brut devrait enregistrer une progression de 5,</w:t>
      </w:r>
      <w:r w:rsidR="004F6026">
        <w:rPr>
          <w:rFonts w:asciiTheme="majorHAnsi" w:hAnsiTheme="majorHAnsi" w:cs="Calibri"/>
          <w:b w:val="0"/>
          <w:color w:val="000000"/>
          <w:sz w:val="28"/>
          <w:szCs w:val="28"/>
        </w:rPr>
        <w:t>6</w:t>
      </w:r>
      <w:r w:rsidRPr="00B4080B">
        <w:rPr>
          <w:rFonts w:asciiTheme="majorHAnsi" w:hAnsiTheme="majorHAnsi" w:cs="Calibri"/>
          <w:b w:val="0"/>
          <w:color w:val="000000"/>
          <w:sz w:val="28"/>
          <w:szCs w:val="28"/>
        </w:rPr>
        <w:t>%</w:t>
      </w:r>
      <w:r w:rsidR="00810B8E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en 2021</w:t>
      </w:r>
      <w:r w:rsidRPr="00B4080B">
        <w:rPr>
          <w:rFonts w:asciiTheme="majorHAnsi" w:hAnsiTheme="majorHAnsi" w:cs="Calibri"/>
          <w:b w:val="0"/>
          <w:color w:val="000000"/>
          <w:sz w:val="28"/>
          <w:szCs w:val="28"/>
        </w:rPr>
        <w:t>. Cette évolution fait ressortir une légère hausse de l’inflation, mesurée par l’indice implicite du PIB de 1,2</w:t>
      </w:r>
      <w:r>
        <w:rPr>
          <w:rFonts w:asciiTheme="majorHAnsi" w:hAnsiTheme="majorHAnsi" w:cs="Calibri"/>
          <w:b w:val="0"/>
          <w:color w:val="000000"/>
          <w:sz w:val="28"/>
          <w:szCs w:val="28"/>
        </w:rPr>
        <w:t>% en 2021</w:t>
      </w:r>
      <w:r w:rsidRPr="00B4080B">
        <w:rPr>
          <w:rFonts w:asciiTheme="majorHAnsi" w:hAnsiTheme="majorHAnsi" w:cs="Calibri"/>
          <w:b w:val="0"/>
          <w:color w:val="000000"/>
          <w:sz w:val="28"/>
          <w:szCs w:val="28"/>
        </w:rPr>
        <w:t>.</w:t>
      </w:r>
    </w:p>
    <w:p w:rsidR="00B4080B" w:rsidRPr="00B4080B" w:rsidRDefault="00B4080B" w:rsidP="00914FC2">
      <w:pPr>
        <w:spacing w:before="240" w:after="120"/>
        <w:ind w:firstLine="709"/>
        <w:jc w:val="both"/>
        <w:rPr>
          <w:rFonts w:asciiTheme="majorHAnsi" w:hAnsiTheme="majorHAnsi" w:cs="Calibri"/>
          <w:b w:val="0"/>
          <w:color w:val="000000"/>
          <w:sz w:val="28"/>
          <w:szCs w:val="28"/>
        </w:rPr>
      </w:pPr>
      <w:r w:rsidRPr="00B4080B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La croissance économique devrait être soutenue en 2021 par la reprise de </w:t>
      </w:r>
      <w:r w:rsidRPr="00B4080B">
        <w:rPr>
          <w:rFonts w:asciiTheme="majorHAnsi" w:hAnsiTheme="majorHAnsi" w:cs="Calibri"/>
          <w:bCs w:val="0"/>
          <w:color w:val="000000"/>
          <w:sz w:val="28"/>
          <w:szCs w:val="28"/>
        </w:rPr>
        <w:t>la demande intérieure</w:t>
      </w:r>
      <w:r w:rsidR="00347F41">
        <w:rPr>
          <w:rFonts w:asciiTheme="majorHAnsi" w:hAnsiTheme="majorHAnsi" w:cs="Calibri"/>
          <w:bCs w:val="0"/>
          <w:color w:val="000000"/>
          <w:sz w:val="28"/>
          <w:szCs w:val="28"/>
        </w:rPr>
        <w:t xml:space="preserve"> </w:t>
      </w:r>
      <w:r w:rsidR="00914FC2" w:rsidRPr="00B4080B">
        <w:rPr>
          <w:rFonts w:asciiTheme="majorHAnsi" w:hAnsiTheme="majorHAnsi" w:cs="Calibri"/>
          <w:b w:val="0"/>
          <w:color w:val="000000"/>
          <w:sz w:val="28"/>
          <w:szCs w:val="28"/>
        </w:rPr>
        <w:t>contribuant pour 4,8 points à la croissance économique</w:t>
      </w:r>
      <w:r w:rsidRPr="00B4080B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, au moment où la contribution de </w:t>
      </w:r>
      <w:r w:rsidRPr="00914FC2">
        <w:rPr>
          <w:rFonts w:asciiTheme="majorHAnsi" w:hAnsiTheme="majorHAnsi" w:cs="Calibri"/>
          <w:bCs w:val="0"/>
          <w:color w:val="000000"/>
          <w:sz w:val="28"/>
          <w:szCs w:val="28"/>
        </w:rPr>
        <w:t xml:space="preserve">la demande </w:t>
      </w:r>
      <w:r w:rsidRPr="00914FC2">
        <w:rPr>
          <w:rFonts w:asciiTheme="majorHAnsi" w:hAnsiTheme="majorHAnsi" w:cs="Calibri"/>
          <w:bCs w:val="0"/>
          <w:color w:val="000000"/>
          <w:sz w:val="28"/>
          <w:szCs w:val="28"/>
        </w:rPr>
        <w:lastRenderedPageBreak/>
        <w:t xml:space="preserve">extérieure </w:t>
      </w:r>
      <w:r w:rsidRPr="00B4080B">
        <w:rPr>
          <w:rFonts w:asciiTheme="majorHAnsi" w:hAnsiTheme="majorHAnsi" w:cs="Calibri"/>
          <w:b w:val="0"/>
          <w:color w:val="000000"/>
          <w:sz w:val="28"/>
          <w:szCs w:val="28"/>
        </w:rPr>
        <w:t>devrait rester négative avec -0,4 point en amélioration par rapport à -1,4 point en 2020.</w:t>
      </w:r>
    </w:p>
    <w:p w:rsidR="00B4080B" w:rsidRPr="00D3608F" w:rsidRDefault="00B4080B" w:rsidP="005B29F4">
      <w:pPr>
        <w:spacing w:before="240" w:after="120"/>
        <w:ind w:firstLine="709"/>
        <w:jc w:val="both"/>
        <w:rPr>
          <w:rFonts w:asciiTheme="majorHAnsi" w:hAnsiTheme="majorHAnsi" w:cs="Calibri"/>
          <w:b w:val="0"/>
          <w:color w:val="000000"/>
          <w:sz w:val="28"/>
          <w:szCs w:val="28"/>
        </w:rPr>
      </w:pPr>
      <w:r w:rsidRPr="00B4080B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L’évolution </w:t>
      </w:r>
      <w:r w:rsidRPr="003775F5">
        <w:rPr>
          <w:rFonts w:asciiTheme="majorHAnsi" w:hAnsiTheme="majorHAnsi" w:cs="Calibri"/>
          <w:bCs w:val="0"/>
          <w:color w:val="000000"/>
          <w:sz w:val="28"/>
          <w:szCs w:val="28"/>
        </w:rPr>
        <w:t>des finances publiques</w:t>
      </w:r>
      <w:r w:rsidRPr="00B4080B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en 2021 suppose</w:t>
      </w:r>
      <w:r w:rsidR="003775F5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l’</w:t>
      </w:r>
      <w:r w:rsidRPr="00B4080B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augmentation des dépenses publiques, </w:t>
      </w:r>
      <w:r w:rsidR="004F6026">
        <w:rPr>
          <w:rFonts w:asciiTheme="majorHAnsi" w:hAnsiTheme="majorHAnsi" w:cs="Calibri"/>
          <w:b w:val="0"/>
          <w:color w:val="000000"/>
          <w:sz w:val="28"/>
          <w:szCs w:val="28"/>
        </w:rPr>
        <w:t>liées aux</w:t>
      </w:r>
      <w:r w:rsidRPr="00B4080B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mesures nécessaires pour la dynamisation et la relance de l’activité économique qui à son tour devrait entrainer une amélioration des recettes fiscales. Dans ces conditions, </w:t>
      </w:r>
      <w:r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le </w:t>
      </w:r>
      <w:r w:rsidRPr="00D3608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déficit budgétaire </w:t>
      </w:r>
      <w:r w:rsidR="00D3608F" w:rsidRPr="00D3608F">
        <w:rPr>
          <w:rFonts w:asciiTheme="majorHAnsi" w:hAnsiTheme="majorHAnsi" w:cs="Calibri"/>
          <w:b w:val="0"/>
          <w:color w:val="000000"/>
          <w:sz w:val="28"/>
          <w:szCs w:val="28"/>
        </w:rPr>
        <w:t>serait de 5</w:t>
      </w:r>
      <w:r w:rsidRPr="00D3608F">
        <w:rPr>
          <w:rFonts w:asciiTheme="majorHAnsi" w:hAnsiTheme="majorHAnsi" w:cs="Calibri"/>
          <w:b w:val="0"/>
          <w:color w:val="000000"/>
          <w:sz w:val="28"/>
          <w:szCs w:val="28"/>
        </w:rPr>
        <w:t>% du PIB en 2021 au lieu de 7,</w:t>
      </w:r>
      <w:r w:rsidR="005B29F4">
        <w:rPr>
          <w:rFonts w:asciiTheme="majorHAnsi" w:hAnsiTheme="majorHAnsi" w:cs="Calibri"/>
          <w:b w:val="0"/>
          <w:color w:val="000000"/>
          <w:sz w:val="28"/>
          <w:szCs w:val="28"/>
        </w:rPr>
        <w:t>4</w:t>
      </w:r>
      <w:r w:rsidRPr="00D3608F">
        <w:rPr>
          <w:rFonts w:asciiTheme="majorHAnsi" w:hAnsiTheme="majorHAnsi" w:cs="Calibri"/>
          <w:b w:val="0"/>
          <w:color w:val="000000"/>
          <w:sz w:val="28"/>
          <w:szCs w:val="28"/>
        </w:rPr>
        <w:t>% attendu en 2020.  Pour couvrir ce besoin de financement, le Maroc devrait effectuer une nouvelle sor</w:t>
      </w:r>
      <w:r w:rsidR="00D3608F" w:rsidRPr="00D3608F">
        <w:rPr>
          <w:rFonts w:asciiTheme="majorHAnsi" w:hAnsiTheme="majorHAnsi" w:cs="Calibri"/>
          <w:b w:val="0"/>
          <w:color w:val="000000"/>
          <w:sz w:val="28"/>
          <w:szCs w:val="28"/>
        </w:rPr>
        <w:t>tie sur le marché international</w:t>
      </w:r>
      <w:r w:rsidRPr="00D3608F">
        <w:rPr>
          <w:rFonts w:asciiTheme="majorHAnsi" w:hAnsiTheme="majorHAnsi" w:cs="Calibri"/>
          <w:b w:val="0"/>
          <w:color w:val="000000"/>
          <w:sz w:val="28"/>
          <w:szCs w:val="28"/>
        </w:rPr>
        <w:t>. Ainsi, le taux d’endettement du Trésor devrait rester élevé pour atteindre près de 72,3% du PIB. Tenant compte de la dette garantie, la dette publique globale serait po</w:t>
      </w:r>
      <w:r w:rsidR="00D3608F" w:rsidRPr="00D3608F">
        <w:rPr>
          <w:rFonts w:asciiTheme="majorHAnsi" w:hAnsiTheme="majorHAnsi" w:cs="Calibri"/>
          <w:b w:val="0"/>
          <w:color w:val="000000"/>
          <w:sz w:val="28"/>
          <w:szCs w:val="28"/>
        </w:rPr>
        <w:t>r</w:t>
      </w:r>
      <w:r w:rsidRPr="00D3608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tée à 89,9% du PIB au lieu de 92% attendu en 2020.  </w:t>
      </w:r>
    </w:p>
    <w:p w:rsidR="00B4080B" w:rsidRPr="00D3608F" w:rsidRDefault="00B4080B" w:rsidP="00D3608F">
      <w:pPr>
        <w:spacing w:before="240" w:after="120"/>
        <w:ind w:firstLine="709"/>
        <w:jc w:val="both"/>
        <w:rPr>
          <w:rFonts w:asciiTheme="majorHAnsi" w:hAnsiTheme="majorHAnsi" w:cs="Calibri"/>
          <w:b w:val="0"/>
          <w:color w:val="000000"/>
          <w:sz w:val="28"/>
          <w:szCs w:val="28"/>
        </w:rPr>
      </w:pPr>
      <w:r w:rsidRPr="00D3608F">
        <w:rPr>
          <w:rFonts w:asciiTheme="majorHAnsi" w:hAnsiTheme="majorHAnsi" w:cs="Calibri"/>
          <w:b w:val="0"/>
          <w:color w:val="000000"/>
          <w:sz w:val="28"/>
          <w:szCs w:val="28"/>
        </w:rPr>
        <w:t>Les mesures d’assouplissement de la politique monétaire entamées en juin 2020 devraient se transmettre à l’économie nationale à travers leurs impacts sur les taux d’intérêt et sur les anticipations des agents économiques. Ces évolutions associée</w:t>
      </w:r>
      <w:bookmarkStart w:id="31" w:name="_GoBack"/>
      <w:bookmarkEnd w:id="31"/>
      <w:r w:rsidRPr="00D3608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s aux perspectives de l’amélioration attendue des activités économiques en 2021, devraient stimuler les crédits bancaires, </w:t>
      </w:r>
      <w:r w:rsidR="00D3608F" w:rsidRPr="00D3608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et permettraient d’améliorer </w:t>
      </w:r>
      <w:r w:rsidRPr="007D5F19">
        <w:rPr>
          <w:rFonts w:asciiTheme="majorHAnsi" w:hAnsiTheme="majorHAnsi" w:cs="Calibri"/>
          <w:bCs w:val="0"/>
          <w:color w:val="000000"/>
          <w:sz w:val="28"/>
          <w:szCs w:val="28"/>
        </w:rPr>
        <w:t>la masse monétaire de 4,9%</w:t>
      </w:r>
      <w:r w:rsidRPr="00D3608F">
        <w:rPr>
          <w:rFonts w:asciiTheme="majorHAnsi" w:hAnsiTheme="majorHAnsi" w:cs="Calibri"/>
          <w:b w:val="0"/>
          <w:color w:val="000000"/>
          <w:sz w:val="28"/>
          <w:szCs w:val="28"/>
        </w:rPr>
        <w:t xml:space="preserve"> au lieu de 1,6% prévue l’année en cours.</w:t>
      </w:r>
    </w:p>
    <w:p w:rsidR="00970A07" w:rsidRPr="00407B6F" w:rsidRDefault="00B4080B" w:rsidP="00D3608F">
      <w:pPr>
        <w:spacing w:before="240" w:after="120"/>
        <w:ind w:firstLine="709"/>
        <w:jc w:val="both"/>
        <w:rPr>
          <w:rFonts w:asciiTheme="majorHAnsi" w:hAnsiTheme="majorHAnsi"/>
          <w:color w:val="00B050"/>
          <w:sz w:val="28"/>
          <w:szCs w:val="28"/>
        </w:rPr>
      </w:pPr>
      <w:r w:rsidRPr="00D3608F">
        <w:rPr>
          <w:rFonts w:asciiTheme="majorHAnsi" w:hAnsiTheme="majorHAnsi" w:cs="Calibri"/>
          <w:b w:val="0"/>
          <w:color w:val="000000"/>
          <w:sz w:val="28"/>
          <w:szCs w:val="28"/>
        </w:rPr>
        <w:t> </w:t>
      </w:r>
      <w:bookmarkEnd w:id="28"/>
      <w:bookmarkEnd w:id="29"/>
      <w:bookmarkEnd w:id="30"/>
    </w:p>
    <w:sectPr w:rsidR="00970A07" w:rsidRPr="00407B6F" w:rsidSect="00700E1F">
      <w:footerReference w:type="even" r:id="rId8"/>
      <w:footerReference w:type="default" r:id="rId9"/>
      <w:headerReference w:type="first" r:id="rId10"/>
      <w:pgSz w:w="11906" w:h="16838" w:code="9"/>
      <w:pgMar w:top="5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92C" w:rsidRDefault="003B792C">
      <w:r>
        <w:separator/>
      </w:r>
    </w:p>
  </w:endnote>
  <w:endnote w:type="continuationSeparator" w:id="0">
    <w:p w:rsidR="003B792C" w:rsidRDefault="003B7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B11" w:rsidRDefault="00520653" w:rsidP="0062599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84B11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484B11" w:rsidRDefault="00484B11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B11" w:rsidRDefault="00520653" w:rsidP="0062599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484B11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17A45">
      <w:rPr>
        <w:rStyle w:val="Numrodepage"/>
        <w:noProof/>
      </w:rPr>
      <w:t>2</w:t>
    </w:r>
    <w:r>
      <w:rPr>
        <w:rStyle w:val="Numrodepage"/>
      </w:rPr>
      <w:fldChar w:fldCharType="end"/>
    </w:r>
  </w:p>
  <w:p w:rsidR="00484B11" w:rsidRDefault="00484B1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92C" w:rsidRDefault="003B792C">
      <w:r>
        <w:separator/>
      </w:r>
    </w:p>
  </w:footnote>
  <w:footnote w:type="continuationSeparator" w:id="0">
    <w:p w:rsidR="003B792C" w:rsidRDefault="003B79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B11" w:rsidRDefault="00520653">
    <w:pPr>
      <w:pStyle w:val="En-tte"/>
    </w:pPr>
    <w:r>
      <w:rPr>
        <w:noProof/>
      </w:rPr>
      <w:pict>
        <v:rect id="_x0000_s2049" style="position:absolute;margin-left:-124.9pt;margin-top:-35.8pt;width:685.25pt;height:405.75pt;z-index:251657728" o:preferrelative="t" filled="f" stroked="f" insetpen="t" o:cliptowrap="t">
          <v:imagedata r:id="rId1" o:title=""/>
          <v:path o:extrusionok="f"/>
          <o:lock v:ext="edit" aspectratio="t"/>
          <w10:wrap anchorx="page"/>
        </v:rect>
        <o:OLEObject Type="Embed" ProgID="PBrush" ShapeID="_x0000_s2049" DrawAspect="Content" ObjectID="_1656078336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6518"/>
    <w:multiLevelType w:val="hybridMultilevel"/>
    <w:tmpl w:val="B7B63772"/>
    <w:lvl w:ilvl="0" w:tplc="76E6F0C0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07143F"/>
    <w:multiLevelType w:val="hybridMultilevel"/>
    <w:tmpl w:val="8CE25D40"/>
    <w:lvl w:ilvl="0" w:tplc="040C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4B622B61"/>
    <w:multiLevelType w:val="hybridMultilevel"/>
    <w:tmpl w:val="D9CC19A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ECE7CF9"/>
    <w:multiLevelType w:val="hybridMultilevel"/>
    <w:tmpl w:val="4BAEA0D0"/>
    <w:lvl w:ilvl="0" w:tplc="6A326FB8">
      <w:numFmt w:val="bullet"/>
      <w:lvlText w:val="-"/>
      <w:lvlJc w:val="left"/>
      <w:pPr>
        <w:ind w:left="1069" w:hanging="360"/>
      </w:pPr>
      <w:rPr>
        <w:rFonts w:ascii="Book Antiqua" w:eastAsia="Times New Roman" w:hAnsi="Book Antiqua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6EE6382C"/>
    <w:multiLevelType w:val="hybridMultilevel"/>
    <w:tmpl w:val="7AF6D69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A161D4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05B3C"/>
    <w:rsid w:val="00000AD0"/>
    <w:rsid w:val="0000227D"/>
    <w:rsid w:val="00003428"/>
    <w:rsid w:val="000037C6"/>
    <w:rsid w:val="00003817"/>
    <w:rsid w:val="0000386B"/>
    <w:rsid w:val="00003D85"/>
    <w:rsid w:val="00004092"/>
    <w:rsid w:val="00004494"/>
    <w:rsid w:val="0000502A"/>
    <w:rsid w:val="00005A17"/>
    <w:rsid w:val="000070EA"/>
    <w:rsid w:val="00010068"/>
    <w:rsid w:val="00010D0C"/>
    <w:rsid w:val="000111C9"/>
    <w:rsid w:val="000112E3"/>
    <w:rsid w:val="00011C0A"/>
    <w:rsid w:val="000159F8"/>
    <w:rsid w:val="00016BE6"/>
    <w:rsid w:val="00016D3A"/>
    <w:rsid w:val="00017469"/>
    <w:rsid w:val="0001750F"/>
    <w:rsid w:val="0001766B"/>
    <w:rsid w:val="00017F2E"/>
    <w:rsid w:val="00020A6A"/>
    <w:rsid w:val="00021169"/>
    <w:rsid w:val="000213EE"/>
    <w:rsid w:val="00021B64"/>
    <w:rsid w:val="00021E4F"/>
    <w:rsid w:val="00023BAF"/>
    <w:rsid w:val="00023C98"/>
    <w:rsid w:val="00023CD4"/>
    <w:rsid w:val="00023F6B"/>
    <w:rsid w:val="00024347"/>
    <w:rsid w:val="0002444E"/>
    <w:rsid w:val="000247CD"/>
    <w:rsid w:val="00025688"/>
    <w:rsid w:val="00026D66"/>
    <w:rsid w:val="00026EBF"/>
    <w:rsid w:val="00027140"/>
    <w:rsid w:val="00031CF7"/>
    <w:rsid w:val="00032355"/>
    <w:rsid w:val="00032ACC"/>
    <w:rsid w:val="00033504"/>
    <w:rsid w:val="00034F86"/>
    <w:rsid w:val="00036070"/>
    <w:rsid w:val="000363EA"/>
    <w:rsid w:val="0003651F"/>
    <w:rsid w:val="00037CD6"/>
    <w:rsid w:val="0004065F"/>
    <w:rsid w:val="000409A5"/>
    <w:rsid w:val="00040BF0"/>
    <w:rsid w:val="0004118A"/>
    <w:rsid w:val="000423A8"/>
    <w:rsid w:val="0004242B"/>
    <w:rsid w:val="0004263B"/>
    <w:rsid w:val="00043207"/>
    <w:rsid w:val="00043526"/>
    <w:rsid w:val="00043B9A"/>
    <w:rsid w:val="00044373"/>
    <w:rsid w:val="00044433"/>
    <w:rsid w:val="00044B74"/>
    <w:rsid w:val="00044CEB"/>
    <w:rsid w:val="00045358"/>
    <w:rsid w:val="00045453"/>
    <w:rsid w:val="00045E32"/>
    <w:rsid w:val="0004656B"/>
    <w:rsid w:val="00046635"/>
    <w:rsid w:val="00046B52"/>
    <w:rsid w:val="00046E6F"/>
    <w:rsid w:val="000470D4"/>
    <w:rsid w:val="00050BA0"/>
    <w:rsid w:val="00051090"/>
    <w:rsid w:val="00051741"/>
    <w:rsid w:val="00051786"/>
    <w:rsid w:val="00053E04"/>
    <w:rsid w:val="00054110"/>
    <w:rsid w:val="00054712"/>
    <w:rsid w:val="00055212"/>
    <w:rsid w:val="00055216"/>
    <w:rsid w:val="0005539E"/>
    <w:rsid w:val="00056625"/>
    <w:rsid w:val="000577D4"/>
    <w:rsid w:val="00057878"/>
    <w:rsid w:val="00057B80"/>
    <w:rsid w:val="0006078D"/>
    <w:rsid w:val="00061A9A"/>
    <w:rsid w:val="00061E40"/>
    <w:rsid w:val="00062DD0"/>
    <w:rsid w:val="000632C3"/>
    <w:rsid w:val="0006357A"/>
    <w:rsid w:val="00063A16"/>
    <w:rsid w:val="00064198"/>
    <w:rsid w:val="0006446E"/>
    <w:rsid w:val="0006498B"/>
    <w:rsid w:val="00064C5E"/>
    <w:rsid w:val="00065781"/>
    <w:rsid w:val="00065EAB"/>
    <w:rsid w:val="0006634A"/>
    <w:rsid w:val="00066A76"/>
    <w:rsid w:val="00067921"/>
    <w:rsid w:val="00067FEF"/>
    <w:rsid w:val="00070C9B"/>
    <w:rsid w:val="0007171B"/>
    <w:rsid w:val="000722F3"/>
    <w:rsid w:val="00072477"/>
    <w:rsid w:val="00072B93"/>
    <w:rsid w:val="00072C92"/>
    <w:rsid w:val="00072F8A"/>
    <w:rsid w:val="000738B7"/>
    <w:rsid w:val="000740CD"/>
    <w:rsid w:val="000748D5"/>
    <w:rsid w:val="00075300"/>
    <w:rsid w:val="000758CD"/>
    <w:rsid w:val="00075A69"/>
    <w:rsid w:val="000767B9"/>
    <w:rsid w:val="00077C0B"/>
    <w:rsid w:val="0008006E"/>
    <w:rsid w:val="00083760"/>
    <w:rsid w:val="00083E68"/>
    <w:rsid w:val="000841F8"/>
    <w:rsid w:val="00084EFF"/>
    <w:rsid w:val="00085364"/>
    <w:rsid w:val="00086CD4"/>
    <w:rsid w:val="000919B7"/>
    <w:rsid w:val="00092125"/>
    <w:rsid w:val="00093A02"/>
    <w:rsid w:val="00095CBB"/>
    <w:rsid w:val="00096006"/>
    <w:rsid w:val="000966B7"/>
    <w:rsid w:val="0009776C"/>
    <w:rsid w:val="00097BCD"/>
    <w:rsid w:val="000A0648"/>
    <w:rsid w:val="000A0F5B"/>
    <w:rsid w:val="000A18A7"/>
    <w:rsid w:val="000A3141"/>
    <w:rsid w:val="000A3B8E"/>
    <w:rsid w:val="000A3DAF"/>
    <w:rsid w:val="000A4885"/>
    <w:rsid w:val="000A6CC7"/>
    <w:rsid w:val="000A727F"/>
    <w:rsid w:val="000A77C0"/>
    <w:rsid w:val="000B03DB"/>
    <w:rsid w:val="000B051E"/>
    <w:rsid w:val="000B09A8"/>
    <w:rsid w:val="000B0B88"/>
    <w:rsid w:val="000B107D"/>
    <w:rsid w:val="000B1894"/>
    <w:rsid w:val="000B1FD1"/>
    <w:rsid w:val="000B2B85"/>
    <w:rsid w:val="000B3430"/>
    <w:rsid w:val="000B3C75"/>
    <w:rsid w:val="000B4FE5"/>
    <w:rsid w:val="000B56BB"/>
    <w:rsid w:val="000B597C"/>
    <w:rsid w:val="000B5DD7"/>
    <w:rsid w:val="000B5E9A"/>
    <w:rsid w:val="000B62EB"/>
    <w:rsid w:val="000B6D1F"/>
    <w:rsid w:val="000B6DCE"/>
    <w:rsid w:val="000C01D7"/>
    <w:rsid w:val="000C04FA"/>
    <w:rsid w:val="000C1311"/>
    <w:rsid w:val="000C1D1C"/>
    <w:rsid w:val="000C2F9B"/>
    <w:rsid w:val="000C3296"/>
    <w:rsid w:val="000C347A"/>
    <w:rsid w:val="000C37D0"/>
    <w:rsid w:val="000C3B99"/>
    <w:rsid w:val="000C40EE"/>
    <w:rsid w:val="000C492F"/>
    <w:rsid w:val="000C5D51"/>
    <w:rsid w:val="000C6179"/>
    <w:rsid w:val="000C653D"/>
    <w:rsid w:val="000C66E7"/>
    <w:rsid w:val="000C7B29"/>
    <w:rsid w:val="000C7D60"/>
    <w:rsid w:val="000D07FA"/>
    <w:rsid w:val="000D11E7"/>
    <w:rsid w:val="000D1AFC"/>
    <w:rsid w:val="000D1F38"/>
    <w:rsid w:val="000D2A4B"/>
    <w:rsid w:val="000D4109"/>
    <w:rsid w:val="000D44B0"/>
    <w:rsid w:val="000D547E"/>
    <w:rsid w:val="000D54D7"/>
    <w:rsid w:val="000D59CA"/>
    <w:rsid w:val="000D5F53"/>
    <w:rsid w:val="000D6277"/>
    <w:rsid w:val="000D62AA"/>
    <w:rsid w:val="000D721E"/>
    <w:rsid w:val="000D72B3"/>
    <w:rsid w:val="000D7317"/>
    <w:rsid w:val="000D7A0C"/>
    <w:rsid w:val="000D7A77"/>
    <w:rsid w:val="000E0EEA"/>
    <w:rsid w:val="000E23E5"/>
    <w:rsid w:val="000E247F"/>
    <w:rsid w:val="000E39C0"/>
    <w:rsid w:val="000E4B68"/>
    <w:rsid w:val="000E51B0"/>
    <w:rsid w:val="000E59E1"/>
    <w:rsid w:val="000E6847"/>
    <w:rsid w:val="000E6E48"/>
    <w:rsid w:val="000E7BAA"/>
    <w:rsid w:val="000E7C65"/>
    <w:rsid w:val="000E7E2F"/>
    <w:rsid w:val="000E7F93"/>
    <w:rsid w:val="000F0517"/>
    <w:rsid w:val="000F107C"/>
    <w:rsid w:val="000F212F"/>
    <w:rsid w:val="000F2DDF"/>
    <w:rsid w:val="000F34C0"/>
    <w:rsid w:val="000F3EF3"/>
    <w:rsid w:val="000F3F6A"/>
    <w:rsid w:val="000F4384"/>
    <w:rsid w:val="000F48F5"/>
    <w:rsid w:val="000F4A3D"/>
    <w:rsid w:val="000F4F02"/>
    <w:rsid w:val="000F52BF"/>
    <w:rsid w:val="000F53E6"/>
    <w:rsid w:val="000F5585"/>
    <w:rsid w:val="000F56A0"/>
    <w:rsid w:val="000F6F79"/>
    <w:rsid w:val="000F7058"/>
    <w:rsid w:val="0010006F"/>
    <w:rsid w:val="0010162E"/>
    <w:rsid w:val="001025D0"/>
    <w:rsid w:val="0010301E"/>
    <w:rsid w:val="00103CE3"/>
    <w:rsid w:val="00103FAD"/>
    <w:rsid w:val="001042C9"/>
    <w:rsid w:val="00104CAC"/>
    <w:rsid w:val="00105031"/>
    <w:rsid w:val="001065E5"/>
    <w:rsid w:val="00106760"/>
    <w:rsid w:val="00106FD5"/>
    <w:rsid w:val="0011043F"/>
    <w:rsid w:val="00110778"/>
    <w:rsid w:val="00111027"/>
    <w:rsid w:val="00111343"/>
    <w:rsid w:val="0011139A"/>
    <w:rsid w:val="0011197E"/>
    <w:rsid w:val="00111C7F"/>
    <w:rsid w:val="00114668"/>
    <w:rsid w:val="00116EF3"/>
    <w:rsid w:val="00117A45"/>
    <w:rsid w:val="00117B24"/>
    <w:rsid w:val="001211A2"/>
    <w:rsid w:val="001214C2"/>
    <w:rsid w:val="0012172D"/>
    <w:rsid w:val="00121BC3"/>
    <w:rsid w:val="00122C93"/>
    <w:rsid w:val="00123057"/>
    <w:rsid w:val="00123905"/>
    <w:rsid w:val="00124345"/>
    <w:rsid w:val="0012612F"/>
    <w:rsid w:val="0012635A"/>
    <w:rsid w:val="00126654"/>
    <w:rsid w:val="00126806"/>
    <w:rsid w:val="00126A1F"/>
    <w:rsid w:val="00126C67"/>
    <w:rsid w:val="00130ADB"/>
    <w:rsid w:val="00130C6C"/>
    <w:rsid w:val="001319E5"/>
    <w:rsid w:val="00132EE1"/>
    <w:rsid w:val="001345C4"/>
    <w:rsid w:val="001353AF"/>
    <w:rsid w:val="00135536"/>
    <w:rsid w:val="001363C3"/>
    <w:rsid w:val="00136A43"/>
    <w:rsid w:val="00136F2D"/>
    <w:rsid w:val="001374FF"/>
    <w:rsid w:val="00137DEF"/>
    <w:rsid w:val="0014027A"/>
    <w:rsid w:val="0014087B"/>
    <w:rsid w:val="00140B37"/>
    <w:rsid w:val="00141602"/>
    <w:rsid w:val="00141857"/>
    <w:rsid w:val="001418AA"/>
    <w:rsid w:val="001441DF"/>
    <w:rsid w:val="00144539"/>
    <w:rsid w:val="001445B7"/>
    <w:rsid w:val="0014549D"/>
    <w:rsid w:val="00145554"/>
    <w:rsid w:val="00145D3E"/>
    <w:rsid w:val="00145EF7"/>
    <w:rsid w:val="00146D42"/>
    <w:rsid w:val="00147066"/>
    <w:rsid w:val="001500E1"/>
    <w:rsid w:val="00150ADE"/>
    <w:rsid w:val="00150E8C"/>
    <w:rsid w:val="00151627"/>
    <w:rsid w:val="00151764"/>
    <w:rsid w:val="00152280"/>
    <w:rsid w:val="00152550"/>
    <w:rsid w:val="001540B3"/>
    <w:rsid w:val="0015443F"/>
    <w:rsid w:val="00154C50"/>
    <w:rsid w:val="00154FBB"/>
    <w:rsid w:val="00155CB9"/>
    <w:rsid w:val="00156364"/>
    <w:rsid w:val="00157136"/>
    <w:rsid w:val="00157684"/>
    <w:rsid w:val="00160078"/>
    <w:rsid w:val="00160979"/>
    <w:rsid w:val="00161380"/>
    <w:rsid w:val="00161615"/>
    <w:rsid w:val="00162937"/>
    <w:rsid w:val="00163D65"/>
    <w:rsid w:val="00163FA7"/>
    <w:rsid w:val="0016543E"/>
    <w:rsid w:val="001657D6"/>
    <w:rsid w:val="001662F5"/>
    <w:rsid w:val="00166527"/>
    <w:rsid w:val="00166D06"/>
    <w:rsid w:val="00166DFA"/>
    <w:rsid w:val="00167CB6"/>
    <w:rsid w:val="00170A7D"/>
    <w:rsid w:val="00170CD9"/>
    <w:rsid w:val="00170CEB"/>
    <w:rsid w:val="00170D4B"/>
    <w:rsid w:val="00171230"/>
    <w:rsid w:val="001713E8"/>
    <w:rsid w:val="00171C51"/>
    <w:rsid w:val="00172408"/>
    <w:rsid w:val="0017254F"/>
    <w:rsid w:val="00172C11"/>
    <w:rsid w:val="00172D73"/>
    <w:rsid w:val="001735F3"/>
    <w:rsid w:val="00180778"/>
    <w:rsid w:val="00180780"/>
    <w:rsid w:val="00180A4B"/>
    <w:rsid w:val="00182439"/>
    <w:rsid w:val="00183E91"/>
    <w:rsid w:val="001849FC"/>
    <w:rsid w:val="00184F98"/>
    <w:rsid w:val="0018512B"/>
    <w:rsid w:val="00187123"/>
    <w:rsid w:val="001875C0"/>
    <w:rsid w:val="00187ADA"/>
    <w:rsid w:val="00187CE6"/>
    <w:rsid w:val="00190151"/>
    <w:rsid w:val="00190D1D"/>
    <w:rsid w:val="00191D0E"/>
    <w:rsid w:val="00191FFC"/>
    <w:rsid w:val="00192AAC"/>
    <w:rsid w:val="00194971"/>
    <w:rsid w:val="00194996"/>
    <w:rsid w:val="001949CD"/>
    <w:rsid w:val="00196142"/>
    <w:rsid w:val="001966FB"/>
    <w:rsid w:val="001971CE"/>
    <w:rsid w:val="0019774F"/>
    <w:rsid w:val="001A18B0"/>
    <w:rsid w:val="001A4A8B"/>
    <w:rsid w:val="001A5BBB"/>
    <w:rsid w:val="001A5C9F"/>
    <w:rsid w:val="001A5CBB"/>
    <w:rsid w:val="001A723F"/>
    <w:rsid w:val="001B21CA"/>
    <w:rsid w:val="001B306E"/>
    <w:rsid w:val="001B37EF"/>
    <w:rsid w:val="001B541A"/>
    <w:rsid w:val="001B5C4A"/>
    <w:rsid w:val="001B6AD6"/>
    <w:rsid w:val="001B7126"/>
    <w:rsid w:val="001C00A6"/>
    <w:rsid w:val="001C1385"/>
    <w:rsid w:val="001C1487"/>
    <w:rsid w:val="001C1ACB"/>
    <w:rsid w:val="001C1BEC"/>
    <w:rsid w:val="001C3A90"/>
    <w:rsid w:val="001C3C1F"/>
    <w:rsid w:val="001C3D72"/>
    <w:rsid w:val="001C4794"/>
    <w:rsid w:val="001C5820"/>
    <w:rsid w:val="001C5BE5"/>
    <w:rsid w:val="001C6208"/>
    <w:rsid w:val="001C6898"/>
    <w:rsid w:val="001C72CF"/>
    <w:rsid w:val="001D066D"/>
    <w:rsid w:val="001D099D"/>
    <w:rsid w:val="001D15BF"/>
    <w:rsid w:val="001D2068"/>
    <w:rsid w:val="001D250C"/>
    <w:rsid w:val="001D2916"/>
    <w:rsid w:val="001D30A7"/>
    <w:rsid w:val="001D4286"/>
    <w:rsid w:val="001D519C"/>
    <w:rsid w:val="001D531A"/>
    <w:rsid w:val="001D75DE"/>
    <w:rsid w:val="001E0736"/>
    <w:rsid w:val="001E08BF"/>
    <w:rsid w:val="001E0E5C"/>
    <w:rsid w:val="001E1AAB"/>
    <w:rsid w:val="001E1C36"/>
    <w:rsid w:val="001E20E5"/>
    <w:rsid w:val="001E23F9"/>
    <w:rsid w:val="001E2CC4"/>
    <w:rsid w:val="001E3812"/>
    <w:rsid w:val="001E3877"/>
    <w:rsid w:val="001E427D"/>
    <w:rsid w:val="001E4EEB"/>
    <w:rsid w:val="001E550A"/>
    <w:rsid w:val="001E710A"/>
    <w:rsid w:val="001E7A4E"/>
    <w:rsid w:val="001E7C45"/>
    <w:rsid w:val="001F0375"/>
    <w:rsid w:val="001F04A9"/>
    <w:rsid w:val="001F0578"/>
    <w:rsid w:val="001F0E61"/>
    <w:rsid w:val="001F0F93"/>
    <w:rsid w:val="001F1C9D"/>
    <w:rsid w:val="001F2E40"/>
    <w:rsid w:val="001F308F"/>
    <w:rsid w:val="001F3814"/>
    <w:rsid w:val="001F3E80"/>
    <w:rsid w:val="001F4456"/>
    <w:rsid w:val="001F5104"/>
    <w:rsid w:val="001F58E8"/>
    <w:rsid w:val="001F61A6"/>
    <w:rsid w:val="001F68C0"/>
    <w:rsid w:val="002008CC"/>
    <w:rsid w:val="00201A7E"/>
    <w:rsid w:val="00201C43"/>
    <w:rsid w:val="00203D1F"/>
    <w:rsid w:val="00204FE2"/>
    <w:rsid w:val="00205EAE"/>
    <w:rsid w:val="0020660E"/>
    <w:rsid w:val="002067DD"/>
    <w:rsid w:val="00207785"/>
    <w:rsid w:val="002078BE"/>
    <w:rsid w:val="002101C4"/>
    <w:rsid w:val="002106AB"/>
    <w:rsid w:val="00210939"/>
    <w:rsid w:val="002114B5"/>
    <w:rsid w:val="00212AAC"/>
    <w:rsid w:val="00212CEA"/>
    <w:rsid w:val="00214726"/>
    <w:rsid w:val="002155D4"/>
    <w:rsid w:val="002156C7"/>
    <w:rsid w:val="002157CE"/>
    <w:rsid w:val="00215BDE"/>
    <w:rsid w:val="00215E5F"/>
    <w:rsid w:val="002163DE"/>
    <w:rsid w:val="002163FB"/>
    <w:rsid w:val="0021667B"/>
    <w:rsid w:val="002168A4"/>
    <w:rsid w:val="0022029C"/>
    <w:rsid w:val="00220E50"/>
    <w:rsid w:val="00220EC3"/>
    <w:rsid w:val="0022315D"/>
    <w:rsid w:val="002238E0"/>
    <w:rsid w:val="00223CCE"/>
    <w:rsid w:val="00224E73"/>
    <w:rsid w:val="00225671"/>
    <w:rsid w:val="00226A4B"/>
    <w:rsid w:val="00230582"/>
    <w:rsid w:val="0023094A"/>
    <w:rsid w:val="00231AED"/>
    <w:rsid w:val="00233297"/>
    <w:rsid w:val="002333B4"/>
    <w:rsid w:val="0023380B"/>
    <w:rsid w:val="0023382A"/>
    <w:rsid w:val="00234C7D"/>
    <w:rsid w:val="00235223"/>
    <w:rsid w:val="00236929"/>
    <w:rsid w:val="00236EAB"/>
    <w:rsid w:val="00236ED4"/>
    <w:rsid w:val="00240BEA"/>
    <w:rsid w:val="0024148D"/>
    <w:rsid w:val="00241533"/>
    <w:rsid w:val="002423C7"/>
    <w:rsid w:val="0024319F"/>
    <w:rsid w:val="0024326D"/>
    <w:rsid w:val="00243CCA"/>
    <w:rsid w:val="00243DC8"/>
    <w:rsid w:val="002445A0"/>
    <w:rsid w:val="0024469B"/>
    <w:rsid w:val="00245679"/>
    <w:rsid w:val="0024589E"/>
    <w:rsid w:val="00245D05"/>
    <w:rsid w:val="002466F5"/>
    <w:rsid w:val="00246DF8"/>
    <w:rsid w:val="00247971"/>
    <w:rsid w:val="002514E2"/>
    <w:rsid w:val="002523B0"/>
    <w:rsid w:val="00252A76"/>
    <w:rsid w:val="002534C1"/>
    <w:rsid w:val="00253FB8"/>
    <w:rsid w:val="002552AD"/>
    <w:rsid w:val="0025569E"/>
    <w:rsid w:val="002556F1"/>
    <w:rsid w:val="002559D4"/>
    <w:rsid w:val="00255ED0"/>
    <w:rsid w:val="00256336"/>
    <w:rsid w:val="00257A36"/>
    <w:rsid w:val="00257D18"/>
    <w:rsid w:val="00257D19"/>
    <w:rsid w:val="00260190"/>
    <w:rsid w:val="002620B2"/>
    <w:rsid w:val="002621A1"/>
    <w:rsid w:val="0026283D"/>
    <w:rsid w:val="00262A8D"/>
    <w:rsid w:val="00262C22"/>
    <w:rsid w:val="00262E69"/>
    <w:rsid w:val="00263198"/>
    <w:rsid w:val="0026335D"/>
    <w:rsid w:val="002634DA"/>
    <w:rsid w:val="00263541"/>
    <w:rsid w:val="0026367F"/>
    <w:rsid w:val="00263AC6"/>
    <w:rsid w:val="00263E2A"/>
    <w:rsid w:val="002640A9"/>
    <w:rsid w:val="00265432"/>
    <w:rsid w:val="00266390"/>
    <w:rsid w:val="00266D5C"/>
    <w:rsid w:val="00267855"/>
    <w:rsid w:val="002707D6"/>
    <w:rsid w:val="002707FD"/>
    <w:rsid w:val="00272F31"/>
    <w:rsid w:val="002733CE"/>
    <w:rsid w:val="0027436C"/>
    <w:rsid w:val="002745BD"/>
    <w:rsid w:val="0027524D"/>
    <w:rsid w:val="0027527E"/>
    <w:rsid w:val="00275C5C"/>
    <w:rsid w:val="00275E07"/>
    <w:rsid w:val="00276FA0"/>
    <w:rsid w:val="00277BBE"/>
    <w:rsid w:val="00280562"/>
    <w:rsid w:val="00282014"/>
    <w:rsid w:val="00285C58"/>
    <w:rsid w:val="00285D48"/>
    <w:rsid w:val="00290F47"/>
    <w:rsid w:val="002911C9"/>
    <w:rsid w:val="0029166F"/>
    <w:rsid w:val="0029168A"/>
    <w:rsid w:val="00292628"/>
    <w:rsid w:val="00292831"/>
    <w:rsid w:val="002943A8"/>
    <w:rsid w:val="00294774"/>
    <w:rsid w:val="0029489A"/>
    <w:rsid w:val="00294FA0"/>
    <w:rsid w:val="00296310"/>
    <w:rsid w:val="002A1837"/>
    <w:rsid w:val="002A1E9E"/>
    <w:rsid w:val="002A2D59"/>
    <w:rsid w:val="002A3D39"/>
    <w:rsid w:val="002A43BD"/>
    <w:rsid w:val="002A4FFC"/>
    <w:rsid w:val="002A56C9"/>
    <w:rsid w:val="002A5C80"/>
    <w:rsid w:val="002A6A34"/>
    <w:rsid w:val="002A6B98"/>
    <w:rsid w:val="002A6D6D"/>
    <w:rsid w:val="002B03C4"/>
    <w:rsid w:val="002B167D"/>
    <w:rsid w:val="002B1734"/>
    <w:rsid w:val="002B2D63"/>
    <w:rsid w:val="002B30C6"/>
    <w:rsid w:val="002B3750"/>
    <w:rsid w:val="002B4050"/>
    <w:rsid w:val="002B43F2"/>
    <w:rsid w:val="002B47B8"/>
    <w:rsid w:val="002B4C8E"/>
    <w:rsid w:val="002B4FFB"/>
    <w:rsid w:val="002B62FC"/>
    <w:rsid w:val="002B633E"/>
    <w:rsid w:val="002B6DD8"/>
    <w:rsid w:val="002B73E2"/>
    <w:rsid w:val="002B77F1"/>
    <w:rsid w:val="002B7B47"/>
    <w:rsid w:val="002C0AB2"/>
    <w:rsid w:val="002C133E"/>
    <w:rsid w:val="002C1E7C"/>
    <w:rsid w:val="002C2496"/>
    <w:rsid w:val="002C2F9C"/>
    <w:rsid w:val="002C33A8"/>
    <w:rsid w:val="002C3A45"/>
    <w:rsid w:val="002C5203"/>
    <w:rsid w:val="002C5AA1"/>
    <w:rsid w:val="002C6054"/>
    <w:rsid w:val="002C6798"/>
    <w:rsid w:val="002C6A33"/>
    <w:rsid w:val="002C788B"/>
    <w:rsid w:val="002C7FB7"/>
    <w:rsid w:val="002D0130"/>
    <w:rsid w:val="002D0803"/>
    <w:rsid w:val="002D0E42"/>
    <w:rsid w:val="002D0EE7"/>
    <w:rsid w:val="002D1017"/>
    <w:rsid w:val="002D19D2"/>
    <w:rsid w:val="002D1C3A"/>
    <w:rsid w:val="002D31F5"/>
    <w:rsid w:val="002D5A64"/>
    <w:rsid w:val="002D5B34"/>
    <w:rsid w:val="002D611A"/>
    <w:rsid w:val="002D714A"/>
    <w:rsid w:val="002D728D"/>
    <w:rsid w:val="002E07C3"/>
    <w:rsid w:val="002E0E3B"/>
    <w:rsid w:val="002E16BB"/>
    <w:rsid w:val="002E28FA"/>
    <w:rsid w:val="002E2B42"/>
    <w:rsid w:val="002E33A9"/>
    <w:rsid w:val="002E394A"/>
    <w:rsid w:val="002E43C3"/>
    <w:rsid w:val="002E5088"/>
    <w:rsid w:val="002E50C5"/>
    <w:rsid w:val="002E66AC"/>
    <w:rsid w:val="002E66E0"/>
    <w:rsid w:val="002E6A14"/>
    <w:rsid w:val="002E751A"/>
    <w:rsid w:val="002E7C89"/>
    <w:rsid w:val="002F2C9F"/>
    <w:rsid w:val="002F2E87"/>
    <w:rsid w:val="002F35B6"/>
    <w:rsid w:val="002F37FF"/>
    <w:rsid w:val="002F4D9F"/>
    <w:rsid w:val="002F4F46"/>
    <w:rsid w:val="002F522B"/>
    <w:rsid w:val="002F5389"/>
    <w:rsid w:val="002F7402"/>
    <w:rsid w:val="002F7562"/>
    <w:rsid w:val="002F7FBB"/>
    <w:rsid w:val="00301E26"/>
    <w:rsid w:val="003020EC"/>
    <w:rsid w:val="0030211B"/>
    <w:rsid w:val="00302CC9"/>
    <w:rsid w:val="00302FD1"/>
    <w:rsid w:val="003037E3"/>
    <w:rsid w:val="00303FDA"/>
    <w:rsid w:val="00304C93"/>
    <w:rsid w:val="00306A05"/>
    <w:rsid w:val="00306B6C"/>
    <w:rsid w:val="00307068"/>
    <w:rsid w:val="00310061"/>
    <w:rsid w:val="00310962"/>
    <w:rsid w:val="00311243"/>
    <w:rsid w:val="00311B31"/>
    <w:rsid w:val="00312B21"/>
    <w:rsid w:val="00312CFB"/>
    <w:rsid w:val="00313527"/>
    <w:rsid w:val="00313996"/>
    <w:rsid w:val="00313C30"/>
    <w:rsid w:val="00314379"/>
    <w:rsid w:val="003147C1"/>
    <w:rsid w:val="00315D63"/>
    <w:rsid w:val="0031688B"/>
    <w:rsid w:val="003169C9"/>
    <w:rsid w:val="00316A08"/>
    <w:rsid w:val="00316FB7"/>
    <w:rsid w:val="00317E4B"/>
    <w:rsid w:val="0032078B"/>
    <w:rsid w:val="003209B7"/>
    <w:rsid w:val="00321315"/>
    <w:rsid w:val="003213E5"/>
    <w:rsid w:val="0032164F"/>
    <w:rsid w:val="00321692"/>
    <w:rsid w:val="00322165"/>
    <w:rsid w:val="003229BF"/>
    <w:rsid w:val="00322C6F"/>
    <w:rsid w:val="00322FC7"/>
    <w:rsid w:val="003230BC"/>
    <w:rsid w:val="003230E8"/>
    <w:rsid w:val="00324DBA"/>
    <w:rsid w:val="00326071"/>
    <w:rsid w:val="0032663B"/>
    <w:rsid w:val="00327B0F"/>
    <w:rsid w:val="00331598"/>
    <w:rsid w:val="0033201D"/>
    <w:rsid w:val="003320D4"/>
    <w:rsid w:val="00334633"/>
    <w:rsid w:val="00334EDE"/>
    <w:rsid w:val="003365F5"/>
    <w:rsid w:val="003366E0"/>
    <w:rsid w:val="003379D2"/>
    <w:rsid w:val="00337E1B"/>
    <w:rsid w:val="0034002B"/>
    <w:rsid w:val="0034099F"/>
    <w:rsid w:val="003409A2"/>
    <w:rsid w:val="00340DA5"/>
    <w:rsid w:val="00340FF7"/>
    <w:rsid w:val="00341C02"/>
    <w:rsid w:val="0034462C"/>
    <w:rsid w:val="00344683"/>
    <w:rsid w:val="00344FF3"/>
    <w:rsid w:val="003453F6"/>
    <w:rsid w:val="0034623A"/>
    <w:rsid w:val="003468BB"/>
    <w:rsid w:val="0034710F"/>
    <w:rsid w:val="0034755D"/>
    <w:rsid w:val="00347BB1"/>
    <w:rsid w:val="00347D5E"/>
    <w:rsid w:val="00347F41"/>
    <w:rsid w:val="00350BB0"/>
    <w:rsid w:val="00352B10"/>
    <w:rsid w:val="0035311B"/>
    <w:rsid w:val="00353396"/>
    <w:rsid w:val="00353C47"/>
    <w:rsid w:val="003545A9"/>
    <w:rsid w:val="003554CA"/>
    <w:rsid w:val="00355BF8"/>
    <w:rsid w:val="00355C59"/>
    <w:rsid w:val="00356988"/>
    <w:rsid w:val="00357903"/>
    <w:rsid w:val="00357A78"/>
    <w:rsid w:val="00360385"/>
    <w:rsid w:val="00362591"/>
    <w:rsid w:val="003647D1"/>
    <w:rsid w:val="00364AEB"/>
    <w:rsid w:val="00367161"/>
    <w:rsid w:val="003671F2"/>
    <w:rsid w:val="00367474"/>
    <w:rsid w:val="003679B8"/>
    <w:rsid w:val="00367F39"/>
    <w:rsid w:val="00370067"/>
    <w:rsid w:val="00370821"/>
    <w:rsid w:val="00370A6A"/>
    <w:rsid w:val="0037255D"/>
    <w:rsid w:val="00372AF8"/>
    <w:rsid w:val="00374484"/>
    <w:rsid w:val="0037459B"/>
    <w:rsid w:val="00374F90"/>
    <w:rsid w:val="00374FFD"/>
    <w:rsid w:val="0037562C"/>
    <w:rsid w:val="00376104"/>
    <w:rsid w:val="003762B2"/>
    <w:rsid w:val="003775F5"/>
    <w:rsid w:val="00377CF4"/>
    <w:rsid w:val="00380606"/>
    <w:rsid w:val="00380CE7"/>
    <w:rsid w:val="003836C8"/>
    <w:rsid w:val="00383FE9"/>
    <w:rsid w:val="003843F5"/>
    <w:rsid w:val="00385557"/>
    <w:rsid w:val="0038584B"/>
    <w:rsid w:val="00386691"/>
    <w:rsid w:val="003901B4"/>
    <w:rsid w:val="00390D8D"/>
    <w:rsid w:val="00392195"/>
    <w:rsid w:val="00393029"/>
    <w:rsid w:val="00393C7E"/>
    <w:rsid w:val="003940B1"/>
    <w:rsid w:val="00395967"/>
    <w:rsid w:val="00395DD8"/>
    <w:rsid w:val="00397118"/>
    <w:rsid w:val="003A036B"/>
    <w:rsid w:val="003A082B"/>
    <w:rsid w:val="003A12E1"/>
    <w:rsid w:val="003A130A"/>
    <w:rsid w:val="003A1851"/>
    <w:rsid w:val="003A1A34"/>
    <w:rsid w:val="003A1F5D"/>
    <w:rsid w:val="003A2084"/>
    <w:rsid w:val="003A2420"/>
    <w:rsid w:val="003A362B"/>
    <w:rsid w:val="003A3D10"/>
    <w:rsid w:val="003A4211"/>
    <w:rsid w:val="003A4596"/>
    <w:rsid w:val="003A4738"/>
    <w:rsid w:val="003A51E7"/>
    <w:rsid w:val="003A558C"/>
    <w:rsid w:val="003A6DC6"/>
    <w:rsid w:val="003A784E"/>
    <w:rsid w:val="003B07AC"/>
    <w:rsid w:val="003B1240"/>
    <w:rsid w:val="003B259C"/>
    <w:rsid w:val="003B3072"/>
    <w:rsid w:val="003B3083"/>
    <w:rsid w:val="003B3EF4"/>
    <w:rsid w:val="003B5260"/>
    <w:rsid w:val="003B573B"/>
    <w:rsid w:val="003B5A90"/>
    <w:rsid w:val="003B6FC8"/>
    <w:rsid w:val="003B7181"/>
    <w:rsid w:val="003B7402"/>
    <w:rsid w:val="003B7529"/>
    <w:rsid w:val="003B792C"/>
    <w:rsid w:val="003B7B17"/>
    <w:rsid w:val="003C00A6"/>
    <w:rsid w:val="003C0A04"/>
    <w:rsid w:val="003C172B"/>
    <w:rsid w:val="003C1C6E"/>
    <w:rsid w:val="003C1CBB"/>
    <w:rsid w:val="003C1D6F"/>
    <w:rsid w:val="003C26A9"/>
    <w:rsid w:val="003C314B"/>
    <w:rsid w:val="003C458D"/>
    <w:rsid w:val="003C461D"/>
    <w:rsid w:val="003C4982"/>
    <w:rsid w:val="003C4B5D"/>
    <w:rsid w:val="003C4F68"/>
    <w:rsid w:val="003C53F2"/>
    <w:rsid w:val="003C60EF"/>
    <w:rsid w:val="003C669F"/>
    <w:rsid w:val="003C6716"/>
    <w:rsid w:val="003C7A46"/>
    <w:rsid w:val="003D0A43"/>
    <w:rsid w:val="003D0FF9"/>
    <w:rsid w:val="003D2078"/>
    <w:rsid w:val="003D2182"/>
    <w:rsid w:val="003D236F"/>
    <w:rsid w:val="003D304F"/>
    <w:rsid w:val="003D4067"/>
    <w:rsid w:val="003D4726"/>
    <w:rsid w:val="003D4793"/>
    <w:rsid w:val="003D50D7"/>
    <w:rsid w:val="003D541E"/>
    <w:rsid w:val="003D5FB6"/>
    <w:rsid w:val="003D635D"/>
    <w:rsid w:val="003D6C0C"/>
    <w:rsid w:val="003D6F55"/>
    <w:rsid w:val="003D7649"/>
    <w:rsid w:val="003D7FC0"/>
    <w:rsid w:val="003E0999"/>
    <w:rsid w:val="003E1576"/>
    <w:rsid w:val="003E1EBA"/>
    <w:rsid w:val="003E402E"/>
    <w:rsid w:val="003E4601"/>
    <w:rsid w:val="003E48E4"/>
    <w:rsid w:val="003E4EB5"/>
    <w:rsid w:val="003E55F1"/>
    <w:rsid w:val="003E617F"/>
    <w:rsid w:val="003E64F2"/>
    <w:rsid w:val="003E7B3A"/>
    <w:rsid w:val="003F2382"/>
    <w:rsid w:val="003F2EE1"/>
    <w:rsid w:val="003F31EA"/>
    <w:rsid w:val="003F4215"/>
    <w:rsid w:val="003F490A"/>
    <w:rsid w:val="003F567C"/>
    <w:rsid w:val="003F5777"/>
    <w:rsid w:val="003F69B0"/>
    <w:rsid w:val="003F6A69"/>
    <w:rsid w:val="003F6AE1"/>
    <w:rsid w:val="003F7600"/>
    <w:rsid w:val="00400663"/>
    <w:rsid w:val="004021CB"/>
    <w:rsid w:val="004024AF"/>
    <w:rsid w:val="0040310D"/>
    <w:rsid w:val="00405174"/>
    <w:rsid w:val="004054EB"/>
    <w:rsid w:val="00406AA6"/>
    <w:rsid w:val="00406FA2"/>
    <w:rsid w:val="00407B6F"/>
    <w:rsid w:val="0041034C"/>
    <w:rsid w:val="00410671"/>
    <w:rsid w:val="004115DD"/>
    <w:rsid w:val="0041221D"/>
    <w:rsid w:val="00412BFD"/>
    <w:rsid w:val="004133EC"/>
    <w:rsid w:val="004135E0"/>
    <w:rsid w:val="00413CA0"/>
    <w:rsid w:val="00413D5B"/>
    <w:rsid w:val="00414BEC"/>
    <w:rsid w:val="0041510C"/>
    <w:rsid w:val="004159E7"/>
    <w:rsid w:val="00416445"/>
    <w:rsid w:val="00416721"/>
    <w:rsid w:val="004169AD"/>
    <w:rsid w:val="00417BF0"/>
    <w:rsid w:val="00417FF1"/>
    <w:rsid w:val="00420964"/>
    <w:rsid w:val="004211EA"/>
    <w:rsid w:val="00421249"/>
    <w:rsid w:val="00421CAC"/>
    <w:rsid w:val="004226D7"/>
    <w:rsid w:val="0042317E"/>
    <w:rsid w:val="00424045"/>
    <w:rsid w:val="00424815"/>
    <w:rsid w:val="00426653"/>
    <w:rsid w:val="004304C4"/>
    <w:rsid w:val="004305BF"/>
    <w:rsid w:val="00430E42"/>
    <w:rsid w:val="0043173A"/>
    <w:rsid w:val="00432015"/>
    <w:rsid w:val="0043234A"/>
    <w:rsid w:val="0043325C"/>
    <w:rsid w:val="00433647"/>
    <w:rsid w:val="00433AE8"/>
    <w:rsid w:val="00433E9C"/>
    <w:rsid w:val="00434F76"/>
    <w:rsid w:val="00435EE4"/>
    <w:rsid w:val="004365A8"/>
    <w:rsid w:val="00436FC0"/>
    <w:rsid w:val="00437359"/>
    <w:rsid w:val="004402D5"/>
    <w:rsid w:val="00440C0F"/>
    <w:rsid w:val="0044100B"/>
    <w:rsid w:val="004419B1"/>
    <w:rsid w:val="00441A62"/>
    <w:rsid w:val="004422E1"/>
    <w:rsid w:val="004430AF"/>
    <w:rsid w:val="00443553"/>
    <w:rsid w:val="00443B85"/>
    <w:rsid w:val="00444079"/>
    <w:rsid w:val="004441EC"/>
    <w:rsid w:val="00444577"/>
    <w:rsid w:val="00445F43"/>
    <w:rsid w:val="004465E0"/>
    <w:rsid w:val="004468DF"/>
    <w:rsid w:val="00446B8E"/>
    <w:rsid w:val="00446DF1"/>
    <w:rsid w:val="00447C78"/>
    <w:rsid w:val="00450351"/>
    <w:rsid w:val="00451465"/>
    <w:rsid w:val="0045179D"/>
    <w:rsid w:val="004517ED"/>
    <w:rsid w:val="00451AD6"/>
    <w:rsid w:val="0045394E"/>
    <w:rsid w:val="00453975"/>
    <w:rsid w:val="00453A5B"/>
    <w:rsid w:val="00453F34"/>
    <w:rsid w:val="0045567A"/>
    <w:rsid w:val="00455A82"/>
    <w:rsid w:val="00455B78"/>
    <w:rsid w:val="0045753D"/>
    <w:rsid w:val="0045776A"/>
    <w:rsid w:val="00461F4A"/>
    <w:rsid w:val="00463AB4"/>
    <w:rsid w:val="00464249"/>
    <w:rsid w:val="0046581B"/>
    <w:rsid w:val="00465BEB"/>
    <w:rsid w:val="004678C1"/>
    <w:rsid w:val="00470146"/>
    <w:rsid w:val="00470E30"/>
    <w:rsid w:val="00471265"/>
    <w:rsid w:val="0047141A"/>
    <w:rsid w:val="004715EF"/>
    <w:rsid w:val="004718DE"/>
    <w:rsid w:val="00471B41"/>
    <w:rsid w:val="004722ED"/>
    <w:rsid w:val="00473DC9"/>
    <w:rsid w:val="0047485B"/>
    <w:rsid w:val="00475AE0"/>
    <w:rsid w:val="00475E34"/>
    <w:rsid w:val="004767D4"/>
    <w:rsid w:val="00476C6E"/>
    <w:rsid w:val="00476FB8"/>
    <w:rsid w:val="004805C3"/>
    <w:rsid w:val="004815B9"/>
    <w:rsid w:val="00481975"/>
    <w:rsid w:val="00481D16"/>
    <w:rsid w:val="004821F2"/>
    <w:rsid w:val="00484A63"/>
    <w:rsid w:val="00484B11"/>
    <w:rsid w:val="00485721"/>
    <w:rsid w:val="00486CB6"/>
    <w:rsid w:val="00491B05"/>
    <w:rsid w:val="00492080"/>
    <w:rsid w:val="00493474"/>
    <w:rsid w:val="004935D4"/>
    <w:rsid w:val="00493A8F"/>
    <w:rsid w:val="00493B60"/>
    <w:rsid w:val="00493DFC"/>
    <w:rsid w:val="004948CD"/>
    <w:rsid w:val="00494983"/>
    <w:rsid w:val="00494DB3"/>
    <w:rsid w:val="00494F1C"/>
    <w:rsid w:val="004955D6"/>
    <w:rsid w:val="0049574F"/>
    <w:rsid w:val="00497B7B"/>
    <w:rsid w:val="00497BE1"/>
    <w:rsid w:val="00497CDD"/>
    <w:rsid w:val="004A053F"/>
    <w:rsid w:val="004A064B"/>
    <w:rsid w:val="004A0C05"/>
    <w:rsid w:val="004A0C5E"/>
    <w:rsid w:val="004A1024"/>
    <w:rsid w:val="004A1497"/>
    <w:rsid w:val="004A1CB4"/>
    <w:rsid w:val="004A2CB5"/>
    <w:rsid w:val="004A2D62"/>
    <w:rsid w:val="004A2FD7"/>
    <w:rsid w:val="004A33EA"/>
    <w:rsid w:val="004A3BF6"/>
    <w:rsid w:val="004A515A"/>
    <w:rsid w:val="004A59FE"/>
    <w:rsid w:val="004A5A26"/>
    <w:rsid w:val="004A5D7B"/>
    <w:rsid w:val="004A6D23"/>
    <w:rsid w:val="004A7531"/>
    <w:rsid w:val="004B0248"/>
    <w:rsid w:val="004B0828"/>
    <w:rsid w:val="004B115B"/>
    <w:rsid w:val="004B192C"/>
    <w:rsid w:val="004B2696"/>
    <w:rsid w:val="004B30AA"/>
    <w:rsid w:val="004B375A"/>
    <w:rsid w:val="004B3DA1"/>
    <w:rsid w:val="004B40EB"/>
    <w:rsid w:val="004B4A02"/>
    <w:rsid w:val="004B4E71"/>
    <w:rsid w:val="004B4EA6"/>
    <w:rsid w:val="004B4F5A"/>
    <w:rsid w:val="004B4FD1"/>
    <w:rsid w:val="004B558B"/>
    <w:rsid w:val="004B6C7A"/>
    <w:rsid w:val="004B7FDF"/>
    <w:rsid w:val="004C092A"/>
    <w:rsid w:val="004C0B1A"/>
    <w:rsid w:val="004C3412"/>
    <w:rsid w:val="004C38F8"/>
    <w:rsid w:val="004C3EC7"/>
    <w:rsid w:val="004C40EF"/>
    <w:rsid w:val="004C43CC"/>
    <w:rsid w:val="004C659C"/>
    <w:rsid w:val="004C69CD"/>
    <w:rsid w:val="004C6F56"/>
    <w:rsid w:val="004D0722"/>
    <w:rsid w:val="004D1319"/>
    <w:rsid w:val="004D1322"/>
    <w:rsid w:val="004D13E1"/>
    <w:rsid w:val="004D1C00"/>
    <w:rsid w:val="004D4206"/>
    <w:rsid w:val="004D4552"/>
    <w:rsid w:val="004D5149"/>
    <w:rsid w:val="004D5D54"/>
    <w:rsid w:val="004D6142"/>
    <w:rsid w:val="004D6351"/>
    <w:rsid w:val="004D6FDC"/>
    <w:rsid w:val="004E0B4A"/>
    <w:rsid w:val="004E0B52"/>
    <w:rsid w:val="004E118B"/>
    <w:rsid w:val="004E14F9"/>
    <w:rsid w:val="004E1EBB"/>
    <w:rsid w:val="004E2AE5"/>
    <w:rsid w:val="004E3AEC"/>
    <w:rsid w:val="004E44FC"/>
    <w:rsid w:val="004E573C"/>
    <w:rsid w:val="004E58D6"/>
    <w:rsid w:val="004E665E"/>
    <w:rsid w:val="004E66E1"/>
    <w:rsid w:val="004E7481"/>
    <w:rsid w:val="004E76B1"/>
    <w:rsid w:val="004E79FD"/>
    <w:rsid w:val="004E7AAE"/>
    <w:rsid w:val="004F0B2A"/>
    <w:rsid w:val="004F2BB8"/>
    <w:rsid w:val="004F35CD"/>
    <w:rsid w:val="004F47E2"/>
    <w:rsid w:val="004F533C"/>
    <w:rsid w:val="004F6026"/>
    <w:rsid w:val="004F609A"/>
    <w:rsid w:val="004F6D22"/>
    <w:rsid w:val="00500117"/>
    <w:rsid w:val="005009AD"/>
    <w:rsid w:val="005033C0"/>
    <w:rsid w:val="0050377F"/>
    <w:rsid w:val="005049EB"/>
    <w:rsid w:val="0050572E"/>
    <w:rsid w:val="005059BC"/>
    <w:rsid w:val="00505EDA"/>
    <w:rsid w:val="005103FD"/>
    <w:rsid w:val="005108C0"/>
    <w:rsid w:val="00510B7A"/>
    <w:rsid w:val="00510C35"/>
    <w:rsid w:val="00511C19"/>
    <w:rsid w:val="00511CDE"/>
    <w:rsid w:val="00511E80"/>
    <w:rsid w:val="0051315A"/>
    <w:rsid w:val="0051320C"/>
    <w:rsid w:val="005140F8"/>
    <w:rsid w:val="005146C5"/>
    <w:rsid w:val="00514C25"/>
    <w:rsid w:val="00514C46"/>
    <w:rsid w:val="00514DE5"/>
    <w:rsid w:val="005154EC"/>
    <w:rsid w:val="00515545"/>
    <w:rsid w:val="00515CC4"/>
    <w:rsid w:val="00517146"/>
    <w:rsid w:val="0052017D"/>
    <w:rsid w:val="005203A3"/>
    <w:rsid w:val="00520545"/>
    <w:rsid w:val="00520653"/>
    <w:rsid w:val="00520C29"/>
    <w:rsid w:val="005223ED"/>
    <w:rsid w:val="005230A8"/>
    <w:rsid w:val="005256D2"/>
    <w:rsid w:val="00526207"/>
    <w:rsid w:val="005267E0"/>
    <w:rsid w:val="005270EF"/>
    <w:rsid w:val="00530C82"/>
    <w:rsid w:val="00531CDA"/>
    <w:rsid w:val="00532733"/>
    <w:rsid w:val="00532FDE"/>
    <w:rsid w:val="00533229"/>
    <w:rsid w:val="00533266"/>
    <w:rsid w:val="00533BDC"/>
    <w:rsid w:val="00534561"/>
    <w:rsid w:val="00534CAE"/>
    <w:rsid w:val="00534D94"/>
    <w:rsid w:val="005350A3"/>
    <w:rsid w:val="005356E8"/>
    <w:rsid w:val="00535CE6"/>
    <w:rsid w:val="00536259"/>
    <w:rsid w:val="00537185"/>
    <w:rsid w:val="0053772A"/>
    <w:rsid w:val="00537A2D"/>
    <w:rsid w:val="00541B77"/>
    <w:rsid w:val="0054272F"/>
    <w:rsid w:val="0054451C"/>
    <w:rsid w:val="00544FCD"/>
    <w:rsid w:val="0054568F"/>
    <w:rsid w:val="00546176"/>
    <w:rsid w:val="00546BD4"/>
    <w:rsid w:val="005501EA"/>
    <w:rsid w:val="00551CA9"/>
    <w:rsid w:val="00551D85"/>
    <w:rsid w:val="00551E04"/>
    <w:rsid w:val="00552793"/>
    <w:rsid w:val="00552B65"/>
    <w:rsid w:val="0055480A"/>
    <w:rsid w:val="00554F29"/>
    <w:rsid w:val="005562C4"/>
    <w:rsid w:val="0055679C"/>
    <w:rsid w:val="00561855"/>
    <w:rsid w:val="00561A4A"/>
    <w:rsid w:val="00562724"/>
    <w:rsid w:val="005628A2"/>
    <w:rsid w:val="00563162"/>
    <w:rsid w:val="0056322F"/>
    <w:rsid w:val="00565649"/>
    <w:rsid w:val="00565B59"/>
    <w:rsid w:val="00565CC2"/>
    <w:rsid w:val="005661A6"/>
    <w:rsid w:val="0056695C"/>
    <w:rsid w:val="0056762E"/>
    <w:rsid w:val="00567DB7"/>
    <w:rsid w:val="005700A0"/>
    <w:rsid w:val="00572264"/>
    <w:rsid w:val="005722DD"/>
    <w:rsid w:val="00572ACE"/>
    <w:rsid w:val="005738A7"/>
    <w:rsid w:val="005744AC"/>
    <w:rsid w:val="005747A1"/>
    <w:rsid w:val="00575527"/>
    <w:rsid w:val="0057607A"/>
    <w:rsid w:val="005827E9"/>
    <w:rsid w:val="0058351E"/>
    <w:rsid w:val="00583AB6"/>
    <w:rsid w:val="0058472F"/>
    <w:rsid w:val="00585050"/>
    <w:rsid w:val="0058534B"/>
    <w:rsid w:val="00585F8C"/>
    <w:rsid w:val="00587B6B"/>
    <w:rsid w:val="00590299"/>
    <w:rsid w:val="00591827"/>
    <w:rsid w:val="0059190E"/>
    <w:rsid w:val="005926F1"/>
    <w:rsid w:val="00592FC6"/>
    <w:rsid w:val="00593C35"/>
    <w:rsid w:val="0059458F"/>
    <w:rsid w:val="00594707"/>
    <w:rsid w:val="0059492C"/>
    <w:rsid w:val="005950C2"/>
    <w:rsid w:val="005962C0"/>
    <w:rsid w:val="0059635E"/>
    <w:rsid w:val="00596719"/>
    <w:rsid w:val="0059742F"/>
    <w:rsid w:val="00597483"/>
    <w:rsid w:val="0059773B"/>
    <w:rsid w:val="005A11A1"/>
    <w:rsid w:val="005A1776"/>
    <w:rsid w:val="005A19DE"/>
    <w:rsid w:val="005A19E2"/>
    <w:rsid w:val="005A2759"/>
    <w:rsid w:val="005A342B"/>
    <w:rsid w:val="005A3A80"/>
    <w:rsid w:val="005A3EA4"/>
    <w:rsid w:val="005A4314"/>
    <w:rsid w:val="005A500A"/>
    <w:rsid w:val="005A5750"/>
    <w:rsid w:val="005A5C19"/>
    <w:rsid w:val="005A5CF6"/>
    <w:rsid w:val="005A5EB5"/>
    <w:rsid w:val="005A601E"/>
    <w:rsid w:val="005A6353"/>
    <w:rsid w:val="005A63BD"/>
    <w:rsid w:val="005A6C97"/>
    <w:rsid w:val="005A6E4D"/>
    <w:rsid w:val="005A71E1"/>
    <w:rsid w:val="005A7CD5"/>
    <w:rsid w:val="005B0B57"/>
    <w:rsid w:val="005B19E7"/>
    <w:rsid w:val="005B1A97"/>
    <w:rsid w:val="005B29F4"/>
    <w:rsid w:val="005B2BE0"/>
    <w:rsid w:val="005B2C81"/>
    <w:rsid w:val="005B2FB4"/>
    <w:rsid w:val="005B3051"/>
    <w:rsid w:val="005B3B7E"/>
    <w:rsid w:val="005B4530"/>
    <w:rsid w:val="005B4C66"/>
    <w:rsid w:val="005B4D2C"/>
    <w:rsid w:val="005B5F3E"/>
    <w:rsid w:val="005B60AF"/>
    <w:rsid w:val="005C01C0"/>
    <w:rsid w:val="005C043A"/>
    <w:rsid w:val="005C0C00"/>
    <w:rsid w:val="005C0C0C"/>
    <w:rsid w:val="005C1191"/>
    <w:rsid w:val="005C16B0"/>
    <w:rsid w:val="005C179C"/>
    <w:rsid w:val="005C291E"/>
    <w:rsid w:val="005C2E17"/>
    <w:rsid w:val="005C31C5"/>
    <w:rsid w:val="005C3539"/>
    <w:rsid w:val="005C39AD"/>
    <w:rsid w:val="005C3BFD"/>
    <w:rsid w:val="005C42B0"/>
    <w:rsid w:val="005C4821"/>
    <w:rsid w:val="005C4E62"/>
    <w:rsid w:val="005C5506"/>
    <w:rsid w:val="005C5733"/>
    <w:rsid w:val="005C6354"/>
    <w:rsid w:val="005C6762"/>
    <w:rsid w:val="005C6EB6"/>
    <w:rsid w:val="005C6F87"/>
    <w:rsid w:val="005C7D15"/>
    <w:rsid w:val="005D09F4"/>
    <w:rsid w:val="005D14BE"/>
    <w:rsid w:val="005D25DA"/>
    <w:rsid w:val="005D3E1C"/>
    <w:rsid w:val="005D4060"/>
    <w:rsid w:val="005D43A2"/>
    <w:rsid w:val="005D4A3C"/>
    <w:rsid w:val="005D59BA"/>
    <w:rsid w:val="005D6D98"/>
    <w:rsid w:val="005D6E67"/>
    <w:rsid w:val="005D7E17"/>
    <w:rsid w:val="005E0512"/>
    <w:rsid w:val="005E12CA"/>
    <w:rsid w:val="005E2482"/>
    <w:rsid w:val="005E283E"/>
    <w:rsid w:val="005E3473"/>
    <w:rsid w:val="005E47B3"/>
    <w:rsid w:val="005E5A7F"/>
    <w:rsid w:val="005E6F98"/>
    <w:rsid w:val="005E6FA6"/>
    <w:rsid w:val="005F0A3A"/>
    <w:rsid w:val="005F1A34"/>
    <w:rsid w:val="005F3044"/>
    <w:rsid w:val="005F5223"/>
    <w:rsid w:val="005F5A97"/>
    <w:rsid w:val="005F60EA"/>
    <w:rsid w:val="005F6E28"/>
    <w:rsid w:val="005F7193"/>
    <w:rsid w:val="005F73D1"/>
    <w:rsid w:val="006004A5"/>
    <w:rsid w:val="00601033"/>
    <w:rsid w:val="00601499"/>
    <w:rsid w:val="0060160D"/>
    <w:rsid w:val="00601F80"/>
    <w:rsid w:val="0060368D"/>
    <w:rsid w:val="006049DB"/>
    <w:rsid w:val="00605B3C"/>
    <w:rsid w:val="00605D34"/>
    <w:rsid w:val="006109B1"/>
    <w:rsid w:val="00610F0E"/>
    <w:rsid w:val="00611140"/>
    <w:rsid w:val="006118E2"/>
    <w:rsid w:val="006125F0"/>
    <w:rsid w:val="00612BD4"/>
    <w:rsid w:val="006130E9"/>
    <w:rsid w:val="006132AD"/>
    <w:rsid w:val="006137CA"/>
    <w:rsid w:val="00613AF4"/>
    <w:rsid w:val="00616147"/>
    <w:rsid w:val="00616254"/>
    <w:rsid w:val="006164DD"/>
    <w:rsid w:val="006200B1"/>
    <w:rsid w:val="0062039D"/>
    <w:rsid w:val="00620C56"/>
    <w:rsid w:val="00620DB4"/>
    <w:rsid w:val="00620F8F"/>
    <w:rsid w:val="006230F1"/>
    <w:rsid w:val="00623BA3"/>
    <w:rsid w:val="00623C48"/>
    <w:rsid w:val="0062555E"/>
    <w:rsid w:val="00625996"/>
    <w:rsid w:val="00626113"/>
    <w:rsid w:val="006268EF"/>
    <w:rsid w:val="00626F83"/>
    <w:rsid w:val="00627CD4"/>
    <w:rsid w:val="00630DF9"/>
    <w:rsid w:val="00631125"/>
    <w:rsid w:val="006318BB"/>
    <w:rsid w:val="006330A9"/>
    <w:rsid w:val="0063419E"/>
    <w:rsid w:val="006343BD"/>
    <w:rsid w:val="00634B4A"/>
    <w:rsid w:val="0063589A"/>
    <w:rsid w:val="00635F6B"/>
    <w:rsid w:val="00636154"/>
    <w:rsid w:val="0063629A"/>
    <w:rsid w:val="0063677B"/>
    <w:rsid w:val="006367E6"/>
    <w:rsid w:val="006367F5"/>
    <w:rsid w:val="00636A08"/>
    <w:rsid w:val="0063758C"/>
    <w:rsid w:val="00641359"/>
    <w:rsid w:val="00641BB5"/>
    <w:rsid w:val="00641FD2"/>
    <w:rsid w:val="00643DA3"/>
    <w:rsid w:val="006445A0"/>
    <w:rsid w:val="00644796"/>
    <w:rsid w:val="00644979"/>
    <w:rsid w:val="00645532"/>
    <w:rsid w:val="00647E55"/>
    <w:rsid w:val="00651116"/>
    <w:rsid w:val="00652624"/>
    <w:rsid w:val="00653026"/>
    <w:rsid w:val="006531EE"/>
    <w:rsid w:val="00653AFB"/>
    <w:rsid w:val="0065408F"/>
    <w:rsid w:val="00654AB0"/>
    <w:rsid w:val="00655008"/>
    <w:rsid w:val="00655621"/>
    <w:rsid w:val="00657526"/>
    <w:rsid w:val="00657881"/>
    <w:rsid w:val="00660025"/>
    <w:rsid w:val="00661C9D"/>
    <w:rsid w:val="00662106"/>
    <w:rsid w:val="00662354"/>
    <w:rsid w:val="006623BF"/>
    <w:rsid w:val="0066280D"/>
    <w:rsid w:val="00663325"/>
    <w:rsid w:val="0066360E"/>
    <w:rsid w:val="0066366E"/>
    <w:rsid w:val="0066405A"/>
    <w:rsid w:val="006641DA"/>
    <w:rsid w:val="006641EA"/>
    <w:rsid w:val="00664694"/>
    <w:rsid w:val="00665E90"/>
    <w:rsid w:val="00666146"/>
    <w:rsid w:val="00671B90"/>
    <w:rsid w:val="00671CC2"/>
    <w:rsid w:val="00672438"/>
    <w:rsid w:val="0067259A"/>
    <w:rsid w:val="00674993"/>
    <w:rsid w:val="006755C4"/>
    <w:rsid w:val="00675B09"/>
    <w:rsid w:val="00675D52"/>
    <w:rsid w:val="00675E6C"/>
    <w:rsid w:val="006762DD"/>
    <w:rsid w:val="006766A9"/>
    <w:rsid w:val="00676FD2"/>
    <w:rsid w:val="006773E3"/>
    <w:rsid w:val="006774EB"/>
    <w:rsid w:val="0068064D"/>
    <w:rsid w:val="00682219"/>
    <w:rsid w:val="00683604"/>
    <w:rsid w:val="00683D9E"/>
    <w:rsid w:val="00684328"/>
    <w:rsid w:val="00685BD3"/>
    <w:rsid w:val="006869DF"/>
    <w:rsid w:val="00686A0B"/>
    <w:rsid w:val="00686E07"/>
    <w:rsid w:val="00687A10"/>
    <w:rsid w:val="00687A1C"/>
    <w:rsid w:val="00690016"/>
    <w:rsid w:val="006906A4"/>
    <w:rsid w:val="00690AA1"/>
    <w:rsid w:val="00690CDC"/>
    <w:rsid w:val="00691891"/>
    <w:rsid w:val="006918F6"/>
    <w:rsid w:val="00691B1D"/>
    <w:rsid w:val="00691CE8"/>
    <w:rsid w:val="00691E03"/>
    <w:rsid w:val="00691F6C"/>
    <w:rsid w:val="00692011"/>
    <w:rsid w:val="00693B5E"/>
    <w:rsid w:val="00693FC5"/>
    <w:rsid w:val="0069407B"/>
    <w:rsid w:val="0069581C"/>
    <w:rsid w:val="00695835"/>
    <w:rsid w:val="0069699D"/>
    <w:rsid w:val="006A0160"/>
    <w:rsid w:val="006A0CBD"/>
    <w:rsid w:val="006A1255"/>
    <w:rsid w:val="006A3A39"/>
    <w:rsid w:val="006A6EEE"/>
    <w:rsid w:val="006A79B7"/>
    <w:rsid w:val="006B05B1"/>
    <w:rsid w:val="006B080D"/>
    <w:rsid w:val="006B0F37"/>
    <w:rsid w:val="006B1B52"/>
    <w:rsid w:val="006B3067"/>
    <w:rsid w:val="006B415B"/>
    <w:rsid w:val="006B4252"/>
    <w:rsid w:val="006B469E"/>
    <w:rsid w:val="006B6E40"/>
    <w:rsid w:val="006C0152"/>
    <w:rsid w:val="006C07CF"/>
    <w:rsid w:val="006C17FE"/>
    <w:rsid w:val="006C4112"/>
    <w:rsid w:val="006C48F6"/>
    <w:rsid w:val="006C4A6B"/>
    <w:rsid w:val="006C562B"/>
    <w:rsid w:val="006C56F9"/>
    <w:rsid w:val="006C5AF2"/>
    <w:rsid w:val="006C61CA"/>
    <w:rsid w:val="006C71B9"/>
    <w:rsid w:val="006D00E0"/>
    <w:rsid w:val="006D017C"/>
    <w:rsid w:val="006D0CAE"/>
    <w:rsid w:val="006D0E10"/>
    <w:rsid w:val="006D1AEA"/>
    <w:rsid w:val="006D1B71"/>
    <w:rsid w:val="006D1BA7"/>
    <w:rsid w:val="006D1E9C"/>
    <w:rsid w:val="006D24C9"/>
    <w:rsid w:val="006D37EE"/>
    <w:rsid w:val="006D4775"/>
    <w:rsid w:val="006D54E4"/>
    <w:rsid w:val="006D663A"/>
    <w:rsid w:val="006D68D5"/>
    <w:rsid w:val="006D70A5"/>
    <w:rsid w:val="006D7670"/>
    <w:rsid w:val="006E0395"/>
    <w:rsid w:val="006E0454"/>
    <w:rsid w:val="006E137B"/>
    <w:rsid w:val="006E177F"/>
    <w:rsid w:val="006E1C94"/>
    <w:rsid w:val="006E1F25"/>
    <w:rsid w:val="006E36C7"/>
    <w:rsid w:val="006E4266"/>
    <w:rsid w:val="006E48A4"/>
    <w:rsid w:val="006E5E76"/>
    <w:rsid w:val="006E633F"/>
    <w:rsid w:val="006E65A0"/>
    <w:rsid w:val="006E7756"/>
    <w:rsid w:val="006F0431"/>
    <w:rsid w:val="006F0610"/>
    <w:rsid w:val="006F094F"/>
    <w:rsid w:val="006F2B73"/>
    <w:rsid w:val="006F358C"/>
    <w:rsid w:val="006F45D8"/>
    <w:rsid w:val="006F4BFA"/>
    <w:rsid w:val="006F5D87"/>
    <w:rsid w:val="006F5F27"/>
    <w:rsid w:val="006F7223"/>
    <w:rsid w:val="006F74DA"/>
    <w:rsid w:val="006F78E9"/>
    <w:rsid w:val="006F7A66"/>
    <w:rsid w:val="006F7D96"/>
    <w:rsid w:val="00700913"/>
    <w:rsid w:val="00700E1F"/>
    <w:rsid w:val="00701B64"/>
    <w:rsid w:val="00702E4F"/>
    <w:rsid w:val="0070504A"/>
    <w:rsid w:val="0070519B"/>
    <w:rsid w:val="0070670C"/>
    <w:rsid w:val="00707102"/>
    <w:rsid w:val="00707175"/>
    <w:rsid w:val="007074D2"/>
    <w:rsid w:val="007100D0"/>
    <w:rsid w:val="00710A57"/>
    <w:rsid w:val="00710DA5"/>
    <w:rsid w:val="00711F09"/>
    <w:rsid w:val="00713CE3"/>
    <w:rsid w:val="00713DB6"/>
    <w:rsid w:val="007151FD"/>
    <w:rsid w:val="00716DA5"/>
    <w:rsid w:val="007173AE"/>
    <w:rsid w:val="0071792B"/>
    <w:rsid w:val="00717C81"/>
    <w:rsid w:val="00720330"/>
    <w:rsid w:val="00720F1B"/>
    <w:rsid w:val="00720FB1"/>
    <w:rsid w:val="00721295"/>
    <w:rsid w:val="00722238"/>
    <w:rsid w:val="00724C32"/>
    <w:rsid w:val="007250CB"/>
    <w:rsid w:val="00726B5D"/>
    <w:rsid w:val="007274A8"/>
    <w:rsid w:val="0072761B"/>
    <w:rsid w:val="00727D04"/>
    <w:rsid w:val="007315ED"/>
    <w:rsid w:val="00732F11"/>
    <w:rsid w:val="00732F25"/>
    <w:rsid w:val="00733498"/>
    <w:rsid w:val="0073425D"/>
    <w:rsid w:val="007343D9"/>
    <w:rsid w:val="00734475"/>
    <w:rsid w:val="00736C51"/>
    <w:rsid w:val="0073725C"/>
    <w:rsid w:val="00737447"/>
    <w:rsid w:val="007375E2"/>
    <w:rsid w:val="007375FD"/>
    <w:rsid w:val="00737CF7"/>
    <w:rsid w:val="00737D9B"/>
    <w:rsid w:val="0074037F"/>
    <w:rsid w:val="00741359"/>
    <w:rsid w:val="00741BA8"/>
    <w:rsid w:val="007429BC"/>
    <w:rsid w:val="00742CFE"/>
    <w:rsid w:val="00743067"/>
    <w:rsid w:val="0074358E"/>
    <w:rsid w:val="00743C90"/>
    <w:rsid w:val="00744DEA"/>
    <w:rsid w:val="007451C5"/>
    <w:rsid w:val="00745843"/>
    <w:rsid w:val="00745CC8"/>
    <w:rsid w:val="007460FA"/>
    <w:rsid w:val="007467C4"/>
    <w:rsid w:val="00746BC8"/>
    <w:rsid w:val="007472DE"/>
    <w:rsid w:val="007472FB"/>
    <w:rsid w:val="007474BF"/>
    <w:rsid w:val="00747543"/>
    <w:rsid w:val="00747F27"/>
    <w:rsid w:val="00751231"/>
    <w:rsid w:val="00751B95"/>
    <w:rsid w:val="0075228A"/>
    <w:rsid w:val="007529A3"/>
    <w:rsid w:val="00752F9A"/>
    <w:rsid w:val="007531C7"/>
    <w:rsid w:val="007539E9"/>
    <w:rsid w:val="00753EDC"/>
    <w:rsid w:val="00754632"/>
    <w:rsid w:val="00754A33"/>
    <w:rsid w:val="00754FBE"/>
    <w:rsid w:val="00755E5C"/>
    <w:rsid w:val="00756213"/>
    <w:rsid w:val="00756346"/>
    <w:rsid w:val="00756AFE"/>
    <w:rsid w:val="00756E74"/>
    <w:rsid w:val="00757543"/>
    <w:rsid w:val="0075759E"/>
    <w:rsid w:val="007578F8"/>
    <w:rsid w:val="00760E36"/>
    <w:rsid w:val="007610A7"/>
    <w:rsid w:val="0076154C"/>
    <w:rsid w:val="00761769"/>
    <w:rsid w:val="007624D6"/>
    <w:rsid w:val="007634CC"/>
    <w:rsid w:val="00763EC7"/>
    <w:rsid w:val="00765C30"/>
    <w:rsid w:val="00765D16"/>
    <w:rsid w:val="00766069"/>
    <w:rsid w:val="00766BF8"/>
    <w:rsid w:val="00766F27"/>
    <w:rsid w:val="0076739A"/>
    <w:rsid w:val="007727AA"/>
    <w:rsid w:val="00772F32"/>
    <w:rsid w:val="0077301C"/>
    <w:rsid w:val="00775A72"/>
    <w:rsid w:val="007763FF"/>
    <w:rsid w:val="0077718A"/>
    <w:rsid w:val="0077780B"/>
    <w:rsid w:val="0077793A"/>
    <w:rsid w:val="00777B26"/>
    <w:rsid w:val="00777F71"/>
    <w:rsid w:val="00780C7B"/>
    <w:rsid w:val="0078174F"/>
    <w:rsid w:val="007826AC"/>
    <w:rsid w:val="007828D4"/>
    <w:rsid w:val="00783AAC"/>
    <w:rsid w:val="007846CA"/>
    <w:rsid w:val="007849B9"/>
    <w:rsid w:val="00785420"/>
    <w:rsid w:val="0078702E"/>
    <w:rsid w:val="007870B7"/>
    <w:rsid w:val="0078720C"/>
    <w:rsid w:val="0078745F"/>
    <w:rsid w:val="007900C0"/>
    <w:rsid w:val="0079196C"/>
    <w:rsid w:val="00791C34"/>
    <w:rsid w:val="007921DD"/>
    <w:rsid w:val="00792740"/>
    <w:rsid w:val="00792A2C"/>
    <w:rsid w:val="0079356F"/>
    <w:rsid w:val="00793BC4"/>
    <w:rsid w:val="007942EA"/>
    <w:rsid w:val="00794BA0"/>
    <w:rsid w:val="007951B9"/>
    <w:rsid w:val="00795214"/>
    <w:rsid w:val="00795D5A"/>
    <w:rsid w:val="00796B62"/>
    <w:rsid w:val="007971CA"/>
    <w:rsid w:val="007974F6"/>
    <w:rsid w:val="007A0490"/>
    <w:rsid w:val="007A0666"/>
    <w:rsid w:val="007A0D68"/>
    <w:rsid w:val="007A10A1"/>
    <w:rsid w:val="007A19DF"/>
    <w:rsid w:val="007A1F8B"/>
    <w:rsid w:val="007A32CE"/>
    <w:rsid w:val="007A3A88"/>
    <w:rsid w:val="007A4AC4"/>
    <w:rsid w:val="007A4BC7"/>
    <w:rsid w:val="007A5F66"/>
    <w:rsid w:val="007A635F"/>
    <w:rsid w:val="007A669D"/>
    <w:rsid w:val="007A70E2"/>
    <w:rsid w:val="007A7F2B"/>
    <w:rsid w:val="007B013B"/>
    <w:rsid w:val="007B07D4"/>
    <w:rsid w:val="007B0B61"/>
    <w:rsid w:val="007B21DF"/>
    <w:rsid w:val="007B2D2A"/>
    <w:rsid w:val="007B2D6E"/>
    <w:rsid w:val="007B3509"/>
    <w:rsid w:val="007B3624"/>
    <w:rsid w:val="007B38B8"/>
    <w:rsid w:val="007B43F3"/>
    <w:rsid w:val="007B5AB6"/>
    <w:rsid w:val="007C00A3"/>
    <w:rsid w:val="007C052F"/>
    <w:rsid w:val="007C09BA"/>
    <w:rsid w:val="007C0A9E"/>
    <w:rsid w:val="007C0C19"/>
    <w:rsid w:val="007C16A8"/>
    <w:rsid w:val="007C1820"/>
    <w:rsid w:val="007C2074"/>
    <w:rsid w:val="007C2117"/>
    <w:rsid w:val="007C286E"/>
    <w:rsid w:val="007C2F97"/>
    <w:rsid w:val="007C3049"/>
    <w:rsid w:val="007C3919"/>
    <w:rsid w:val="007C3959"/>
    <w:rsid w:val="007C3D91"/>
    <w:rsid w:val="007C3E2B"/>
    <w:rsid w:val="007C5291"/>
    <w:rsid w:val="007C5509"/>
    <w:rsid w:val="007C5F42"/>
    <w:rsid w:val="007C5F86"/>
    <w:rsid w:val="007C6F24"/>
    <w:rsid w:val="007C71ED"/>
    <w:rsid w:val="007C7C83"/>
    <w:rsid w:val="007C7CED"/>
    <w:rsid w:val="007D0AC9"/>
    <w:rsid w:val="007D0ACA"/>
    <w:rsid w:val="007D1887"/>
    <w:rsid w:val="007D23AA"/>
    <w:rsid w:val="007D243F"/>
    <w:rsid w:val="007D2724"/>
    <w:rsid w:val="007D32A0"/>
    <w:rsid w:val="007D405F"/>
    <w:rsid w:val="007D499E"/>
    <w:rsid w:val="007D5203"/>
    <w:rsid w:val="007D5F19"/>
    <w:rsid w:val="007D61C8"/>
    <w:rsid w:val="007D66CD"/>
    <w:rsid w:val="007D66DF"/>
    <w:rsid w:val="007D6AE6"/>
    <w:rsid w:val="007D6E84"/>
    <w:rsid w:val="007D7DBE"/>
    <w:rsid w:val="007E0407"/>
    <w:rsid w:val="007E08A0"/>
    <w:rsid w:val="007E16B1"/>
    <w:rsid w:val="007E1D24"/>
    <w:rsid w:val="007E29AA"/>
    <w:rsid w:val="007E2FB9"/>
    <w:rsid w:val="007E3111"/>
    <w:rsid w:val="007E3BDC"/>
    <w:rsid w:val="007E3EDA"/>
    <w:rsid w:val="007E46E2"/>
    <w:rsid w:val="007E4F11"/>
    <w:rsid w:val="007E6EFE"/>
    <w:rsid w:val="007F049A"/>
    <w:rsid w:val="007F04DB"/>
    <w:rsid w:val="007F137A"/>
    <w:rsid w:val="007F29A4"/>
    <w:rsid w:val="007F2C71"/>
    <w:rsid w:val="007F3D86"/>
    <w:rsid w:val="007F46C6"/>
    <w:rsid w:val="007F53C1"/>
    <w:rsid w:val="007F5EDC"/>
    <w:rsid w:val="007F612D"/>
    <w:rsid w:val="007F62D1"/>
    <w:rsid w:val="007F6DFD"/>
    <w:rsid w:val="007F79C5"/>
    <w:rsid w:val="0080012D"/>
    <w:rsid w:val="00801547"/>
    <w:rsid w:val="008017C0"/>
    <w:rsid w:val="00801FD1"/>
    <w:rsid w:val="008028A3"/>
    <w:rsid w:val="0080299F"/>
    <w:rsid w:val="008034C0"/>
    <w:rsid w:val="00804CA8"/>
    <w:rsid w:val="00804D89"/>
    <w:rsid w:val="00805D31"/>
    <w:rsid w:val="00806A30"/>
    <w:rsid w:val="00807A2C"/>
    <w:rsid w:val="00807CB4"/>
    <w:rsid w:val="00810827"/>
    <w:rsid w:val="00810B8E"/>
    <w:rsid w:val="008120D8"/>
    <w:rsid w:val="008125DE"/>
    <w:rsid w:val="00812DCC"/>
    <w:rsid w:val="00813D08"/>
    <w:rsid w:val="00814ADA"/>
    <w:rsid w:val="00815956"/>
    <w:rsid w:val="00816998"/>
    <w:rsid w:val="00817AF0"/>
    <w:rsid w:val="0082151B"/>
    <w:rsid w:val="0082194D"/>
    <w:rsid w:val="00822096"/>
    <w:rsid w:val="00822418"/>
    <w:rsid w:val="008229C5"/>
    <w:rsid w:val="00822EF1"/>
    <w:rsid w:val="008235D8"/>
    <w:rsid w:val="0082397C"/>
    <w:rsid w:val="00825EEE"/>
    <w:rsid w:val="008262A3"/>
    <w:rsid w:val="00827B40"/>
    <w:rsid w:val="00830A41"/>
    <w:rsid w:val="0083133C"/>
    <w:rsid w:val="008315F1"/>
    <w:rsid w:val="0083327C"/>
    <w:rsid w:val="00833466"/>
    <w:rsid w:val="00833496"/>
    <w:rsid w:val="0083353F"/>
    <w:rsid w:val="00833860"/>
    <w:rsid w:val="00833951"/>
    <w:rsid w:val="00834491"/>
    <w:rsid w:val="00836803"/>
    <w:rsid w:val="00837454"/>
    <w:rsid w:val="00837E21"/>
    <w:rsid w:val="00842009"/>
    <w:rsid w:val="0084255B"/>
    <w:rsid w:val="0084270A"/>
    <w:rsid w:val="00842D7B"/>
    <w:rsid w:val="0084306F"/>
    <w:rsid w:val="0084354F"/>
    <w:rsid w:val="008454C7"/>
    <w:rsid w:val="0084558E"/>
    <w:rsid w:val="008467FE"/>
    <w:rsid w:val="00847890"/>
    <w:rsid w:val="008504F3"/>
    <w:rsid w:val="008506B1"/>
    <w:rsid w:val="00851157"/>
    <w:rsid w:val="00851879"/>
    <w:rsid w:val="00852BBD"/>
    <w:rsid w:val="008534E3"/>
    <w:rsid w:val="00853C38"/>
    <w:rsid w:val="0085649B"/>
    <w:rsid w:val="008567BE"/>
    <w:rsid w:val="00856AE6"/>
    <w:rsid w:val="008575E4"/>
    <w:rsid w:val="00857FF0"/>
    <w:rsid w:val="008602A7"/>
    <w:rsid w:val="00860339"/>
    <w:rsid w:val="00860936"/>
    <w:rsid w:val="00861861"/>
    <w:rsid w:val="00861F17"/>
    <w:rsid w:val="008625CE"/>
    <w:rsid w:val="00862D0C"/>
    <w:rsid w:val="00863F49"/>
    <w:rsid w:val="0086426C"/>
    <w:rsid w:val="00864655"/>
    <w:rsid w:val="00864D51"/>
    <w:rsid w:val="00865BE2"/>
    <w:rsid w:val="00866992"/>
    <w:rsid w:val="00866F19"/>
    <w:rsid w:val="008704EE"/>
    <w:rsid w:val="00870CD0"/>
    <w:rsid w:val="008718EB"/>
    <w:rsid w:val="00873DC4"/>
    <w:rsid w:val="00873E0C"/>
    <w:rsid w:val="008744FF"/>
    <w:rsid w:val="00874DF4"/>
    <w:rsid w:val="008755F3"/>
    <w:rsid w:val="00875CE3"/>
    <w:rsid w:val="0087612F"/>
    <w:rsid w:val="00876F41"/>
    <w:rsid w:val="0088017B"/>
    <w:rsid w:val="00880C15"/>
    <w:rsid w:val="00881084"/>
    <w:rsid w:val="008810A5"/>
    <w:rsid w:val="00881E08"/>
    <w:rsid w:val="008827E9"/>
    <w:rsid w:val="00882925"/>
    <w:rsid w:val="00882995"/>
    <w:rsid w:val="008836CC"/>
    <w:rsid w:val="008837C7"/>
    <w:rsid w:val="008842C6"/>
    <w:rsid w:val="008844F3"/>
    <w:rsid w:val="00884640"/>
    <w:rsid w:val="00884EE3"/>
    <w:rsid w:val="00886C85"/>
    <w:rsid w:val="008870A0"/>
    <w:rsid w:val="00887583"/>
    <w:rsid w:val="00890B72"/>
    <w:rsid w:val="00890FC9"/>
    <w:rsid w:val="008910F8"/>
    <w:rsid w:val="00891140"/>
    <w:rsid w:val="00891719"/>
    <w:rsid w:val="008922AA"/>
    <w:rsid w:val="008923E5"/>
    <w:rsid w:val="00893938"/>
    <w:rsid w:val="00893FFB"/>
    <w:rsid w:val="008940BF"/>
    <w:rsid w:val="00896603"/>
    <w:rsid w:val="008968D3"/>
    <w:rsid w:val="00896B23"/>
    <w:rsid w:val="0089735B"/>
    <w:rsid w:val="008A0850"/>
    <w:rsid w:val="008A0E65"/>
    <w:rsid w:val="008A1DE1"/>
    <w:rsid w:val="008A1F78"/>
    <w:rsid w:val="008A2680"/>
    <w:rsid w:val="008A288F"/>
    <w:rsid w:val="008A2B40"/>
    <w:rsid w:val="008A2D35"/>
    <w:rsid w:val="008A35FC"/>
    <w:rsid w:val="008A3DCF"/>
    <w:rsid w:val="008A3EDA"/>
    <w:rsid w:val="008A4AED"/>
    <w:rsid w:val="008A5B2A"/>
    <w:rsid w:val="008A5DE4"/>
    <w:rsid w:val="008A721A"/>
    <w:rsid w:val="008A7721"/>
    <w:rsid w:val="008A7B5B"/>
    <w:rsid w:val="008B172F"/>
    <w:rsid w:val="008B1798"/>
    <w:rsid w:val="008B1D63"/>
    <w:rsid w:val="008B1DC9"/>
    <w:rsid w:val="008B28D6"/>
    <w:rsid w:val="008B449C"/>
    <w:rsid w:val="008B6BF2"/>
    <w:rsid w:val="008B6F35"/>
    <w:rsid w:val="008B729B"/>
    <w:rsid w:val="008C2C72"/>
    <w:rsid w:val="008C2F94"/>
    <w:rsid w:val="008C46DC"/>
    <w:rsid w:val="008C5200"/>
    <w:rsid w:val="008C57A9"/>
    <w:rsid w:val="008C601A"/>
    <w:rsid w:val="008C7346"/>
    <w:rsid w:val="008D051A"/>
    <w:rsid w:val="008D0B73"/>
    <w:rsid w:val="008D204D"/>
    <w:rsid w:val="008D2886"/>
    <w:rsid w:val="008D31AE"/>
    <w:rsid w:val="008D428A"/>
    <w:rsid w:val="008D455D"/>
    <w:rsid w:val="008D48C1"/>
    <w:rsid w:val="008D49BB"/>
    <w:rsid w:val="008D4EF8"/>
    <w:rsid w:val="008D5A63"/>
    <w:rsid w:val="008D5EA3"/>
    <w:rsid w:val="008D6778"/>
    <w:rsid w:val="008D7ABB"/>
    <w:rsid w:val="008E1632"/>
    <w:rsid w:val="008E199F"/>
    <w:rsid w:val="008E1B39"/>
    <w:rsid w:val="008E2FC7"/>
    <w:rsid w:val="008E343E"/>
    <w:rsid w:val="008E37C9"/>
    <w:rsid w:val="008E385D"/>
    <w:rsid w:val="008E4D9E"/>
    <w:rsid w:val="008E4FF1"/>
    <w:rsid w:val="008E501F"/>
    <w:rsid w:val="008E54B5"/>
    <w:rsid w:val="008E5772"/>
    <w:rsid w:val="008E57BA"/>
    <w:rsid w:val="008E7BA9"/>
    <w:rsid w:val="008F00DA"/>
    <w:rsid w:val="008F0327"/>
    <w:rsid w:val="008F0962"/>
    <w:rsid w:val="008F3418"/>
    <w:rsid w:val="008F4C34"/>
    <w:rsid w:val="008F4F75"/>
    <w:rsid w:val="008F55A3"/>
    <w:rsid w:val="008F574B"/>
    <w:rsid w:val="008F6C6B"/>
    <w:rsid w:val="008F6FB5"/>
    <w:rsid w:val="008F7470"/>
    <w:rsid w:val="0090107C"/>
    <w:rsid w:val="00901C33"/>
    <w:rsid w:val="00902597"/>
    <w:rsid w:val="00902A35"/>
    <w:rsid w:val="00904497"/>
    <w:rsid w:val="00904DBD"/>
    <w:rsid w:val="00905A4B"/>
    <w:rsid w:val="009060CB"/>
    <w:rsid w:val="00906B71"/>
    <w:rsid w:val="00906DAF"/>
    <w:rsid w:val="00907528"/>
    <w:rsid w:val="00907568"/>
    <w:rsid w:val="009076D1"/>
    <w:rsid w:val="0091026B"/>
    <w:rsid w:val="00910CB6"/>
    <w:rsid w:val="00910CD4"/>
    <w:rsid w:val="00910EE2"/>
    <w:rsid w:val="00911320"/>
    <w:rsid w:val="00912026"/>
    <w:rsid w:val="00912364"/>
    <w:rsid w:val="00913B4B"/>
    <w:rsid w:val="00913D9C"/>
    <w:rsid w:val="00913E90"/>
    <w:rsid w:val="00914378"/>
    <w:rsid w:val="00914935"/>
    <w:rsid w:val="00914958"/>
    <w:rsid w:val="00914FC2"/>
    <w:rsid w:val="00915000"/>
    <w:rsid w:val="0091580D"/>
    <w:rsid w:val="00915C51"/>
    <w:rsid w:val="00916663"/>
    <w:rsid w:val="009178A7"/>
    <w:rsid w:val="00920E58"/>
    <w:rsid w:val="00920ED5"/>
    <w:rsid w:val="009211D0"/>
    <w:rsid w:val="00921291"/>
    <w:rsid w:val="0092164E"/>
    <w:rsid w:val="009221BD"/>
    <w:rsid w:val="00923057"/>
    <w:rsid w:val="00924C87"/>
    <w:rsid w:val="0092533B"/>
    <w:rsid w:val="009253CD"/>
    <w:rsid w:val="0092599B"/>
    <w:rsid w:val="00927458"/>
    <w:rsid w:val="0092765A"/>
    <w:rsid w:val="00927A67"/>
    <w:rsid w:val="00927B6D"/>
    <w:rsid w:val="00930EB8"/>
    <w:rsid w:val="00931308"/>
    <w:rsid w:val="00931B08"/>
    <w:rsid w:val="00931F8C"/>
    <w:rsid w:val="00932113"/>
    <w:rsid w:val="00932EA7"/>
    <w:rsid w:val="0093513C"/>
    <w:rsid w:val="0093528F"/>
    <w:rsid w:val="00935B0A"/>
    <w:rsid w:val="00936F69"/>
    <w:rsid w:val="00937017"/>
    <w:rsid w:val="009371F1"/>
    <w:rsid w:val="009404E3"/>
    <w:rsid w:val="00940938"/>
    <w:rsid w:val="009410B0"/>
    <w:rsid w:val="009426E4"/>
    <w:rsid w:val="009431B1"/>
    <w:rsid w:val="00943BAD"/>
    <w:rsid w:val="00943E7B"/>
    <w:rsid w:val="00944CD1"/>
    <w:rsid w:val="00944EAE"/>
    <w:rsid w:val="00946817"/>
    <w:rsid w:val="00950C7A"/>
    <w:rsid w:val="009514AE"/>
    <w:rsid w:val="00951C6A"/>
    <w:rsid w:val="009523F9"/>
    <w:rsid w:val="00953A91"/>
    <w:rsid w:val="009540AC"/>
    <w:rsid w:val="00954D19"/>
    <w:rsid w:val="009562CD"/>
    <w:rsid w:val="009568CF"/>
    <w:rsid w:val="009576D9"/>
    <w:rsid w:val="009604C3"/>
    <w:rsid w:val="009607D4"/>
    <w:rsid w:val="00960AAB"/>
    <w:rsid w:val="00961113"/>
    <w:rsid w:val="00961136"/>
    <w:rsid w:val="00961722"/>
    <w:rsid w:val="0096213B"/>
    <w:rsid w:val="009621C4"/>
    <w:rsid w:val="0096255F"/>
    <w:rsid w:val="00962717"/>
    <w:rsid w:val="00962BC2"/>
    <w:rsid w:val="009646FC"/>
    <w:rsid w:val="009647AE"/>
    <w:rsid w:val="00964805"/>
    <w:rsid w:val="00964FC0"/>
    <w:rsid w:val="0096543D"/>
    <w:rsid w:val="009654F4"/>
    <w:rsid w:val="00966D66"/>
    <w:rsid w:val="00967588"/>
    <w:rsid w:val="0097045F"/>
    <w:rsid w:val="00970A07"/>
    <w:rsid w:val="00971289"/>
    <w:rsid w:val="0097151F"/>
    <w:rsid w:val="0097272D"/>
    <w:rsid w:val="00972A59"/>
    <w:rsid w:val="00973666"/>
    <w:rsid w:val="00974EB5"/>
    <w:rsid w:val="00975243"/>
    <w:rsid w:val="009761C2"/>
    <w:rsid w:val="0097696D"/>
    <w:rsid w:val="00977766"/>
    <w:rsid w:val="00977B57"/>
    <w:rsid w:val="009808A5"/>
    <w:rsid w:val="009808E9"/>
    <w:rsid w:val="00980B61"/>
    <w:rsid w:val="00982563"/>
    <w:rsid w:val="00982E29"/>
    <w:rsid w:val="00983A11"/>
    <w:rsid w:val="00984596"/>
    <w:rsid w:val="009860D8"/>
    <w:rsid w:val="00986924"/>
    <w:rsid w:val="00986C07"/>
    <w:rsid w:val="009879F7"/>
    <w:rsid w:val="00990B36"/>
    <w:rsid w:val="009910A1"/>
    <w:rsid w:val="0099161E"/>
    <w:rsid w:val="00991B11"/>
    <w:rsid w:val="00992695"/>
    <w:rsid w:val="00992745"/>
    <w:rsid w:val="00992B19"/>
    <w:rsid w:val="009948F5"/>
    <w:rsid w:val="009971C8"/>
    <w:rsid w:val="009977A5"/>
    <w:rsid w:val="009A062A"/>
    <w:rsid w:val="009A0698"/>
    <w:rsid w:val="009A0942"/>
    <w:rsid w:val="009A1524"/>
    <w:rsid w:val="009A1D28"/>
    <w:rsid w:val="009A26D9"/>
    <w:rsid w:val="009A37A5"/>
    <w:rsid w:val="009A39F1"/>
    <w:rsid w:val="009A4069"/>
    <w:rsid w:val="009A57DB"/>
    <w:rsid w:val="009A6859"/>
    <w:rsid w:val="009A6EB9"/>
    <w:rsid w:val="009A778A"/>
    <w:rsid w:val="009B054D"/>
    <w:rsid w:val="009B082E"/>
    <w:rsid w:val="009B0BC0"/>
    <w:rsid w:val="009B2A38"/>
    <w:rsid w:val="009B47F7"/>
    <w:rsid w:val="009B5052"/>
    <w:rsid w:val="009B5538"/>
    <w:rsid w:val="009B571B"/>
    <w:rsid w:val="009B5831"/>
    <w:rsid w:val="009B6D9C"/>
    <w:rsid w:val="009B7A22"/>
    <w:rsid w:val="009B7CA4"/>
    <w:rsid w:val="009C00F2"/>
    <w:rsid w:val="009C1AA7"/>
    <w:rsid w:val="009C24B6"/>
    <w:rsid w:val="009C31E6"/>
    <w:rsid w:val="009C3AB9"/>
    <w:rsid w:val="009C40A5"/>
    <w:rsid w:val="009C4162"/>
    <w:rsid w:val="009C4D4E"/>
    <w:rsid w:val="009C4F1E"/>
    <w:rsid w:val="009C6BAF"/>
    <w:rsid w:val="009C6C22"/>
    <w:rsid w:val="009C6D69"/>
    <w:rsid w:val="009C6F8A"/>
    <w:rsid w:val="009C7EDF"/>
    <w:rsid w:val="009D1161"/>
    <w:rsid w:val="009D1499"/>
    <w:rsid w:val="009D1B6D"/>
    <w:rsid w:val="009D2E0E"/>
    <w:rsid w:val="009D2EA2"/>
    <w:rsid w:val="009D311F"/>
    <w:rsid w:val="009D32B5"/>
    <w:rsid w:val="009D4027"/>
    <w:rsid w:val="009D41DC"/>
    <w:rsid w:val="009D435D"/>
    <w:rsid w:val="009D43BD"/>
    <w:rsid w:val="009D56E5"/>
    <w:rsid w:val="009D5D64"/>
    <w:rsid w:val="009D5E30"/>
    <w:rsid w:val="009D64E8"/>
    <w:rsid w:val="009D72B6"/>
    <w:rsid w:val="009D7817"/>
    <w:rsid w:val="009D7AA6"/>
    <w:rsid w:val="009E06EA"/>
    <w:rsid w:val="009E0B14"/>
    <w:rsid w:val="009E2232"/>
    <w:rsid w:val="009E2804"/>
    <w:rsid w:val="009E2AD1"/>
    <w:rsid w:val="009E2D6A"/>
    <w:rsid w:val="009E4E38"/>
    <w:rsid w:val="009E5F59"/>
    <w:rsid w:val="009E5FCB"/>
    <w:rsid w:val="009E627F"/>
    <w:rsid w:val="009E66C0"/>
    <w:rsid w:val="009E6CDE"/>
    <w:rsid w:val="009E6DB4"/>
    <w:rsid w:val="009E7477"/>
    <w:rsid w:val="009F0459"/>
    <w:rsid w:val="009F07ED"/>
    <w:rsid w:val="009F1A38"/>
    <w:rsid w:val="009F292A"/>
    <w:rsid w:val="009F2AE3"/>
    <w:rsid w:val="009F2C03"/>
    <w:rsid w:val="009F3BDE"/>
    <w:rsid w:val="009F3F6A"/>
    <w:rsid w:val="009F49E9"/>
    <w:rsid w:val="009F4D65"/>
    <w:rsid w:val="009F58F6"/>
    <w:rsid w:val="009F6157"/>
    <w:rsid w:val="00A00FE2"/>
    <w:rsid w:val="00A01666"/>
    <w:rsid w:val="00A01B90"/>
    <w:rsid w:val="00A02580"/>
    <w:rsid w:val="00A02AB0"/>
    <w:rsid w:val="00A039FC"/>
    <w:rsid w:val="00A0488F"/>
    <w:rsid w:val="00A04F31"/>
    <w:rsid w:val="00A062CB"/>
    <w:rsid w:val="00A077E5"/>
    <w:rsid w:val="00A11019"/>
    <w:rsid w:val="00A119D0"/>
    <w:rsid w:val="00A121BB"/>
    <w:rsid w:val="00A125C8"/>
    <w:rsid w:val="00A1335F"/>
    <w:rsid w:val="00A13E7D"/>
    <w:rsid w:val="00A1496E"/>
    <w:rsid w:val="00A15B4A"/>
    <w:rsid w:val="00A161F9"/>
    <w:rsid w:val="00A210E9"/>
    <w:rsid w:val="00A219A2"/>
    <w:rsid w:val="00A22BED"/>
    <w:rsid w:val="00A22CB8"/>
    <w:rsid w:val="00A22EB5"/>
    <w:rsid w:val="00A23567"/>
    <w:rsid w:val="00A24093"/>
    <w:rsid w:val="00A24155"/>
    <w:rsid w:val="00A249BE"/>
    <w:rsid w:val="00A26BD8"/>
    <w:rsid w:val="00A278F0"/>
    <w:rsid w:val="00A27F30"/>
    <w:rsid w:val="00A301FC"/>
    <w:rsid w:val="00A308CE"/>
    <w:rsid w:val="00A31A03"/>
    <w:rsid w:val="00A31E3C"/>
    <w:rsid w:val="00A32CE7"/>
    <w:rsid w:val="00A32E35"/>
    <w:rsid w:val="00A337CC"/>
    <w:rsid w:val="00A34011"/>
    <w:rsid w:val="00A349EF"/>
    <w:rsid w:val="00A34E0F"/>
    <w:rsid w:val="00A35A43"/>
    <w:rsid w:val="00A35E29"/>
    <w:rsid w:val="00A37136"/>
    <w:rsid w:val="00A37AC9"/>
    <w:rsid w:val="00A37BAC"/>
    <w:rsid w:val="00A4059C"/>
    <w:rsid w:val="00A4232F"/>
    <w:rsid w:val="00A427C2"/>
    <w:rsid w:val="00A4316F"/>
    <w:rsid w:val="00A43323"/>
    <w:rsid w:val="00A44790"/>
    <w:rsid w:val="00A44CC5"/>
    <w:rsid w:val="00A44F87"/>
    <w:rsid w:val="00A456A2"/>
    <w:rsid w:val="00A45EF3"/>
    <w:rsid w:val="00A47D32"/>
    <w:rsid w:val="00A50A09"/>
    <w:rsid w:val="00A51222"/>
    <w:rsid w:val="00A51616"/>
    <w:rsid w:val="00A516DA"/>
    <w:rsid w:val="00A51838"/>
    <w:rsid w:val="00A51986"/>
    <w:rsid w:val="00A52010"/>
    <w:rsid w:val="00A52484"/>
    <w:rsid w:val="00A52D5D"/>
    <w:rsid w:val="00A530AD"/>
    <w:rsid w:val="00A536EB"/>
    <w:rsid w:val="00A53DAC"/>
    <w:rsid w:val="00A56F56"/>
    <w:rsid w:val="00A57076"/>
    <w:rsid w:val="00A5723B"/>
    <w:rsid w:val="00A604AB"/>
    <w:rsid w:val="00A606B6"/>
    <w:rsid w:val="00A60D9D"/>
    <w:rsid w:val="00A6200A"/>
    <w:rsid w:val="00A6218C"/>
    <w:rsid w:val="00A626B9"/>
    <w:rsid w:val="00A63153"/>
    <w:rsid w:val="00A631DB"/>
    <w:rsid w:val="00A63CCA"/>
    <w:rsid w:val="00A649F1"/>
    <w:rsid w:val="00A65568"/>
    <w:rsid w:val="00A6627C"/>
    <w:rsid w:val="00A67030"/>
    <w:rsid w:val="00A67267"/>
    <w:rsid w:val="00A67F89"/>
    <w:rsid w:val="00A702E4"/>
    <w:rsid w:val="00A70ECA"/>
    <w:rsid w:val="00A719E5"/>
    <w:rsid w:val="00A71CD4"/>
    <w:rsid w:val="00A7309A"/>
    <w:rsid w:val="00A73438"/>
    <w:rsid w:val="00A73D7F"/>
    <w:rsid w:val="00A73E94"/>
    <w:rsid w:val="00A75FB6"/>
    <w:rsid w:val="00A7637C"/>
    <w:rsid w:val="00A76B0D"/>
    <w:rsid w:val="00A76DBD"/>
    <w:rsid w:val="00A77E44"/>
    <w:rsid w:val="00A81536"/>
    <w:rsid w:val="00A8156C"/>
    <w:rsid w:val="00A83320"/>
    <w:rsid w:val="00A833F6"/>
    <w:rsid w:val="00A8366B"/>
    <w:rsid w:val="00A83966"/>
    <w:rsid w:val="00A86026"/>
    <w:rsid w:val="00A872C6"/>
    <w:rsid w:val="00A878EA"/>
    <w:rsid w:val="00A87B7E"/>
    <w:rsid w:val="00A905BA"/>
    <w:rsid w:val="00A91014"/>
    <w:rsid w:val="00A91806"/>
    <w:rsid w:val="00A928D7"/>
    <w:rsid w:val="00A92ED7"/>
    <w:rsid w:val="00A93C4E"/>
    <w:rsid w:val="00A9441C"/>
    <w:rsid w:val="00A94B3D"/>
    <w:rsid w:val="00A96800"/>
    <w:rsid w:val="00A97B0B"/>
    <w:rsid w:val="00AA05E1"/>
    <w:rsid w:val="00AA110D"/>
    <w:rsid w:val="00AA2BF4"/>
    <w:rsid w:val="00AA2D79"/>
    <w:rsid w:val="00AA2E21"/>
    <w:rsid w:val="00AA42FE"/>
    <w:rsid w:val="00AA5449"/>
    <w:rsid w:val="00AA6201"/>
    <w:rsid w:val="00AA67B2"/>
    <w:rsid w:val="00AA7251"/>
    <w:rsid w:val="00AA76FA"/>
    <w:rsid w:val="00AA7925"/>
    <w:rsid w:val="00AB031F"/>
    <w:rsid w:val="00AB0E07"/>
    <w:rsid w:val="00AB10FE"/>
    <w:rsid w:val="00AB2E54"/>
    <w:rsid w:val="00AB48F7"/>
    <w:rsid w:val="00AB51F9"/>
    <w:rsid w:val="00AB5FEB"/>
    <w:rsid w:val="00AB646B"/>
    <w:rsid w:val="00AB6D1B"/>
    <w:rsid w:val="00AC144E"/>
    <w:rsid w:val="00AC1F0C"/>
    <w:rsid w:val="00AC2570"/>
    <w:rsid w:val="00AC2AAD"/>
    <w:rsid w:val="00AC38A8"/>
    <w:rsid w:val="00AC3C35"/>
    <w:rsid w:val="00AC3F73"/>
    <w:rsid w:val="00AC479F"/>
    <w:rsid w:val="00AC4D5D"/>
    <w:rsid w:val="00AC609D"/>
    <w:rsid w:val="00AC6202"/>
    <w:rsid w:val="00AC6416"/>
    <w:rsid w:val="00AC74C0"/>
    <w:rsid w:val="00AC7B02"/>
    <w:rsid w:val="00AD0248"/>
    <w:rsid w:val="00AD210D"/>
    <w:rsid w:val="00AD2417"/>
    <w:rsid w:val="00AD299D"/>
    <w:rsid w:val="00AD33C5"/>
    <w:rsid w:val="00AD3496"/>
    <w:rsid w:val="00AD3A7C"/>
    <w:rsid w:val="00AD5081"/>
    <w:rsid w:val="00AD5279"/>
    <w:rsid w:val="00AD5613"/>
    <w:rsid w:val="00AD566E"/>
    <w:rsid w:val="00AD57DA"/>
    <w:rsid w:val="00AD6855"/>
    <w:rsid w:val="00AD75B3"/>
    <w:rsid w:val="00AE09E8"/>
    <w:rsid w:val="00AE09F2"/>
    <w:rsid w:val="00AE0CEA"/>
    <w:rsid w:val="00AE0F11"/>
    <w:rsid w:val="00AE1C91"/>
    <w:rsid w:val="00AE20AB"/>
    <w:rsid w:val="00AE2142"/>
    <w:rsid w:val="00AE21D6"/>
    <w:rsid w:val="00AE2696"/>
    <w:rsid w:val="00AE27D5"/>
    <w:rsid w:val="00AE3657"/>
    <w:rsid w:val="00AE42BA"/>
    <w:rsid w:val="00AE4E08"/>
    <w:rsid w:val="00AE5C55"/>
    <w:rsid w:val="00AE6324"/>
    <w:rsid w:val="00AE663E"/>
    <w:rsid w:val="00AF1367"/>
    <w:rsid w:val="00AF1388"/>
    <w:rsid w:val="00AF2B2F"/>
    <w:rsid w:val="00AF3EE5"/>
    <w:rsid w:val="00AF42A7"/>
    <w:rsid w:val="00AF665E"/>
    <w:rsid w:val="00AF6ABC"/>
    <w:rsid w:val="00AF6C15"/>
    <w:rsid w:val="00AF720B"/>
    <w:rsid w:val="00AF776F"/>
    <w:rsid w:val="00AF79E7"/>
    <w:rsid w:val="00AF7D4E"/>
    <w:rsid w:val="00B0157E"/>
    <w:rsid w:val="00B02254"/>
    <w:rsid w:val="00B03586"/>
    <w:rsid w:val="00B03CFA"/>
    <w:rsid w:val="00B066D3"/>
    <w:rsid w:val="00B106AE"/>
    <w:rsid w:val="00B10710"/>
    <w:rsid w:val="00B108C8"/>
    <w:rsid w:val="00B113F9"/>
    <w:rsid w:val="00B1393F"/>
    <w:rsid w:val="00B1467A"/>
    <w:rsid w:val="00B15CE7"/>
    <w:rsid w:val="00B15D73"/>
    <w:rsid w:val="00B16941"/>
    <w:rsid w:val="00B17D00"/>
    <w:rsid w:val="00B17D72"/>
    <w:rsid w:val="00B20392"/>
    <w:rsid w:val="00B20B19"/>
    <w:rsid w:val="00B211C4"/>
    <w:rsid w:val="00B213AA"/>
    <w:rsid w:val="00B2187C"/>
    <w:rsid w:val="00B21AA1"/>
    <w:rsid w:val="00B21CA2"/>
    <w:rsid w:val="00B21DE5"/>
    <w:rsid w:val="00B2253C"/>
    <w:rsid w:val="00B22799"/>
    <w:rsid w:val="00B23C03"/>
    <w:rsid w:val="00B24DA0"/>
    <w:rsid w:val="00B2534D"/>
    <w:rsid w:val="00B26021"/>
    <w:rsid w:val="00B31292"/>
    <w:rsid w:val="00B31999"/>
    <w:rsid w:val="00B3204C"/>
    <w:rsid w:val="00B33865"/>
    <w:rsid w:val="00B3510A"/>
    <w:rsid w:val="00B3666F"/>
    <w:rsid w:val="00B366A7"/>
    <w:rsid w:val="00B37D7A"/>
    <w:rsid w:val="00B401AC"/>
    <w:rsid w:val="00B404D0"/>
    <w:rsid w:val="00B405F0"/>
    <w:rsid w:val="00B4080B"/>
    <w:rsid w:val="00B4197D"/>
    <w:rsid w:val="00B436F3"/>
    <w:rsid w:val="00B43EB2"/>
    <w:rsid w:val="00B4515B"/>
    <w:rsid w:val="00B45812"/>
    <w:rsid w:val="00B502F4"/>
    <w:rsid w:val="00B51395"/>
    <w:rsid w:val="00B53886"/>
    <w:rsid w:val="00B54330"/>
    <w:rsid w:val="00B5438F"/>
    <w:rsid w:val="00B56225"/>
    <w:rsid w:val="00B57781"/>
    <w:rsid w:val="00B57D66"/>
    <w:rsid w:val="00B604A2"/>
    <w:rsid w:val="00B612E3"/>
    <w:rsid w:val="00B62E55"/>
    <w:rsid w:val="00B63BF7"/>
    <w:rsid w:val="00B659DB"/>
    <w:rsid w:val="00B65FD4"/>
    <w:rsid w:val="00B66789"/>
    <w:rsid w:val="00B7111F"/>
    <w:rsid w:val="00B715F0"/>
    <w:rsid w:val="00B7172E"/>
    <w:rsid w:val="00B72DE2"/>
    <w:rsid w:val="00B74321"/>
    <w:rsid w:val="00B75278"/>
    <w:rsid w:val="00B7687C"/>
    <w:rsid w:val="00B8046F"/>
    <w:rsid w:val="00B80842"/>
    <w:rsid w:val="00B80A65"/>
    <w:rsid w:val="00B80ED5"/>
    <w:rsid w:val="00B80FCF"/>
    <w:rsid w:val="00B8121D"/>
    <w:rsid w:val="00B81488"/>
    <w:rsid w:val="00B8184A"/>
    <w:rsid w:val="00B8219D"/>
    <w:rsid w:val="00B834A8"/>
    <w:rsid w:val="00B85AB8"/>
    <w:rsid w:val="00B85CC9"/>
    <w:rsid w:val="00B86364"/>
    <w:rsid w:val="00B86579"/>
    <w:rsid w:val="00B86ACD"/>
    <w:rsid w:val="00B87183"/>
    <w:rsid w:val="00B872B1"/>
    <w:rsid w:val="00B87512"/>
    <w:rsid w:val="00B87769"/>
    <w:rsid w:val="00B87A5A"/>
    <w:rsid w:val="00B9061F"/>
    <w:rsid w:val="00B90AD7"/>
    <w:rsid w:val="00B91870"/>
    <w:rsid w:val="00B91AB8"/>
    <w:rsid w:val="00B91AC5"/>
    <w:rsid w:val="00B91C50"/>
    <w:rsid w:val="00B91CD9"/>
    <w:rsid w:val="00B92780"/>
    <w:rsid w:val="00B92CC8"/>
    <w:rsid w:val="00B93382"/>
    <w:rsid w:val="00B9378D"/>
    <w:rsid w:val="00B93DCC"/>
    <w:rsid w:val="00B94F6A"/>
    <w:rsid w:val="00B95E03"/>
    <w:rsid w:val="00B9600B"/>
    <w:rsid w:val="00B96FC3"/>
    <w:rsid w:val="00B97A9F"/>
    <w:rsid w:val="00BA0567"/>
    <w:rsid w:val="00BA21EE"/>
    <w:rsid w:val="00BA28BD"/>
    <w:rsid w:val="00BA2957"/>
    <w:rsid w:val="00BA3219"/>
    <w:rsid w:val="00BA349E"/>
    <w:rsid w:val="00BA36E6"/>
    <w:rsid w:val="00BA3F58"/>
    <w:rsid w:val="00BA3FAE"/>
    <w:rsid w:val="00BA5896"/>
    <w:rsid w:val="00BA5ADA"/>
    <w:rsid w:val="00BA6FBB"/>
    <w:rsid w:val="00BA7497"/>
    <w:rsid w:val="00BB171C"/>
    <w:rsid w:val="00BB1E09"/>
    <w:rsid w:val="00BB21AC"/>
    <w:rsid w:val="00BB2656"/>
    <w:rsid w:val="00BB27BE"/>
    <w:rsid w:val="00BB2868"/>
    <w:rsid w:val="00BB3036"/>
    <w:rsid w:val="00BB415D"/>
    <w:rsid w:val="00BB5789"/>
    <w:rsid w:val="00BB5DDB"/>
    <w:rsid w:val="00BB68D4"/>
    <w:rsid w:val="00BB720D"/>
    <w:rsid w:val="00BB725B"/>
    <w:rsid w:val="00BB7B5F"/>
    <w:rsid w:val="00BB7F65"/>
    <w:rsid w:val="00BC03F2"/>
    <w:rsid w:val="00BC0695"/>
    <w:rsid w:val="00BC08AE"/>
    <w:rsid w:val="00BC08C5"/>
    <w:rsid w:val="00BC1291"/>
    <w:rsid w:val="00BC263A"/>
    <w:rsid w:val="00BC36B6"/>
    <w:rsid w:val="00BC42A6"/>
    <w:rsid w:val="00BC470A"/>
    <w:rsid w:val="00BC5A3F"/>
    <w:rsid w:val="00BC723D"/>
    <w:rsid w:val="00BD062C"/>
    <w:rsid w:val="00BD0AF7"/>
    <w:rsid w:val="00BD0E8D"/>
    <w:rsid w:val="00BD1A0E"/>
    <w:rsid w:val="00BD2FCF"/>
    <w:rsid w:val="00BD3D3A"/>
    <w:rsid w:val="00BD439E"/>
    <w:rsid w:val="00BD473F"/>
    <w:rsid w:val="00BD4A32"/>
    <w:rsid w:val="00BD4BFD"/>
    <w:rsid w:val="00BD693D"/>
    <w:rsid w:val="00BD70DE"/>
    <w:rsid w:val="00BD7C86"/>
    <w:rsid w:val="00BE00B8"/>
    <w:rsid w:val="00BE054D"/>
    <w:rsid w:val="00BE11F9"/>
    <w:rsid w:val="00BE1CEE"/>
    <w:rsid w:val="00BE2E88"/>
    <w:rsid w:val="00BE31FF"/>
    <w:rsid w:val="00BE3606"/>
    <w:rsid w:val="00BE4540"/>
    <w:rsid w:val="00BE4566"/>
    <w:rsid w:val="00BE46F5"/>
    <w:rsid w:val="00BE495D"/>
    <w:rsid w:val="00BE5972"/>
    <w:rsid w:val="00BE6DE0"/>
    <w:rsid w:val="00BE7B2A"/>
    <w:rsid w:val="00BE7C2A"/>
    <w:rsid w:val="00BE7E13"/>
    <w:rsid w:val="00BF0BB2"/>
    <w:rsid w:val="00BF0BC2"/>
    <w:rsid w:val="00BF1D8F"/>
    <w:rsid w:val="00BF3AED"/>
    <w:rsid w:val="00BF46F6"/>
    <w:rsid w:val="00BF515B"/>
    <w:rsid w:val="00BF5C57"/>
    <w:rsid w:val="00BF600D"/>
    <w:rsid w:val="00BF6873"/>
    <w:rsid w:val="00BF7A62"/>
    <w:rsid w:val="00BF7BB0"/>
    <w:rsid w:val="00C015F6"/>
    <w:rsid w:val="00C0162E"/>
    <w:rsid w:val="00C01C78"/>
    <w:rsid w:val="00C02A2E"/>
    <w:rsid w:val="00C02C94"/>
    <w:rsid w:val="00C0597E"/>
    <w:rsid w:val="00C05A46"/>
    <w:rsid w:val="00C0618A"/>
    <w:rsid w:val="00C065E2"/>
    <w:rsid w:val="00C07790"/>
    <w:rsid w:val="00C111F4"/>
    <w:rsid w:val="00C11E4B"/>
    <w:rsid w:val="00C12696"/>
    <w:rsid w:val="00C126AA"/>
    <w:rsid w:val="00C126BE"/>
    <w:rsid w:val="00C1361B"/>
    <w:rsid w:val="00C14B54"/>
    <w:rsid w:val="00C16492"/>
    <w:rsid w:val="00C171F9"/>
    <w:rsid w:val="00C17937"/>
    <w:rsid w:val="00C20730"/>
    <w:rsid w:val="00C21AAC"/>
    <w:rsid w:val="00C2287A"/>
    <w:rsid w:val="00C23837"/>
    <w:rsid w:val="00C23F0C"/>
    <w:rsid w:val="00C23F6B"/>
    <w:rsid w:val="00C24B66"/>
    <w:rsid w:val="00C251B9"/>
    <w:rsid w:val="00C25FF8"/>
    <w:rsid w:val="00C265DF"/>
    <w:rsid w:val="00C26984"/>
    <w:rsid w:val="00C27468"/>
    <w:rsid w:val="00C317D3"/>
    <w:rsid w:val="00C322E1"/>
    <w:rsid w:val="00C32EDB"/>
    <w:rsid w:val="00C32F8A"/>
    <w:rsid w:val="00C32FA2"/>
    <w:rsid w:val="00C332E6"/>
    <w:rsid w:val="00C337F2"/>
    <w:rsid w:val="00C347E0"/>
    <w:rsid w:val="00C3725C"/>
    <w:rsid w:val="00C41886"/>
    <w:rsid w:val="00C4224A"/>
    <w:rsid w:val="00C42ECD"/>
    <w:rsid w:val="00C431D9"/>
    <w:rsid w:val="00C44752"/>
    <w:rsid w:val="00C45158"/>
    <w:rsid w:val="00C46DAA"/>
    <w:rsid w:val="00C46F45"/>
    <w:rsid w:val="00C47448"/>
    <w:rsid w:val="00C50B53"/>
    <w:rsid w:val="00C50DDF"/>
    <w:rsid w:val="00C50EB4"/>
    <w:rsid w:val="00C519DA"/>
    <w:rsid w:val="00C51B41"/>
    <w:rsid w:val="00C51C9D"/>
    <w:rsid w:val="00C5212F"/>
    <w:rsid w:val="00C5255A"/>
    <w:rsid w:val="00C528D9"/>
    <w:rsid w:val="00C52E52"/>
    <w:rsid w:val="00C52FF7"/>
    <w:rsid w:val="00C53EBC"/>
    <w:rsid w:val="00C53F54"/>
    <w:rsid w:val="00C5407D"/>
    <w:rsid w:val="00C54944"/>
    <w:rsid w:val="00C55136"/>
    <w:rsid w:val="00C56764"/>
    <w:rsid w:val="00C60580"/>
    <w:rsid w:val="00C605AF"/>
    <w:rsid w:val="00C60991"/>
    <w:rsid w:val="00C60C79"/>
    <w:rsid w:val="00C60E4C"/>
    <w:rsid w:val="00C617B7"/>
    <w:rsid w:val="00C61B52"/>
    <w:rsid w:val="00C62240"/>
    <w:rsid w:val="00C63234"/>
    <w:rsid w:val="00C633F4"/>
    <w:rsid w:val="00C65441"/>
    <w:rsid w:val="00C656CA"/>
    <w:rsid w:val="00C6592C"/>
    <w:rsid w:val="00C66BE0"/>
    <w:rsid w:val="00C66D99"/>
    <w:rsid w:val="00C6738E"/>
    <w:rsid w:val="00C70459"/>
    <w:rsid w:val="00C718EC"/>
    <w:rsid w:val="00C7250C"/>
    <w:rsid w:val="00C73728"/>
    <w:rsid w:val="00C73F1E"/>
    <w:rsid w:val="00C756C3"/>
    <w:rsid w:val="00C756E0"/>
    <w:rsid w:val="00C76414"/>
    <w:rsid w:val="00C7656E"/>
    <w:rsid w:val="00C76D93"/>
    <w:rsid w:val="00C805C2"/>
    <w:rsid w:val="00C80967"/>
    <w:rsid w:val="00C80DB8"/>
    <w:rsid w:val="00C825D1"/>
    <w:rsid w:val="00C84510"/>
    <w:rsid w:val="00C8488E"/>
    <w:rsid w:val="00C855DF"/>
    <w:rsid w:val="00C8671D"/>
    <w:rsid w:val="00C87B5A"/>
    <w:rsid w:val="00C905F9"/>
    <w:rsid w:val="00C91024"/>
    <w:rsid w:val="00C91940"/>
    <w:rsid w:val="00C91ED2"/>
    <w:rsid w:val="00C9284F"/>
    <w:rsid w:val="00C92CA0"/>
    <w:rsid w:val="00C932C4"/>
    <w:rsid w:val="00C93533"/>
    <w:rsid w:val="00C94A13"/>
    <w:rsid w:val="00C94E6E"/>
    <w:rsid w:val="00C953E4"/>
    <w:rsid w:val="00C959A6"/>
    <w:rsid w:val="00C97CE5"/>
    <w:rsid w:val="00CA023A"/>
    <w:rsid w:val="00CA0BA2"/>
    <w:rsid w:val="00CA12E5"/>
    <w:rsid w:val="00CA155B"/>
    <w:rsid w:val="00CA18BE"/>
    <w:rsid w:val="00CA2251"/>
    <w:rsid w:val="00CA3067"/>
    <w:rsid w:val="00CA5330"/>
    <w:rsid w:val="00CA587B"/>
    <w:rsid w:val="00CA61E3"/>
    <w:rsid w:val="00CA6FF8"/>
    <w:rsid w:val="00CB02A5"/>
    <w:rsid w:val="00CB06CD"/>
    <w:rsid w:val="00CB142A"/>
    <w:rsid w:val="00CB1B66"/>
    <w:rsid w:val="00CB259D"/>
    <w:rsid w:val="00CB26C3"/>
    <w:rsid w:val="00CB3743"/>
    <w:rsid w:val="00CB4279"/>
    <w:rsid w:val="00CB6091"/>
    <w:rsid w:val="00CB71BE"/>
    <w:rsid w:val="00CB7C35"/>
    <w:rsid w:val="00CB7D02"/>
    <w:rsid w:val="00CC1542"/>
    <w:rsid w:val="00CC1AB2"/>
    <w:rsid w:val="00CC2797"/>
    <w:rsid w:val="00CC2861"/>
    <w:rsid w:val="00CC3C01"/>
    <w:rsid w:val="00CC3D0C"/>
    <w:rsid w:val="00CC4630"/>
    <w:rsid w:val="00CC509F"/>
    <w:rsid w:val="00CC5ACB"/>
    <w:rsid w:val="00CC6CA4"/>
    <w:rsid w:val="00CC6FEA"/>
    <w:rsid w:val="00CC7973"/>
    <w:rsid w:val="00CD00CF"/>
    <w:rsid w:val="00CD0563"/>
    <w:rsid w:val="00CD0BAE"/>
    <w:rsid w:val="00CD1AF3"/>
    <w:rsid w:val="00CD1CA7"/>
    <w:rsid w:val="00CD2A01"/>
    <w:rsid w:val="00CD2EC2"/>
    <w:rsid w:val="00CD3FDA"/>
    <w:rsid w:val="00CD4FB1"/>
    <w:rsid w:val="00CD5795"/>
    <w:rsid w:val="00CD5F47"/>
    <w:rsid w:val="00CD6850"/>
    <w:rsid w:val="00CD6B90"/>
    <w:rsid w:val="00CD6BC3"/>
    <w:rsid w:val="00CE0C87"/>
    <w:rsid w:val="00CE129D"/>
    <w:rsid w:val="00CE13CE"/>
    <w:rsid w:val="00CE2766"/>
    <w:rsid w:val="00CE350D"/>
    <w:rsid w:val="00CE4198"/>
    <w:rsid w:val="00CE51AC"/>
    <w:rsid w:val="00CE6621"/>
    <w:rsid w:val="00CE6AD0"/>
    <w:rsid w:val="00CE798B"/>
    <w:rsid w:val="00CE7CB6"/>
    <w:rsid w:val="00CF1011"/>
    <w:rsid w:val="00CF2CF9"/>
    <w:rsid w:val="00CF2EAC"/>
    <w:rsid w:val="00CF337E"/>
    <w:rsid w:val="00CF37F0"/>
    <w:rsid w:val="00CF3CF7"/>
    <w:rsid w:val="00CF415B"/>
    <w:rsid w:val="00CF4CEC"/>
    <w:rsid w:val="00CF5180"/>
    <w:rsid w:val="00CF5A64"/>
    <w:rsid w:val="00CF5B68"/>
    <w:rsid w:val="00CF6181"/>
    <w:rsid w:val="00CF6623"/>
    <w:rsid w:val="00CF69CE"/>
    <w:rsid w:val="00CF6CF4"/>
    <w:rsid w:val="00CF733B"/>
    <w:rsid w:val="00CF73C2"/>
    <w:rsid w:val="00D013F8"/>
    <w:rsid w:val="00D02AD6"/>
    <w:rsid w:val="00D0460B"/>
    <w:rsid w:val="00D04634"/>
    <w:rsid w:val="00D051DE"/>
    <w:rsid w:val="00D0612B"/>
    <w:rsid w:val="00D07675"/>
    <w:rsid w:val="00D10E5A"/>
    <w:rsid w:val="00D114B9"/>
    <w:rsid w:val="00D116A1"/>
    <w:rsid w:val="00D11775"/>
    <w:rsid w:val="00D11D6D"/>
    <w:rsid w:val="00D12D9D"/>
    <w:rsid w:val="00D12E1D"/>
    <w:rsid w:val="00D13569"/>
    <w:rsid w:val="00D13692"/>
    <w:rsid w:val="00D13B10"/>
    <w:rsid w:val="00D13BF1"/>
    <w:rsid w:val="00D13EA2"/>
    <w:rsid w:val="00D14BF9"/>
    <w:rsid w:val="00D150F0"/>
    <w:rsid w:val="00D16D8D"/>
    <w:rsid w:val="00D17483"/>
    <w:rsid w:val="00D17535"/>
    <w:rsid w:val="00D2026C"/>
    <w:rsid w:val="00D20E16"/>
    <w:rsid w:val="00D2285F"/>
    <w:rsid w:val="00D22FD1"/>
    <w:rsid w:val="00D23AF7"/>
    <w:rsid w:val="00D241EE"/>
    <w:rsid w:val="00D24F9E"/>
    <w:rsid w:val="00D257AA"/>
    <w:rsid w:val="00D25D47"/>
    <w:rsid w:val="00D265D8"/>
    <w:rsid w:val="00D2726E"/>
    <w:rsid w:val="00D27940"/>
    <w:rsid w:val="00D31851"/>
    <w:rsid w:val="00D32965"/>
    <w:rsid w:val="00D32FDF"/>
    <w:rsid w:val="00D34443"/>
    <w:rsid w:val="00D358CD"/>
    <w:rsid w:val="00D35A12"/>
    <w:rsid w:val="00D35FA6"/>
    <w:rsid w:val="00D3608F"/>
    <w:rsid w:val="00D3679B"/>
    <w:rsid w:val="00D404AC"/>
    <w:rsid w:val="00D41091"/>
    <w:rsid w:val="00D4189D"/>
    <w:rsid w:val="00D433B9"/>
    <w:rsid w:val="00D43C4A"/>
    <w:rsid w:val="00D44067"/>
    <w:rsid w:val="00D44175"/>
    <w:rsid w:val="00D449E0"/>
    <w:rsid w:val="00D44E20"/>
    <w:rsid w:val="00D451B1"/>
    <w:rsid w:val="00D4648A"/>
    <w:rsid w:val="00D50538"/>
    <w:rsid w:val="00D51480"/>
    <w:rsid w:val="00D52495"/>
    <w:rsid w:val="00D536D5"/>
    <w:rsid w:val="00D54145"/>
    <w:rsid w:val="00D543B5"/>
    <w:rsid w:val="00D55753"/>
    <w:rsid w:val="00D559D1"/>
    <w:rsid w:val="00D55F96"/>
    <w:rsid w:val="00D5609A"/>
    <w:rsid w:val="00D57142"/>
    <w:rsid w:val="00D5769D"/>
    <w:rsid w:val="00D57C0C"/>
    <w:rsid w:val="00D57DED"/>
    <w:rsid w:val="00D57E23"/>
    <w:rsid w:val="00D57E74"/>
    <w:rsid w:val="00D618A2"/>
    <w:rsid w:val="00D618AD"/>
    <w:rsid w:val="00D622E3"/>
    <w:rsid w:val="00D63309"/>
    <w:rsid w:val="00D634D0"/>
    <w:rsid w:val="00D63A17"/>
    <w:rsid w:val="00D640FC"/>
    <w:rsid w:val="00D64747"/>
    <w:rsid w:val="00D664A1"/>
    <w:rsid w:val="00D66D57"/>
    <w:rsid w:val="00D66F16"/>
    <w:rsid w:val="00D67948"/>
    <w:rsid w:val="00D714DA"/>
    <w:rsid w:val="00D724D4"/>
    <w:rsid w:val="00D72C35"/>
    <w:rsid w:val="00D73061"/>
    <w:rsid w:val="00D73475"/>
    <w:rsid w:val="00D73812"/>
    <w:rsid w:val="00D73B58"/>
    <w:rsid w:val="00D7463A"/>
    <w:rsid w:val="00D75026"/>
    <w:rsid w:val="00D75DA7"/>
    <w:rsid w:val="00D76570"/>
    <w:rsid w:val="00D76664"/>
    <w:rsid w:val="00D76F8C"/>
    <w:rsid w:val="00D807D0"/>
    <w:rsid w:val="00D80D4C"/>
    <w:rsid w:val="00D8155D"/>
    <w:rsid w:val="00D820C9"/>
    <w:rsid w:val="00D820F4"/>
    <w:rsid w:val="00D82721"/>
    <w:rsid w:val="00D83065"/>
    <w:rsid w:val="00D838B6"/>
    <w:rsid w:val="00D861EB"/>
    <w:rsid w:val="00D86A25"/>
    <w:rsid w:val="00D86C0C"/>
    <w:rsid w:val="00D87C12"/>
    <w:rsid w:val="00D90396"/>
    <w:rsid w:val="00D9107C"/>
    <w:rsid w:val="00D918E5"/>
    <w:rsid w:val="00D91990"/>
    <w:rsid w:val="00D93543"/>
    <w:rsid w:val="00D93774"/>
    <w:rsid w:val="00D93BF9"/>
    <w:rsid w:val="00D93EA9"/>
    <w:rsid w:val="00D94E69"/>
    <w:rsid w:val="00D9774D"/>
    <w:rsid w:val="00D97A61"/>
    <w:rsid w:val="00D97CC5"/>
    <w:rsid w:val="00DA0507"/>
    <w:rsid w:val="00DA3458"/>
    <w:rsid w:val="00DA3CEA"/>
    <w:rsid w:val="00DA4061"/>
    <w:rsid w:val="00DA417D"/>
    <w:rsid w:val="00DA4370"/>
    <w:rsid w:val="00DA4DF8"/>
    <w:rsid w:val="00DA5065"/>
    <w:rsid w:val="00DA62F0"/>
    <w:rsid w:val="00DA6B9E"/>
    <w:rsid w:val="00DA76B7"/>
    <w:rsid w:val="00DA7A7A"/>
    <w:rsid w:val="00DA7AF4"/>
    <w:rsid w:val="00DB01C5"/>
    <w:rsid w:val="00DB06A4"/>
    <w:rsid w:val="00DB0E76"/>
    <w:rsid w:val="00DB197E"/>
    <w:rsid w:val="00DB45BE"/>
    <w:rsid w:val="00DB471C"/>
    <w:rsid w:val="00DB4EEC"/>
    <w:rsid w:val="00DB57C8"/>
    <w:rsid w:val="00DB5864"/>
    <w:rsid w:val="00DB5938"/>
    <w:rsid w:val="00DC0D79"/>
    <w:rsid w:val="00DC1D47"/>
    <w:rsid w:val="00DC1DD2"/>
    <w:rsid w:val="00DC232C"/>
    <w:rsid w:val="00DC2538"/>
    <w:rsid w:val="00DC25DE"/>
    <w:rsid w:val="00DC3205"/>
    <w:rsid w:val="00DC34CD"/>
    <w:rsid w:val="00DC3AE4"/>
    <w:rsid w:val="00DC4997"/>
    <w:rsid w:val="00DC4EAD"/>
    <w:rsid w:val="00DC5676"/>
    <w:rsid w:val="00DC5966"/>
    <w:rsid w:val="00DC6A56"/>
    <w:rsid w:val="00DD086F"/>
    <w:rsid w:val="00DD32C7"/>
    <w:rsid w:val="00DD34ED"/>
    <w:rsid w:val="00DD39EB"/>
    <w:rsid w:val="00DD4F1A"/>
    <w:rsid w:val="00DD664B"/>
    <w:rsid w:val="00DD6B3F"/>
    <w:rsid w:val="00DD7748"/>
    <w:rsid w:val="00DD79BC"/>
    <w:rsid w:val="00DD7CC5"/>
    <w:rsid w:val="00DE056F"/>
    <w:rsid w:val="00DE24DC"/>
    <w:rsid w:val="00DE2A40"/>
    <w:rsid w:val="00DE2E9A"/>
    <w:rsid w:val="00DE3496"/>
    <w:rsid w:val="00DE3FB1"/>
    <w:rsid w:val="00DE4DF2"/>
    <w:rsid w:val="00DE4F84"/>
    <w:rsid w:val="00DE55BE"/>
    <w:rsid w:val="00DE59B1"/>
    <w:rsid w:val="00DE5E57"/>
    <w:rsid w:val="00DE5F86"/>
    <w:rsid w:val="00DE7366"/>
    <w:rsid w:val="00DF037C"/>
    <w:rsid w:val="00DF102A"/>
    <w:rsid w:val="00DF105D"/>
    <w:rsid w:val="00DF1B42"/>
    <w:rsid w:val="00DF3FF5"/>
    <w:rsid w:val="00DF408F"/>
    <w:rsid w:val="00DF464B"/>
    <w:rsid w:val="00DF5552"/>
    <w:rsid w:val="00DF5B0F"/>
    <w:rsid w:val="00DF6932"/>
    <w:rsid w:val="00DF7328"/>
    <w:rsid w:val="00DF7DA6"/>
    <w:rsid w:val="00E0042C"/>
    <w:rsid w:val="00E01543"/>
    <w:rsid w:val="00E033DB"/>
    <w:rsid w:val="00E03636"/>
    <w:rsid w:val="00E03747"/>
    <w:rsid w:val="00E04B67"/>
    <w:rsid w:val="00E04D52"/>
    <w:rsid w:val="00E0507B"/>
    <w:rsid w:val="00E067E3"/>
    <w:rsid w:val="00E06E0B"/>
    <w:rsid w:val="00E07BD0"/>
    <w:rsid w:val="00E10B1A"/>
    <w:rsid w:val="00E10D96"/>
    <w:rsid w:val="00E1117E"/>
    <w:rsid w:val="00E11384"/>
    <w:rsid w:val="00E115ED"/>
    <w:rsid w:val="00E12B7B"/>
    <w:rsid w:val="00E131E9"/>
    <w:rsid w:val="00E13F87"/>
    <w:rsid w:val="00E1406D"/>
    <w:rsid w:val="00E14076"/>
    <w:rsid w:val="00E14398"/>
    <w:rsid w:val="00E1518A"/>
    <w:rsid w:val="00E161DB"/>
    <w:rsid w:val="00E2165F"/>
    <w:rsid w:val="00E21E6C"/>
    <w:rsid w:val="00E23CDC"/>
    <w:rsid w:val="00E23FC1"/>
    <w:rsid w:val="00E24864"/>
    <w:rsid w:val="00E24BB6"/>
    <w:rsid w:val="00E25CBD"/>
    <w:rsid w:val="00E26994"/>
    <w:rsid w:val="00E27338"/>
    <w:rsid w:val="00E27ED6"/>
    <w:rsid w:val="00E30B82"/>
    <w:rsid w:val="00E3148A"/>
    <w:rsid w:val="00E31736"/>
    <w:rsid w:val="00E31EFF"/>
    <w:rsid w:val="00E348EC"/>
    <w:rsid w:val="00E35B38"/>
    <w:rsid w:val="00E362E0"/>
    <w:rsid w:val="00E3656A"/>
    <w:rsid w:val="00E36BEB"/>
    <w:rsid w:val="00E36C46"/>
    <w:rsid w:val="00E375C7"/>
    <w:rsid w:val="00E3761B"/>
    <w:rsid w:val="00E3782F"/>
    <w:rsid w:val="00E40434"/>
    <w:rsid w:val="00E40671"/>
    <w:rsid w:val="00E40BAB"/>
    <w:rsid w:val="00E4162A"/>
    <w:rsid w:val="00E41B18"/>
    <w:rsid w:val="00E41C9E"/>
    <w:rsid w:val="00E430ED"/>
    <w:rsid w:val="00E434FB"/>
    <w:rsid w:val="00E436E5"/>
    <w:rsid w:val="00E437DD"/>
    <w:rsid w:val="00E43E44"/>
    <w:rsid w:val="00E444DD"/>
    <w:rsid w:val="00E44A8E"/>
    <w:rsid w:val="00E46124"/>
    <w:rsid w:val="00E469AF"/>
    <w:rsid w:val="00E47DFF"/>
    <w:rsid w:val="00E50640"/>
    <w:rsid w:val="00E509B2"/>
    <w:rsid w:val="00E50E5D"/>
    <w:rsid w:val="00E518C0"/>
    <w:rsid w:val="00E51C7F"/>
    <w:rsid w:val="00E5318D"/>
    <w:rsid w:val="00E550F4"/>
    <w:rsid w:val="00E5532E"/>
    <w:rsid w:val="00E566D7"/>
    <w:rsid w:val="00E56836"/>
    <w:rsid w:val="00E56C86"/>
    <w:rsid w:val="00E575CB"/>
    <w:rsid w:val="00E5767D"/>
    <w:rsid w:val="00E576F1"/>
    <w:rsid w:val="00E57CC4"/>
    <w:rsid w:val="00E57DBB"/>
    <w:rsid w:val="00E6019C"/>
    <w:rsid w:val="00E60390"/>
    <w:rsid w:val="00E605C0"/>
    <w:rsid w:val="00E60679"/>
    <w:rsid w:val="00E608B5"/>
    <w:rsid w:val="00E611A4"/>
    <w:rsid w:val="00E61AF1"/>
    <w:rsid w:val="00E624F7"/>
    <w:rsid w:val="00E64498"/>
    <w:rsid w:val="00E64F3E"/>
    <w:rsid w:val="00E650B3"/>
    <w:rsid w:val="00E65C3D"/>
    <w:rsid w:val="00E65F72"/>
    <w:rsid w:val="00E66093"/>
    <w:rsid w:val="00E6615A"/>
    <w:rsid w:val="00E6749C"/>
    <w:rsid w:val="00E67FB3"/>
    <w:rsid w:val="00E70BC2"/>
    <w:rsid w:val="00E7130D"/>
    <w:rsid w:val="00E72230"/>
    <w:rsid w:val="00E73CCB"/>
    <w:rsid w:val="00E74347"/>
    <w:rsid w:val="00E74A49"/>
    <w:rsid w:val="00E74E07"/>
    <w:rsid w:val="00E75061"/>
    <w:rsid w:val="00E75735"/>
    <w:rsid w:val="00E758EF"/>
    <w:rsid w:val="00E75A1D"/>
    <w:rsid w:val="00E77D9B"/>
    <w:rsid w:val="00E8045A"/>
    <w:rsid w:val="00E81B6E"/>
    <w:rsid w:val="00E829BD"/>
    <w:rsid w:val="00E837BF"/>
    <w:rsid w:val="00E83A88"/>
    <w:rsid w:val="00E84184"/>
    <w:rsid w:val="00E8472A"/>
    <w:rsid w:val="00E863B0"/>
    <w:rsid w:val="00E864AD"/>
    <w:rsid w:val="00E874A2"/>
    <w:rsid w:val="00E878D8"/>
    <w:rsid w:val="00E87B0A"/>
    <w:rsid w:val="00E90964"/>
    <w:rsid w:val="00E913DC"/>
    <w:rsid w:val="00E91954"/>
    <w:rsid w:val="00E922EC"/>
    <w:rsid w:val="00E92AC8"/>
    <w:rsid w:val="00E9302F"/>
    <w:rsid w:val="00E94CF4"/>
    <w:rsid w:val="00E9568F"/>
    <w:rsid w:val="00E95773"/>
    <w:rsid w:val="00E95A10"/>
    <w:rsid w:val="00E95C9E"/>
    <w:rsid w:val="00E95CF3"/>
    <w:rsid w:val="00E95E93"/>
    <w:rsid w:val="00E96215"/>
    <w:rsid w:val="00E96654"/>
    <w:rsid w:val="00E9793D"/>
    <w:rsid w:val="00E97D50"/>
    <w:rsid w:val="00EA1A98"/>
    <w:rsid w:val="00EA1FA3"/>
    <w:rsid w:val="00EA1FB7"/>
    <w:rsid w:val="00EA2BF8"/>
    <w:rsid w:val="00EA3456"/>
    <w:rsid w:val="00EA3651"/>
    <w:rsid w:val="00EA45BB"/>
    <w:rsid w:val="00EA509D"/>
    <w:rsid w:val="00EA59F1"/>
    <w:rsid w:val="00EA6C1F"/>
    <w:rsid w:val="00EA7C0E"/>
    <w:rsid w:val="00EB147F"/>
    <w:rsid w:val="00EB1F6E"/>
    <w:rsid w:val="00EB26DB"/>
    <w:rsid w:val="00EB3571"/>
    <w:rsid w:val="00EB3CA8"/>
    <w:rsid w:val="00EB43E1"/>
    <w:rsid w:val="00EB4F7E"/>
    <w:rsid w:val="00EB56D1"/>
    <w:rsid w:val="00EC103B"/>
    <w:rsid w:val="00EC25A9"/>
    <w:rsid w:val="00EC2DC1"/>
    <w:rsid w:val="00EC3192"/>
    <w:rsid w:val="00EC4543"/>
    <w:rsid w:val="00EC4888"/>
    <w:rsid w:val="00EC5392"/>
    <w:rsid w:val="00EC5397"/>
    <w:rsid w:val="00EC54B9"/>
    <w:rsid w:val="00EC5708"/>
    <w:rsid w:val="00EC5C21"/>
    <w:rsid w:val="00EC606B"/>
    <w:rsid w:val="00EC6B4C"/>
    <w:rsid w:val="00EC7712"/>
    <w:rsid w:val="00EC7925"/>
    <w:rsid w:val="00EC7FE2"/>
    <w:rsid w:val="00ED0547"/>
    <w:rsid w:val="00ED05D1"/>
    <w:rsid w:val="00ED1542"/>
    <w:rsid w:val="00ED173D"/>
    <w:rsid w:val="00ED2435"/>
    <w:rsid w:val="00ED2734"/>
    <w:rsid w:val="00ED403D"/>
    <w:rsid w:val="00ED42FF"/>
    <w:rsid w:val="00ED4633"/>
    <w:rsid w:val="00ED504F"/>
    <w:rsid w:val="00ED5694"/>
    <w:rsid w:val="00ED6560"/>
    <w:rsid w:val="00ED6747"/>
    <w:rsid w:val="00ED683E"/>
    <w:rsid w:val="00ED6C83"/>
    <w:rsid w:val="00EE1770"/>
    <w:rsid w:val="00EE2AA5"/>
    <w:rsid w:val="00EE2B2A"/>
    <w:rsid w:val="00EE38C6"/>
    <w:rsid w:val="00EE3DB2"/>
    <w:rsid w:val="00EE44FE"/>
    <w:rsid w:val="00EE4906"/>
    <w:rsid w:val="00EE497F"/>
    <w:rsid w:val="00EE50E2"/>
    <w:rsid w:val="00EE7959"/>
    <w:rsid w:val="00EF12C4"/>
    <w:rsid w:val="00EF1717"/>
    <w:rsid w:val="00EF1788"/>
    <w:rsid w:val="00EF22EB"/>
    <w:rsid w:val="00EF2C12"/>
    <w:rsid w:val="00EF406B"/>
    <w:rsid w:val="00EF4644"/>
    <w:rsid w:val="00EF48E5"/>
    <w:rsid w:val="00EF4F42"/>
    <w:rsid w:val="00EF5F80"/>
    <w:rsid w:val="00EF7A15"/>
    <w:rsid w:val="00F00A70"/>
    <w:rsid w:val="00F00B38"/>
    <w:rsid w:val="00F017C5"/>
    <w:rsid w:val="00F019CA"/>
    <w:rsid w:val="00F019D5"/>
    <w:rsid w:val="00F0295B"/>
    <w:rsid w:val="00F036A4"/>
    <w:rsid w:val="00F05910"/>
    <w:rsid w:val="00F1007A"/>
    <w:rsid w:val="00F116FB"/>
    <w:rsid w:val="00F121C0"/>
    <w:rsid w:val="00F12568"/>
    <w:rsid w:val="00F132F7"/>
    <w:rsid w:val="00F13315"/>
    <w:rsid w:val="00F13675"/>
    <w:rsid w:val="00F13762"/>
    <w:rsid w:val="00F14537"/>
    <w:rsid w:val="00F14754"/>
    <w:rsid w:val="00F14C9C"/>
    <w:rsid w:val="00F15218"/>
    <w:rsid w:val="00F15F33"/>
    <w:rsid w:val="00F1606C"/>
    <w:rsid w:val="00F16094"/>
    <w:rsid w:val="00F161D0"/>
    <w:rsid w:val="00F16324"/>
    <w:rsid w:val="00F165E4"/>
    <w:rsid w:val="00F16C41"/>
    <w:rsid w:val="00F16FC7"/>
    <w:rsid w:val="00F2045A"/>
    <w:rsid w:val="00F21E20"/>
    <w:rsid w:val="00F21EB5"/>
    <w:rsid w:val="00F22A56"/>
    <w:rsid w:val="00F23115"/>
    <w:rsid w:val="00F24D06"/>
    <w:rsid w:val="00F26570"/>
    <w:rsid w:val="00F27050"/>
    <w:rsid w:val="00F30E37"/>
    <w:rsid w:val="00F310A1"/>
    <w:rsid w:val="00F352F8"/>
    <w:rsid w:val="00F356E3"/>
    <w:rsid w:val="00F35D4B"/>
    <w:rsid w:val="00F35D5E"/>
    <w:rsid w:val="00F3623C"/>
    <w:rsid w:val="00F36731"/>
    <w:rsid w:val="00F36A6E"/>
    <w:rsid w:val="00F376C8"/>
    <w:rsid w:val="00F401CB"/>
    <w:rsid w:val="00F405F3"/>
    <w:rsid w:val="00F40B0C"/>
    <w:rsid w:val="00F413C6"/>
    <w:rsid w:val="00F4178E"/>
    <w:rsid w:val="00F42380"/>
    <w:rsid w:val="00F44B00"/>
    <w:rsid w:val="00F45813"/>
    <w:rsid w:val="00F4628D"/>
    <w:rsid w:val="00F466F9"/>
    <w:rsid w:val="00F47862"/>
    <w:rsid w:val="00F50281"/>
    <w:rsid w:val="00F50674"/>
    <w:rsid w:val="00F50957"/>
    <w:rsid w:val="00F50FCB"/>
    <w:rsid w:val="00F51519"/>
    <w:rsid w:val="00F5243E"/>
    <w:rsid w:val="00F535AC"/>
    <w:rsid w:val="00F54EC5"/>
    <w:rsid w:val="00F57013"/>
    <w:rsid w:val="00F6067B"/>
    <w:rsid w:val="00F607C3"/>
    <w:rsid w:val="00F60DF1"/>
    <w:rsid w:val="00F612A4"/>
    <w:rsid w:val="00F612C2"/>
    <w:rsid w:val="00F61AA4"/>
    <w:rsid w:val="00F61C48"/>
    <w:rsid w:val="00F622A9"/>
    <w:rsid w:val="00F626CC"/>
    <w:rsid w:val="00F6336F"/>
    <w:rsid w:val="00F63391"/>
    <w:rsid w:val="00F63BB4"/>
    <w:rsid w:val="00F63FDE"/>
    <w:rsid w:val="00F6483A"/>
    <w:rsid w:val="00F64A35"/>
    <w:rsid w:val="00F66726"/>
    <w:rsid w:val="00F672BD"/>
    <w:rsid w:val="00F7039E"/>
    <w:rsid w:val="00F70B1D"/>
    <w:rsid w:val="00F713D4"/>
    <w:rsid w:val="00F73609"/>
    <w:rsid w:val="00F74087"/>
    <w:rsid w:val="00F743FC"/>
    <w:rsid w:val="00F747B6"/>
    <w:rsid w:val="00F752D4"/>
    <w:rsid w:val="00F7530A"/>
    <w:rsid w:val="00F7688D"/>
    <w:rsid w:val="00F76925"/>
    <w:rsid w:val="00F76CE1"/>
    <w:rsid w:val="00F80430"/>
    <w:rsid w:val="00F80778"/>
    <w:rsid w:val="00F80C10"/>
    <w:rsid w:val="00F814CD"/>
    <w:rsid w:val="00F82B30"/>
    <w:rsid w:val="00F83ADC"/>
    <w:rsid w:val="00F83B7F"/>
    <w:rsid w:val="00F8412D"/>
    <w:rsid w:val="00F847F9"/>
    <w:rsid w:val="00F84AF0"/>
    <w:rsid w:val="00F865B5"/>
    <w:rsid w:val="00F86BF1"/>
    <w:rsid w:val="00F86EEB"/>
    <w:rsid w:val="00F87364"/>
    <w:rsid w:val="00F87EFC"/>
    <w:rsid w:val="00F9048D"/>
    <w:rsid w:val="00F91F96"/>
    <w:rsid w:val="00F92AF7"/>
    <w:rsid w:val="00F941B0"/>
    <w:rsid w:val="00F9425E"/>
    <w:rsid w:val="00F94CCF"/>
    <w:rsid w:val="00F94E1D"/>
    <w:rsid w:val="00F96CE6"/>
    <w:rsid w:val="00F97B57"/>
    <w:rsid w:val="00FA0DC0"/>
    <w:rsid w:val="00FA11DA"/>
    <w:rsid w:val="00FA2B14"/>
    <w:rsid w:val="00FA2E42"/>
    <w:rsid w:val="00FA3ADE"/>
    <w:rsid w:val="00FA4076"/>
    <w:rsid w:val="00FA469B"/>
    <w:rsid w:val="00FA473A"/>
    <w:rsid w:val="00FA4BA0"/>
    <w:rsid w:val="00FA5A45"/>
    <w:rsid w:val="00FA620A"/>
    <w:rsid w:val="00FA737C"/>
    <w:rsid w:val="00FA7647"/>
    <w:rsid w:val="00FB055B"/>
    <w:rsid w:val="00FB0EDA"/>
    <w:rsid w:val="00FB13E5"/>
    <w:rsid w:val="00FB169E"/>
    <w:rsid w:val="00FB2242"/>
    <w:rsid w:val="00FB237B"/>
    <w:rsid w:val="00FB261A"/>
    <w:rsid w:val="00FB3876"/>
    <w:rsid w:val="00FB41ED"/>
    <w:rsid w:val="00FB424F"/>
    <w:rsid w:val="00FB437D"/>
    <w:rsid w:val="00FB4482"/>
    <w:rsid w:val="00FB4572"/>
    <w:rsid w:val="00FB4F66"/>
    <w:rsid w:val="00FB5405"/>
    <w:rsid w:val="00FB54D8"/>
    <w:rsid w:val="00FB73C2"/>
    <w:rsid w:val="00FB7D42"/>
    <w:rsid w:val="00FC0620"/>
    <w:rsid w:val="00FC0675"/>
    <w:rsid w:val="00FC0D98"/>
    <w:rsid w:val="00FC1890"/>
    <w:rsid w:val="00FC2336"/>
    <w:rsid w:val="00FC486C"/>
    <w:rsid w:val="00FC5BA9"/>
    <w:rsid w:val="00FC6239"/>
    <w:rsid w:val="00FC6911"/>
    <w:rsid w:val="00FC750D"/>
    <w:rsid w:val="00FC791E"/>
    <w:rsid w:val="00FD0108"/>
    <w:rsid w:val="00FD05DB"/>
    <w:rsid w:val="00FD0EB1"/>
    <w:rsid w:val="00FD1923"/>
    <w:rsid w:val="00FD19E1"/>
    <w:rsid w:val="00FD2480"/>
    <w:rsid w:val="00FD3296"/>
    <w:rsid w:val="00FD5B8F"/>
    <w:rsid w:val="00FD6816"/>
    <w:rsid w:val="00FD7541"/>
    <w:rsid w:val="00FD7DCD"/>
    <w:rsid w:val="00FE0664"/>
    <w:rsid w:val="00FE159A"/>
    <w:rsid w:val="00FE40CA"/>
    <w:rsid w:val="00FE4850"/>
    <w:rsid w:val="00FE529D"/>
    <w:rsid w:val="00FE5680"/>
    <w:rsid w:val="00FE5A3A"/>
    <w:rsid w:val="00FE6321"/>
    <w:rsid w:val="00FE67B1"/>
    <w:rsid w:val="00FE67D8"/>
    <w:rsid w:val="00FE721A"/>
    <w:rsid w:val="00FE743F"/>
    <w:rsid w:val="00FE780E"/>
    <w:rsid w:val="00FE7A61"/>
    <w:rsid w:val="00FE7F6F"/>
    <w:rsid w:val="00FF0161"/>
    <w:rsid w:val="00FF14E6"/>
    <w:rsid w:val="00FF18B5"/>
    <w:rsid w:val="00FF1C61"/>
    <w:rsid w:val="00FF3373"/>
    <w:rsid w:val="00FF3E3D"/>
    <w:rsid w:val="00FF4136"/>
    <w:rsid w:val="00FF4CC5"/>
    <w:rsid w:val="00FF509A"/>
    <w:rsid w:val="00FF517F"/>
    <w:rsid w:val="00FF5666"/>
    <w:rsid w:val="00FF63CA"/>
    <w:rsid w:val="00FF6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51A"/>
    <w:rPr>
      <w:b/>
      <w:bCs/>
      <w:sz w:val="24"/>
      <w:szCs w:val="24"/>
    </w:rPr>
  </w:style>
  <w:style w:type="paragraph" w:styleId="Titre1">
    <w:name w:val="heading 1"/>
    <w:basedOn w:val="Normal"/>
    <w:next w:val="Normal"/>
    <w:link w:val="Titre1Car1"/>
    <w:uiPriority w:val="99"/>
    <w:qFormat/>
    <w:rsid w:val="00605B3C"/>
    <w:pPr>
      <w:keepNext/>
      <w:spacing w:before="240" w:after="60"/>
      <w:outlineLvl w:val="0"/>
    </w:pPr>
    <w:rPr>
      <w:rFonts w:ascii="Arial" w:hAnsi="Arial" w:cs="Arial"/>
      <w:kern w:val="3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9"/>
    <w:qFormat/>
    <w:rsid w:val="005E47B3"/>
    <w:pPr>
      <w:keepNext/>
      <w:spacing w:before="240" w:after="60"/>
      <w:outlineLvl w:val="2"/>
    </w:pPr>
    <w:rPr>
      <w:rFonts w:ascii="Cambria" w:hAnsi="Cambri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ieddepageCar">
    <w:name w:val="Pied de page Car"/>
    <w:basedOn w:val="Policepardfaut"/>
    <w:link w:val="Pieddepage"/>
    <w:uiPriority w:val="99"/>
    <w:locked/>
    <w:rsid w:val="00605B3C"/>
    <w:rPr>
      <w:rFonts w:cs="Times New Roman"/>
      <w:sz w:val="24"/>
      <w:szCs w:val="24"/>
      <w:lang w:val="fr-FR" w:eastAsia="fr-FR" w:bidi="ar-SA"/>
    </w:rPr>
  </w:style>
  <w:style w:type="character" w:customStyle="1" w:styleId="CarCar38">
    <w:name w:val="Car Car38"/>
    <w:basedOn w:val="Policepardfaut"/>
    <w:uiPriority w:val="99"/>
    <w:semiHidden/>
    <w:locked/>
    <w:rsid w:val="00880C15"/>
    <w:rPr>
      <w:rFonts w:cs="Times New Roman"/>
      <w:lang w:val="fr-FR" w:eastAsia="fr-FR" w:bidi="ar-SA"/>
    </w:rPr>
  </w:style>
  <w:style w:type="paragraph" w:styleId="Pieddepage">
    <w:name w:val="footer"/>
    <w:basedOn w:val="Normal"/>
    <w:link w:val="PieddepageCar"/>
    <w:uiPriority w:val="99"/>
    <w:rsid w:val="00605B3C"/>
    <w:pPr>
      <w:tabs>
        <w:tab w:val="center" w:pos="4536"/>
        <w:tab w:val="right" w:pos="9072"/>
      </w:tabs>
    </w:pPr>
    <w:rPr>
      <w:b w:val="0"/>
      <w:bCs w:val="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locked/>
    <w:rsid w:val="00605B3C"/>
    <w:rPr>
      <w:rFonts w:cs="Times New Roman"/>
      <w:lang w:val="fr-FR" w:eastAsia="fr-FR" w:bidi="ar-SA"/>
    </w:rPr>
  </w:style>
  <w:style w:type="paragraph" w:styleId="Notedebasdepage">
    <w:name w:val="footnote text"/>
    <w:basedOn w:val="Normal"/>
    <w:link w:val="NotedebasdepageCar"/>
    <w:uiPriority w:val="99"/>
    <w:semiHidden/>
    <w:rsid w:val="00605B3C"/>
    <w:rPr>
      <w:b w:val="0"/>
      <w:bCs w:val="0"/>
      <w:sz w:val="20"/>
      <w:szCs w:val="20"/>
    </w:rPr>
  </w:style>
  <w:style w:type="character" w:customStyle="1" w:styleId="TitreCar">
    <w:name w:val="Titre Car"/>
    <w:basedOn w:val="Policepardfaut"/>
    <w:link w:val="Titre"/>
    <w:uiPriority w:val="99"/>
    <w:locked/>
    <w:rsid w:val="00605B3C"/>
    <w:rPr>
      <w:rFonts w:cs="Times New Roman"/>
      <w:b/>
      <w:bCs/>
      <w:sz w:val="28"/>
      <w:szCs w:val="28"/>
      <w:lang w:val="fr-FR" w:eastAsia="fr-FR" w:bidi="ar-SA"/>
    </w:rPr>
  </w:style>
  <w:style w:type="character" w:styleId="Appelnotedebasdep">
    <w:name w:val="footnote reference"/>
    <w:basedOn w:val="Policepardfaut"/>
    <w:uiPriority w:val="99"/>
    <w:rsid w:val="00605B3C"/>
    <w:rPr>
      <w:rFonts w:cs="Times New Roman"/>
      <w:vertAlign w:val="superscript"/>
    </w:rPr>
  </w:style>
  <w:style w:type="character" w:styleId="Numrodepage">
    <w:name w:val="page number"/>
    <w:basedOn w:val="Policepardfaut"/>
    <w:uiPriority w:val="99"/>
    <w:rsid w:val="00605B3C"/>
    <w:rPr>
      <w:rFonts w:cs="Times New Roman"/>
    </w:rPr>
  </w:style>
  <w:style w:type="paragraph" w:styleId="Titre">
    <w:name w:val="Title"/>
    <w:basedOn w:val="Normal"/>
    <w:link w:val="TitreCar"/>
    <w:uiPriority w:val="99"/>
    <w:qFormat/>
    <w:rsid w:val="00605B3C"/>
    <w:pPr>
      <w:jc w:val="center"/>
    </w:pPr>
    <w:rPr>
      <w:sz w:val="28"/>
      <w:szCs w:val="28"/>
    </w:rPr>
  </w:style>
  <w:style w:type="paragraph" w:styleId="En-tte">
    <w:name w:val="header"/>
    <w:basedOn w:val="Normal"/>
    <w:link w:val="En-tteCar"/>
    <w:uiPriority w:val="99"/>
    <w:rsid w:val="00605B3C"/>
    <w:pPr>
      <w:tabs>
        <w:tab w:val="center" w:pos="4536"/>
        <w:tab w:val="right" w:pos="9072"/>
      </w:tabs>
    </w:pPr>
  </w:style>
  <w:style w:type="character" w:customStyle="1" w:styleId="Titre1Car1">
    <w:name w:val="Titre 1 Car1"/>
    <w:basedOn w:val="Policepardfaut"/>
    <w:link w:val="Titre1"/>
    <w:uiPriority w:val="99"/>
    <w:locked/>
    <w:rsid w:val="00605B3C"/>
    <w:rPr>
      <w:rFonts w:ascii="Arial" w:hAnsi="Arial" w:cs="Arial"/>
      <w:b/>
      <w:bCs/>
      <w:kern w:val="32"/>
      <w:sz w:val="32"/>
      <w:szCs w:val="32"/>
      <w:lang w:val="fr-FR" w:eastAsia="fr-FR" w:bidi="ar-SA"/>
    </w:rPr>
  </w:style>
  <w:style w:type="character" w:customStyle="1" w:styleId="En-tteCar">
    <w:name w:val="En-tête Car"/>
    <w:basedOn w:val="Policepardfaut"/>
    <w:link w:val="En-tte"/>
    <w:uiPriority w:val="99"/>
    <w:semiHidden/>
    <w:rsid w:val="003C461D"/>
    <w:rPr>
      <w:b/>
      <w:bCs/>
      <w:sz w:val="24"/>
      <w:szCs w:val="24"/>
    </w:rPr>
  </w:style>
  <w:style w:type="character" w:customStyle="1" w:styleId="Titre1Car">
    <w:name w:val="Titre 1 Car"/>
    <w:basedOn w:val="Policepardfaut"/>
    <w:uiPriority w:val="99"/>
    <w:rsid w:val="00CB3743"/>
    <w:rPr>
      <w:rFonts w:ascii="Arial" w:hAnsi="Arial" w:cs="Arial"/>
      <w:b/>
      <w:bCs/>
      <w:kern w:val="32"/>
      <w:sz w:val="32"/>
      <w:szCs w:val="32"/>
      <w:lang w:val="fr-FR" w:eastAsia="fr-FR" w:bidi="ar-SA"/>
    </w:rPr>
  </w:style>
  <w:style w:type="character" w:customStyle="1" w:styleId="CarCar1">
    <w:name w:val="Car Car1"/>
    <w:basedOn w:val="Policepardfaut"/>
    <w:uiPriority w:val="99"/>
    <w:semiHidden/>
    <w:locked/>
    <w:rsid w:val="005E47B3"/>
    <w:rPr>
      <w:rFonts w:cs="Times New Roman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5E47B3"/>
    <w:rPr>
      <w:rFonts w:ascii="Cambria" w:hAnsi="Cambria" w:cs="Times New Roman"/>
      <w:b/>
      <w:bCs/>
      <w:sz w:val="26"/>
      <w:szCs w:val="26"/>
      <w:lang w:val="fr-FR" w:eastAsia="fr-FR" w:bidi="ar-SA"/>
    </w:rPr>
  </w:style>
  <w:style w:type="paragraph" w:styleId="Notedefin">
    <w:name w:val="endnote text"/>
    <w:basedOn w:val="Normal"/>
    <w:link w:val="NotedefinCar"/>
    <w:uiPriority w:val="99"/>
    <w:rsid w:val="00D86C0C"/>
    <w:rPr>
      <w:sz w:val="20"/>
      <w:szCs w:val="20"/>
    </w:rPr>
  </w:style>
  <w:style w:type="character" w:styleId="Appeldenotedefin">
    <w:name w:val="endnote reference"/>
    <w:basedOn w:val="Policepardfaut"/>
    <w:uiPriority w:val="99"/>
    <w:rsid w:val="00D86C0C"/>
    <w:rPr>
      <w:rFonts w:cs="Times New Roman"/>
      <w:vertAlign w:val="superscript"/>
    </w:rPr>
  </w:style>
  <w:style w:type="character" w:customStyle="1" w:styleId="NotedefinCar">
    <w:name w:val="Note de fin Car"/>
    <w:basedOn w:val="Policepardfaut"/>
    <w:link w:val="Notedefin"/>
    <w:uiPriority w:val="99"/>
    <w:locked/>
    <w:rsid w:val="00D86C0C"/>
    <w:rPr>
      <w:rFonts w:cs="Times New Roman"/>
      <w:b/>
      <w:bCs/>
    </w:rPr>
  </w:style>
  <w:style w:type="character" w:customStyle="1" w:styleId="FootnoteTextChar">
    <w:name w:val="Footnote Text Char"/>
    <w:basedOn w:val="Policepardfaut"/>
    <w:uiPriority w:val="99"/>
    <w:semiHidden/>
    <w:locked/>
    <w:rsid w:val="008D051A"/>
    <w:rPr>
      <w:rFonts w:ascii="Times New Roman" w:hAnsi="Times New Roman" w:cs="Times New Roman"/>
      <w:sz w:val="20"/>
      <w:szCs w:val="20"/>
      <w:lang w:eastAsia="fr-FR"/>
    </w:rPr>
  </w:style>
  <w:style w:type="character" w:customStyle="1" w:styleId="TitleChar">
    <w:name w:val="Title Char"/>
    <w:basedOn w:val="Policepardfaut"/>
    <w:uiPriority w:val="99"/>
    <w:locked/>
    <w:rsid w:val="008D051A"/>
    <w:rPr>
      <w:rFonts w:ascii="Times New Roman" w:hAnsi="Times New Roman" w:cs="Times New Roman"/>
      <w:b/>
      <w:bCs/>
      <w:sz w:val="28"/>
      <w:szCs w:val="2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0D627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C461D"/>
    <w:rPr>
      <w:rFonts w:ascii="Tahoma" w:hAnsi="Tahoma" w:cs="Tahoma"/>
      <w:b/>
      <w:bCs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65C3D"/>
    <w:pPr>
      <w:ind w:left="720"/>
      <w:contextualSpacing/>
    </w:pPr>
  </w:style>
  <w:style w:type="paragraph" w:styleId="NormalWeb">
    <w:name w:val="Normal (Web)"/>
    <w:basedOn w:val="Normal"/>
    <w:uiPriority w:val="99"/>
    <w:rsid w:val="00B7687C"/>
    <w:pPr>
      <w:spacing w:before="100" w:beforeAutospacing="1" w:after="100" w:afterAutospacing="1"/>
    </w:pPr>
    <w:rPr>
      <w:rFonts w:ascii="Verdana" w:hAnsi="Verdana"/>
      <w:b w:val="0"/>
      <w:bCs w:val="0"/>
      <w:color w:val="000066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12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3AE86-06A2-4865-9A62-62862A2CB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1318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Rabat, le 3 février 2009</vt:lpstr>
    </vt:vector>
  </TitlesOfParts>
  <Company>HCP</Company>
  <LinksUpToDate>false</LinksUpToDate>
  <CharactersWithSpaces>8550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Rabat, le 3 février 2009</dc:title>
  <dc:creator>elhousni hassan-HCP</dc:creator>
  <cp:lastModifiedBy>HCP</cp:lastModifiedBy>
  <cp:revision>2</cp:revision>
  <cp:lastPrinted>2013-06-18T18:49:00Z</cp:lastPrinted>
  <dcterms:created xsi:type="dcterms:W3CDTF">2020-07-12T15:59:00Z</dcterms:created>
  <dcterms:modified xsi:type="dcterms:W3CDTF">2020-07-12T15:59:00Z</dcterms:modified>
</cp:coreProperties>
</file>