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7D" w:rsidRPr="00407B6F" w:rsidRDefault="0000227D" w:rsidP="00605B3C">
      <w:pPr>
        <w:pStyle w:val="Titre"/>
        <w:spacing w:line="400" w:lineRule="exact"/>
        <w:ind w:firstLine="720"/>
        <w:jc w:val="right"/>
        <w:rPr>
          <w:rFonts w:asciiTheme="majorHAnsi" w:hAnsiTheme="majorHAnsi"/>
          <w:b w:val="0"/>
          <w:bCs w:val="0"/>
          <w:rtl/>
        </w:rPr>
      </w:pPr>
    </w:p>
    <w:p w:rsidR="0000227D" w:rsidRPr="00407B6F" w:rsidRDefault="0000227D" w:rsidP="005E47B3">
      <w:pPr>
        <w:pStyle w:val="Titre"/>
        <w:spacing w:line="400" w:lineRule="exact"/>
        <w:ind w:firstLine="720"/>
        <w:jc w:val="right"/>
        <w:rPr>
          <w:rFonts w:asciiTheme="majorHAnsi" w:hAnsiTheme="majorHAnsi"/>
          <w:b w:val="0"/>
          <w:bCs w:val="0"/>
        </w:rPr>
      </w:pPr>
    </w:p>
    <w:p w:rsidR="0000227D" w:rsidRPr="00407B6F" w:rsidRDefault="0000227D" w:rsidP="005E47B3">
      <w:pPr>
        <w:pStyle w:val="Titre"/>
        <w:spacing w:line="400" w:lineRule="exact"/>
        <w:ind w:firstLine="720"/>
        <w:jc w:val="right"/>
        <w:rPr>
          <w:rFonts w:asciiTheme="majorHAnsi" w:hAnsiTheme="majorHAnsi"/>
        </w:rPr>
      </w:pPr>
    </w:p>
    <w:p w:rsidR="0000227D" w:rsidRPr="00407B6F" w:rsidRDefault="0000227D" w:rsidP="00700E1F">
      <w:pPr>
        <w:pStyle w:val="Titre"/>
        <w:ind w:firstLine="720"/>
        <w:jc w:val="left"/>
        <w:rPr>
          <w:rFonts w:asciiTheme="majorHAnsi" w:hAnsiTheme="majorHAnsi"/>
          <w:color w:val="339966"/>
        </w:rPr>
      </w:pPr>
    </w:p>
    <w:p w:rsidR="00772F32" w:rsidRPr="00407B6F" w:rsidRDefault="000E51B0" w:rsidP="00407B6F">
      <w:pPr>
        <w:pStyle w:val="Titre"/>
        <w:rPr>
          <w:rFonts w:asciiTheme="majorHAnsi" w:hAnsiTheme="majorHAnsi"/>
          <w:i/>
          <w:iCs/>
          <w:color w:val="C00000"/>
          <w:sz w:val="32"/>
          <w:szCs w:val="32"/>
          <w:u w:val="single"/>
        </w:rPr>
      </w:pPr>
      <w:r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N</w:t>
      </w:r>
      <w:r w:rsidR="009A6859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ote d’information </w:t>
      </w:r>
      <w:r w:rsidR="0073725C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relative à</w:t>
      </w:r>
      <w:r w:rsidR="00906DA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 </w:t>
      </w:r>
      <w:r w:rsidR="0073725C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l</w:t>
      </w:r>
      <w:r w:rsidR="006C17FE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a situation de l’économie nationale en 20</w:t>
      </w:r>
      <w:r w:rsidR="00407B6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20</w:t>
      </w:r>
      <w:r w:rsidR="006C17FE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 et </w:t>
      </w:r>
      <w:r w:rsidR="003F2EE1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ses </w:t>
      </w:r>
      <w:r w:rsidR="00906DA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perspectives </w:t>
      </w:r>
      <w:r w:rsidR="003F2EE1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d’évolution </w:t>
      </w:r>
      <w:r w:rsidR="006C17FE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en</w:t>
      </w:r>
      <w:r w:rsidR="00906DA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 20</w:t>
      </w:r>
      <w:r w:rsidR="00407B6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21</w:t>
      </w:r>
      <w:r w:rsidR="00906DA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 </w:t>
      </w:r>
    </w:p>
    <w:p w:rsidR="00407B6F" w:rsidRDefault="003F2EE1" w:rsidP="00407B6F">
      <w:pPr>
        <w:pStyle w:val="Titre"/>
        <w:spacing w:line="400" w:lineRule="exact"/>
        <w:rPr>
          <w:rFonts w:asciiTheme="majorHAnsi" w:hAnsiTheme="majorHAnsi"/>
          <w:i/>
          <w:iCs/>
          <w:u w:val="single"/>
        </w:rPr>
      </w:pPr>
      <w:r w:rsidRPr="00407B6F">
        <w:rPr>
          <w:rFonts w:asciiTheme="majorHAnsi" w:hAnsiTheme="majorHAnsi"/>
          <w:i/>
          <w:iCs/>
          <w:u w:val="single"/>
        </w:rPr>
        <w:t>J</w:t>
      </w:r>
      <w:r w:rsidR="00C0618A" w:rsidRPr="00407B6F">
        <w:rPr>
          <w:rFonts w:asciiTheme="majorHAnsi" w:hAnsiTheme="majorHAnsi"/>
          <w:i/>
          <w:iCs/>
          <w:u w:val="single"/>
        </w:rPr>
        <w:t>ui</w:t>
      </w:r>
      <w:r w:rsidR="00407B6F" w:rsidRPr="00407B6F">
        <w:rPr>
          <w:rFonts w:asciiTheme="majorHAnsi" w:hAnsiTheme="majorHAnsi"/>
          <w:i/>
          <w:iCs/>
          <w:u w:val="single"/>
        </w:rPr>
        <w:t>llet 2021</w:t>
      </w:r>
    </w:p>
    <w:p w:rsidR="00407B6F" w:rsidRPr="00914FC2" w:rsidRDefault="00117A45" w:rsidP="00914FC2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              </w:t>
      </w:r>
    </w:p>
    <w:p w:rsidR="00C80967" w:rsidRDefault="00914FC2" w:rsidP="00E94CF4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ab/>
      </w:r>
      <w:r w:rsidR="007A049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>L’élaboration d</w:t>
      </w:r>
      <w:r w:rsid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u </w:t>
      </w:r>
      <w:r w:rsidR="00C80967">
        <w:rPr>
          <w:rFonts w:asciiTheme="majorHAnsi" w:hAnsiTheme="majorHAnsi" w:cs="Calibri"/>
          <w:b w:val="0"/>
          <w:color w:val="000000"/>
          <w:sz w:val="28"/>
          <w:szCs w:val="28"/>
        </w:rPr>
        <w:t>b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udget </w:t>
      </w:r>
      <w:r w:rsidR="00E94C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économique</w:t>
      </w:r>
      <w:r w:rsidR="00E94CF4" w:rsidRPr="008B28D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exploratoire 2021 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intervient dans un contexte </w:t>
      </w:r>
      <w:r w:rsidR="00552B65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inédit 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marqué par une crise sanitaire qui s’est propagée dans le monde entier et dont les conséquences seraient plus lourdes que celles de la crise financière. </w:t>
      </w:r>
    </w:p>
    <w:p w:rsidR="00E94CF4" w:rsidRDefault="00914FC2" w:rsidP="00552B65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bookmarkStart w:id="0" w:name="_Toc296590331"/>
      <w:bookmarkStart w:id="1" w:name="_Toc296590853"/>
      <w:bookmarkStart w:id="2" w:name="_Toc328056254"/>
      <w:bookmarkStart w:id="3" w:name="_Toc328056508"/>
      <w:bookmarkStart w:id="4" w:name="_Toc202419655"/>
      <w:r>
        <w:rPr>
          <w:rFonts w:asciiTheme="majorHAnsi" w:hAnsiTheme="majorHAnsi" w:cs="Calibri"/>
          <w:b w:val="0"/>
          <w:color w:val="000000"/>
          <w:sz w:val="28"/>
          <w:szCs w:val="28"/>
        </w:rPr>
        <w:tab/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L’activité mondiale devrait ainsi enregistrer une forte récession </w:t>
      </w:r>
      <w:r w:rsidR="00552B65">
        <w:rPr>
          <w:rFonts w:asciiTheme="majorHAnsi" w:hAnsiTheme="majorHAnsi" w:cs="Calibri"/>
          <w:b w:val="0"/>
          <w:color w:val="000000"/>
          <w:sz w:val="28"/>
          <w:szCs w:val="28"/>
        </w:rPr>
        <w:t>prévue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à 4,9% en 2020 sous l’effet des mesures drastiques prises pour faire face à la </w:t>
      </w:r>
      <w:r w:rsidR="00552B65">
        <w:rPr>
          <w:rFonts w:asciiTheme="majorHAnsi" w:hAnsiTheme="majorHAnsi" w:cs="Calibri"/>
          <w:b w:val="0"/>
          <w:color w:val="000000"/>
          <w:sz w:val="28"/>
          <w:szCs w:val="28"/>
        </w:rPr>
        <w:t>pandémie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La croissance mondiale devrait se redresser en 2021 d’environ 5,4%, soutenue par une relance budgétaire importante et par la poursuite de l’assouplissement de la politique monétaire. </w:t>
      </w:r>
    </w:p>
    <w:p w:rsidR="00C80967" w:rsidRPr="00C80967" w:rsidRDefault="00552B65" w:rsidP="00E94CF4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ab/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>De son côté, le commerce mondial qui faiblissait déjà en 2019</w:t>
      </w:r>
      <w:r w:rsidR="00C80967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en devrait être également impacté, accusant ainsi une contraction de 11,9% </w:t>
      </w:r>
      <w:r w:rsidR="00E94CF4">
        <w:rPr>
          <w:rFonts w:asciiTheme="majorHAnsi" w:hAnsiTheme="majorHAnsi" w:cs="Calibri"/>
          <w:b w:val="0"/>
          <w:color w:val="000000"/>
          <w:sz w:val="28"/>
          <w:szCs w:val="28"/>
        </w:rPr>
        <w:t>avant   d’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augmenter de 8% en 2021. De même, le prix du pétrole devrait chuter pour atteindre 36,18 USD/ baril cette année puis 37,45 en 2021 au lieu de 61,4 USD / baril en 2019. </w:t>
      </w:r>
    </w:p>
    <w:p w:rsidR="00A97B0B" w:rsidRPr="00BB2656" w:rsidRDefault="008A721A" w:rsidP="00534561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ab/>
      </w:r>
      <w:r w:rsidRPr="008A721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Cet environnement économique international défavorable devrait impacter négativement l’économie </w:t>
      </w:r>
      <w:r w:rsidR="00E94CF4">
        <w:rPr>
          <w:rFonts w:asciiTheme="majorHAnsi" w:hAnsiTheme="majorHAnsi" w:cs="Calibri"/>
          <w:b w:val="0"/>
          <w:color w:val="000000"/>
          <w:sz w:val="28"/>
          <w:szCs w:val="28"/>
        </w:rPr>
        <w:t>nationale</w:t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>. L</w:t>
      </w:r>
      <w:r w:rsidR="00A97B0B" w:rsidRPr="00BB265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es répercussions de la crise sur nos principaux partenaires européens devraient se traduire par une chute de la demande adressée au Maroc, </w:t>
      </w:r>
      <w:r w:rsidR="005C2E17">
        <w:rPr>
          <w:rFonts w:asciiTheme="majorHAnsi" w:hAnsiTheme="majorHAnsi" w:cs="Calibri"/>
          <w:b w:val="0"/>
          <w:color w:val="000000"/>
          <w:sz w:val="28"/>
          <w:szCs w:val="28"/>
        </w:rPr>
        <w:t>prévue</w:t>
      </w:r>
      <w:r w:rsidR="00A97B0B" w:rsidRPr="00BB265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à </w:t>
      </w:r>
      <w:r w:rsidR="00BB2656" w:rsidRPr="008A721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16,2% </w:t>
      </w:r>
      <w:r w:rsidR="00A97B0B" w:rsidRPr="00BB265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avant de se rétablir en 2021 à </w:t>
      </w:r>
      <w:r w:rsidR="00BB2656" w:rsidRPr="008A721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12,2%.  </w:t>
      </w:r>
    </w:p>
    <w:p w:rsidR="00DA7A7A" w:rsidRDefault="008A721A" w:rsidP="00810B8E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8A721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  </w:t>
      </w:r>
      <w:bookmarkStart w:id="5" w:name="_Toc328056270"/>
      <w:bookmarkStart w:id="6" w:name="_Toc328056524"/>
      <w:bookmarkStart w:id="7" w:name="_Toc202419671"/>
      <w:bookmarkStart w:id="8" w:name="_Toc328056267"/>
      <w:bookmarkStart w:id="9" w:name="_Toc328056521"/>
      <w:bookmarkStart w:id="10" w:name="_Toc202419668"/>
      <w:bookmarkEnd w:id="0"/>
      <w:bookmarkEnd w:id="1"/>
      <w:bookmarkEnd w:id="2"/>
      <w:bookmarkEnd w:id="3"/>
      <w:bookmarkEnd w:id="4"/>
      <w:r w:rsidR="00914FC2">
        <w:rPr>
          <w:rFonts w:asciiTheme="majorHAnsi" w:hAnsiTheme="majorHAnsi" w:cs="Calibri"/>
          <w:b w:val="0"/>
          <w:color w:val="000000"/>
          <w:sz w:val="28"/>
          <w:szCs w:val="28"/>
        </w:rPr>
        <w:tab/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>Dans ces conditions</w:t>
      </w:r>
      <w:r w:rsidR="00691891" w:rsidRPr="003139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</w:t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>l’économie nationale</w:t>
      </w:r>
      <w:r w:rsidR="00F27050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devrait,</w:t>
      </w:r>
      <w:r w:rsidR="00F27050" w:rsidRPr="003139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3671F2" w:rsidRPr="00313996">
        <w:rPr>
          <w:rFonts w:asciiTheme="majorHAnsi" w:hAnsiTheme="majorHAnsi" w:cs="Calibri"/>
          <w:b w:val="0"/>
          <w:color w:val="000000"/>
          <w:sz w:val="28"/>
          <w:szCs w:val="28"/>
        </w:rPr>
        <w:t>connaît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re</w:t>
      </w:r>
      <w:r w:rsidR="00313996" w:rsidRPr="003139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une récession en 2020, la première depuis plus de deux décennies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3671F2" w:rsidRPr="003671F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3671F2" w:rsidRPr="003139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sous l’effet conjugué de la sécheresse et de 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la pandémie.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BB2656">
        <w:rPr>
          <w:rFonts w:asciiTheme="majorHAnsi" w:hAnsiTheme="majorHAnsi" w:cs="Calibri"/>
          <w:b w:val="0"/>
          <w:color w:val="000000"/>
          <w:sz w:val="28"/>
          <w:szCs w:val="28"/>
        </w:rPr>
        <w:t>Le</w:t>
      </w:r>
      <w:r w:rsidR="007A0490" w:rsidRPr="00484B11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secteur primaire</w:t>
      </w:r>
      <w:r w:rsidR="007A049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>dégager</w:t>
      </w:r>
      <w:r w:rsidR="00F27050">
        <w:rPr>
          <w:rFonts w:asciiTheme="majorHAnsi" w:hAnsiTheme="majorHAnsi" w:cs="Calibri"/>
          <w:b w:val="0"/>
          <w:color w:val="000000"/>
          <w:sz w:val="28"/>
          <w:szCs w:val="28"/>
        </w:rPr>
        <w:t>ait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une valeur ajoutée en repli de 5,7% en 2020 après avoir régressé de 4,6% en 2019</w:t>
      </w:r>
      <w:r w:rsidR="00307068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r w:rsid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bookmarkStart w:id="11" w:name="_Toc328056271"/>
      <w:bookmarkStart w:id="12" w:name="_Toc328056525"/>
      <w:bookmarkStart w:id="13" w:name="_Toc202419672"/>
      <w:bookmarkEnd w:id="5"/>
      <w:bookmarkEnd w:id="6"/>
      <w:bookmarkEnd w:id="7"/>
    </w:p>
    <w:p w:rsidR="00DA7A7A" w:rsidRPr="00DA7A7A" w:rsidRDefault="00021169" w:rsidP="0059492C">
      <w:pPr>
        <w:spacing w:before="240" w:after="120"/>
        <w:ind w:left="66" w:firstLine="642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leur côté, les </w:t>
      </w:r>
      <w:r w:rsidRPr="00E94CF4">
        <w:rPr>
          <w:rFonts w:asciiTheme="majorHAnsi" w:hAnsiTheme="majorHAnsi" w:cs="Calibri"/>
          <w:bCs w:val="0"/>
          <w:color w:val="000000"/>
          <w:sz w:val="28"/>
          <w:szCs w:val="28"/>
        </w:rPr>
        <w:t>activités non agricoles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devraient connaitre un net recul, de 5,3% en 2020 après une hausse de 3,7% </w:t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l’année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précédente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S’agissant du </w:t>
      </w:r>
      <w:r w:rsidRPr="00E94CF4">
        <w:rPr>
          <w:rFonts w:asciiTheme="majorHAnsi" w:hAnsiTheme="majorHAnsi" w:cs="Calibri"/>
          <w:bCs w:val="0"/>
          <w:color w:val="000000"/>
          <w:sz w:val="28"/>
          <w:szCs w:val="28"/>
        </w:rPr>
        <w:t>secteur secondaire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, il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 enregistrer un repli de près de </w:t>
      </w:r>
      <w:r w:rsidR="00E94CF4">
        <w:rPr>
          <w:rFonts w:asciiTheme="majorHAnsi" w:hAnsiTheme="majorHAnsi" w:cs="Calibri"/>
          <w:b w:val="0"/>
          <w:color w:val="000000"/>
          <w:sz w:val="28"/>
          <w:szCs w:val="28"/>
        </w:rPr>
        <w:t>6,9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en 2020 après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une hausse de 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3,6% en 2019. A l’exception des activités des industries chimiques et para-chimiques et du secteur minier, 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lastRenderedPageBreak/>
        <w:t xml:space="preserve">les autres 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activités secondaire</w:t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devraient afficher une baisse remarquable de leur valeur ajoutée. 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même,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l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es activités du </w:t>
      </w:r>
      <w:r w:rsidRPr="00E94CF4">
        <w:rPr>
          <w:rFonts w:asciiTheme="majorHAnsi" w:hAnsiTheme="majorHAnsi" w:cs="Calibri"/>
          <w:bCs w:val="0"/>
          <w:color w:val="000000"/>
          <w:sz w:val="28"/>
          <w:szCs w:val="28"/>
        </w:rPr>
        <w:t>secteur tertiaire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devraient </w:t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>baisser</w:t>
      </w:r>
      <w:r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 4,5% après une hausse de 3,8% 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en 2019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r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L</w:t>
      </w:r>
      <w:r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>e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secteur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du tourisme 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et du transport, 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f</w:t>
      </w:r>
      <w:r w:rsidR="005C2E17"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>ortement impacté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="005C2E17"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par l</w:t>
      </w:r>
      <w:r w:rsidR="002A1E9E">
        <w:rPr>
          <w:rFonts w:asciiTheme="majorHAnsi" w:hAnsiTheme="majorHAnsi" w:cs="Calibri"/>
          <w:b w:val="0"/>
          <w:color w:val="000000"/>
          <w:sz w:val="28"/>
          <w:szCs w:val="28"/>
        </w:rPr>
        <w:t>a</w:t>
      </w:r>
      <w:r w:rsidR="005C2E17"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fermeture des frontières</w:t>
      </w:r>
      <w:r w:rsidR="002A1E9E" w:rsidRPr="002A1E9E">
        <w:rPr>
          <w:rFonts w:ascii="Calisto MT" w:eastAsia="Batang" w:hAnsi="Calisto MT"/>
          <w:color w:val="8064A2" w:themeColor="accent4"/>
          <w:sz w:val="26"/>
          <w:szCs w:val="26"/>
        </w:rPr>
        <w:t xml:space="preserve"> </w:t>
      </w:r>
      <w:r w:rsidR="002A1E9E" w:rsidRPr="002A1E9E">
        <w:rPr>
          <w:rFonts w:asciiTheme="majorHAnsi" w:hAnsiTheme="majorHAnsi" w:cs="Calibri"/>
          <w:b w:val="0"/>
          <w:color w:val="000000"/>
          <w:sz w:val="28"/>
          <w:szCs w:val="28"/>
        </w:rPr>
        <w:t>et les mesures prises pour l’endiguement de la pandémie</w:t>
      </w:r>
      <w:r w:rsidR="000C3B99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5C2E17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>serai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en</w:t>
      </w:r>
      <w:r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>t le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plus touc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hé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s.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</w:p>
    <w:p w:rsidR="00280562" w:rsidRDefault="000C3B99" w:rsidP="000C3B99">
      <w:pPr>
        <w:spacing w:before="240" w:after="120"/>
        <w:ind w:left="66" w:firstLine="642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Cs w:val="0"/>
          <w:color w:val="000000"/>
          <w:sz w:val="28"/>
          <w:szCs w:val="28"/>
        </w:rPr>
        <w:t>Ainsi, l</w:t>
      </w:r>
      <w:r w:rsidR="00021169">
        <w:rPr>
          <w:rFonts w:asciiTheme="majorHAnsi" w:hAnsiTheme="majorHAnsi" w:cs="Calibri"/>
          <w:bCs w:val="0"/>
          <w:color w:val="000000"/>
          <w:sz w:val="28"/>
          <w:szCs w:val="28"/>
        </w:rPr>
        <w:t>e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DA7A7A" w:rsidRPr="00484B11">
        <w:rPr>
          <w:rFonts w:asciiTheme="majorHAnsi" w:hAnsiTheme="majorHAnsi" w:cs="Calibri"/>
          <w:bCs w:val="0"/>
          <w:color w:val="000000"/>
          <w:sz w:val="28"/>
          <w:szCs w:val="28"/>
        </w:rPr>
        <w:t>Produit Intérieur Brut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</w:t>
      </w:r>
      <w:r w:rsidR="00021169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</w:t>
      </w:r>
      <w:r w:rsidR="006641EA" w:rsidRPr="006641E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compte tenu d’une baisse prévue de </w:t>
      </w:r>
      <w:r w:rsidR="006641EA">
        <w:rPr>
          <w:rFonts w:asciiTheme="majorHAnsi" w:hAnsiTheme="majorHAnsi" w:cs="Calibri"/>
          <w:b w:val="0"/>
          <w:color w:val="000000"/>
          <w:sz w:val="28"/>
          <w:szCs w:val="28"/>
        </w:rPr>
        <w:t>9</w:t>
      </w:r>
      <w:r w:rsidR="006641EA" w:rsidRPr="006641EA">
        <w:rPr>
          <w:rFonts w:asciiTheme="majorHAnsi" w:hAnsiTheme="majorHAnsi" w:cs="Calibri"/>
          <w:b w:val="0"/>
          <w:color w:val="000000"/>
          <w:sz w:val="28"/>
          <w:szCs w:val="28"/>
        </w:rPr>
        <w:t>% des impôts et taxes sur produits nets de subventions</w:t>
      </w:r>
      <w:r w:rsidR="006641E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enregistrer une décroissance de 5,8% en 2020 au lieu d’une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progression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 2,5% enregistrée en 2019. Concernant l’évolution des prix intérieurs, le fléchissement des cours d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es matières premières, conjugué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à un recul de la demande, devrait entrainer une baisse du niveau général des prix qui se situerait aux alentours de -0,4% au lieu d’une hausse de 1,3% </w:t>
      </w:r>
      <w:r w:rsidR="006641EA">
        <w:rPr>
          <w:rFonts w:asciiTheme="majorHAnsi" w:hAnsiTheme="majorHAnsi" w:cs="Calibri"/>
          <w:b w:val="0"/>
          <w:color w:val="000000"/>
          <w:sz w:val="28"/>
          <w:szCs w:val="28"/>
        </w:rPr>
        <w:t>l’année précédente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</w:t>
      </w:r>
    </w:p>
    <w:p w:rsidR="00DA7A7A" w:rsidRPr="00DA7A7A" w:rsidRDefault="009E7477" w:rsidP="009E7477">
      <w:pPr>
        <w:spacing w:before="240" w:after="120"/>
        <w:ind w:left="66" w:firstLine="642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>Dans c</w:t>
      </w:r>
      <w:r w:rsidR="00CC2861" w:rsidRPr="00280562">
        <w:rPr>
          <w:rFonts w:asciiTheme="majorHAnsi" w:hAnsiTheme="majorHAnsi" w:cs="Calibri"/>
          <w:b w:val="0"/>
          <w:color w:val="000000"/>
          <w:sz w:val="28"/>
          <w:szCs w:val="28"/>
        </w:rPr>
        <w:t>e contexte de détérioration de la croissance économique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et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CC2861" w:rsidRPr="0028056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sous l’hypothèse d’une poursuite de la baisse tendancielle du taux d’activité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au niveau national</w:t>
      </w:r>
      <w:r w:rsidR="00CC2861" w:rsidRPr="0028056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le </w:t>
      </w:r>
      <w:r w:rsidR="00CC2861" w:rsidRPr="000A0F5B">
        <w:rPr>
          <w:rFonts w:asciiTheme="majorHAnsi" w:hAnsiTheme="majorHAnsi" w:cs="Calibri"/>
          <w:bCs w:val="0"/>
          <w:color w:val="000000"/>
          <w:sz w:val="28"/>
          <w:szCs w:val="28"/>
        </w:rPr>
        <w:t>taux de chômage</w:t>
      </w:r>
      <w:r w:rsidR="00CC2861" w:rsidRPr="0028056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devrait atteindre </w:t>
      </w:r>
      <w:r w:rsidR="00CC2861" w:rsidRPr="00280562">
        <w:rPr>
          <w:rFonts w:asciiTheme="majorHAnsi" w:hAnsiTheme="majorHAnsi" w:cs="Calibri"/>
          <w:b w:val="0"/>
          <w:color w:val="000000"/>
          <w:sz w:val="28"/>
          <w:szCs w:val="28"/>
        </w:rPr>
        <w:t>près de 14,8%, soit une hausse de 5,6 points par rapport au niveau enregistré en 2019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</w:p>
    <w:bookmarkEnd w:id="11"/>
    <w:bookmarkEnd w:id="12"/>
    <w:bookmarkEnd w:id="13"/>
    <w:p w:rsidR="00544FCD" w:rsidRPr="00407B6F" w:rsidRDefault="00610F0E" w:rsidP="00810B8E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Dans ce</w:t>
      </w:r>
      <w:r w:rsidR="00691891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s conditions,</w:t>
      </w:r>
      <w:r w:rsidR="009607D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9607D4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la demande intérieure</w:t>
      </w:r>
      <w:r w:rsidR="0054568F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>devrait</w:t>
      </w:r>
      <w:r w:rsidR="000409A5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enregistrer une baisse </w:t>
      </w:r>
      <w:r w:rsidR="000409A5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</w:t>
      </w:r>
      <w:r w:rsidR="006641EA">
        <w:rPr>
          <w:rFonts w:asciiTheme="majorHAnsi" w:hAnsiTheme="majorHAnsi" w:cs="Calibri"/>
          <w:b w:val="0"/>
          <w:color w:val="000000"/>
          <w:sz w:val="28"/>
          <w:szCs w:val="28"/>
        </w:rPr>
        <w:t>4</w:t>
      </w:r>
      <w:r w:rsidR="000409A5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% en 20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>20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>, s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 contribution à la croissance </w:t>
      </w:r>
      <w:r w:rsidR="00B96FC3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serait 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ainsi 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négative 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de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4,4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points au lieu de 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d’une contribution positive de 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>1,9</w:t>
      </w:r>
      <w:r w:rsidR="00F84AF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point 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en 201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>9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bookmarkStart w:id="14" w:name="_Toc328056274"/>
      <w:bookmarkStart w:id="15" w:name="_Toc328056528"/>
      <w:bookmarkStart w:id="16" w:name="_Toc202419677"/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4E66E1">
        <w:rPr>
          <w:rFonts w:asciiTheme="majorHAnsi" w:hAnsiTheme="majorHAnsi" w:cs="Calibri"/>
          <w:b w:val="0"/>
          <w:color w:val="000000"/>
          <w:sz w:val="28"/>
          <w:szCs w:val="28"/>
        </w:rPr>
        <w:t>De même,</w:t>
      </w:r>
      <w:r w:rsidR="000C3B99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2B4050">
        <w:rPr>
          <w:rFonts w:asciiTheme="majorHAnsi" w:hAnsiTheme="majorHAnsi" w:cs="Calibri"/>
          <w:b w:val="0"/>
          <w:color w:val="000000"/>
          <w:sz w:val="28"/>
          <w:szCs w:val="28"/>
        </w:rPr>
        <w:t>la</w:t>
      </w:r>
      <w:r w:rsidR="002B405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contribution</w:t>
      </w:r>
      <w:r w:rsidR="002B4050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de </w:t>
      </w:r>
      <w:r w:rsidR="00406FA2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la demande </w:t>
      </w:r>
      <w:r w:rsidR="004E66E1">
        <w:rPr>
          <w:rFonts w:asciiTheme="majorHAnsi" w:hAnsiTheme="majorHAnsi" w:cs="Calibri"/>
          <w:bCs w:val="0"/>
          <w:color w:val="000000"/>
          <w:sz w:val="28"/>
          <w:szCs w:val="28"/>
        </w:rPr>
        <w:t>extérieure</w:t>
      </w:r>
      <w:r w:rsidR="004E66E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à la croissance </w:t>
      </w:r>
      <w:r w:rsidR="002B4050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>er</w:t>
      </w:r>
      <w:r w:rsidR="00F73609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ait 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négative </w:t>
      </w:r>
      <w:r w:rsidR="004E66E1">
        <w:rPr>
          <w:rFonts w:asciiTheme="majorHAnsi" w:hAnsiTheme="majorHAnsi" w:cs="Calibri"/>
          <w:b w:val="0"/>
          <w:color w:val="000000"/>
          <w:sz w:val="28"/>
          <w:szCs w:val="28"/>
        </w:rPr>
        <w:t>d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 1,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4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point</w:t>
      </w:r>
      <w:r w:rsidR="00B96FC3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après avoir </w:t>
      </w:r>
      <w:r w:rsidR="002B4050">
        <w:rPr>
          <w:rFonts w:asciiTheme="majorHAnsi" w:hAnsiTheme="majorHAnsi" w:cs="Calibri"/>
          <w:b w:val="0"/>
          <w:color w:val="000000"/>
          <w:sz w:val="28"/>
          <w:szCs w:val="28"/>
        </w:rPr>
        <w:t>été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positive de 0,6 point </w:t>
      </w:r>
      <w:r w:rsidR="002B4050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l’année </w:t>
      </w:r>
      <w:r w:rsidR="006623BF">
        <w:rPr>
          <w:rFonts w:asciiTheme="majorHAnsi" w:hAnsiTheme="majorHAnsi" w:cs="Calibri"/>
          <w:b w:val="0"/>
          <w:color w:val="000000"/>
          <w:sz w:val="28"/>
          <w:szCs w:val="28"/>
        </w:rPr>
        <w:t>précédente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</w:t>
      </w:r>
      <w:bookmarkEnd w:id="14"/>
      <w:bookmarkEnd w:id="15"/>
      <w:bookmarkEnd w:id="16"/>
    </w:p>
    <w:p w:rsidR="00016BE6" w:rsidRPr="00407B6F" w:rsidRDefault="00C01C78" w:rsidP="00E65F72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bookmarkStart w:id="17" w:name="_Toc328056276"/>
      <w:bookmarkStart w:id="18" w:name="_Toc328056530"/>
      <w:bookmarkStart w:id="19" w:name="_Toc202419679"/>
      <w:bookmarkStart w:id="20" w:name="_Toc296590348"/>
      <w:bookmarkStart w:id="21" w:name="_Toc296590870"/>
      <w:bookmarkEnd w:id="8"/>
      <w:bookmarkEnd w:id="9"/>
      <w:bookmarkEnd w:id="10"/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Concernant </w:t>
      </w:r>
      <w:r w:rsidRPr="006641EA">
        <w:rPr>
          <w:rFonts w:asciiTheme="majorHAnsi" w:hAnsiTheme="majorHAnsi" w:cs="Calibri"/>
          <w:bCs w:val="0"/>
          <w:color w:val="000000"/>
          <w:sz w:val="28"/>
          <w:szCs w:val="28"/>
        </w:rPr>
        <w:t>le financement de l’économie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, l</w:t>
      </w:r>
      <w:r w:rsidR="00E73CC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’épargne intérieure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8A268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qui était </w:t>
      </w:r>
      <w:r w:rsidR="00FA11DA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l’ordre de 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2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3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3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</w:t>
      </w:r>
      <w:r w:rsidR="00FA11DA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du PIB 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en 201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9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</w:t>
      </w:r>
      <w:r w:rsidR="004E66E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devrait </w:t>
      </w:r>
      <w:r w:rsidR="008A268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baisser</w:t>
      </w:r>
      <w:r w:rsidR="004E66E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8A268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à </w:t>
      </w:r>
      <w:r w:rsidR="00FA11DA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19,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1</w:t>
      </w:r>
      <w:r w:rsidR="00FA11DA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%</w:t>
      </w:r>
      <w:r w:rsidR="008A268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F5243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du PIB </w:t>
      </w:r>
      <w:r w:rsidR="00FA11DA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en 20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20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bookmarkStart w:id="22" w:name="_Toc328056277"/>
      <w:bookmarkStart w:id="23" w:name="_Toc328056531"/>
      <w:bookmarkStart w:id="24" w:name="_Toc202419680"/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F5243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Parallèlement</w:t>
      </w:r>
      <w:r w:rsidR="00F5243E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, l</w:t>
      </w:r>
      <w:r w:rsidR="00583AB6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es</w:t>
      </w:r>
      <w:r w:rsidR="00C23F0C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revenus nets en provenance du reste du monde</w:t>
      </w:r>
      <w:r w:rsidR="00C23F0C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6E633F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devraient </w:t>
      </w:r>
      <w:r w:rsidR="002733C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continuer de </w:t>
      </w:r>
      <w:r w:rsidR="00BB415D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régresser affichant une baisse de 4,6% après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-</w:t>
      </w:r>
      <w:r w:rsidR="00BB415D">
        <w:rPr>
          <w:rFonts w:asciiTheme="majorHAnsi" w:hAnsiTheme="majorHAnsi" w:cs="Calibri"/>
          <w:b w:val="0"/>
          <w:color w:val="000000"/>
          <w:sz w:val="28"/>
          <w:szCs w:val="28"/>
        </w:rPr>
        <w:t>1,5% en 2019</w:t>
      </w:r>
      <w:r w:rsidR="006641E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et -16,9% en 2018</w:t>
      </w:r>
      <w:r w:rsidR="00BB415D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Ce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 évolutions </w:t>
      </w:r>
      <w:r w:rsidR="002733CE">
        <w:rPr>
          <w:rFonts w:asciiTheme="majorHAnsi" w:hAnsiTheme="majorHAnsi" w:cs="Calibri"/>
          <w:b w:val="0"/>
          <w:color w:val="000000"/>
          <w:sz w:val="28"/>
          <w:szCs w:val="28"/>
        </w:rPr>
        <w:t>devraient se traduire par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une 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diminution 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</w:t>
      </w:r>
      <w:r w:rsidR="000B0B88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l</w:t>
      </w:r>
      <w:r w:rsidR="007D5203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’épargne nationale</w:t>
      </w:r>
      <w:r w:rsidR="00A039FC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pour atteindre 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2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3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7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%</w:t>
      </w:r>
      <w:r w:rsidR="0027524D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du PIB 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au lieu de 2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7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8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en 2019</w:t>
      </w:r>
      <w:r w:rsidR="00D838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r w:rsidR="00B2534D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Compte tenu d’un ni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veau d’investissement 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de l’ordre de 3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0,6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du PIB </w:t>
      </w:r>
      <w:r w:rsidR="00E65F72">
        <w:rPr>
          <w:rFonts w:asciiTheme="majorHAnsi" w:hAnsiTheme="majorHAnsi" w:cs="Calibri"/>
          <w:b w:val="0"/>
          <w:color w:val="000000"/>
          <w:sz w:val="28"/>
          <w:szCs w:val="28"/>
        </w:rPr>
        <w:t>attendu</w:t>
      </w:r>
      <w:r w:rsidR="00406FA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en 20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20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 baisse par rapport 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>à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3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2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2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enregistré  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en 201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9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583AB6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l</w:t>
      </w:r>
      <w:r w:rsidR="00E550F4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e</w:t>
      </w:r>
      <w:r w:rsidR="003A2420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s</w:t>
      </w:r>
      <w:r w:rsidR="00E550F4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besoin</w:t>
      </w:r>
      <w:r w:rsidR="003A2420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s</w:t>
      </w:r>
      <w:r w:rsidR="00E550F4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de financement de </w:t>
      </w:r>
      <w:r w:rsidR="00E550F4" w:rsidRPr="00246DF8">
        <w:rPr>
          <w:rFonts w:asciiTheme="majorHAnsi" w:hAnsiTheme="majorHAnsi" w:cs="Calibri"/>
          <w:b w:val="0"/>
          <w:color w:val="000000"/>
          <w:sz w:val="28"/>
          <w:szCs w:val="28"/>
        </w:rPr>
        <w:t>l’économie nationale</w:t>
      </w:r>
      <w:r w:rsidR="00246DF8" w:rsidRPr="00246DF8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se seraient accentués à </w:t>
      </w:r>
      <w:r w:rsidR="00E550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6,</w:t>
      </w:r>
      <w:r w:rsidR="00246DF8">
        <w:rPr>
          <w:rFonts w:asciiTheme="majorHAnsi" w:hAnsiTheme="majorHAnsi" w:cs="Calibri"/>
          <w:b w:val="0"/>
          <w:color w:val="000000"/>
          <w:sz w:val="28"/>
          <w:szCs w:val="28"/>
        </w:rPr>
        <w:t>9</w:t>
      </w:r>
      <w:r w:rsidR="00E550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% du PIB</w:t>
      </w:r>
      <w:r w:rsidR="00AF6ABC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E550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au lieu de </w:t>
      </w:r>
      <w:r w:rsidR="00246DF8">
        <w:rPr>
          <w:rFonts w:asciiTheme="majorHAnsi" w:hAnsiTheme="majorHAnsi" w:cs="Calibri"/>
          <w:b w:val="0"/>
          <w:color w:val="000000"/>
          <w:sz w:val="28"/>
          <w:szCs w:val="28"/>
        </w:rPr>
        <w:t>4,4</w:t>
      </w:r>
      <w:r w:rsidR="00E550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>une année auparavant</w:t>
      </w:r>
      <w:r w:rsidR="00E550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</w:t>
      </w:r>
    </w:p>
    <w:p w:rsidR="001441DF" w:rsidRPr="00127E34" w:rsidRDefault="001441DF" w:rsidP="005B29F4">
      <w:pPr>
        <w:spacing w:before="240" w:after="120"/>
        <w:ind w:firstLine="709"/>
        <w:jc w:val="both"/>
        <w:rPr>
          <w:rFonts w:ascii="Calisto MT" w:eastAsia="Batang" w:hAnsi="Calisto MT"/>
          <w:sz w:val="26"/>
          <w:szCs w:val="26"/>
        </w:rPr>
      </w:pPr>
      <w:bookmarkStart w:id="25" w:name="_Toc328056279"/>
      <w:bookmarkStart w:id="26" w:name="_Toc328056533"/>
      <w:bookmarkStart w:id="27" w:name="_Toc202419682"/>
      <w:bookmarkStart w:id="28" w:name="_Toc328056280"/>
      <w:bookmarkStart w:id="29" w:name="_Toc328056534"/>
      <w:bookmarkStart w:id="30" w:name="_Toc202419683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Au niveau des </w:t>
      </w:r>
      <w:r w:rsidRPr="00406FA2">
        <w:rPr>
          <w:rFonts w:asciiTheme="majorHAnsi" w:hAnsiTheme="majorHAnsi" w:cs="Calibri"/>
          <w:bCs w:val="0"/>
          <w:color w:val="000000"/>
          <w:sz w:val="28"/>
          <w:szCs w:val="28"/>
        </w:rPr>
        <w:t>finances publiques,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la pandémie et le gel de l’activité économique nationale durant la période de confinement, devraient induire des effets néfastes sur le budget de l’Etat </w:t>
      </w:r>
      <w:r w:rsidR="00463AB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 termes de recettes </w:t>
      </w:r>
      <w:r w:rsidR="00463AB4"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>fiscales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Les mesures prises par le gouvernement </w:t>
      </w:r>
      <w:r w:rsidR="00EB26D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pour </w:t>
      </w:r>
      <w:r w:rsidR="00463AB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limiter 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la </w:t>
      </w:r>
      <w:r w:rsidR="00463AB4">
        <w:rPr>
          <w:rFonts w:asciiTheme="majorHAnsi" w:hAnsiTheme="majorHAnsi" w:cs="Calibri"/>
          <w:b w:val="0"/>
          <w:color w:val="000000"/>
          <w:sz w:val="28"/>
          <w:szCs w:val="28"/>
        </w:rPr>
        <w:t>propagation du virus,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devraient </w:t>
      </w:r>
      <w:r w:rsidR="006623B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engendrer des dépenses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supplémentaires</w:t>
      </w:r>
      <w:r w:rsidR="006623B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aux charges ordinaires</w:t>
      </w:r>
      <w:r w:rsidR="00654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En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conséquence</w:t>
      </w:r>
      <w:r w:rsidR="0065408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le déficit budgétaire 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devrait s’accentuer en 2020 pour 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lastRenderedPageBreak/>
        <w:t>atteindre près de 7,</w:t>
      </w:r>
      <w:r w:rsidR="005B29F4">
        <w:rPr>
          <w:rFonts w:asciiTheme="majorHAnsi" w:hAnsiTheme="majorHAnsi" w:cs="Calibri"/>
          <w:b w:val="0"/>
          <w:color w:val="000000"/>
          <w:sz w:val="28"/>
          <w:szCs w:val="28"/>
        </w:rPr>
        <w:t>4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>% du PIB, dépassant largement le niveau atteint en moyenne annuelle entre les années 2011 et 2013, soit 6,1% du PIB.</w:t>
      </w:r>
    </w:p>
    <w:p w:rsidR="00353396" w:rsidRPr="00353396" w:rsidRDefault="001441DF" w:rsidP="00534CAE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Pour couvrir ces besoins, le Maroc ferait recours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aux emprunts extérieurs,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dépassant le plafond des financements extérieurs fixé par la loi des finances 2020 à </w:t>
      </w:r>
      <w:r w:rsidR="00353396">
        <w:rPr>
          <w:rFonts w:asciiTheme="majorHAnsi" w:hAnsiTheme="majorHAnsi" w:cs="Calibri"/>
          <w:b w:val="0"/>
          <w:color w:val="000000"/>
          <w:sz w:val="28"/>
          <w:szCs w:val="28"/>
        </w:rPr>
        <w:t>31 MMDH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Ces conditions devraient porter l’encours de </w:t>
      </w:r>
      <w:r w:rsidRPr="006A1255">
        <w:rPr>
          <w:rFonts w:asciiTheme="majorHAnsi" w:hAnsiTheme="majorHAnsi" w:cs="Calibri"/>
          <w:bCs w:val="0"/>
          <w:color w:val="000000"/>
          <w:sz w:val="28"/>
          <w:szCs w:val="28"/>
        </w:rPr>
        <w:t>l’endettement global du trésor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353396"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à 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74,4% du PIB en 2020. </w:t>
      </w:r>
      <w:r w:rsidR="00353396"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S’ajoutant à la part 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>de la dette extérieure garantie, la dette publique globale dépasserait le seuil de 90% du PIB, en hausse de près de dix points par rapport à un an auparavant.</w:t>
      </w:r>
    </w:p>
    <w:p w:rsidR="001441DF" w:rsidRPr="00353396" w:rsidRDefault="00353396" w:rsidP="00810B8E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son côté le </w:t>
      </w:r>
      <w:r w:rsidRPr="006A1255">
        <w:rPr>
          <w:rFonts w:asciiTheme="majorHAnsi" w:hAnsiTheme="majorHAnsi" w:cs="Calibri"/>
          <w:bCs w:val="0"/>
          <w:color w:val="000000"/>
          <w:sz w:val="28"/>
          <w:szCs w:val="28"/>
        </w:rPr>
        <w:t>marché monétaire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 subir les effets de la baisse des flux nets financiers. Ce</w:t>
      </w:r>
      <w:r w:rsidR="004F6026">
        <w:rPr>
          <w:rFonts w:asciiTheme="majorHAnsi" w:hAnsiTheme="majorHAnsi" w:cs="Calibri"/>
          <w:b w:val="0"/>
          <w:color w:val="000000"/>
          <w:sz w:val="28"/>
          <w:szCs w:val="28"/>
        </w:rPr>
        <w:t>ci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 engendrer un repli des stocks en devises en 2020 à près de 212 MMDH (non compris l’utilisation de la Ligne de Précaution de la Liquidité de 3 MM do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llars du FMI). Tenant compte 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d’une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amélioration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des créances à l’économie de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près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 4,9% suite aux mesures </w:t>
      </w:r>
      <w:r w:rsidR="004F602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d’assouplissement monétaire 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>mises en œuvre,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la création monétaire en 2020 devrait augmenter de 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>1,6% en 2020 au lieu de 3,8% en 2019.</w:t>
      </w:r>
    </w:p>
    <w:bookmarkEnd w:id="25"/>
    <w:bookmarkEnd w:id="26"/>
    <w:bookmarkEnd w:id="27"/>
    <w:p w:rsidR="00834491" w:rsidRPr="00B4080B" w:rsidRDefault="00834491" w:rsidP="00834491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>En 2021, l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es perspectives économiques établies  supposent la fin de la pandémie du covid-19 en décembre 2020 et se basent sur un scenario moyen de la production agricole durant la campagne 2020/2021. Ces prévisions prennent également en considération les nouvelles tendances de l’environnement international, notamment l’évolution des prix des matières premières et de la demande mondiale adressée au Maroc.</w:t>
      </w:r>
    </w:p>
    <w:p w:rsidR="00834491" w:rsidRDefault="00834491" w:rsidP="004F6026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Sur la base de ces hypothèses, </w:t>
      </w:r>
      <w:r w:rsidRPr="00B4080B">
        <w:rPr>
          <w:rFonts w:asciiTheme="majorHAnsi" w:hAnsiTheme="majorHAnsi" w:cs="Calibri"/>
          <w:bCs w:val="0"/>
          <w:color w:val="000000"/>
          <w:sz w:val="28"/>
          <w:szCs w:val="28"/>
        </w:rPr>
        <w:t>le secteur primaire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 connaitre une hausse de l’ordre de 9,1% en 2021 au lieu d’une baisse de 5,7% attendue en 2020. </w:t>
      </w:r>
      <w:r w:rsidRPr="00B4080B">
        <w:rPr>
          <w:rFonts w:asciiTheme="majorHAnsi" w:hAnsiTheme="majorHAnsi" w:cs="Calibri"/>
          <w:bCs w:val="0"/>
          <w:color w:val="000000"/>
          <w:sz w:val="28"/>
          <w:szCs w:val="28"/>
        </w:rPr>
        <w:t>Les activités non agricoles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devraient enregistrer un rythme d’accroissement modéré de l’ordre de 3,6% en 2021 au lieu d’une baisse de 5,3% en 2020, en raison, notamment, de la </w:t>
      </w:r>
      <w:r w:rsidR="004F6026">
        <w:rPr>
          <w:rFonts w:asciiTheme="majorHAnsi" w:hAnsiTheme="majorHAnsi" w:cs="Calibri"/>
          <w:b w:val="0"/>
          <w:color w:val="000000"/>
          <w:sz w:val="28"/>
          <w:szCs w:val="28"/>
        </w:rPr>
        <w:t>reprise timide attendue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des secteurs des services et du BTP et des industries de transformation.</w:t>
      </w:r>
    </w:p>
    <w:p w:rsidR="00B4080B" w:rsidRPr="00B4080B" w:rsidRDefault="00B4080B" w:rsidP="00810B8E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Compte tenu d’une évolution de 4,9% des impôts et taxes sur produits nets de subventions</w:t>
      </w:r>
      <w:r w:rsidR="0008006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au lieu d’une baisse de 9% prévu en 2020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</w:t>
      </w:r>
      <w:r w:rsidRPr="00B4080B">
        <w:rPr>
          <w:rFonts w:asciiTheme="majorHAnsi" w:hAnsiTheme="majorHAnsi" w:cs="Calibri"/>
          <w:bCs w:val="0"/>
          <w:color w:val="000000"/>
          <w:sz w:val="28"/>
          <w:szCs w:val="28"/>
        </w:rPr>
        <w:t>le Produit Intérieur Brut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 enregistrer </w:t>
      </w:r>
      <w:r w:rsidR="00347F4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une 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croissance de </w:t>
      </w:r>
      <w:r w:rsidRPr="00834491">
        <w:rPr>
          <w:rFonts w:asciiTheme="majorHAnsi" w:hAnsiTheme="majorHAnsi" w:cs="Calibri"/>
          <w:bCs w:val="0"/>
          <w:color w:val="000000"/>
          <w:sz w:val="28"/>
          <w:szCs w:val="28"/>
        </w:rPr>
        <w:t>4,4% en 2021 après une ré</w:t>
      </w:r>
      <w:r w:rsidR="00810B8E">
        <w:rPr>
          <w:rFonts w:asciiTheme="majorHAnsi" w:hAnsiTheme="majorHAnsi" w:cs="Calibri"/>
          <w:bCs w:val="0"/>
          <w:color w:val="000000"/>
          <w:sz w:val="28"/>
          <w:szCs w:val="28"/>
        </w:rPr>
        <w:t>gression</w:t>
      </w:r>
      <w:r w:rsidRPr="00834491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de 5,8%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attendue en 2020. En terme nominal, le Produit Intérieur Brut devrait enregistrer une progression de 5,</w:t>
      </w:r>
      <w:r w:rsidR="004F6026">
        <w:rPr>
          <w:rFonts w:asciiTheme="majorHAnsi" w:hAnsiTheme="majorHAnsi" w:cs="Calibri"/>
          <w:b w:val="0"/>
          <w:color w:val="000000"/>
          <w:sz w:val="28"/>
          <w:szCs w:val="28"/>
        </w:rPr>
        <w:t>6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%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en 2021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. Cette évolution fait ressortir une légère hausse de l’inflation, mesurée par l’indice implicite du PIB de 1,2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% en 2021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</w:p>
    <w:p w:rsidR="00B4080B" w:rsidRPr="00B4080B" w:rsidRDefault="00B4080B" w:rsidP="00914FC2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La croissance économique devrait être soutenue en 2021 par la reprise de </w:t>
      </w:r>
      <w:r w:rsidRPr="00B4080B">
        <w:rPr>
          <w:rFonts w:asciiTheme="majorHAnsi" w:hAnsiTheme="majorHAnsi" w:cs="Calibri"/>
          <w:bCs w:val="0"/>
          <w:color w:val="000000"/>
          <w:sz w:val="28"/>
          <w:szCs w:val="28"/>
        </w:rPr>
        <w:t>la demande intérieure</w:t>
      </w:r>
      <w:r w:rsidR="00347F41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</w:t>
      </w:r>
      <w:r w:rsidR="00914FC2"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contribuant pour 4,8 points à la croissance économique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au moment où la contribution de </w:t>
      </w:r>
      <w:r w:rsidRPr="00914FC2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la demande </w:t>
      </w:r>
      <w:r w:rsidRPr="00914FC2">
        <w:rPr>
          <w:rFonts w:asciiTheme="majorHAnsi" w:hAnsiTheme="majorHAnsi" w:cs="Calibri"/>
          <w:bCs w:val="0"/>
          <w:color w:val="000000"/>
          <w:sz w:val="28"/>
          <w:szCs w:val="28"/>
        </w:rPr>
        <w:lastRenderedPageBreak/>
        <w:t xml:space="preserve">extérieure 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devrait rester négative avec -0,4 point en amélioration par rapport à -1,4 point en 2020.</w:t>
      </w:r>
    </w:p>
    <w:p w:rsidR="00B4080B" w:rsidRPr="00D3608F" w:rsidRDefault="00B4080B" w:rsidP="005B29F4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L’évolution </w:t>
      </w:r>
      <w:r w:rsidRPr="003775F5">
        <w:rPr>
          <w:rFonts w:asciiTheme="majorHAnsi" w:hAnsiTheme="majorHAnsi" w:cs="Calibri"/>
          <w:bCs w:val="0"/>
          <w:color w:val="000000"/>
          <w:sz w:val="28"/>
          <w:szCs w:val="28"/>
        </w:rPr>
        <w:t>des finances publiques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en 2021 suppose</w:t>
      </w:r>
      <w:r w:rsidR="003775F5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l’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augmentation des dépenses publiques, </w:t>
      </w:r>
      <w:r w:rsidR="004F6026">
        <w:rPr>
          <w:rFonts w:asciiTheme="majorHAnsi" w:hAnsiTheme="majorHAnsi" w:cs="Calibri"/>
          <w:b w:val="0"/>
          <w:color w:val="000000"/>
          <w:sz w:val="28"/>
          <w:szCs w:val="28"/>
        </w:rPr>
        <w:t>liées aux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mesures nécessaires pour la dynamisation et la relance de l’activité économique qui à son tour devrait entrainer une amélioration des recettes fiscales. Dans ces conditions,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le 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déficit budgétaire </w:t>
      </w:r>
      <w:r w:rsidR="00D3608F"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serait de 5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% du PIB en 2021 au lieu de 7,</w:t>
      </w:r>
      <w:r w:rsidR="005B29F4">
        <w:rPr>
          <w:rFonts w:asciiTheme="majorHAnsi" w:hAnsiTheme="majorHAnsi" w:cs="Calibri"/>
          <w:b w:val="0"/>
          <w:color w:val="000000"/>
          <w:sz w:val="28"/>
          <w:szCs w:val="28"/>
        </w:rPr>
        <w:t>4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% attendu en 2020.  Pour couvrir ce besoin de financement, le Maroc devrait effectuer une nouvelle sor</w:t>
      </w:r>
      <w:r w:rsidR="00D3608F"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tie sur le marché international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. Ainsi, le taux d’endettement du Trésor devrait rester élevé pour atteindre près de 72,3% du PIB. Tenant compte de la dette garantie, la dette publique globale serait po</w:t>
      </w:r>
      <w:r w:rsidR="00D3608F"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r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tée à 89,9% du PIB au lieu de 92% attendu en 2020.  </w:t>
      </w:r>
    </w:p>
    <w:p w:rsidR="00B4080B" w:rsidRPr="00D3608F" w:rsidRDefault="00B4080B" w:rsidP="00D3608F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Les mesures d’assouplissement de la politique monétaire entamées en juin 2020 devraient se transmettre à l’économie nationale à travers leurs impacts sur les taux d’intérêt et sur les anticipations des agents économiques. Ces évolutions associée</w:t>
      </w:r>
      <w:bookmarkStart w:id="31" w:name="_GoBack"/>
      <w:bookmarkEnd w:id="31"/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 aux perspectives de l’amélioration attendue des activités économiques en 2021, devraient stimuler les crédits bancaires, </w:t>
      </w:r>
      <w:r w:rsidR="00D3608F"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et permettraient d’améliorer </w:t>
      </w:r>
      <w:r w:rsidRPr="007D5F19">
        <w:rPr>
          <w:rFonts w:asciiTheme="majorHAnsi" w:hAnsiTheme="majorHAnsi" w:cs="Calibri"/>
          <w:bCs w:val="0"/>
          <w:color w:val="000000"/>
          <w:sz w:val="28"/>
          <w:szCs w:val="28"/>
        </w:rPr>
        <w:t>la masse monétaire de 4,9%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au lieu de 1,6% prévue l’année en cours.</w:t>
      </w:r>
    </w:p>
    <w:p w:rsidR="00970A07" w:rsidRPr="00407B6F" w:rsidRDefault="00B4080B" w:rsidP="00D3608F">
      <w:pPr>
        <w:spacing w:before="240" w:after="120"/>
        <w:ind w:firstLine="709"/>
        <w:jc w:val="both"/>
        <w:rPr>
          <w:rFonts w:asciiTheme="majorHAnsi" w:hAnsiTheme="majorHAnsi"/>
          <w:color w:val="00B050"/>
          <w:sz w:val="28"/>
          <w:szCs w:val="28"/>
        </w:rPr>
      </w:pP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 </w:t>
      </w:r>
      <w:bookmarkEnd w:id="28"/>
      <w:bookmarkEnd w:id="29"/>
      <w:bookmarkEnd w:id="30"/>
    </w:p>
    <w:sectPr w:rsidR="00970A07" w:rsidRPr="00407B6F" w:rsidSect="00700E1F">
      <w:footerReference w:type="even" r:id="rId8"/>
      <w:footerReference w:type="default" r:id="rId9"/>
      <w:headerReference w:type="first" r:id="rId10"/>
      <w:pgSz w:w="11906" w:h="16838" w:code="9"/>
      <w:pgMar w:top="5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2C" w:rsidRDefault="003B792C">
      <w:r>
        <w:separator/>
      </w:r>
    </w:p>
  </w:endnote>
  <w:endnote w:type="continuationSeparator" w:id="0">
    <w:p w:rsidR="003B792C" w:rsidRDefault="003B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520653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84B1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4B11" w:rsidRDefault="00484B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520653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84B1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7A4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84B11" w:rsidRDefault="00484B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2C" w:rsidRDefault="003B792C">
      <w:r>
        <w:separator/>
      </w:r>
    </w:p>
  </w:footnote>
  <w:footnote w:type="continuationSeparator" w:id="0">
    <w:p w:rsidR="003B792C" w:rsidRDefault="003B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520653">
    <w:pPr>
      <w:pStyle w:val="En-tte"/>
    </w:pPr>
    <w:r>
      <w:rPr>
        <w:noProof/>
      </w:rPr>
      <w:pict>
        <v:rect id="_x0000_s2049" style="position:absolute;margin-left:-124.9pt;margin-top:-35.8pt;width:685.25pt;height:405.75pt;z-index:251657728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65607833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518"/>
    <w:multiLevelType w:val="hybridMultilevel"/>
    <w:tmpl w:val="B7B63772"/>
    <w:lvl w:ilvl="0" w:tplc="76E6F0C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143F"/>
    <w:multiLevelType w:val="hybridMultilevel"/>
    <w:tmpl w:val="8CE25D4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B622B61"/>
    <w:multiLevelType w:val="hybridMultilevel"/>
    <w:tmpl w:val="D9CC19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CE7CF9"/>
    <w:multiLevelType w:val="hybridMultilevel"/>
    <w:tmpl w:val="4BAEA0D0"/>
    <w:lvl w:ilvl="0" w:tplc="6A326FB8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EE6382C"/>
    <w:multiLevelType w:val="hybridMultilevel"/>
    <w:tmpl w:val="7AF6D6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61D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B3C"/>
    <w:rsid w:val="00000AD0"/>
    <w:rsid w:val="0000227D"/>
    <w:rsid w:val="00003428"/>
    <w:rsid w:val="000037C6"/>
    <w:rsid w:val="00003817"/>
    <w:rsid w:val="0000386B"/>
    <w:rsid w:val="00003D85"/>
    <w:rsid w:val="00004092"/>
    <w:rsid w:val="00004494"/>
    <w:rsid w:val="0000502A"/>
    <w:rsid w:val="00005A17"/>
    <w:rsid w:val="000070EA"/>
    <w:rsid w:val="00010068"/>
    <w:rsid w:val="00010D0C"/>
    <w:rsid w:val="000111C9"/>
    <w:rsid w:val="000112E3"/>
    <w:rsid w:val="00011C0A"/>
    <w:rsid w:val="000159F8"/>
    <w:rsid w:val="00016BE6"/>
    <w:rsid w:val="00016D3A"/>
    <w:rsid w:val="00017469"/>
    <w:rsid w:val="0001750F"/>
    <w:rsid w:val="0001766B"/>
    <w:rsid w:val="00017F2E"/>
    <w:rsid w:val="00020A6A"/>
    <w:rsid w:val="00021169"/>
    <w:rsid w:val="000213EE"/>
    <w:rsid w:val="00021B64"/>
    <w:rsid w:val="00021E4F"/>
    <w:rsid w:val="00023BAF"/>
    <w:rsid w:val="00023C98"/>
    <w:rsid w:val="00023CD4"/>
    <w:rsid w:val="00023F6B"/>
    <w:rsid w:val="00024347"/>
    <w:rsid w:val="0002444E"/>
    <w:rsid w:val="000247CD"/>
    <w:rsid w:val="00025688"/>
    <w:rsid w:val="00026D66"/>
    <w:rsid w:val="00026EBF"/>
    <w:rsid w:val="00027140"/>
    <w:rsid w:val="00031CF7"/>
    <w:rsid w:val="00032355"/>
    <w:rsid w:val="00032ACC"/>
    <w:rsid w:val="00033504"/>
    <w:rsid w:val="00034F86"/>
    <w:rsid w:val="00036070"/>
    <w:rsid w:val="000363EA"/>
    <w:rsid w:val="0003651F"/>
    <w:rsid w:val="00037CD6"/>
    <w:rsid w:val="0004065F"/>
    <w:rsid w:val="000409A5"/>
    <w:rsid w:val="00040BF0"/>
    <w:rsid w:val="0004118A"/>
    <w:rsid w:val="000423A8"/>
    <w:rsid w:val="0004242B"/>
    <w:rsid w:val="0004263B"/>
    <w:rsid w:val="00043207"/>
    <w:rsid w:val="00043526"/>
    <w:rsid w:val="00043B9A"/>
    <w:rsid w:val="00044373"/>
    <w:rsid w:val="00044433"/>
    <w:rsid w:val="00044B74"/>
    <w:rsid w:val="00044CEB"/>
    <w:rsid w:val="00045358"/>
    <w:rsid w:val="00045453"/>
    <w:rsid w:val="00045E32"/>
    <w:rsid w:val="0004656B"/>
    <w:rsid w:val="00046635"/>
    <w:rsid w:val="00046B52"/>
    <w:rsid w:val="00046E6F"/>
    <w:rsid w:val="000470D4"/>
    <w:rsid w:val="00050BA0"/>
    <w:rsid w:val="00051090"/>
    <w:rsid w:val="00051741"/>
    <w:rsid w:val="00051786"/>
    <w:rsid w:val="00053E04"/>
    <w:rsid w:val="00054110"/>
    <w:rsid w:val="00054712"/>
    <w:rsid w:val="00055212"/>
    <w:rsid w:val="00055216"/>
    <w:rsid w:val="0005539E"/>
    <w:rsid w:val="00056625"/>
    <w:rsid w:val="000577D4"/>
    <w:rsid w:val="00057878"/>
    <w:rsid w:val="00057B80"/>
    <w:rsid w:val="0006078D"/>
    <w:rsid w:val="00061A9A"/>
    <w:rsid w:val="00061E40"/>
    <w:rsid w:val="00062DD0"/>
    <w:rsid w:val="000632C3"/>
    <w:rsid w:val="0006357A"/>
    <w:rsid w:val="00063A16"/>
    <w:rsid w:val="00064198"/>
    <w:rsid w:val="0006446E"/>
    <w:rsid w:val="0006498B"/>
    <w:rsid w:val="00064C5E"/>
    <w:rsid w:val="00065781"/>
    <w:rsid w:val="00065EAB"/>
    <w:rsid w:val="0006634A"/>
    <w:rsid w:val="00066A76"/>
    <w:rsid w:val="00067921"/>
    <w:rsid w:val="00067FEF"/>
    <w:rsid w:val="00070C9B"/>
    <w:rsid w:val="0007171B"/>
    <w:rsid w:val="000722F3"/>
    <w:rsid w:val="00072477"/>
    <w:rsid w:val="00072B93"/>
    <w:rsid w:val="00072C92"/>
    <w:rsid w:val="00072F8A"/>
    <w:rsid w:val="000738B7"/>
    <w:rsid w:val="000740CD"/>
    <w:rsid w:val="000748D5"/>
    <w:rsid w:val="00075300"/>
    <w:rsid w:val="000758CD"/>
    <w:rsid w:val="00075A69"/>
    <w:rsid w:val="000767B9"/>
    <w:rsid w:val="00077C0B"/>
    <w:rsid w:val="0008006E"/>
    <w:rsid w:val="00083760"/>
    <w:rsid w:val="00083E68"/>
    <w:rsid w:val="000841F8"/>
    <w:rsid w:val="00084EFF"/>
    <w:rsid w:val="00085364"/>
    <w:rsid w:val="00086CD4"/>
    <w:rsid w:val="000919B7"/>
    <w:rsid w:val="00092125"/>
    <w:rsid w:val="00093A02"/>
    <w:rsid w:val="00095CBB"/>
    <w:rsid w:val="00096006"/>
    <w:rsid w:val="000966B7"/>
    <w:rsid w:val="0009776C"/>
    <w:rsid w:val="00097BCD"/>
    <w:rsid w:val="000A0648"/>
    <w:rsid w:val="000A0F5B"/>
    <w:rsid w:val="000A18A7"/>
    <w:rsid w:val="000A3141"/>
    <w:rsid w:val="000A3B8E"/>
    <w:rsid w:val="000A3DAF"/>
    <w:rsid w:val="000A4885"/>
    <w:rsid w:val="000A6CC7"/>
    <w:rsid w:val="000A727F"/>
    <w:rsid w:val="000A77C0"/>
    <w:rsid w:val="000B03DB"/>
    <w:rsid w:val="000B051E"/>
    <w:rsid w:val="000B09A8"/>
    <w:rsid w:val="000B0B88"/>
    <w:rsid w:val="000B107D"/>
    <w:rsid w:val="000B1894"/>
    <w:rsid w:val="000B1FD1"/>
    <w:rsid w:val="000B2B85"/>
    <w:rsid w:val="000B3430"/>
    <w:rsid w:val="000B3C75"/>
    <w:rsid w:val="000B4FE5"/>
    <w:rsid w:val="000B56BB"/>
    <w:rsid w:val="000B597C"/>
    <w:rsid w:val="000B5DD7"/>
    <w:rsid w:val="000B5E9A"/>
    <w:rsid w:val="000B62EB"/>
    <w:rsid w:val="000B6D1F"/>
    <w:rsid w:val="000B6DCE"/>
    <w:rsid w:val="000C01D7"/>
    <w:rsid w:val="000C04FA"/>
    <w:rsid w:val="000C1311"/>
    <w:rsid w:val="000C1D1C"/>
    <w:rsid w:val="000C2F9B"/>
    <w:rsid w:val="000C3296"/>
    <w:rsid w:val="000C347A"/>
    <w:rsid w:val="000C37D0"/>
    <w:rsid w:val="000C3B99"/>
    <w:rsid w:val="000C40EE"/>
    <w:rsid w:val="000C492F"/>
    <w:rsid w:val="000C5D51"/>
    <w:rsid w:val="000C6179"/>
    <w:rsid w:val="000C653D"/>
    <w:rsid w:val="000C66E7"/>
    <w:rsid w:val="000C7B29"/>
    <w:rsid w:val="000C7D60"/>
    <w:rsid w:val="000D07FA"/>
    <w:rsid w:val="000D11E7"/>
    <w:rsid w:val="000D1AFC"/>
    <w:rsid w:val="000D1F38"/>
    <w:rsid w:val="000D2A4B"/>
    <w:rsid w:val="000D4109"/>
    <w:rsid w:val="000D44B0"/>
    <w:rsid w:val="000D547E"/>
    <w:rsid w:val="000D54D7"/>
    <w:rsid w:val="000D59CA"/>
    <w:rsid w:val="000D5F53"/>
    <w:rsid w:val="000D6277"/>
    <w:rsid w:val="000D62AA"/>
    <w:rsid w:val="000D721E"/>
    <w:rsid w:val="000D72B3"/>
    <w:rsid w:val="000D7317"/>
    <w:rsid w:val="000D7A0C"/>
    <w:rsid w:val="000D7A77"/>
    <w:rsid w:val="000E0EEA"/>
    <w:rsid w:val="000E23E5"/>
    <w:rsid w:val="000E247F"/>
    <w:rsid w:val="000E39C0"/>
    <w:rsid w:val="000E4B68"/>
    <w:rsid w:val="000E51B0"/>
    <w:rsid w:val="000E59E1"/>
    <w:rsid w:val="000E6847"/>
    <w:rsid w:val="000E6E48"/>
    <w:rsid w:val="000E7BAA"/>
    <w:rsid w:val="000E7C65"/>
    <w:rsid w:val="000E7E2F"/>
    <w:rsid w:val="000E7F93"/>
    <w:rsid w:val="000F0517"/>
    <w:rsid w:val="000F107C"/>
    <w:rsid w:val="000F212F"/>
    <w:rsid w:val="000F2DDF"/>
    <w:rsid w:val="000F34C0"/>
    <w:rsid w:val="000F3EF3"/>
    <w:rsid w:val="000F3F6A"/>
    <w:rsid w:val="000F4384"/>
    <w:rsid w:val="000F48F5"/>
    <w:rsid w:val="000F4A3D"/>
    <w:rsid w:val="000F4F02"/>
    <w:rsid w:val="000F52BF"/>
    <w:rsid w:val="000F53E6"/>
    <w:rsid w:val="000F5585"/>
    <w:rsid w:val="000F56A0"/>
    <w:rsid w:val="000F6F79"/>
    <w:rsid w:val="000F7058"/>
    <w:rsid w:val="0010006F"/>
    <w:rsid w:val="0010162E"/>
    <w:rsid w:val="001025D0"/>
    <w:rsid w:val="0010301E"/>
    <w:rsid w:val="00103CE3"/>
    <w:rsid w:val="00103FAD"/>
    <w:rsid w:val="001042C9"/>
    <w:rsid w:val="00104CAC"/>
    <w:rsid w:val="00105031"/>
    <w:rsid w:val="001065E5"/>
    <w:rsid w:val="00106760"/>
    <w:rsid w:val="00106FD5"/>
    <w:rsid w:val="0011043F"/>
    <w:rsid w:val="00110778"/>
    <w:rsid w:val="00111027"/>
    <w:rsid w:val="00111343"/>
    <w:rsid w:val="0011139A"/>
    <w:rsid w:val="0011197E"/>
    <w:rsid w:val="00111C7F"/>
    <w:rsid w:val="00114668"/>
    <w:rsid w:val="00116EF3"/>
    <w:rsid w:val="00117A45"/>
    <w:rsid w:val="00117B24"/>
    <w:rsid w:val="001211A2"/>
    <w:rsid w:val="001214C2"/>
    <w:rsid w:val="0012172D"/>
    <w:rsid w:val="00121BC3"/>
    <w:rsid w:val="00122C93"/>
    <w:rsid w:val="00123057"/>
    <w:rsid w:val="00123905"/>
    <w:rsid w:val="00124345"/>
    <w:rsid w:val="0012612F"/>
    <w:rsid w:val="0012635A"/>
    <w:rsid w:val="00126654"/>
    <w:rsid w:val="00126806"/>
    <w:rsid w:val="00126A1F"/>
    <w:rsid w:val="00126C67"/>
    <w:rsid w:val="00130ADB"/>
    <w:rsid w:val="00130C6C"/>
    <w:rsid w:val="001319E5"/>
    <w:rsid w:val="00132EE1"/>
    <w:rsid w:val="001345C4"/>
    <w:rsid w:val="001353AF"/>
    <w:rsid w:val="00135536"/>
    <w:rsid w:val="001363C3"/>
    <w:rsid w:val="00136A43"/>
    <w:rsid w:val="00136F2D"/>
    <w:rsid w:val="001374FF"/>
    <w:rsid w:val="00137DEF"/>
    <w:rsid w:val="0014027A"/>
    <w:rsid w:val="0014087B"/>
    <w:rsid w:val="00140B37"/>
    <w:rsid w:val="00141602"/>
    <w:rsid w:val="00141857"/>
    <w:rsid w:val="001418AA"/>
    <w:rsid w:val="001441DF"/>
    <w:rsid w:val="00144539"/>
    <w:rsid w:val="001445B7"/>
    <w:rsid w:val="0014549D"/>
    <w:rsid w:val="00145554"/>
    <w:rsid w:val="00145D3E"/>
    <w:rsid w:val="00145EF7"/>
    <w:rsid w:val="00146D42"/>
    <w:rsid w:val="00147066"/>
    <w:rsid w:val="001500E1"/>
    <w:rsid w:val="00150ADE"/>
    <w:rsid w:val="00150E8C"/>
    <w:rsid w:val="00151627"/>
    <w:rsid w:val="00151764"/>
    <w:rsid w:val="00152280"/>
    <w:rsid w:val="00152550"/>
    <w:rsid w:val="001540B3"/>
    <w:rsid w:val="0015443F"/>
    <w:rsid w:val="00154C50"/>
    <w:rsid w:val="00154FBB"/>
    <w:rsid w:val="00155CB9"/>
    <w:rsid w:val="00156364"/>
    <w:rsid w:val="00157136"/>
    <w:rsid w:val="00157684"/>
    <w:rsid w:val="00160078"/>
    <w:rsid w:val="00160979"/>
    <w:rsid w:val="00161380"/>
    <w:rsid w:val="00161615"/>
    <w:rsid w:val="00162937"/>
    <w:rsid w:val="00163D65"/>
    <w:rsid w:val="00163FA7"/>
    <w:rsid w:val="0016543E"/>
    <w:rsid w:val="001657D6"/>
    <w:rsid w:val="001662F5"/>
    <w:rsid w:val="00166527"/>
    <w:rsid w:val="00166D06"/>
    <w:rsid w:val="00166DFA"/>
    <w:rsid w:val="00167CB6"/>
    <w:rsid w:val="00170A7D"/>
    <w:rsid w:val="00170CD9"/>
    <w:rsid w:val="00170CEB"/>
    <w:rsid w:val="00170D4B"/>
    <w:rsid w:val="00171230"/>
    <w:rsid w:val="001713E8"/>
    <w:rsid w:val="00171C51"/>
    <w:rsid w:val="00172408"/>
    <w:rsid w:val="0017254F"/>
    <w:rsid w:val="00172C11"/>
    <w:rsid w:val="00172D73"/>
    <w:rsid w:val="001735F3"/>
    <w:rsid w:val="00180778"/>
    <w:rsid w:val="00180780"/>
    <w:rsid w:val="00180A4B"/>
    <w:rsid w:val="00182439"/>
    <w:rsid w:val="00183E91"/>
    <w:rsid w:val="001849FC"/>
    <w:rsid w:val="00184F98"/>
    <w:rsid w:val="0018512B"/>
    <w:rsid w:val="00187123"/>
    <w:rsid w:val="001875C0"/>
    <w:rsid w:val="00187ADA"/>
    <w:rsid w:val="00187CE6"/>
    <w:rsid w:val="00190151"/>
    <w:rsid w:val="00190D1D"/>
    <w:rsid w:val="00191D0E"/>
    <w:rsid w:val="00191FFC"/>
    <w:rsid w:val="00192AAC"/>
    <w:rsid w:val="00194971"/>
    <w:rsid w:val="00194996"/>
    <w:rsid w:val="001949CD"/>
    <w:rsid w:val="00196142"/>
    <w:rsid w:val="001966FB"/>
    <w:rsid w:val="001971CE"/>
    <w:rsid w:val="0019774F"/>
    <w:rsid w:val="001A18B0"/>
    <w:rsid w:val="001A4A8B"/>
    <w:rsid w:val="001A5BBB"/>
    <w:rsid w:val="001A5C9F"/>
    <w:rsid w:val="001A5CBB"/>
    <w:rsid w:val="001A723F"/>
    <w:rsid w:val="001B21CA"/>
    <w:rsid w:val="001B306E"/>
    <w:rsid w:val="001B37EF"/>
    <w:rsid w:val="001B541A"/>
    <w:rsid w:val="001B5C4A"/>
    <w:rsid w:val="001B6AD6"/>
    <w:rsid w:val="001B7126"/>
    <w:rsid w:val="001C00A6"/>
    <w:rsid w:val="001C1385"/>
    <w:rsid w:val="001C1487"/>
    <w:rsid w:val="001C1ACB"/>
    <w:rsid w:val="001C1BEC"/>
    <w:rsid w:val="001C3A90"/>
    <w:rsid w:val="001C3C1F"/>
    <w:rsid w:val="001C3D72"/>
    <w:rsid w:val="001C4794"/>
    <w:rsid w:val="001C5820"/>
    <w:rsid w:val="001C5BE5"/>
    <w:rsid w:val="001C6208"/>
    <w:rsid w:val="001C6898"/>
    <w:rsid w:val="001C72CF"/>
    <w:rsid w:val="001D066D"/>
    <w:rsid w:val="001D099D"/>
    <w:rsid w:val="001D15BF"/>
    <w:rsid w:val="001D2068"/>
    <w:rsid w:val="001D250C"/>
    <w:rsid w:val="001D2916"/>
    <w:rsid w:val="001D30A7"/>
    <w:rsid w:val="001D4286"/>
    <w:rsid w:val="001D519C"/>
    <w:rsid w:val="001D531A"/>
    <w:rsid w:val="001D75DE"/>
    <w:rsid w:val="001E0736"/>
    <w:rsid w:val="001E08BF"/>
    <w:rsid w:val="001E0E5C"/>
    <w:rsid w:val="001E1AAB"/>
    <w:rsid w:val="001E1C36"/>
    <w:rsid w:val="001E20E5"/>
    <w:rsid w:val="001E23F9"/>
    <w:rsid w:val="001E2CC4"/>
    <w:rsid w:val="001E3812"/>
    <w:rsid w:val="001E3877"/>
    <w:rsid w:val="001E427D"/>
    <w:rsid w:val="001E4EEB"/>
    <w:rsid w:val="001E550A"/>
    <w:rsid w:val="001E710A"/>
    <w:rsid w:val="001E7A4E"/>
    <w:rsid w:val="001E7C45"/>
    <w:rsid w:val="001F0375"/>
    <w:rsid w:val="001F04A9"/>
    <w:rsid w:val="001F0578"/>
    <w:rsid w:val="001F0E61"/>
    <w:rsid w:val="001F0F93"/>
    <w:rsid w:val="001F1C9D"/>
    <w:rsid w:val="001F2E40"/>
    <w:rsid w:val="001F308F"/>
    <w:rsid w:val="001F3814"/>
    <w:rsid w:val="001F3E80"/>
    <w:rsid w:val="001F4456"/>
    <w:rsid w:val="001F5104"/>
    <w:rsid w:val="001F58E8"/>
    <w:rsid w:val="001F61A6"/>
    <w:rsid w:val="001F68C0"/>
    <w:rsid w:val="002008CC"/>
    <w:rsid w:val="00201A7E"/>
    <w:rsid w:val="00201C43"/>
    <w:rsid w:val="00203D1F"/>
    <w:rsid w:val="00204FE2"/>
    <w:rsid w:val="00205EAE"/>
    <w:rsid w:val="0020660E"/>
    <w:rsid w:val="002067DD"/>
    <w:rsid w:val="00207785"/>
    <w:rsid w:val="002078BE"/>
    <w:rsid w:val="002101C4"/>
    <w:rsid w:val="002106AB"/>
    <w:rsid w:val="00210939"/>
    <w:rsid w:val="002114B5"/>
    <w:rsid w:val="00212AAC"/>
    <w:rsid w:val="00212CEA"/>
    <w:rsid w:val="00214726"/>
    <w:rsid w:val="002155D4"/>
    <w:rsid w:val="002156C7"/>
    <w:rsid w:val="002157CE"/>
    <w:rsid w:val="00215BDE"/>
    <w:rsid w:val="00215E5F"/>
    <w:rsid w:val="002163DE"/>
    <w:rsid w:val="002163FB"/>
    <w:rsid w:val="0021667B"/>
    <w:rsid w:val="002168A4"/>
    <w:rsid w:val="0022029C"/>
    <w:rsid w:val="00220E50"/>
    <w:rsid w:val="00220EC3"/>
    <w:rsid w:val="0022315D"/>
    <w:rsid w:val="002238E0"/>
    <w:rsid w:val="00223CCE"/>
    <w:rsid w:val="00224E73"/>
    <w:rsid w:val="00225671"/>
    <w:rsid w:val="00226A4B"/>
    <w:rsid w:val="00230582"/>
    <w:rsid w:val="0023094A"/>
    <w:rsid w:val="00231AED"/>
    <w:rsid w:val="00233297"/>
    <w:rsid w:val="002333B4"/>
    <w:rsid w:val="0023380B"/>
    <w:rsid w:val="0023382A"/>
    <w:rsid w:val="00234C7D"/>
    <w:rsid w:val="00235223"/>
    <w:rsid w:val="00236929"/>
    <w:rsid w:val="00236EAB"/>
    <w:rsid w:val="00236ED4"/>
    <w:rsid w:val="00240BEA"/>
    <w:rsid w:val="0024148D"/>
    <w:rsid w:val="00241533"/>
    <w:rsid w:val="002423C7"/>
    <w:rsid w:val="0024319F"/>
    <w:rsid w:val="0024326D"/>
    <w:rsid w:val="00243CCA"/>
    <w:rsid w:val="00243DC8"/>
    <w:rsid w:val="002445A0"/>
    <w:rsid w:val="0024469B"/>
    <w:rsid w:val="00245679"/>
    <w:rsid w:val="0024589E"/>
    <w:rsid w:val="00245D05"/>
    <w:rsid w:val="002466F5"/>
    <w:rsid w:val="00246DF8"/>
    <w:rsid w:val="00247971"/>
    <w:rsid w:val="002514E2"/>
    <w:rsid w:val="002523B0"/>
    <w:rsid w:val="00252A76"/>
    <w:rsid w:val="002534C1"/>
    <w:rsid w:val="00253FB8"/>
    <w:rsid w:val="002552AD"/>
    <w:rsid w:val="0025569E"/>
    <w:rsid w:val="002556F1"/>
    <w:rsid w:val="002559D4"/>
    <w:rsid w:val="00255ED0"/>
    <w:rsid w:val="00256336"/>
    <w:rsid w:val="00257A36"/>
    <w:rsid w:val="00257D18"/>
    <w:rsid w:val="00257D19"/>
    <w:rsid w:val="00260190"/>
    <w:rsid w:val="002620B2"/>
    <w:rsid w:val="002621A1"/>
    <w:rsid w:val="0026283D"/>
    <w:rsid w:val="00262A8D"/>
    <w:rsid w:val="00262C22"/>
    <w:rsid w:val="00262E69"/>
    <w:rsid w:val="00263198"/>
    <w:rsid w:val="0026335D"/>
    <w:rsid w:val="002634DA"/>
    <w:rsid w:val="00263541"/>
    <w:rsid w:val="0026367F"/>
    <w:rsid w:val="00263AC6"/>
    <w:rsid w:val="00263E2A"/>
    <w:rsid w:val="002640A9"/>
    <w:rsid w:val="00265432"/>
    <w:rsid w:val="00266390"/>
    <w:rsid w:val="00266D5C"/>
    <w:rsid w:val="00267855"/>
    <w:rsid w:val="002707D6"/>
    <w:rsid w:val="002707FD"/>
    <w:rsid w:val="00272F31"/>
    <w:rsid w:val="002733CE"/>
    <w:rsid w:val="0027436C"/>
    <w:rsid w:val="002745BD"/>
    <w:rsid w:val="0027524D"/>
    <w:rsid w:val="0027527E"/>
    <w:rsid w:val="00275C5C"/>
    <w:rsid w:val="00275E07"/>
    <w:rsid w:val="00276FA0"/>
    <w:rsid w:val="00277BBE"/>
    <w:rsid w:val="00280562"/>
    <w:rsid w:val="00282014"/>
    <w:rsid w:val="00285C58"/>
    <w:rsid w:val="00285D48"/>
    <w:rsid w:val="00290F47"/>
    <w:rsid w:val="002911C9"/>
    <w:rsid w:val="0029166F"/>
    <w:rsid w:val="0029168A"/>
    <w:rsid w:val="00292628"/>
    <w:rsid w:val="00292831"/>
    <w:rsid w:val="002943A8"/>
    <w:rsid w:val="00294774"/>
    <w:rsid w:val="0029489A"/>
    <w:rsid w:val="00294FA0"/>
    <w:rsid w:val="00296310"/>
    <w:rsid w:val="002A1837"/>
    <w:rsid w:val="002A1E9E"/>
    <w:rsid w:val="002A2D59"/>
    <w:rsid w:val="002A3D39"/>
    <w:rsid w:val="002A43BD"/>
    <w:rsid w:val="002A4FFC"/>
    <w:rsid w:val="002A56C9"/>
    <w:rsid w:val="002A5C80"/>
    <w:rsid w:val="002A6A34"/>
    <w:rsid w:val="002A6B98"/>
    <w:rsid w:val="002A6D6D"/>
    <w:rsid w:val="002B03C4"/>
    <w:rsid w:val="002B167D"/>
    <w:rsid w:val="002B1734"/>
    <w:rsid w:val="002B2D63"/>
    <w:rsid w:val="002B30C6"/>
    <w:rsid w:val="002B3750"/>
    <w:rsid w:val="002B4050"/>
    <w:rsid w:val="002B43F2"/>
    <w:rsid w:val="002B47B8"/>
    <w:rsid w:val="002B4C8E"/>
    <w:rsid w:val="002B4FFB"/>
    <w:rsid w:val="002B62FC"/>
    <w:rsid w:val="002B633E"/>
    <w:rsid w:val="002B6DD8"/>
    <w:rsid w:val="002B73E2"/>
    <w:rsid w:val="002B77F1"/>
    <w:rsid w:val="002B7B47"/>
    <w:rsid w:val="002C0AB2"/>
    <w:rsid w:val="002C133E"/>
    <w:rsid w:val="002C1E7C"/>
    <w:rsid w:val="002C2496"/>
    <w:rsid w:val="002C2F9C"/>
    <w:rsid w:val="002C33A8"/>
    <w:rsid w:val="002C3A45"/>
    <w:rsid w:val="002C5203"/>
    <w:rsid w:val="002C5AA1"/>
    <w:rsid w:val="002C6054"/>
    <w:rsid w:val="002C6798"/>
    <w:rsid w:val="002C6A33"/>
    <w:rsid w:val="002C788B"/>
    <w:rsid w:val="002C7FB7"/>
    <w:rsid w:val="002D0130"/>
    <w:rsid w:val="002D0803"/>
    <w:rsid w:val="002D0E42"/>
    <w:rsid w:val="002D0EE7"/>
    <w:rsid w:val="002D1017"/>
    <w:rsid w:val="002D19D2"/>
    <w:rsid w:val="002D1C3A"/>
    <w:rsid w:val="002D31F5"/>
    <w:rsid w:val="002D5A64"/>
    <w:rsid w:val="002D5B34"/>
    <w:rsid w:val="002D611A"/>
    <w:rsid w:val="002D714A"/>
    <w:rsid w:val="002D728D"/>
    <w:rsid w:val="002E07C3"/>
    <w:rsid w:val="002E0E3B"/>
    <w:rsid w:val="002E16BB"/>
    <w:rsid w:val="002E28FA"/>
    <w:rsid w:val="002E2B42"/>
    <w:rsid w:val="002E33A9"/>
    <w:rsid w:val="002E394A"/>
    <w:rsid w:val="002E43C3"/>
    <w:rsid w:val="002E5088"/>
    <w:rsid w:val="002E50C5"/>
    <w:rsid w:val="002E66AC"/>
    <w:rsid w:val="002E66E0"/>
    <w:rsid w:val="002E6A14"/>
    <w:rsid w:val="002E751A"/>
    <w:rsid w:val="002E7C89"/>
    <w:rsid w:val="002F2C9F"/>
    <w:rsid w:val="002F2E87"/>
    <w:rsid w:val="002F35B6"/>
    <w:rsid w:val="002F37FF"/>
    <w:rsid w:val="002F4D9F"/>
    <w:rsid w:val="002F4F46"/>
    <w:rsid w:val="002F522B"/>
    <w:rsid w:val="002F5389"/>
    <w:rsid w:val="002F7402"/>
    <w:rsid w:val="002F7562"/>
    <w:rsid w:val="002F7FBB"/>
    <w:rsid w:val="00301E26"/>
    <w:rsid w:val="003020EC"/>
    <w:rsid w:val="0030211B"/>
    <w:rsid w:val="00302CC9"/>
    <w:rsid w:val="00302FD1"/>
    <w:rsid w:val="003037E3"/>
    <w:rsid w:val="00303FDA"/>
    <w:rsid w:val="00304C93"/>
    <w:rsid w:val="00306A05"/>
    <w:rsid w:val="00306B6C"/>
    <w:rsid w:val="00307068"/>
    <w:rsid w:val="00310061"/>
    <w:rsid w:val="00310962"/>
    <w:rsid w:val="00311243"/>
    <w:rsid w:val="00311B31"/>
    <w:rsid w:val="00312B21"/>
    <w:rsid w:val="00312CFB"/>
    <w:rsid w:val="00313527"/>
    <w:rsid w:val="00313996"/>
    <w:rsid w:val="00313C30"/>
    <w:rsid w:val="00314379"/>
    <w:rsid w:val="003147C1"/>
    <w:rsid w:val="00315D63"/>
    <w:rsid w:val="0031688B"/>
    <w:rsid w:val="003169C9"/>
    <w:rsid w:val="00316A08"/>
    <w:rsid w:val="00316FB7"/>
    <w:rsid w:val="00317E4B"/>
    <w:rsid w:val="0032078B"/>
    <w:rsid w:val="003209B7"/>
    <w:rsid w:val="00321315"/>
    <w:rsid w:val="003213E5"/>
    <w:rsid w:val="0032164F"/>
    <w:rsid w:val="00321692"/>
    <w:rsid w:val="00322165"/>
    <w:rsid w:val="003229BF"/>
    <w:rsid w:val="00322C6F"/>
    <w:rsid w:val="00322FC7"/>
    <w:rsid w:val="003230BC"/>
    <w:rsid w:val="003230E8"/>
    <w:rsid w:val="00324DBA"/>
    <w:rsid w:val="00326071"/>
    <w:rsid w:val="0032663B"/>
    <w:rsid w:val="00327B0F"/>
    <w:rsid w:val="00331598"/>
    <w:rsid w:val="0033201D"/>
    <w:rsid w:val="003320D4"/>
    <w:rsid w:val="00334633"/>
    <w:rsid w:val="00334EDE"/>
    <w:rsid w:val="003365F5"/>
    <w:rsid w:val="003366E0"/>
    <w:rsid w:val="003379D2"/>
    <w:rsid w:val="00337E1B"/>
    <w:rsid w:val="0034002B"/>
    <w:rsid w:val="0034099F"/>
    <w:rsid w:val="003409A2"/>
    <w:rsid w:val="00340DA5"/>
    <w:rsid w:val="00340FF7"/>
    <w:rsid w:val="00341C02"/>
    <w:rsid w:val="0034462C"/>
    <w:rsid w:val="00344683"/>
    <w:rsid w:val="00344FF3"/>
    <w:rsid w:val="003453F6"/>
    <w:rsid w:val="0034623A"/>
    <w:rsid w:val="003468BB"/>
    <w:rsid w:val="0034710F"/>
    <w:rsid w:val="0034755D"/>
    <w:rsid w:val="00347BB1"/>
    <w:rsid w:val="00347D5E"/>
    <w:rsid w:val="00347F41"/>
    <w:rsid w:val="00350BB0"/>
    <w:rsid w:val="00352B10"/>
    <w:rsid w:val="0035311B"/>
    <w:rsid w:val="00353396"/>
    <w:rsid w:val="00353C47"/>
    <w:rsid w:val="003545A9"/>
    <w:rsid w:val="003554CA"/>
    <w:rsid w:val="00355BF8"/>
    <w:rsid w:val="00355C59"/>
    <w:rsid w:val="00356988"/>
    <w:rsid w:val="00357903"/>
    <w:rsid w:val="00357A78"/>
    <w:rsid w:val="00360385"/>
    <w:rsid w:val="00362591"/>
    <w:rsid w:val="003647D1"/>
    <w:rsid w:val="00364AEB"/>
    <w:rsid w:val="00367161"/>
    <w:rsid w:val="003671F2"/>
    <w:rsid w:val="00367474"/>
    <w:rsid w:val="003679B8"/>
    <w:rsid w:val="00367F39"/>
    <w:rsid w:val="00370067"/>
    <w:rsid w:val="00370821"/>
    <w:rsid w:val="00370A6A"/>
    <w:rsid w:val="0037255D"/>
    <w:rsid w:val="00372AF8"/>
    <w:rsid w:val="00374484"/>
    <w:rsid w:val="0037459B"/>
    <w:rsid w:val="00374F90"/>
    <w:rsid w:val="00374FFD"/>
    <w:rsid w:val="0037562C"/>
    <w:rsid w:val="00376104"/>
    <w:rsid w:val="003762B2"/>
    <w:rsid w:val="003775F5"/>
    <w:rsid w:val="00377CF4"/>
    <w:rsid w:val="00380606"/>
    <w:rsid w:val="00380CE7"/>
    <w:rsid w:val="003836C8"/>
    <w:rsid w:val="00383FE9"/>
    <w:rsid w:val="003843F5"/>
    <w:rsid w:val="00385557"/>
    <w:rsid w:val="0038584B"/>
    <w:rsid w:val="00386691"/>
    <w:rsid w:val="003901B4"/>
    <w:rsid w:val="00390D8D"/>
    <w:rsid w:val="00392195"/>
    <w:rsid w:val="00393029"/>
    <w:rsid w:val="00393C7E"/>
    <w:rsid w:val="003940B1"/>
    <w:rsid w:val="00395967"/>
    <w:rsid w:val="00395DD8"/>
    <w:rsid w:val="00397118"/>
    <w:rsid w:val="003A036B"/>
    <w:rsid w:val="003A082B"/>
    <w:rsid w:val="003A12E1"/>
    <w:rsid w:val="003A130A"/>
    <w:rsid w:val="003A1851"/>
    <w:rsid w:val="003A1A34"/>
    <w:rsid w:val="003A1F5D"/>
    <w:rsid w:val="003A2084"/>
    <w:rsid w:val="003A2420"/>
    <w:rsid w:val="003A362B"/>
    <w:rsid w:val="003A3D10"/>
    <w:rsid w:val="003A4211"/>
    <w:rsid w:val="003A4596"/>
    <w:rsid w:val="003A4738"/>
    <w:rsid w:val="003A51E7"/>
    <w:rsid w:val="003A558C"/>
    <w:rsid w:val="003A6DC6"/>
    <w:rsid w:val="003A784E"/>
    <w:rsid w:val="003B07AC"/>
    <w:rsid w:val="003B1240"/>
    <w:rsid w:val="003B259C"/>
    <w:rsid w:val="003B3072"/>
    <w:rsid w:val="003B3083"/>
    <w:rsid w:val="003B3EF4"/>
    <w:rsid w:val="003B5260"/>
    <w:rsid w:val="003B573B"/>
    <w:rsid w:val="003B5A90"/>
    <w:rsid w:val="003B6FC8"/>
    <w:rsid w:val="003B7181"/>
    <w:rsid w:val="003B7402"/>
    <w:rsid w:val="003B7529"/>
    <w:rsid w:val="003B792C"/>
    <w:rsid w:val="003B7B17"/>
    <w:rsid w:val="003C00A6"/>
    <w:rsid w:val="003C0A04"/>
    <w:rsid w:val="003C172B"/>
    <w:rsid w:val="003C1C6E"/>
    <w:rsid w:val="003C1CBB"/>
    <w:rsid w:val="003C1D6F"/>
    <w:rsid w:val="003C26A9"/>
    <w:rsid w:val="003C314B"/>
    <w:rsid w:val="003C458D"/>
    <w:rsid w:val="003C461D"/>
    <w:rsid w:val="003C4982"/>
    <w:rsid w:val="003C4B5D"/>
    <w:rsid w:val="003C4F68"/>
    <w:rsid w:val="003C53F2"/>
    <w:rsid w:val="003C60EF"/>
    <w:rsid w:val="003C669F"/>
    <w:rsid w:val="003C6716"/>
    <w:rsid w:val="003C7A46"/>
    <w:rsid w:val="003D0A43"/>
    <w:rsid w:val="003D0FF9"/>
    <w:rsid w:val="003D2078"/>
    <w:rsid w:val="003D2182"/>
    <w:rsid w:val="003D236F"/>
    <w:rsid w:val="003D304F"/>
    <w:rsid w:val="003D4067"/>
    <w:rsid w:val="003D4726"/>
    <w:rsid w:val="003D4793"/>
    <w:rsid w:val="003D50D7"/>
    <w:rsid w:val="003D541E"/>
    <w:rsid w:val="003D5FB6"/>
    <w:rsid w:val="003D635D"/>
    <w:rsid w:val="003D6C0C"/>
    <w:rsid w:val="003D6F55"/>
    <w:rsid w:val="003D7649"/>
    <w:rsid w:val="003D7FC0"/>
    <w:rsid w:val="003E0999"/>
    <w:rsid w:val="003E1576"/>
    <w:rsid w:val="003E1EBA"/>
    <w:rsid w:val="003E402E"/>
    <w:rsid w:val="003E4601"/>
    <w:rsid w:val="003E48E4"/>
    <w:rsid w:val="003E4EB5"/>
    <w:rsid w:val="003E55F1"/>
    <w:rsid w:val="003E617F"/>
    <w:rsid w:val="003E64F2"/>
    <w:rsid w:val="003E7B3A"/>
    <w:rsid w:val="003F2382"/>
    <w:rsid w:val="003F2EE1"/>
    <w:rsid w:val="003F31EA"/>
    <w:rsid w:val="003F4215"/>
    <w:rsid w:val="003F490A"/>
    <w:rsid w:val="003F567C"/>
    <w:rsid w:val="003F5777"/>
    <w:rsid w:val="003F69B0"/>
    <w:rsid w:val="003F6A69"/>
    <w:rsid w:val="003F6AE1"/>
    <w:rsid w:val="003F7600"/>
    <w:rsid w:val="00400663"/>
    <w:rsid w:val="004021CB"/>
    <w:rsid w:val="004024AF"/>
    <w:rsid w:val="0040310D"/>
    <w:rsid w:val="00405174"/>
    <w:rsid w:val="004054EB"/>
    <w:rsid w:val="00406AA6"/>
    <w:rsid w:val="00406FA2"/>
    <w:rsid w:val="00407B6F"/>
    <w:rsid w:val="0041034C"/>
    <w:rsid w:val="00410671"/>
    <w:rsid w:val="004115DD"/>
    <w:rsid w:val="0041221D"/>
    <w:rsid w:val="00412BFD"/>
    <w:rsid w:val="004133EC"/>
    <w:rsid w:val="004135E0"/>
    <w:rsid w:val="00413CA0"/>
    <w:rsid w:val="00413D5B"/>
    <w:rsid w:val="00414BEC"/>
    <w:rsid w:val="0041510C"/>
    <w:rsid w:val="004159E7"/>
    <w:rsid w:val="00416445"/>
    <w:rsid w:val="00416721"/>
    <w:rsid w:val="004169AD"/>
    <w:rsid w:val="00417BF0"/>
    <w:rsid w:val="00417FF1"/>
    <w:rsid w:val="00420964"/>
    <w:rsid w:val="004211EA"/>
    <w:rsid w:val="00421249"/>
    <w:rsid w:val="00421CAC"/>
    <w:rsid w:val="004226D7"/>
    <w:rsid w:val="0042317E"/>
    <w:rsid w:val="00424045"/>
    <w:rsid w:val="00424815"/>
    <w:rsid w:val="00426653"/>
    <w:rsid w:val="004304C4"/>
    <w:rsid w:val="004305BF"/>
    <w:rsid w:val="00430E42"/>
    <w:rsid w:val="0043173A"/>
    <w:rsid w:val="00432015"/>
    <w:rsid w:val="0043234A"/>
    <w:rsid w:val="0043325C"/>
    <w:rsid w:val="00433647"/>
    <w:rsid w:val="00433AE8"/>
    <w:rsid w:val="00433E9C"/>
    <w:rsid w:val="00434F76"/>
    <w:rsid w:val="00435EE4"/>
    <w:rsid w:val="004365A8"/>
    <w:rsid w:val="00436FC0"/>
    <w:rsid w:val="00437359"/>
    <w:rsid w:val="004402D5"/>
    <w:rsid w:val="00440C0F"/>
    <w:rsid w:val="0044100B"/>
    <w:rsid w:val="004419B1"/>
    <w:rsid w:val="00441A62"/>
    <w:rsid w:val="004422E1"/>
    <w:rsid w:val="004430AF"/>
    <w:rsid w:val="00443553"/>
    <w:rsid w:val="00443B85"/>
    <w:rsid w:val="00444079"/>
    <w:rsid w:val="004441EC"/>
    <w:rsid w:val="00444577"/>
    <w:rsid w:val="00445F43"/>
    <w:rsid w:val="004465E0"/>
    <w:rsid w:val="004468DF"/>
    <w:rsid w:val="00446B8E"/>
    <w:rsid w:val="00446DF1"/>
    <w:rsid w:val="00447C78"/>
    <w:rsid w:val="00450351"/>
    <w:rsid w:val="00451465"/>
    <w:rsid w:val="0045179D"/>
    <w:rsid w:val="004517ED"/>
    <w:rsid w:val="00451AD6"/>
    <w:rsid w:val="0045394E"/>
    <w:rsid w:val="00453975"/>
    <w:rsid w:val="00453A5B"/>
    <w:rsid w:val="00453F34"/>
    <w:rsid w:val="0045567A"/>
    <w:rsid w:val="00455A82"/>
    <w:rsid w:val="00455B78"/>
    <w:rsid w:val="0045753D"/>
    <w:rsid w:val="0045776A"/>
    <w:rsid w:val="00461F4A"/>
    <w:rsid w:val="00463AB4"/>
    <w:rsid w:val="00464249"/>
    <w:rsid w:val="0046581B"/>
    <w:rsid w:val="00465BEB"/>
    <w:rsid w:val="004678C1"/>
    <w:rsid w:val="00470146"/>
    <w:rsid w:val="00470E30"/>
    <w:rsid w:val="00471265"/>
    <w:rsid w:val="0047141A"/>
    <w:rsid w:val="004715EF"/>
    <w:rsid w:val="004718DE"/>
    <w:rsid w:val="00471B41"/>
    <w:rsid w:val="004722ED"/>
    <w:rsid w:val="00473DC9"/>
    <w:rsid w:val="0047485B"/>
    <w:rsid w:val="00475AE0"/>
    <w:rsid w:val="00475E34"/>
    <w:rsid w:val="004767D4"/>
    <w:rsid w:val="00476C6E"/>
    <w:rsid w:val="00476FB8"/>
    <w:rsid w:val="004805C3"/>
    <w:rsid w:val="004815B9"/>
    <w:rsid w:val="00481975"/>
    <w:rsid w:val="00481D16"/>
    <w:rsid w:val="004821F2"/>
    <w:rsid w:val="00484A63"/>
    <w:rsid w:val="00484B11"/>
    <w:rsid w:val="00485721"/>
    <w:rsid w:val="00486CB6"/>
    <w:rsid w:val="00491B05"/>
    <w:rsid w:val="00492080"/>
    <w:rsid w:val="00493474"/>
    <w:rsid w:val="004935D4"/>
    <w:rsid w:val="00493A8F"/>
    <w:rsid w:val="00493B60"/>
    <w:rsid w:val="00493DFC"/>
    <w:rsid w:val="004948CD"/>
    <w:rsid w:val="00494983"/>
    <w:rsid w:val="00494DB3"/>
    <w:rsid w:val="00494F1C"/>
    <w:rsid w:val="004955D6"/>
    <w:rsid w:val="0049574F"/>
    <w:rsid w:val="00497B7B"/>
    <w:rsid w:val="00497BE1"/>
    <w:rsid w:val="00497CDD"/>
    <w:rsid w:val="004A053F"/>
    <w:rsid w:val="004A064B"/>
    <w:rsid w:val="004A0C05"/>
    <w:rsid w:val="004A0C5E"/>
    <w:rsid w:val="004A1024"/>
    <w:rsid w:val="004A1497"/>
    <w:rsid w:val="004A1CB4"/>
    <w:rsid w:val="004A2CB5"/>
    <w:rsid w:val="004A2D62"/>
    <w:rsid w:val="004A2FD7"/>
    <w:rsid w:val="004A33EA"/>
    <w:rsid w:val="004A3BF6"/>
    <w:rsid w:val="004A515A"/>
    <w:rsid w:val="004A59FE"/>
    <w:rsid w:val="004A5A26"/>
    <w:rsid w:val="004A5D7B"/>
    <w:rsid w:val="004A6D23"/>
    <w:rsid w:val="004A7531"/>
    <w:rsid w:val="004B0248"/>
    <w:rsid w:val="004B0828"/>
    <w:rsid w:val="004B115B"/>
    <w:rsid w:val="004B192C"/>
    <w:rsid w:val="004B2696"/>
    <w:rsid w:val="004B30AA"/>
    <w:rsid w:val="004B375A"/>
    <w:rsid w:val="004B3DA1"/>
    <w:rsid w:val="004B40EB"/>
    <w:rsid w:val="004B4A02"/>
    <w:rsid w:val="004B4E71"/>
    <w:rsid w:val="004B4EA6"/>
    <w:rsid w:val="004B4F5A"/>
    <w:rsid w:val="004B4FD1"/>
    <w:rsid w:val="004B558B"/>
    <w:rsid w:val="004B6C7A"/>
    <w:rsid w:val="004B7FDF"/>
    <w:rsid w:val="004C092A"/>
    <w:rsid w:val="004C0B1A"/>
    <w:rsid w:val="004C3412"/>
    <w:rsid w:val="004C38F8"/>
    <w:rsid w:val="004C3EC7"/>
    <w:rsid w:val="004C40EF"/>
    <w:rsid w:val="004C43CC"/>
    <w:rsid w:val="004C659C"/>
    <w:rsid w:val="004C69CD"/>
    <w:rsid w:val="004C6F56"/>
    <w:rsid w:val="004D0722"/>
    <w:rsid w:val="004D1319"/>
    <w:rsid w:val="004D1322"/>
    <w:rsid w:val="004D13E1"/>
    <w:rsid w:val="004D1C00"/>
    <w:rsid w:val="004D4206"/>
    <w:rsid w:val="004D4552"/>
    <w:rsid w:val="004D5149"/>
    <w:rsid w:val="004D5D54"/>
    <w:rsid w:val="004D6142"/>
    <w:rsid w:val="004D6351"/>
    <w:rsid w:val="004D6FDC"/>
    <w:rsid w:val="004E0B4A"/>
    <w:rsid w:val="004E0B52"/>
    <w:rsid w:val="004E118B"/>
    <w:rsid w:val="004E14F9"/>
    <w:rsid w:val="004E1EBB"/>
    <w:rsid w:val="004E2AE5"/>
    <w:rsid w:val="004E3AEC"/>
    <w:rsid w:val="004E44FC"/>
    <w:rsid w:val="004E573C"/>
    <w:rsid w:val="004E58D6"/>
    <w:rsid w:val="004E665E"/>
    <w:rsid w:val="004E66E1"/>
    <w:rsid w:val="004E7481"/>
    <w:rsid w:val="004E76B1"/>
    <w:rsid w:val="004E79FD"/>
    <w:rsid w:val="004E7AAE"/>
    <w:rsid w:val="004F0B2A"/>
    <w:rsid w:val="004F2BB8"/>
    <w:rsid w:val="004F35CD"/>
    <w:rsid w:val="004F47E2"/>
    <w:rsid w:val="004F533C"/>
    <w:rsid w:val="004F6026"/>
    <w:rsid w:val="004F609A"/>
    <w:rsid w:val="004F6D22"/>
    <w:rsid w:val="00500117"/>
    <w:rsid w:val="005009AD"/>
    <w:rsid w:val="005033C0"/>
    <w:rsid w:val="0050377F"/>
    <w:rsid w:val="005049EB"/>
    <w:rsid w:val="0050572E"/>
    <w:rsid w:val="005059BC"/>
    <w:rsid w:val="00505EDA"/>
    <w:rsid w:val="005103FD"/>
    <w:rsid w:val="005108C0"/>
    <w:rsid w:val="00510B7A"/>
    <w:rsid w:val="00510C35"/>
    <w:rsid w:val="00511C19"/>
    <w:rsid w:val="00511CDE"/>
    <w:rsid w:val="00511E80"/>
    <w:rsid w:val="0051315A"/>
    <w:rsid w:val="0051320C"/>
    <w:rsid w:val="005140F8"/>
    <w:rsid w:val="005146C5"/>
    <w:rsid w:val="00514C25"/>
    <w:rsid w:val="00514C46"/>
    <w:rsid w:val="00514DE5"/>
    <w:rsid w:val="005154EC"/>
    <w:rsid w:val="00515545"/>
    <w:rsid w:val="00515CC4"/>
    <w:rsid w:val="00517146"/>
    <w:rsid w:val="0052017D"/>
    <w:rsid w:val="005203A3"/>
    <w:rsid w:val="00520545"/>
    <w:rsid w:val="00520653"/>
    <w:rsid w:val="00520C29"/>
    <w:rsid w:val="005223ED"/>
    <w:rsid w:val="005230A8"/>
    <w:rsid w:val="005256D2"/>
    <w:rsid w:val="00526207"/>
    <w:rsid w:val="005267E0"/>
    <w:rsid w:val="005270EF"/>
    <w:rsid w:val="00530C82"/>
    <w:rsid w:val="00531CDA"/>
    <w:rsid w:val="00532733"/>
    <w:rsid w:val="00532FDE"/>
    <w:rsid w:val="00533229"/>
    <w:rsid w:val="00533266"/>
    <w:rsid w:val="00533BDC"/>
    <w:rsid w:val="00534561"/>
    <w:rsid w:val="00534CAE"/>
    <w:rsid w:val="00534D94"/>
    <w:rsid w:val="005350A3"/>
    <w:rsid w:val="005356E8"/>
    <w:rsid w:val="00535CE6"/>
    <w:rsid w:val="00536259"/>
    <w:rsid w:val="00537185"/>
    <w:rsid w:val="0053772A"/>
    <w:rsid w:val="00537A2D"/>
    <w:rsid w:val="00541B77"/>
    <w:rsid w:val="0054272F"/>
    <w:rsid w:val="0054451C"/>
    <w:rsid w:val="00544FCD"/>
    <w:rsid w:val="0054568F"/>
    <w:rsid w:val="00546176"/>
    <w:rsid w:val="00546BD4"/>
    <w:rsid w:val="005501EA"/>
    <w:rsid w:val="00551CA9"/>
    <w:rsid w:val="00551D85"/>
    <w:rsid w:val="00551E04"/>
    <w:rsid w:val="00552793"/>
    <w:rsid w:val="00552B65"/>
    <w:rsid w:val="0055480A"/>
    <w:rsid w:val="00554F29"/>
    <w:rsid w:val="005562C4"/>
    <w:rsid w:val="0055679C"/>
    <w:rsid w:val="00561855"/>
    <w:rsid w:val="00561A4A"/>
    <w:rsid w:val="00562724"/>
    <w:rsid w:val="005628A2"/>
    <w:rsid w:val="00563162"/>
    <w:rsid w:val="0056322F"/>
    <w:rsid w:val="00565649"/>
    <w:rsid w:val="00565B59"/>
    <w:rsid w:val="00565CC2"/>
    <w:rsid w:val="005661A6"/>
    <w:rsid w:val="0056695C"/>
    <w:rsid w:val="0056762E"/>
    <w:rsid w:val="00567DB7"/>
    <w:rsid w:val="005700A0"/>
    <w:rsid w:val="00572264"/>
    <w:rsid w:val="005722DD"/>
    <w:rsid w:val="00572ACE"/>
    <w:rsid w:val="005738A7"/>
    <w:rsid w:val="005744AC"/>
    <w:rsid w:val="005747A1"/>
    <w:rsid w:val="00575527"/>
    <w:rsid w:val="0057607A"/>
    <w:rsid w:val="005827E9"/>
    <w:rsid w:val="0058351E"/>
    <w:rsid w:val="00583AB6"/>
    <w:rsid w:val="0058472F"/>
    <w:rsid w:val="00585050"/>
    <w:rsid w:val="0058534B"/>
    <w:rsid w:val="00585F8C"/>
    <w:rsid w:val="00587B6B"/>
    <w:rsid w:val="00590299"/>
    <w:rsid w:val="00591827"/>
    <w:rsid w:val="0059190E"/>
    <w:rsid w:val="005926F1"/>
    <w:rsid w:val="00592FC6"/>
    <w:rsid w:val="00593C35"/>
    <w:rsid w:val="0059458F"/>
    <w:rsid w:val="00594707"/>
    <w:rsid w:val="0059492C"/>
    <w:rsid w:val="005950C2"/>
    <w:rsid w:val="005962C0"/>
    <w:rsid w:val="0059635E"/>
    <w:rsid w:val="00596719"/>
    <w:rsid w:val="0059742F"/>
    <w:rsid w:val="00597483"/>
    <w:rsid w:val="0059773B"/>
    <w:rsid w:val="005A11A1"/>
    <w:rsid w:val="005A1776"/>
    <w:rsid w:val="005A19DE"/>
    <w:rsid w:val="005A19E2"/>
    <w:rsid w:val="005A2759"/>
    <w:rsid w:val="005A342B"/>
    <w:rsid w:val="005A3A80"/>
    <w:rsid w:val="005A3EA4"/>
    <w:rsid w:val="005A4314"/>
    <w:rsid w:val="005A500A"/>
    <w:rsid w:val="005A5750"/>
    <w:rsid w:val="005A5C19"/>
    <w:rsid w:val="005A5CF6"/>
    <w:rsid w:val="005A5EB5"/>
    <w:rsid w:val="005A601E"/>
    <w:rsid w:val="005A6353"/>
    <w:rsid w:val="005A63BD"/>
    <w:rsid w:val="005A6C97"/>
    <w:rsid w:val="005A6E4D"/>
    <w:rsid w:val="005A71E1"/>
    <w:rsid w:val="005A7CD5"/>
    <w:rsid w:val="005B0B57"/>
    <w:rsid w:val="005B19E7"/>
    <w:rsid w:val="005B1A97"/>
    <w:rsid w:val="005B29F4"/>
    <w:rsid w:val="005B2BE0"/>
    <w:rsid w:val="005B2C81"/>
    <w:rsid w:val="005B2FB4"/>
    <w:rsid w:val="005B3051"/>
    <w:rsid w:val="005B3B7E"/>
    <w:rsid w:val="005B4530"/>
    <w:rsid w:val="005B4C66"/>
    <w:rsid w:val="005B4D2C"/>
    <w:rsid w:val="005B5F3E"/>
    <w:rsid w:val="005B60AF"/>
    <w:rsid w:val="005C01C0"/>
    <w:rsid w:val="005C043A"/>
    <w:rsid w:val="005C0C00"/>
    <w:rsid w:val="005C0C0C"/>
    <w:rsid w:val="005C1191"/>
    <w:rsid w:val="005C16B0"/>
    <w:rsid w:val="005C179C"/>
    <w:rsid w:val="005C291E"/>
    <w:rsid w:val="005C2E17"/>
    <w:rsid w:val="005C31C5"/>
    <w:rsid w:val="005C3539"/>
    <w:rsid w:val="005C39AD"/>
    <w:rsid w:val="005C3BFD"/>
    <w:rsid w:val="005C42B0"/>
    <w:rsid w:val="005C4821"/>
    <w:rsid w:val="005C4E62"/>
    <w:rsid w:val="005C5506"/>
    <w:rsid w:val="005C5733"/>
    <w:rsid w:val="005C6354"/>
    <w:rsid w:val="005C6762"/>
    <w:rsid w:val="005C6EB6"/>
    <w:rsid w:val="005C6F87"/>
    <w:rsid w:val="005C7D15"/>
    <w:rsid w:val="005D09F4"/>
    <w:rsid w:val="005D14BE"/>
    <w:rsid w:val="005D25DA"/>
    <w:rsid w:val="005D3E1C"/>
    <w:rsid w:val="005D4060"/>
    <w:rsid w:val="005D43A2"/>
    <w:rsid w:val="005D4A3C"/>
    <w:rsid w:val="005D59BA"/>
    <w:rsid w:val="005D6D98"/>
    <w:rsid w:val="005D6E67"/>
    <w:rsid w:val="005D7E17"/>
    <w:rsid w:val="005E0512"/>
    <w:rsid w:val="005E12CA"/>
    <w:rsid w:val="005E2482"/>
    <w:rsid w:val="005E283E"/>
    <w:rsid w:val="005E3473"/>
    <w:rsid w:val="005E47B3"/>
    <w:rsid w:val="005E5A7F"/>
    <w:rsid w:val="005E6F98"/>
    <w:rsid w:val="005E6FA6"/>
    <w:rsid w:val="005F0A3A"/>
    <w:rsid w:val="005F1A34"/>
    <w:rsid w:val="005F3044"/>
    <w:rsid w:val="005F5223"/>
    <w:rsid w:val="005F5A97"/>
    <w:rsid w:val="005F60EA"/>
    <w:rsid w:val="005F6E28"/>
    <w:rsid w:val="005F7193"/>
    <w:rsid w:val="005F73D1"/>
    <w:rsid w:val="006004A5"/>
    <w:rsid w:val="00601033"/>
    <w:rsid w:val="00601499"/>
    <w:rsid w:val="0060160D"/>
    <w:rsid w:val="00601F80"/>
    <w:rsid w:val="0060368D"/>
    <w:rsid w:val="006049DB"/>
    <w:rsid w:val="00605B3C"/>
    <w:rsid w:val="00605D34"/>
    <w:rsid w:val="006109B1"/>
    <w:rsid w:val="00610F0E"/>
    <w:rsid w:val="00611140"/>
    <w:rsid w:val="006118E2"/>
    <w:rsid w:val="006125F0"/>
    <w:rsid w:val="00612BD4"/>
    <w:rsid w:val="006130E9"/>
    <w:rsid w:val="006132AD"/>
    <w:rsid w:val="006137CA"/>
    <w:rsid w:val="00613AF4"/>
    <w:rsid w:val="00616147"/>
    <w:rsid w:val="00616254"/>
    <w:rsid w:val="006164DD"/>
    <w:rsid w:val="006200B1"/>
    <w:rsid w:val="0062039D"/>
    <w:rsid w:val="00620C56"/>
    <w:rsid w:val="00620DB4"/>
    <w:rsid w:val="00620F8F"/>
    <w:rsid w:val="006230F1"/>
    <w:rsid w:val="00623BA3"/>
    <w:rsid w:val="00623C48"/>
    <w:rsid w:val="0062555E"/>
    <w:rsid w:val="00625996"/>
    <w:rsid w:val="00626113"/>
    <w:rsid w:val="006268EF"/>
    <w:rsid w:val="00626F83"/>
    <w:rsid w:val="00627CD4"/>
    <w:rsid w:val="00630DF9"/>
    <w:rsid w:val="00631125"/>
    <w:rsid w:val="006318BB"/>
    <w:rsid w:val="006330A9"/>
    <w:rsid w:val="0063419E"/>
    <w:rsid w:val="006343BD"/>
    <w:rsid w:val="00634B4A"/>
    <w:rsid w:val="0063589A"/>
    <w:rsid w:val="00635F6B"/>
    <w:rsid w:val="00636154"/>
    <w:rsid w:val="0063629A"/>
    <w:rsid w:val="0063677B"/>
    <w:rsid w:val="006367E6"/>
    <w:rsid w:val="006367F5"/>
    <w:rsid w:val="00636A08"/>
    <w:rsid w:val="0063758C"/>
    <w:rsid w:val="00641359"/>
    <w:rsid w:val="00641BB5"/>
    <w:rsid w:val="00641FD2"/>
    <w:rsid w:val="00643DA3"/>
    <w:rsid w:val="006445A0"/>
    <w:rsid w:val="00644796"/>
    <w:rsid w:val="00644979"/>
    <w:rsid w:val="00645532"/>
    <w:rsid w:val="00647E55"/>
    <w:rsid w:val="00651116"/>
    <w:rsid w:val="00652624"/>
    <w:rsid w:val="00653026"/>
    <w:rsid w:val="006531EE"/>
    <w:rsid w:val="00653AFB"/>
    <w:rsid w:val="0065408F"/>
    <w:rsid w:val="00654AB0"/>
    <w:rsid w:val="00655008"/>
    <w:rsid w:val="00655621"/>
    <w:rsid w:val="00657526"/>
    <w:rsid w:val="00657881"/>
    <w:rsid w:val="00660025"/>
    <w:rsid w:val="00661C9D"/>
    <w:rsid w:val="00662106"/>
    <w:rsid w:val="00662354"/>
    <w:rsid w:val="006623BF"/>
    <w:rsid w:val="0066280D"/>
    <w:rsid w:val="00663325"/>
    <w:rsid w:val="0066360E"/>
    <w:rsid w:val="0066366E"/>
    <w:rsid w:val="0066405A"/>
    <w:rsid w:val="006641DA"/>
    <w:rsid w:val="006641EA"/>
    <w:rsid w:val="00664694"/>
    <w:rsid w:val="00665E90"/>
    <w:rsid w:val="00666146"/>
    <w:rsid w:val="00671B90"/>
    <w:rsid w:val="00671CC2"/>
    <w:rsid w:val="00672438"/>
    <w:rsid w:val="0067259A"/>
    <w:rsid w:val="00674993"/>
    <w:rsid w:val="006755C4"/>
    <w:rsid w:val="00675B09"/>
    <w:rsid w:val="00675D52"/>
    <w:rsid w:val="00675E6C"/>
    <w:rsid w:val="006762DD"/>
    <w:rsid w:val="006766A9"/>
    <w:rsid w:val="00676FD2"/>
    <w:rsid w:val="006773E3"/>
    <w:rsid w:val="006774EB"/>
    <w:rsid w:val="0068064D"/>
    <w:rsid w:val="00682219"/>
    <w:rsid w:val="00683604"/>
    <w:rsid w:val="00683D9E"/>
    <w:rsid w:val="00684328"/>
    <w:rsid w:val="00685BD3"/>
    <w:rsid w:val="006869DF"/>
    <w:rsid w:val="00686A0B"/>
    <w:rsid w:val="00686E07"/>
    <w:rsid w:val="00687A10"/>
    <w:rsid w:val="00687A1C"/>
    <w:rsid w:val="00690016"/>
    <w:rsid w:val="006906A4"/>
    <w:rsid w:val="00690AA1"/>
    <w:rsid w:val="00690CDC"/>
    <w:rsid w:val="00691891"/>
    <w:rsid w:val="006918F6"/>
    <w:rsid w:val="00691B1D"/>
    <w:rsid w:val="00691CE8"/>
    <w:rsid w:val="00691E03"/>
    <w:rsid w:val="00691F6C"/>
    <w:rsid w:val="00692011"/>
    <w:rsid w:val="00693B5E"/>
    <w:rsid w:val="00693FC5"/>
    <w:rsid w:val="0069407B"/>
    <w:rsid w:val="0069581C"/>
    <w:rsid w:val="00695835"/>
    <w:rsid w:val="0069699D"/>
    <w:rsid w:val="006A0160"/>
    <w:rsid w:val="006A0CBD"/>
    <w:rsid w:val="006A1255"/>
    <w:rsid w:val="006A3A39"/>
    <w:rsid w:val="006A6EEE"/>
    <w:rsid w:val="006A79B7"/>
    <w:rsid w:val="006B05B1"/>
    <w:rsid w:val="006B080D"/>
    <w:rsid w:val="006B0F37"/>
    <w:rsid w:val="006B1B52"/>
    <w:rsid w:val="006B3067"/>
    <w:rsid w:val="006B415B"/>
    <w:rsid w:val="006B4252"/>
    <w:rsid w:val="006B469E"/>
    <w:rsid w:val="006B6E40"/>
    <w:rsid w:val="006C0152"/>
    <w:rsid w:val="006C07CF"/>
    <w:rsid w:val="006C17FE"/>
    <w:rsid w:val="006C4112"/>
    <w:rsid w:val="006C48F6"/>
    <w:rsid w:val="006C4A6B"/>
    <w:rsid w:val="006C562B"/>
    <w:rsid w:val="006C56F9"/>
    <w:rsid w:val="006C5AF2"/>
    <w:rsid w:val="006C61CA"/>
    <w:rsid w:val="006C71B9"/>
    <w:rsid w:val="006D00E0"/>
    <w:rsid w:val="006D017C"/>
    <w:rsid w:val="006D0CAE"/>
    <w:rsid w:val="006D0E10"/>
    <w:rsid w:val="006D1AEA"/>
    <w:rsid w:val="006D1B71"/>
    <w:rsid w:val="006D1BA7"/>
    <w:rsid w:val="006D1E9C"/>
    <w:rsid w:val="006D24C9"/>
    <w:rsid w:val="006D37EE"/>
    <w:rsid w:val="006D4775"/>
    <w:rsid w:val="006D54E4"/>
    <w:rsid w:val="006D663A"/>
    <w:rsid w:val="006D68D5"/>
    <w:rsid w:val="006D70A5"/>
    <w:rsid w:val="006D7670"/>
    <w:rsid w:val="006E0395"/>
    <w:rsid w:val="006E0454"/>
    <w:rsid w:val="006E137B"/>
    <w:rsid w:val="006E177F"/>
    <w:rsid w:val="006E1C94"/>
    <w:rsid w:val="006E1F25"/>
    <w:rsid w:val="006E36C7"/>
    <w:rsid w:val="006E4266"/>
    <w:rsid w:val="006E48A4"/>
    <w:rsid w:val="006E5E76"/>
    <w:rsid w:val="006E633F"/>
    <w:rsid w:val="006E65A0"/>
    <w:rsid w:val="006E7756"/>
    <w:rsid w:val="006F0431"/>
    <w:rsid w:val="006F0610"/>
    <w:rsid w:val="006F094F"/>
    <w:rsid w:val="006F2B73"/>
    <w:rsid w:val="006F358C"/>
    <w:rsid w:val="006F45D8"/>
    <w:rsid w:val="006F4BFA"/>
    <w:rsid w:val="006F5D87"/>
    <w:rsid w:val="006F5F27"/>
    <w:rsid w:val="006F7223"/>
    <w:rsid w:val="006F74DA"/>
    <w:rsid w:val="006F78E9"/>
    <w:rsid w:val="006F7A66"/>
    <w:rsid w:val="006F7D96"/>
    <w:rsid w:val="00700913"/>
    <w:rsid w:val="00700E1F"/>
    <w:rsid w:val="00701B64"/>
    <w:rsid w:val="00702E4F"/>
    <w:rsid w:val="0070504A"/>
    <w:rsid w:val="0070519B"/>
    <w:rsid w:val="0070670C"/>
    <w:rsid w:val="00707102"/>
    <w:rsid w:val="00707175"/>
    <w:rsid w:val="007074D2"/>
    <w:rsid w:val="007100D0"/>
    <w:rsid w:val="00710A57"/>
    <w:rsid w:val="00710DA5"/>
    <w:rsid w:val="00711F09"/>
    <w:rsid w:val="00713CE3"/>
    <w:rsid w:val="00713DB6"/>
    <w:rsid w:val="007151FD"/>
    <w:rsid w:val="00716DA5"/>
    <w:rsid w:val="007173AE"/>
    <w:rsid w:val="0071792B"/>
    <w:rsid w:val="00717C81"/>
    <w:rsid w:val="00720330"/>
    <w:rsid w:val="00720F1B"/>
    <w:rsid w:val="00720FB1"/>
    <w:rsid w:val="00721295"/>
    <w:rsid w:val="00722238"/>
    <w:rsid w:val="00724C32"/>
    <w:rsid w:val="007250CB"/>
    <w:rsid w:val="00726B5D"/>
    <w:rsid w:val="007274A8"/>
    <w:rsid w:val="0072761B"/>
    <w:rsid w:val="00727D04"/>
    <w:rsid w:val="007315ED"/>
    <w:rsid w:val="00732F11"/>
    <w:rsid w:val="00732F25"/>
    <w:rsid w:val="00733498"/>
    <w:rsid w:val="0073425D"/>
    <w:rsid w:val="007343D9"/>
    <w:rsid w:val="00734475"/>
    <w:rsid w:val="00736C51"/>
    <w:rsid w:val="0073725C"/>
    <w:rsid w:val="00737447"/>
    <w:rsid w:val="007375E2"/>
    <w:rsid w:val="007375FD"/>
    <w:rsid w:val="00737CF7"/>
    <w:rsid w:val="00737D9B"/>
    <w:rsid w:val="0074037F"/>
    <w:rsid w:val="00741359"/>
    <w:rsid w:val="00741BA8"/>
    <w:rsid w:val="007429BC"/>
    <w:rsid w:val="00742CFE"/>
    <w:rsid w:val="00743067"/>
    <w:rsid w:val="0074358E"/>
    <w:rsid w:val="00743C90"/>
    <w:rsid w:val="00744DEA"/>
    <w:rsid w:val="007451C5"/>
    <w:rsid w:val="00745843"/>
    <w:rsid w:val="00745CC8"/>
    <w:rsid w:val="007460FA"/>
    <w:rsid w:val="007467C4"/>
    <w:rsid w:val="00746BC8"/>
    <w:rsid w:val="007472DE"/>
    <w:rsid w:val="007472FB"/>
    <w:rsid w:val="007474BF"/>
    <w:rsid w:val="00747543"/>
    <w:rsid w:val="00747F27"/>
    <w:rsid w:val="00751231"/>
    <w:rsid w:val="00751B95"/>
    <w:rsid w:val="0075228A"/>
    <w:rsid w:val="007529A3"/>
    <w:rsid w:val="00752F9A"/>
    <w:rsid w:val="007531C7"/>
    <w:rsid w:val="007539E9"/>
    <w:rsid w:val="00753EDC"/>
    <w:rsid w:val="00754632"/>
    <w:rsid w:val="00754A33"/>
    <w:rsid w:val="00754FBE"/>
    <w:rsid w:val="00755E5C"/>
    <w:rsid w:val="00756213"/>
    <w:rsid w:val="00756346"/>
    <w:rsid w:val="00756AFE"/>
    <w:rsid w:val="00756E74"/>
    <w:rsid w:val="00757543"/>
    <w:rsid w:val="0075759E"/>
    <w:rsid w:val="007578F8"/>
    <w:rsid w:val="00760E36"/>
    <w:rsid w:val="007610A7"/>
    <w:rsid w:val="0076154C"/>
    <w:rsid w:val="00761769"/>
    <w:rsid w:val="007624D6"/>
    <w:rsid w:val="007634CC"/>
    <w:rsid w:val="00763EC7"/>
    <w:rsid w:val="00765C30"/>
    <w:rsid w:val="00765D16"/>
    <w:rsid w:val="00766069"/>
    <w:rsid w:val="00766BF8"/>
    <w:rsid w:val="00766F27"/>
    <w:rsid w:val="0076739A"/>
    <w:rsid w:val="007727AA"/>
    <w:rsid w:val="00772F32"/>
    <w:rsid w:val="0077301C"/>
    <w:rsid w:val="00775A72"/>
    <w:rsid w:val="007763FF"/>
    <w:rsid w:val="0077718A"/>
    <w:rsid w:val="0077780B"/>
    <w:rsid w:val="0077793A"/>
    <w:rsid w:val="00777B26"/>
    <w:rsid w:val="00777F71"/>
    <w:rsid w:val="00780C7B"/>
    <w:rsid w:val="0078174F"/>
    <w:rsid w:val="007826AC"/>
    <w:rsid w:val="007828D4"/>
    <w:rsid w:val="00783AAC"/>
    <w:rsid w:val="007846CA"/>
    <w:rsid w:val="007849B9"/>
    <w:rsid w:val="00785420"/>
    <w:rsid w:val="0078702E"/>
    <w:rsid w:val="007870B7"/>
    <w:rsid w:val="0078720C"/>
    <w:rsid w:val="0078745F"/>
    <w:rsid w:val="007900C0"/>
    <w:rsid w:val="0079196C"/>
    <w:rsid w:val="00791C34"/>
    <w:rsid w:val="007921DD"/>
    <w:rsid w:val="00792740"/>
    <w:rsid w:val="00792A2C"/>
    <w:rsid w:val="0079356F"/>
    <w:rsid w:val="00793BC4"/>
    <w:rsid w:val="007942EA"/>
    <w:rsid w:val="00794BA0"/>
    <w:rsid w:val="007951B9"/>
    <w:rsid w:val="00795214"/>
    <w:rsid w:val="00795D5A"/>
    <w:rsid w:val="00796B62"/>
    <w:rsid w:val="007971CA"/>
    <w:rsid w:val="007974F6"/>
    <w:rsid w:val="007A0490"/>
    <w:rsid w:val="007A0666"/>
    <w:rsid w:val="007A0D68"/>
    <w:rsid w:val="007A10A1"/>
    <w:rsid w:val="007A19DF"/>
    <w:rsid w:val="007A1F8B"/>
    <w:rsid w:val="007A32CE"/>
    <w:rsid w:val="007A3A88"/>
    <w:rsid w:val="007A4AC4"/>
    <w:rsid w:val="007A4BC7"/>
    <w:rsid w:val="007A5F66"/>
    <w:rsid w:val="007A635F"/>
    <w:rsid w:val="007A669D"/>
    <w:rsid w:val="007A70E2"/>
    <w:rsid w:val="007A7F2B"/>
    <w:rsid w:val="007B013B"/>
    <w:rsid w:val="007B07D4"/>
    <w:rsid w:val="007B0B61"/>
    <w:rsid w:val="007B21DF"/>
    <w:rsid w:val="007B2D2A"/>
    <w:rsid w:val="007B2D6E"/>
    <w:rsid w:val="007B3509"/>
    <w:rsid w:val="007B3624"/>
    <w:rsid w:val="007B38B8"/>
    <w:rsid w:val="007B43F3"/>
    <w:rsid w:val="007B5AB6"/>
    <w:rsid w:val="007C00A3"/>
    <w:rsid w:val="007C052F"/>
    <w:rsid w:val="007C09BA"/>
    <w:rsid w:val="007C0A9E"/>
    <w:rsid w:val="007C0C19"/>
    <w:rsid w:val="007C16A8"/>
    <w:rsid w:val="007C1820"/>
    <w:rsid w:val="007C2074"/>
    <w:rsid w:val="007C2117"/>
    <w:rsid w:val="007C286E"/>
    <w:rsid w:val="007C2F97"/>
    <w:rsid w:val="007C3049"/>
    <w:rsid w:val="007C3919"/>
    <w:rsid w:val="007C3959"/>
    <w:rsid w:val="007C3D91"/>
    <w:rsid w:val="007C3E2B"/>
    <w:rsid w:val="007C5291"/>
    <w:rsid w:val="007C5509"/>
    <w:rsid w:val="007C5F42"/>
    <w:rsid w:val="007C5F86"/>
    <w:rsid w:val="007C6F24"/>
    <w:rsid w:val="007C71ED"/>
    <w:rsid w:val="007C7C83"/>
    <w:rsid w:val="007C7CED"/>
    <w:rsid w:val="007D0AC9"/>
    <w:rsid w:val="007D0ACA"/>
    <w:rsid w:val="007D1887"/>
    <w:rsid w:val="007D23AA"/>
    <w:rsid w:val="007D243F"/>
    <w:rsid w:val="007D2724"/>
    <w:rsid w:val="007D32A0"/>
    <w:rsid w:val="007D405F"/>
    <w:rsid w:val="007D499E"/>
    <w:rsid w:val="007D5203"/>
    <w:rsid w:val="007D5F19"/>
    <w:rsid w:val="007D61C8"/>
    <w:rsid w:val="007D66CD"/>
    <w:rsid w:val="007D66DF"/>
    <w:rsid w:val="007D6AE6"/>
    <w:rsid w:val="007D6E84"/>
    <w:rsid w:val="007D7DBE"/>
    <w:rsid w:val="007E0407"/>
    <w:rsid w:val="007E08A0"/>
    <w:rsid w:val="007E16B1"/>
    <w:rsid w:val="007E1D24"/>
    <w:rsid w:val="007E29AA"/>
    <w:rsid w:val="007E2FB9"/>
    <w:rsid w:val="007E3111"/>
    <w:rsid w:val="007E3BDC"/>
    <w:rsid w:val="007E3EDA"/>
    <w:rsid w:val="007E46E2"/>
    <w:rsid w:val="007E4F11"/>
    <w:rsid w:val="007E6EFE"/>
    <w:rsid w:val="007F049A"/>
    <w:rsid w:val="007F04DB"/>
    <w:rsid w:val="007F137A"/>
    <w:rsid w:val="007F29A4"/>
    <w:rsid w:val="007F2C71"/>
    <w:rsid w:val="007F3D86"/>
    <w:rsid w:val="007F46C6"/>
    <w:rsid w:val="007F53C1"/>
    <w:rsid w:val="007F5EDC"/>
    <w:rsid w:val="007F612D"/>
    <w:rsid w:val="007F62D1"/>
    <w:rsid w:val="007F6DFD"/>
    <w:rsid w:val="007F79C5"/>
    <w:rsid w:val="0080012D"/>
    <w:rsid w:val="00801547"/>
    <w:rsid w:val="008017C0"/>
    <w:rsid w:val="00801FD1"/>
    <w:rsid w:val="008028A3"/>
    <w:rsid w:val="0080299F"/>
    <w:rsid w:val="008034C0"/>
    <w:rsid w:val="00804CA8"/>
    <w:rsid w:val="00804D89"/>
    <w:rsid w:val="00805D31"/>
    <w:rsid w:val="00806A30"/>
    <w:rsid w:val="00807A2C"/>
    <w:rsid w:val="00807CB4"/>
    <w:rsid w:val="00810827"/>
    <w:rsid w:val="00810B8E"/>
    <w:rsid w:val="008120D8"/>
    <w:rsid w:val="008125DE"/>
    <w:rsid w:val="00812DCC"/>
    <w:rsid w:val="00813D08"/>
    <w:rsid w:val="00814ADA"/>
    <w:rsid w:val="00815956"/>
    <w:rsid w:val="00816998"/>
    <w:rsid w:val="00817AF0"/>
    <w:rsid w:val="0082151B"/>
    <w:rsid w:val="0082194D"/>
    <w:rsid w:val="00822096"/>
    <w:rsid w:val="00822418"/>
    <w:rsid w:val="008229C5"/>
    <w:rsid w:val="00822EF1"/>
    <w:rsid w:val="008235D8"/>
    <w:rsid w:val="0082397C"/>
    <w:rsid w:val="00825EEE"/>
    <w:rsid w:val="008262A3"/>
    <w:rsid w:val="00827B40"/>
    <w:rsid w:val="00830A41"/>
    <w:rsid w:val="0083133C"/>
    <w:rsid w:val="008315F1"/>
    <w:rsid w:val="0083327C"/>
    <w:rsid w:val="00833466"/>
    <w:rsid w:val="00833496"/>
    <w:rsid w:val="0083353F"/>
    <w:rsid w:val="00833860"/>
    <w:rsid w:val="00833951"/>
    <w:rsid w:val="00834491"/>
    <w:rsid w:val="00836803"/>
    <w:rsid w:val="00837454"/>
    <w:rsid w:val="00837E21"/>
    <w:rsid w:val="00842009"/>
    <w:rsid w:val="0084255B"/>
    <w:rsid w:val="0084270A"/>
    <w:rsid w:val="00842D7B"/>
    <w:rsid w:val="0084306F"/>
    <w:rsid w:val="0084354F"/>
    <w:rsid w:val="008454C7"/>
    <w:rsid w:val="0084558E"/>
    <w:rsid w:val="008467FE"/>
    <w:rsid w:val="00847890"/>
    <w:rsid w:val="008504F3"/>
    <w:rsid w:val="008506B1"/>
    <w:rsid w:val="00851157"/>
    <w:rsid w:val="00851879"/>
    <w:rsid w:val="00852BBD"/>
    <w:rsid w:val="008534E3"/>
    <w:rsid w:val="00853C38"/>
    <w:rsid w:val="0085649B"/>
    <w:rsid w:val="008567BE"/>
    <w:rsid w:val="00856AE6"/>
    <w:rsid w:val="008575E4"/>
    <w:rsid w:val="00857FF0"/>
    <w:rsid w:val="008602A7"/>
    <w:rsid w:val="00860339"/>
    <w:rsid w:val="00860936"/>
    <w:rsid w:val="00861861"/>
    <w:rsid w:val="00861F17"/>
    <w:rsid w:val="008625CE"/>
    <w:rsid w:val="00862D0C"/>
    <w:rsid w:val="00863F49"/>
    <w:rsid w:val="0086426C"/>
    <w:rsid w:val="00864655"/>
    <w:rsid w:val="00864D51"/>
    <w:rsid w:val="00865BE2"/>
    <w:rsid w:val="00866992"/>
    <w:rsid w:val="00866F19"/>
    <w:rsid w:val="008704EE"/>
    <w:rsid w:val="00870CD0"/>
    <w:rsid w:val="008718EB"/>
    <w:rsid w:val="00873DC4"/>
    <w:rsid w:val="00873E0C"/>
    <w:rsid w:val="008744FF"/>
    <w:rsid w:val="00874DF4"/>
    <w:rsid w:val="008755F3"/>
    <w:rsid w:val="00875CE3"/>
    <w:rsid w:val="0087612F"/>
    <w:rsid w:val="00876F41"/>
    <w:rsid w:val="0088017B"/>
    <w:rsid w:val="00880C15"/>
    <w:rsid w:val="00881084"/>
    <w:rsid w:val="008810A5"/>
    <w:rsid w:val="00881E08"/>
    <w:rsid w:val="008827E9"/>
    <w:rsid w:val="00882925"/>
    <w:rsid w:val="00882995"/>
    <w:rsid w:val="008836CC"/>
    <w:rsid w:val="008837C7"/>
    <w:rsid w:val="008842C6"/>
    <w:rsid w:val="008844F3"/>
    <w:rsid w:val="00884640"/>
    <w:rsid w:val="00884EE3"/>
    <w:rsid w:val="00886C85"/>
    <w:rsid w:val="008870A0"/>
    <w:rsid w:val="00887583"/>
    <w:rsid w:val="00890B72"/>
    <w:rsid w:val="00890FC9"/>
    <w:rsid w:val="008910F8"/>
    <w:rsid w:val="00891140"/>
    <w:rsid w:val="00891719"/>
    <w:rsid w:val="008922AA"/>
    <w:rsid w:val="008923E5"/>
    <w:rsid w:val="00893938"/>
    <w:rsid w:val="00893FFB"/>
    <w:rsid w:val="008940BF"/>
    <w:rsid w:val="00896603"/>
    <w:rsid w:val="008968D3"/>
    <w:rsid w:val="00896B23"/>
    <w:rsid w:val="0089735B"/>
    <w:rsid w:val="008A0850"/>
    <w:rsid w:val="008A0E65"/>
    <w:rsid w:val="008A1DE1"/>
    <w:rsid w:val="008A1F78"/>
    <w:rsid w:val="008A2680"/>
    <w:rsid w:val="008A288F"/>
    <w:rsid w:val="008A2B40"/>
    <w:rsid w:val="008A2D35"/>
    <w:rsid w:val="008A35FC"/>
    <w:rsid w:val="008A3DCF"/>
    <w:rsid w:val="008A3EDA"/>
    <w:rsid w:val="008A4AED"/>
    <w:rsid w:val="008A5B2A"/>
    <w:rsid w:val="008A5DE4"/>
    <w:rsid w:val="008A721A"/>
    <w:rsid w:val="008A7721"/>
    <w:rsid w:val="008A7B5B"/>
    <w:rsid w:val="008B172F"/>
    <w:rsid w:val="008B1798"/>
    <w:rsid w:val="008B1D63"/>
    <w:rsid w:val="008B1DC9"/>
    <w:rsid w:val="008B28D6"/>
    <w:rsid w:val="008B449C"/>
    <w:rsid w:val="008B6BF2"/>
    <w:rsid w:val="008B6F35"/>
    <w:rsid w:val="008B729B"/>
    <w:rsid w:val="008C2C72"/>
    <w:rsid w:val="008C2F94"/>
    <w:rsid w:val="008C46DC"/>
    <w:rsid w:val="008C5200"/>
    <w:rsid w:val="008C57A9"/>
    <w:rsid w:val="008C601A"/>
    <w:rsid w:val="008C7346"/>
    <w:rsid w:val="008D051A"/>
    <w:rsid w:val="008D0B73"/>
    <w:rsid w:val="008D204D"/>
    <w:rsid w:val="008D2886"/>
    <w:rsid w:val="008D31AE"/>
    <w:rsid w:val="008D428A"/>
    <w:rsid w:val="008D455D"/>
    <w:rsid w:val="008D48C1"/>
    <w:rsid w:val="008D49BB"/>
    <w:rsid w:val="008D4EF8"/>
    <w:rsid w:val="008D5A63"/>
    <w:rsid w:val="008D5EA3"/>
    <w:rsid w:val="008D6778"/>
    <w:rsid w:val="008D7ABB"/>
    <w:rsid w:val="008E1632"/>
    <w:rsid w:val="008E199F"/>
    <w:rsid w:val="008E1B39"/>
    <w:rsid w:val="008E2FC7"/>
    <w:rsid w:val="008E343E"/>
    <w:rsid w:val="008E37C9"/>
    <w:rsid w:val="008E385D"/>
    <w:rsid w:val="008E4D9E"/>
    <w:rsid w:val="008E4FF1"/>
    <w:rsid w:val="008E501F"/>
    <w:rsid w:val="008E54B5"/>
    <w:rsid w:val="008E5772"/>
    <w:rsid w:val="008E57BA"/>
    <w:rsid w:val="008E7BA9"/>
    <w:rsid w:val="008F00DA"/>
    <w:rsid w:val="008F0327"/>
    <w:rsid w:val="008F0962"/>
    <w:rsid w:val="008F3418"/>
    <w:rsid w:val="008F4C34"/>
    <w:rsid w:val="008F4F75"/>
    <w:rsid w:val="008F55A3"/>
    <w:rsid w:val="008F574B"/>
    <w:rsid w:val="008F6C6B"/>
    <w:rsid w:val="008F6FB5"/>
    <w:rsid w:val="008F7470"/>
    <w:rsid w:val="0090107C"/>
    <w:rsid w:val="00901C33"/>
    <w:rsid w:val="00902597"/>
    <w:rsid w:val="00902A35"/>
    <w:rsid w:val="00904497"/>
    <w:rsid w:val="00904DBD"/>
    <w:rsid w:val="00905A4B"/>
    <w:rsid w:val="009060CB"/>
    <w:rsid w:val="00906B71"/>
    <w:rsid w:val="00906DAF"/>
    <w:rsid w:val="00907528"/>
    <w:rsid w:val="00907568"/>
    <w:rsid w:val="009076D1"/>
    <w:rsid w:val="0091026B"/>
    <w:rsid w:val="00910CB6"/>
    <w:rsid w:val="00910CD4"/>
    <w:rsid w:val="00910EE2"/>
    <w:rsid w:val="00911320"/>
    <w:rsid w:val="00912026"/>
    <w:rsid w:val="00912364"/>
    <w:rsid w:val="00913B4B"/>
    <w:rsid w:val="00913D9C"/>
    <w:rsid w:val="00913E90"/>
    <w:rsid w:val="00914378"/>
    <w:rsid w:val="00914935"/>
    <w:rsid w:val="00914958"/>
    <w:rsid w:val="00914FC2"/>
    <w:rsid w:val="00915000"/>
    <w:rsid w:val="0091580D"/>
    <w:rsid w:val="00915C51"/>
    <w:rsid w:val="00916663"/>
    <w:rsid w:val="009178A7"/>
    <w:rsid w:val="00920E58"/>
    <w:rsid w:val="00920ED5"/>
    <w:rsid w:val="009211D0"/>
    <w:rsid w:val="00921291"/>
    <w:rsid w:val="0092164E"/>
    <w:rsid w:val="009221BD"/>
    <w:rsid w:val="00923057"/>
    <w:rsid w:val="00924C87"/>
    <w:rsid w:val="0092533B"/>
    <w:rsid w:val="009253CD"/>
    <w:rsid w:val="0092599B"/>
    <w:rsid w:val="00927458"/>
    <w:rsid w:val="0092765A"/>
    <w:rsid w:val="00927A67"/>
    <w:rsid w:val="00927B6D"/>
    <w:rsid w:val="00930EB8"/>
    <w:rsid w:val="00931308"/>
    <w:rsid w:val="00931B08"/>
    <w:rsid w:val="00931F8C"/>
    <w:rsid w:val="00932113"/>
    <w:rsid w:val="00932EA7"/>
    <w:rsid w:val="0093513C"/>
    <w:rsid w:val="0093528F"/>
    <w:rsid w:val="00935B0A"/>
    <w:rsid w:val="00936F69"/>
    <w:rsid w:val="00937017"/>
    <w:rsid w:val="009371F1"/>
    <w:rsid w:val="009404E3"/>
    <w:rsid w:val="00940938"/>
    <w:rsid w:val="009410B0"/>
    <w:rsid w:val="009426E4"/>
    <w:rsid w:val="009431B1"/>
    <w:rsid w:val="00943BAD"/>
    <w:rsid w:val="00943E7B"/>
    <w:rsid w:val="00944CD1"/>
    <w:rsid w:val="00944EAE"/>
    <w:rsid w:val="00946817"/>
    <w:rsid w:val="00950C7A"/>
    <w:rsid w:val="009514AE"/>
    <w:rsid w:val="00951C6A"/>
    <w:rsid w:val="009523F9"/>
    <w:rsid w:val="00953A91"/>
    <w:rsid w:val="009540AC"/>
    <w:rsid w:val="00954D19"/>
    <w:rsid w:val="009562CD"/>
    <w:rsid w:val="009568CF"/>
    <w:rsid w:val="009576D9"/>
    <w:rsid w:val="009604C3"/>
    <w:rsid w:val="009607D4"/>
    <w:rsid w:val="00960AAB"/>
    <w:rsid w:val="00961113"/>
    <w:rsid w:val="00961136"/>
    <w:rsid w:val="00961722"/>
    <w:rsid w:val="0096213B"/>
    <w:rsid w:val="009621C4"/>
    <w:rsid w:val="0096255F"/>
    <w:rsid w:val="00962717"/>
    <w:rsid w:val="00962BC2"/>
    <w:rsid w:val="009646FC"/>
    <w:rsid w:val="009647AE"/>
    <w:rsid w:val="00964805"/>
    <w:rsid w:val="00964FC0"/>
    <w:rsid w:val="0096543D"/>
    <w:rsid w:val="009654F4"/>
    <w:rsid w:val="00966D66"/>
    <w:rsid w:val="00967588"/>
    <w:rsid w:val="0097045F"/>
    <w:rsid w:val="00970A07"/>
    <w:rsid w:val="00971289"/>
    <w:rsid w:val="0097151F"/>
    <w:rsid w:val="0097272D"/>
    <w:rsid w:val="00972A59"/>
    <w:rsid w:val="00973666"/>
    <w:rsid w:val="00974EB5"/>
    <w:rsid w:val="00975243"/>
    <w:rsid w:val="009761C2"/>
    <w:rsid w:val="0097696D"/>
    <w:rsid w:val="00977766"/>
    <w:rsid w:val="00977B57"/>
    <w:rsid w:val="009808A5"/>
    <w:rsid w:val="009808E9"/>
    <w:rsid w:val="00980B61"/>
    <w:rsid w:val="00982563"/>
    <w:rsid w:val="00982E29"/>
    <w:rsid w:val="00983A11"/>
    <w:rsid w:val="00984596"/>
    <w:rsid w:val="009860D8"/>
    <w:rsid w:val="00986924"/>
    <w:rsid w:val="00986C07"/>
    <w:rsid w:val="009879F7"/>
    <w:rsid w:val="00990B36"/>
    <w:rsid w:val="009910A1"/>
    <w:rsid w:val="0099161E"/>
    <w:rsid w:val="00991B11"/>
    <w:rsid w:val="00992695"/>
    <w:rsid w:val="00992745"/>
    <w:rsid w:val="00992B19"/>
    <w:rsid w:val="009948F5"/>
    <w:rsid w:val="009971C8"/>
    <w:rsid w:val="009977A5"/>
    <w:rsid w:val="009A062A"/>
    <w:rsid w:val="009A0698"/>
    <w:rsid w:val="009A0942"/>
    <w:rsid w:val="009A1524"/>
    <w:rsid w:val="009A1D28"/>
    <w:rsid w:val="009A26D9"/>
    <w:rsid w:val="009A37A5"/>
    <w:rsid w:val="009A39F1"/>
    <w:rsid w:val="009A4069"/>
    <w:rsid w:val="009A57DB"/>
    <w:rsid w:val="009A6859"/>
    <w:rsid w:val="009A6EB9"/>
    <w:rsid w:val="009A778A"/>
    <w:rsid w:val="009B054D"/>
    <w:rsid w:val="009B082E"/>
    <w:rsid w:val="009B0BC0"/>
    <w:rsid w:val="009B2A38"/>
    <w:rsid w:val="009B47F7"/>
    <w:rsid w:val="009B5052"/>
    <w:rsid w:val="009B5538"/>
    <w:rsid w:val="009B571B"/>
    <w:rsid w:val="009B5831"/>
    <w:rsid w:val="009B6D9C"/>
    <w:rsid w:val="009B7A22"/>
    <w:rsid w:val="009B7CA4"/>
    <w:rsid w:val="009C00F2"/>
    <w:rsid w:val="009C1AA7"/>
    <w:rsid w:val="009C24B6"/>
    <w:rsid w:val="009C31E6"/>
    <w:rsid w:val="009C3AB9"/>
    <w:rsid w:val="009C40A5"/>
    <w:rsid w:val="009C4162"/>
    <w:rsid w:val="009C4D4E"/>
    <w:rsid w:val="009C4F1E"/>
    <w:rsid w:val="009C6BAF"/>
    <w:rsid w:val="009C6C22"/>
    <w:rsid w:val="009C6D69"/>
    <w:rsid w:val="009C6F8A"/>
    <w:rsid w:val="009C7EDF"/>
    <w:rsid w:val="009D1161"/>
    <w:rsid w:val="009D1499"/>
    <w:rsid w:val="009D1B6D"/>
    <w:rsid w:val="009D2E0E"/>
    <w:rsid w:val="009D2EA2"/>
    <w:rsid w:val="009D311F"/>
    <w:rsid w:val="009D32B5"/>
    <w:rsid w:val="009D4027"/>
    <w:rsid w:val="009D41DC"/>
    <w:rsid w:val="009D435D"/>
    <w:rsid w:val="009D43BD"/>
    <w:rsid w:val="009D56E5"/>
    <w:rsid w:val="009D5D64"/>
    <w:rsid w:val="009D5E30"/>
    <w:rsid w:val="009D64E8"/>
    <w:rsid w:val="009D72B6"/>
    <w:rsid w:val="009D7817"/>
    <w:rsid w:val="009D7AA6"/>
    <w:rsid w:val="009E06EA"/>
    <w:rsid w:val="009E0B14"/>
    <w:rsid w:val="009E2232"/>
    <w:rsid w:val="009E2804"/>
    <w:rsid w:val="009E2AD1"/>
    <w:rsid w:val="009E2D6A"/>
    <w:rsid w:val="009E4E38"/>
    <w:rsid w:val="009E5F59"/>
    <w:rsid w:val="009E5FCB"/>
    <w:rsid w:val="009E627F"/>
    <w:rsid w:val="009E66C0"/>
    <w:rsid w:val="009E6CDE"/>
    <w:rsid w:val="009E6DB4"/>
    <w:rsid w:val="009E7477"/>
    <w:rsid w:val="009F0459"/>
    <w:rsid w:val="009F07ED"/>
    <w:rsid w:val="009F1A38"/>
    <w:rsid w:val="009F292A"/>
    <w:rsid w:val="009F2AE3"/>
    <w:rsid w:val="009F2C03"/>
    <w:rsid w:val="009F3BDE"/>
    <w:rsid w:val="009F3F6A"/>
    <w:rsid w:val="009F49E9"/>
    <w:rsid w:val="009F4D65"/>
    <w:rsid w:val="009F58F6"/>
    <w:rsid w:val="009F6157"/>
    <w:rsid w:val="00A00FE2"/>
    <w:rsid w:val="00A01666"/>
    <w:rsid w:val="00A01B90"/>
    <w:rsid w:val="00A02580"/>
    <w:rsid w:val="00A02AB0"/>
    <w:rsid w:val="00A039FC"/>
    <w:rsid w:val="00A0488F"/>
    <w:rsid w:val="00A04F31"/>
    <w:rsid w:val="00A062CB"/>
    <w:rsid w:val="00A077E5"/>
    <w:rsid w:val="00A11019"/>
    <w:rsid w:val="00A119D0"/>
    <w:rsid w:val="00A121BB"/>
    <w:rsid w:val="00A125C8"/>
    <w:rsid w:val="00A1335F"/>
    <w:rsid w:val="00A13E7D"/>
    <w:rsid w:val="00A1496E"/>
    <w:rsid w:val="00A15B4A"/>
    <w:rsid w:val="00A161F9"/>
    <w:rsid w:val="00A210E9"/>
    <w:rsid w:val="00A219A2"/>
    <w:rsid w:val="00A22BED"/>
    <w:rsid w:val="00A22CB8"/>
    <w:rsid w:val="00A22EB5"/>
    <w:rsid w:val="00A23567"/>
    <w:rsid w:val="00A24093"/>
    <w:rsid w:val="00A24155"/>
    <w:rsid w:val="00A249BE"/>
    <w:rsid w:val="00A26BD8"/>
    <w:rsid w:val="00A278F0"/>
    <w:rsid w:val="00A27F30"/>
    <w:rsid w:val="00A301FC"/>
    <w:rsid w:val="00A308CE"/>
    <w:rsid w:val="00A31A03"/>
    <w:rsid w:val="00A31E3C"/>
    <w:rsid w:val="00A32CE7"/>
    <w:rsid w:val="00A32E35"/>
    <w:rsid w:val="00A337CC"/>
    <w:rsid w:val="00A34011"/>
    <w:rsid w:val="00A349EF"/>
    <w:rsid w:val="00A34E0F"/>
    <w:rsid w:val="00A35A43"/>
    <w:rsid w:val="00A35E29"/>
    <w:rsid w:val="00A37136"/>
    <w:rsid w:val="00A37AC9"/>
    <w:rsid w:val="00A37BAC"/>
    <w:rsid w:val="00A4059C"/>
    <w:rsid w:val="00A4232F"/>
    <w:rsid w:val="00A427C2"/>
    <w:rsid w:val="00A4316F"/>
    <w:rsid w:val="00A43323"/>
    <w:rsid w:val="00A44790"/>
    <w:rsid w:val="00A44CC5"/>
    <w:rsid w:val="00A44F87"/>
    <w:rsid w:val="00A456A2"/>
    <w:rsid w:val="00A45EF3"/>
    <w:rsid w:val="00A47D32"/>
    <w:rsid w:val="00A50A09"/>
    <w:rsid w:val="00A51222"/>
    <w:rsid w:val="00A51616"/>
    <w:rsid w:val="00A516DA"/>
    <w:rsid w:val="00A51838"/>
    <w:rsid w:val="00A51986"/>
    <w:rsid w:val="00A52010"/>
    <w:rsid w:val="00A52484"/>
    <w:rsid w:val="00A52D5D"/>
    <w:rsid w:val="00A530AD"/>
    <w:rsid w:val="00A536EB"/>
    <w:rsid w:val="00A53DAC"/>
    <w:rsid w:val="00A56F56"/>
    <w:rsid w:val="00A57076"/>
    <w:rsid w:val="00A5723B"/>
    <w:rsid w:val="00A604AB"/>
    <w:rsid w:val="00A606B6"/>
    <w:rsid w:val="00A60D9D"/>
    <w:rsid w:val="00A6200A"/>
    <w:rsid w:val="00A6218C"/>
    <w:rsid w:val="00A626B9"/>
    <w:rsid w:val="00A63153"/>
    <w:rsid w:val="00A631DB"/>
    <w:rsid w:val="00A63CCA"/>
    <w:rsid w:val="00A649F1"/>
    <w:rsid w:val="00A65568"/>
    <w:rsid w:val="00A6627C"/>
    <w:rsid w:val="00A67030"/>
    <w:rsid w:val="00A67267"/>
    <w:rsid w:val="00A67F89"/>
    <w:rsid w:val="00A702E4"/>
    <w:rsid w:val="00A70ECA"/>
    <w:rsid w:val="00A719E5"/>
    <w:rsid w:val="00A71CD4"/>
    <w:rsid w:val="00A7309A"/>
    <w:rsid w:val="00A73438"/>
    <w:rsid w:val="00A73D7F"/>
    <w:rsid w:val="00A73E94"/>
    <w:rsid w:val="00A75FB6"/>
    <w:rsid w:val="00A7637C"/>
    <w:rsid w:val="00A76B0D"/>
    <w:rsid w:val="00A76DBD"/>
    <w:rsid w:val="00A77E44"/>
    <w:rsid w:val="00A81536"/>
    <w:rsid w:val="00A8156C"/>
    <w:rsid w:val="00A83320"/>
    <w:rsid w:val="00A833F6"/>
    <w:rsid w:val="00A8366B"/>
    <w:rsid w:val="00A83966"/>
    <w:rsid w:val="00A86026"/>
    <w:rsid w:val="00A872C6"/>
    <w:rsid w:val="00A878EA"/>
    <w:rsid w:val="00A87B7E"/>
    <w:rsid w:val="00A905BA"/>
    <w:rsid w:val="00A91014"/>
    <w:rsid w:val="00A91806"/>
    <w:rsid w:val="00A928D7"/>
    <w:rsid w:val="00A92ED7"/>
    <w:rsid w:val="00A93C4E"/>
    <w:rsid w:val="00A9441C"/>
    <w:rsid w:val="00A94B3D"/>
    <w:rsid w:val="00A96800"/>
    <w:rsid w:val="00A97B0B"/>
    <w:rsid w:val="00AA05E1"/>
    <w:rsid w:val="00AA110D"/>
    <w:rsid w:val="00AA2BF4"/>
    <w:rsid w:val="00AA2D79"/>
    <w:rsid w:val="00AA2E21"/>
    <w:rsid w:val="00AA42FE"/>
    <w:rsid w:val="00AA5449"/>
    <w:rsid w:val="00AA6201"/>
    <w:rsid w:val="00AA67B2"/>
    <w:rsid w:val="00AA7251"/>
    <w:rsid w:val="00AA76FA"/>
    <w:rsid w:val="00AA7925"/>
    <w:rsid w:val="00AB031F"/>
    <w:rsid w:val="00AB0E07"/>
    <w:rsid w:val="00AB10FE"/>
    <w:rsid w:val="00AB2E54"/>
    <w:rsid w:val="00AB48F7"/>
    <w:rsid w:val="00AB51F9"/>
    <w:rsid w:val="00AB5FEB"/>
    <w:rsid w:val="00AB646B"/>
    <w:rsid w:val="00AB6D1B"/>
    <w:rsid w:val="00AC144E"/>
    <w:rsid w:val="00AC1F0C"/>
    <w:rsid w:val="00AC2570"/>
    <w:rsid w:val="00AC2AAD"/>
    <w:rsid w:val="00AC38A8"/>
    <w:rsid w:val="00AC3C35"/>
    <w:rsid w:val="00AC3F73"/>
    <w:rsid w:val="00AC479F"/>
    <w:rsid w:val="00AC4D5D"/>
    <w:rsid w:val="00AC609D"/>
    <w:rsid w:val="00AC6202"/>
    <w:rsid w:val="00AC6416"/>
    <w:rsid w:val="00AC74C0"/>
    <w:rsid w:val="00AC7B02"/>
    <w:rsid w:val="00AD0248"/>
    <w:rsid w:val="00AD210D"/>
    <w:rsid w:val="00AD2417"/>
    <w:rsid w:val="00AD299D"/>
    <w:rsid w:val="00AD33C5"/>
    <w:rsid w:val="00AD3496"/>
    <w:rsid w:val="00AD3A7C"/>
    <w:rsid w:val="00AD5081"/>
    <w:rsid w:val="00AD5279"/>
    <w:rsid w:val="00AD5613"/>
    <w:rsid w:val="00AD566E"/>
    <w:rsid w:val="00AD57DA"/>
    <w:rsid w:val="00AD6855"/>
    <w:rsid w:val="00AD75B3"/>
    <w:rsid w:val="00AE09E8"/>
    <w:rsid w:val="00AE09F2"/>
    <w:rsid w:val="00AE0CEA"/>
    <w:rsid w:val="00AE0F11"/>
    <w:rsid w:val="00AE1C91"/>
    <w:rsid w:val="00AE20AB"/>
    <w:rsid w:val="00AE2142"/>
    <w:rsid w:val="00AE21D6"/>
    <w:rsid w:val="00AE2696"/>
    <w:rsid w:val="00AE27D5"/>
    <w:rsid w:val="00AE3657"/>
    <w:rsid w:val="00AE42BA"/>
    <w:rsid w:val="00AE4E08"/>
    <w:rsid w:val="00AE5C55"/>
    <w:rsid w:val="00AE6324"/>
    <w:rsid w:val="00AE663E"/>
    <w:rsid w:val="00AF1367"/>
    <w:rsid w:val="00AF1388"/>
    <w:rsid w:val="00AF2B2F"/>
    <w:rsid w:val="00AF3EE5"/>
    <w:rsid w:val="00AF42A7"/>
    <w:rsid w:val="00AF665E"/>
    <w:rsid w:val="00AF6ABC"/>
    <w:rsid w:val="00AF6C15"/>
    <w:rsid w:val="00AF720B"/>
    <w:rsid w:val="00AF776F"/>
    <w:rsid w:val="00AF79E7"/>
    <w:rsid w:val="00AF7D4E"/>
    <w:rsid w:val="00B0157E"/>
    <w:rsid w:val="00B02254"/>
    <w:rsid w:val="00B03586"/>
    <w:rsid w:val="00B03CFA"/>
    <w:rsid w:val="00B066D3"/>
    <w:rsid w:val="00B106AE"/>
    <w:rsid w:val="00B10710"/>
    <w:rsid w:val="00B108C8"/>
    <w:rsid w:val="00B113F9"/>
    <w:rsid w:val="00B1393F"/>
    <w:rsid w:val="00B1467A"/>
    <w:rsid w:val="00B15CE7"/>
    <w:rsid w:val="00B15D73"/>
    <w:rsid w:val="00B16941"/>
    <w:rsid w:val="00B17D00"/>
    <w:rsid w:val="00B17D72"/>
    <w:rsid w:val="00B20392"/>
    <w:rsid w:val="00B20B19"/>
    <w:rsid w:val="00B211C4"/>
    <w:rsid w:val="00B213AA"/>
    <w:rsid w:val="00B2187C"/>
    <w:rsid w:val="00B21AA1"/>
    <w:rsid w:val="00B21CA2"/>
    <w:rsid w:val="00B21DE5"/>
    <w:rsid w:val="00B2253C"/>
    <w:rsid w:val="00B22799"/>
    <w:rsid w:val="00B23C03"/>
    <w:rsid w:val="00B24DA0"/>
    <w:rsid w:val="00B2534D"/>
    <w:rsid w:val="00B26021"/>
    <w:rsid w:val="00B31292"/>
    <w:rsid w:val="00B31999"/>
    <w:rsid w:val="00B3204C"/>
    <w:rsid w:val="00B33865"/>
    <w:rsid w:val="00B3510A"/>
    <w:rsid w:val="00B3666F"/>
    <w:rsid w:val="00B366A7"/>
    <w:rsid w:val="00B37D7A"/>
    <w:rsid w:val="00B401AC"/>
    <w:rsid w:val="00B404D0"/>
    <w:rsid w:val="00B405F0"/>
    <w:rsid w:val="00B4080B"/>
    <w:rsid w:val="00B4197D"/>
    <w:rsid w:val="00B436F3"/>
    <w:rsid w:val="00B43EB2"/>
    <w:rsid w:val="00B4515B"/>
    <w:rsid w:val="00B45812"/>
    <w:rsid w:val="00B502F4"/>
    <w:rsid w:val="00B51395"/>
    <w:rsid w:val="00B53886"/>
    <w:rsid w:val="00B54330"/>
    <w:rsid w:val="00B5438F"/>
    <w:rsid w:val="00B56225"/>
    <w:rsid w:val="00B57781"/>
    <w:rsid w:val="00B57D66"/>
    <w:rsid w:val="00B604A2"/>
    <w:rsid w:val="00B612E3"/>
    <w:rsid w:val="00B62E55"/>
    <w:rsid w:val="00B63BF7"/>
    <w:rsid w:val="00B659DB"/>
    <w:rsid w:val="00B65FD4"/>
    <w:rsid w:val="00B66789"/>
    <w:rsid w:val="00B7111F"/>
    <w:rsid w:val="00B715F0"/>
    <w:rsid w:val="00B7172E"/>
    <w:rsid w:val="00B72DE2"/>
    <w:rsid w:val="00B74321"/>
    <w:rsid w:val="00B75278"/>
    <w:rsid w:val="00B7687C"/>
    <w:rsid w:val="00B8046F"/>
    <w:rsid w:val="00B80842"/>
    <w:rsid w:val="00B80A65"/>
    <w:rsid w:val="00B80ED5"/>
    <w:rsid w:val="00B80FCF"/>
    <w:rsid w:val="00B8121D"/>
    <w:rsid w:val="00B81488"/>
    <w:rsid w:val="00B8184A"/>
    <w:rsid w:val="00B8219D"/>
    <w:rsid w:val="00B834A8"/>
    <w:rsid w:val="00B85AB8"/>
    <w:rsid w:val="00B85CC9"/>
    <w:rsid w:val="00B86364"/>
    <w:rsid w:val="00B86579"/>
    <w:rsid w:val="00B86ACD"/>
    <w:rsid w:val="00B87183"/>
    <w:rsid w:val="00B872B1"/>
    <w:rsid w:val="00B87512"/>
    <w:rsid w:val="00B87769"/>
    <w:rsid w:val="00B87A5A"/>
    <w:rsid w:val="00B9061F"/>
    <w:rsid w:val="00B90AD7"/>
    <w:rsid w:val="00B91870"/>
    <w:rsid w:val="00B91AB8"/>
    <w:rsid w:val="00B91AC5"/>
    <w:rsid w:val="00B91C50"/>
    <w:rsid w:val="00B91CD9"/>
    <w:rsid w:val="00B92780"/>
    <w:rsid w:val="00B92CC8"/>
    <w:rsid w:val="00B93382"/>
    <w:rsid w:val="00B9378D"/>
    <w:rsid w:val="00B93DCC"/>
    <w:rsid w:val="00B94F6A"/>
    <w:rsid w:val="00B95E03"/>
    <w:rsid w:val="00B9600B"/>
    <w:rsid w:val="00B96FC3"/>
    <w:rsid w:val="00B97A9F"/>
    <w:rsid w:val="00BA0567"/>
    <w:rsid w:val="00BA21EE"/>
    <w:rsid w:val="00BA28BD"/>
    <w:rsid w:val="00BA2957"/>
    <w:rsid w:val="00BA3219"/>
    <w:rsid w:val="00BA349E"/>
    <w:rsid w:val="00BA36E6"/>
    <w:rsid w:val="00BA3F58"/>
    <w:rsid w:val="00BA3FAE"/>
    <w:rsid w:val="00BA5896"/>
    <w:rsid w:val="00BA5ADA"/>
    <w:rsid w:val="00BA6FBB"/>
    <w:rsid w:val="00BA7497"/>
    <w:rsid w:val="00BB171C"/>
    <w:rsid w:val="00BB1E09"/>
    <w:rsid w:val="00BB21AC"/>
    <w:rsid w:val="00BB2656"/>
    <w:rsid w:val="00BB27BE"/>
    <w:rsid w:val="00BB2868"/>
    <w:rsid w:val="00BB3036"/>
    <w:rsid w:val="00BB415D"/>
    <w:rsid w:val="00BB5789"/>
    <w:rsid w:val="00BB5DDB"/>
    <w:rsid w:val="00BB68D4"/>
    <w:rsid w:val="00BB720D"/>
    <w:rsid w:val="00BB725B"/>
    <w:rsid w:val="00BB7B5F"/>
    <w:rsid w:val="00BB7F65"/>
    <w:rsid w:val="00BC03F2"/>
    <w:rsid w:val="00BC0695"/>
    <w:rsid w:val="00BC08AE"/>
    <w:rsid w:val="00BC08C5"/>
    <w:rsid w:val="00BC1291"/>
    <w:rsid w:val="00BC263A"/>
    <w:rsid w:val="00BC36B6"/>
    <w:rsid w:val="00BC42A6"/>
    <w:rsid w:val="00BC470A"/>
    <w:rsid w:val="00BC5A3F"/>
    <w:rsid w:val="00BC723D"/>
    <w:rsid w:val="00BD062C"/>
    <w:rsid w:val="00BD0AF7"/>
    <w:rsid w:val="00BD0E8D"/>
    <w:rsid w:val="00BD1A0E"/>
    <w:rsid w:val="00BD2FCF"/>
    <w:rsid w:val="00BD3D3A"/>
    <w:rsid w:val="00BD439E"/>
    <w:rsid w:val="00BD473F"/>
    <w:rsid w:val="00BD4A32"/>
    <w:rsid w:val="00BD4BFD"/>
    <w:rsid w:val="00BD693D"/>
    <w:rsid w:val="00BD70DE"/>
    <w:rsid w:val="00BD7C86"/>
    <w:rsid w:val="00BE00B8"/>
    <w:rsid w:val="00BE054D"/>
    <w:rsid w:val="00BE11F9"/>
    <w:rsid w:val="00BE1CEE"/>
    <w:rsid w:val="00BE2E88"/>
    <w:rsid w:val="00BE31FF"/>
    <w:rsid w:val="00BE3606"/>
    <w:rsid w:val="00BE4540"/>
    <w:rsid w:val="00BE4566"/>
    <w:rsid w:val="00BE46F5"/>
    <w:rsid w:val="00BE495D"/>
    <w:rsid w:val="00BE5972"/>
    <w:rsid w:val="00BE6DE0"/>
    <w:rsid w:val="00BE7B2A"/>
    <w:rsid w:val="00BE7C2A"/>
    <w:rsid w:val="00BE7E13"/>
    <w:rsid w:val="00BF0BB2"/>
    <w:rsid w:val="00BF0BC2"/>
    <w:rsid w:val="00BF1D8F"/>
    <w:rsid w:val="00BF3AED"/>
    <w:rsid w:val="00BF46F6"/>
    <w:rsid w:val="00BF515B"/>
    <w:rsid w:val="00BF5C57"/>
    <w:rsid w:val="00BF600D"/>
    <w:rsid w:val="00BF6873"/>
    <w:rsid w:val="00BF7A62"/>
    <w:rsid w:val="00BF7BB0"/>
    <w:rsid w:val="00C015F6"/>
    <w:rsid w:val="00C0162E"/>
    <w:rsid w:val="00C01C78"/>
    <w:rsid w:val="00C02A2E"/>
    <w:rsid w:val="00C02C94"/>
    <w:rsid w:val="00C0597E"/>
    <w:rsid w:val="00C05A46"/>
    <w:rsid w:val="00C0618A"/>
    <w:rsid w:val="00C065E2"/>
    <w:rsid w:val="00C07790"/>
    <w:rsid w:val="00C111F4"/>
    <w:rsid w:val="00C11E4B"/>
    <w:rsid w:val="00C12696"/>
    <w:rsid w:val="00C126AA"/>
    <w:rsid w:val="00C126BE"/>
    <w:rsid w:val="00C1361B"/>
    <w:rsid w:val="00C14B54"/>
    <w:rsid w:val="00C16492"/>
    <w:rsid w:val="00C171F9"/>
    <w:rsid w:val="00C17937"/>
    <w:rsid w:val="00C20730"/>
    <w:rsid w:val="00C21AAC"/>
    <w:rsid w:val="00C2287A"/>
    <w:rsid w:val="00C23837"/>
    <w:rsid w:val="00C23F0C"/>
    <w:rsid w:val="00C23F6B"/>
    <w:rsid w:val="00C24B66"/>
    <w:rsid w:val="00C251B9"/>
    <w:rsid w:val="00C25FF8"/>
    <w:rsid w:val="00C265DF"/>
    <w:rsid w:val="00C26984"/>
    <w:rsid w:val="00C27468"/>
    <w:rsid w:val="00C317D3"/>
    <w:rsid w:val="00C322E1"/>
    <w:rsid w:val="00C32EDB"/>
    <w:rsid w:val="00C32F8A"/>
    <w:rsid w:val="00C32FA2"/>
    <w:rsid w:val="00C332E6"/>
    <w:rsid w:val="00C337F2"/>
    <w:rsid w:val="00C347E0"/>
    <w:rsid w:val="00C3725C"/>
    <w:rsid w:val="00C41886"/>
    <w:rsid w:val="00C4224A"/>
    <w:rsid w:val="00C42ECD"/>
    <w:rsid w:val="00C431D9"/>
    <w:rsid w:val="00C44752"/>
    <w:rsid w:val="00C45158"/>
    <w:rsid w:val="00C46DAA"/>
    <w:rsid w:val="00C46F45"/>
    <w:rsid w:val="00C47448"/>
    <w:rsid w:val="00C50B53"/>
    <w:rsid w:val="00C50DDF"/>
    <w:rsid w:val="00C50EB4"/>
    <w:rsid w:val="00C519DA"/>
    <w:rsid w:val="00C51B41"/>
    <w:rsid w:val="00C51C9D"/>
    <w:rsid w:val="00C5212F"/>
    <w:rsid w:val="00C5255A"/>
    <w:rsid w:val="00C528D9"/>
    <w:rsid w:val="00C52E52"/>
    <w:rsid w:val="00C52FF7"/>
    <w:rsid w:val="00C53EBC"/>
    <w:rsid w:val="00C53F54"/>
    <w:rsid w:val="00C5407D"/>
    <w:rsid w:val="00C54944"/>
    <w:rsid w:val="00C55136"/>
    <w:rsid w:val="00C56764"/>
    <w:rsid w:val="00C60580"/>
    <w:rsid w:val="00C605AF"/>
    <w:rsid w:val="00C60991"/>
    <w:rsid w:val="00C60C79"/>
    <w:rsid w:val="00C60E4C"/>
    <w:rsid w:val="00C617B7"/>
    <w:rsid w:val="00C61B52"/>
    <w:rsid w:val="00C62240"/>
    <w:rsid w:val="00C63234"/>
    <w:rsid w:val="00C633F4"/>
    <w:rsid w:val="00C65441"/>
    <w:rsid w:val="00C656CA"/>
    <w:rsid w:val="00C6592C"/>
    <w:rsid w:val="00C66BE0"/>
    <w:rsid w:val="00C66D99"/>
    <w:rsid w:val="00C6738E"/>
    <w:rsid w:val="00C70459"/>
    <w:rsid w:val="00C718EC"/>
    <w:rsid w:val="00C7250C"/>
    <w:rsid w:val="00C73728"/>
    <w:rsid w:val="00C73F1E"/>
    <w:rsid w:val="00C756C3"/>
    <w:rsid w:val="00C756E0"/>
    <w:rsid w:val="00C76414"/>
    <w:rsid w:val="00C7656E"/>
    <w:rsid w:val="00C76D93"/>
    <w:rsid w:val="00C805C2"/>
    <w:rsid w:val="00C80967"/>
    <w:rsid w:val="00C80DB8"/>
    <w:rsid w:val="00C825D1"/>
    <w:rsid w:val="00C84510"/>
    <w:rsid w:val="00C8488E"/>
    <w:rsid w:val="00C855DF"/>
    <w:rsid w:val="00C8671D"/>
    <w:rsid w:val="00C87B5A"/>
    <w:rsid w:val="00C905F9"/>
    <w:rsid w:val="00C91024"/>
    <w:rsid w:val="00C91940"/>
    <w:rsid w:val="00C91ED2"/>
    <w:rsid w:val="00C9284F"/>
    <w:rsid w:val="00C92CA0"/>
    <w:rsid w:val="00C932C4"/>
    <w:rsid w:val="00C93533"/>
    <w:rsid w:val="00C94A13"/>
    <w:rsid w:val="00C94E6E"/>
    <w:rsid w:val="00C953E4"/>
    <w:rsid w:val="00C959A6"/>
    <w:rsid w:val="00C97CE5"/>
    <w:rsid w:val="00CA023A"/>
    <w:rsid w:val="00CA0BA2"/>
    <w:rsid w:val="00CA12E5"/>
    <w:rsid w:val="00CA155B"/>
    <w:rsid w:val="00CA18BE"/>
    <w:rsid w:val="00CA2251"/>
    <w:rsid w:val="00CA3067"/>
    <w:rsid w:val="00CA5330"/>
    <w:rsid w:val="00CA587B"/>
    <w:rsid w:val="00CA61E3"/>
    <w:rsid w:val="00CA6FF8"/>
    <w:rsid w:val="00CB02A5"/>
    <w:rsid w:val="00CB06CD"/>
    <w:rsid w:val="00CB142A"/>
    <w:rsid w:val="00CB1B66"/>
    <w:rsid w:val="00CB259D"/>
    <w:rsid w:val="00CB26C3"/>
    <w:rsid w:val="00CB3743"/>
    <w:rsid w:val="00CB4279"/>
    <w:rsid w:val="00CB6091"/>
    <w:rsid w:val="00CB71BE"/>
    <w:rsid w:val="00CB7C35"/>
    <w:rsid w:val="00CB7D02"/>
    <w:rsid w:val="00CC1542"/>
    <w:rsid w:val="00CC1AB2"/>
    <w:rsid w:val="00CC2797"/>
    <w:rsid w:val="00CC2861"/>
    <w:rsid w:val="00CC3C01"/>
    <w:rsid w:val="00CC3D0C"/>
    <w:rsid w:val="00CC4630"/>
    <w:rsid w:val="00CC509F"/>
    <w:rsid w:val="00CC5ACB"/>
    <w:rsid w:val="00CC6CA4"/>
    <w:rsid w:val="00CC6FEA"/>
    <w:rsid w:val="00CC7973"/>
    <w:rsid w:val="00CD00CF"/>
    <w:rsid w:val="00CD0563"/>
    <w:rsid w:val="00CD0BAE"/>
    <w:rsid w:val="00CD1AF3"/>
    <w:rsid w:val="00CD1CA7"/>
    <w:rsid w:val="00CD2A01"/>
    <w:rsid w:val="00CD2EC2"/>
    <w:rsid w:val="00CD3FDA"/>
    <w:rsid w:val="00CD4FB1"/>
    <w:rsid w:val="00CD5795"/>
    <w:rsid w:val="00CD5F47"/>
    <w:rsid w:val="00CD6850"/>
    <w:rsid w:val="00CD6B90"/>
    <w:rsid w:val="00CD6BC3"/>
    <w:rsid w:val="00CE0C87"/>
    <w:rsid w:val="00CE129D"/>
    <w:rsid w:val="00CE13CE"/>
    <w:rsid w:val="00CE2766"/>
    <w:rsid w:val="00CE350D"/>
    <w:rsid w:val="00CE4198"/>
    <w:rsid w:val="00CE51AC"/>
    <w:rsid w:val="00CE6621"/>
    <w:rsid w:val="00CE6AD0"/>
    <w:rsid w:val="00CE798B"/>
    <w:rsid w:val="00CE7CB6"/>
    <w:rsid w:val="00CF1011"/>
    <w:rsid w:val="00CF2CF9"/>
    <w:rsid w:val="00CF2EAC"/>
    <w:rsid w:val="00CF337E"/>
    <w:rsid w:val="00CF37F0"/>
    <w:rsid w:val="00CF3CF7"/>
    <w:rsid w:val="00CF415B"/>
    <w:rsid w:val="00CF4CEC"/>
    <w:rsid w:val="00CF5180"/>
    <w:rsid w:val="00CF5A64"/>
    <w:rsid w:val="00CF5B68"/>
    <w:rsid w:val="00CF6181"/>
    <w:rsid w:val="00CF6623"/>
    <w:rsid w:val="00CF69CE"/>
    <w:rsid w:val="00CF6CF4"/>
    <w:rsid w:val="00CF733B"/>
    <w:rsid w:val="00CF73C2"/>
    <w:rsid w:val="00D013F8"/>
    <w:rsid w:val="00D02AD6"/>
    <w:rsid w:val="00D0460B"/>
    <w:rsid w:val="00D04634"/>
    <w:rsid w:val="00D051DE"/>
    <w:rsid w:val="00D0612B"/>
    <w:rsid w:val="00D07675"/>
    <w:rsid w:val="00D10E5A"/>
    <w:rsid w:val="00D114B9"/>
    <w:rsid w:val="00D116A1"/>
    <w:rsid w:val="00D11775"/>
    <w:rsid w:val="00D11D6D"/>
    <w:rsid w:val="00D12D9D"/>
    <w:rsid w:val="00D12E1D"/>
    <w:rsid w:val="00D13569"/>
    <w:rsid w:val="00D13692"/>
    <w:rsid w:val="00D13B10"/>
    <w:rsid w:val="00D13BF1"/>
    <w:rsid w:val="00D13EA2"/>
    <w:rsid w:val="00D14BF9"/>
    <w:rsid w:val="00D150F0"/>
    <w:rsid w:val="00D16D8D"/>
    <w:rsid w:val="00D17483"/>
    <w:rsid w:val="00D17535"/>
    <w:rsid w:val="00D2026C"/>
    <w:rsid w:val="00D20E16"/>
    <w:rsid w:val="00D2285F"/>
    <w:rsid w:val="00D22FD1"/>
    <w:rsid w:val="00D23AF7"/>
    <w:rsid w:val="00D241EE"/>
    <w:rsid w:val="00D24F9E"/>
    <w:rsid w:val="00D257AA"/>
    <w:rsid w:val="00D25D47"/>
    <w:rsid w:val="00D265D8"/>
    <w:rsid w:val="00D2726E"/>
    <w:rsid w:val="00D27940"/>
    <w:rsid w:val="00D31851"/>
    <w:rsid w:val="00D32965"/>
    <w:rsid w:val="00D32FDF"/>
    <w:rsid w:val="00D34443"/>
    <w:rsid w:val="00D358CD"/>
    <w:rsid w:val="00D35A12"/>
    <w:rsid w:val="00D35FA6"/>
    <w:rsid w:val="00D3608F"/>
    <w:rsid w:val="00D3679B"/>
    <w:rsid w:val="00D404AC"/>
    <w:rsid w:val="00D41091"/>
    <w:rsid w:val="00D4189D"/>
    <w:rsid w:val="00D433B9"/>
    <w:rsid w:val="00D43C4A"/>
    <w:rsid w:val="00D44067"/>
    <w:rsid w:val="00D44175"/>
    <w:rsid w:val="00D449E0"/>
    <w:rsid w:val="00D44E20"/>
    <w:rsid w:val="00D451B1"/>
    <w:rsid w:val="00D4648A"/>
    <w:rsid w:val="00D50538"/>
    <w:rsid w:val="00D51480"/>
    <w:rsid w:val="00D52495"/>
    <w:rsid w:val="00D536D5"/>
    <w:rsid w:val="00D54145"/>
    <w:rsid w:val="00D543B5"/>
    <w:rsid w:val="00D55753"/>
    <w:rsid w:val="00D559D1"/>
    <w:rsid w:val="00D55F96"/>
    <w:rsid w:val="00D5609A"/>
    <w:rsid w:val="00D57142"/>
    <w:rsid w:val="00D5769D"/>
    <w:rsid w:val="00D57C0C"/>
    <w:rsid w:val="00D57DED"/>
    <w:rsid w:val="00D57E23"/>
    <w:rsid w:val="00D57E74"/>
    <w:rsid w:val="00D618A2"/>
    <w:rsid w:val="00D618AD"/>
    <w:rsid w:val="00D622E3"/>
    <w:rsid w:val="00D63309"/>
    <w:rsid w:val="00D634D0"/>
    <w:rsid w:val="00D63A17"/>
    <w:rsid w:val="00D640FC"/>
    <w:rsid w:val="00D64747"/>
    <w:rsid w:val="00D664A1"/>
    <w:rsid w:val="00D66D57"/>
    <w:rsid w:val="00D66F16"/>
    <w:rsid w:val="00D67948"/>
    <w:rsid w:val="00D714DA"/>
    <w:rsid w:val="00D724D4"/>
    <w:rsid w:val="00D72C35"/>
    <w:rsid w:val="00D73061"/>
    <w:rsid w:val="00D73475"/>
    <w:rsid w:val="00D73812"/>
    <w:rsid w:val="00D73B58"/>
    <w:rsid w:val="00D7463A"/>
    <w:rsid w:val="00D75026"/>
    <w:rsid w:val="00D75DA7"/>
    <w:rsid w:val="00D76570"/>
    <w:rsid w:val="00D76664"/>
    <w:rsid w:val="00D76F8C"/>
    <w:rsid w:val="00D807D0"/>
    <w:rsid w:val="00D80D4C"/>
    <w:rsid w:val="00D8155D"/>
    <w:rsid w:val="00D820C9"/>
    <w:rsid w:val="00D820F4"/>
    <w:rsid w:val="00D82721"/>
    <w:rsid w:val="00D83065"/>
    <w:rsid w:val="00D838B6"/>
    <w:rsid w:val="00D861EB"/>
    <w:rsid w:val="00D86A25"/>
    <w:rsid w:val="00D86C0C"/>
    <w:rsid w:val="00D87C12"/>
    <w:rsid w:val="00D90396"/>
    <w:rsid w:val="00D9107C"/>
    <w:rsid w:val="00D918E5"/>
    <w:rsid w:val="00D91990"/>
    <w:rsid w:val="00D93543"/>
    <w:rsid w:val="00D93774"/>
    <w:rsid w:val="00D93BF9"/>
    <w:rsid w:val="00D93EA9"/>
    <w:rsid w:val="00D94E69"/>
    <w:rsid w:val="00D9774D"/>
    <w:rsid w:val="00D97A61"/>
    <w:rsid w:val="00D97CC5"/>
    <w:rsid w:val="00DA0507"/>
    <w:rsid w:val="00DA3458"/>
    <w:rsid w:val="00DA3CEA"/>
    <w:rsid w:val="00DA4061"/>
    <w:rsid w:val="00DA417D"/>
    <w:rsid w:val="00DA4370"/>
    <w:rsid w:val="00DA4DF8"/>
    <w:rsid w:val="00DA5065"/>
    <w:rsid w:val="00DA62F0"/>
    <w:rsid w:val="00DA6B9E"/>
    <w:rsid w:val="00DA76B7"/>
    <w:rsid w:val="00DA7A7A"/>
    <w:rsid w:val="00DA7AF4"/>
    <w:rsid w:val="00DB01C5"/>
    <w:rsid w:val="00DB06A4"/>
    <w:rsid w:val="00DB0E76"/>
    <w:rsid w:val="00DB197E"/>
    <w:rsid w:val="00DB45BE"/>
    <w:rsid w:val="00DB471C"/>
    <w:rsid w:val="00DB4EEC"/>
    <w:rsid w:val="00DB57C8"/>
    <w:rsid w:val="00DB5864"/>
    <w:rsid w:val="00DB5938"/>
    <w:rsid w:val="00DC0D79"/>
    <w:rsid w:val="00DC1D47"/>
    <w:rsid w:val="00DC1DD2"/>
    <w:rsid w:val="00DC232C"/>
    <w:rsid w:val="00DC2538"/>
    <w:rsid w:val="00DC25DE"/>
    <w:rsid w:val="00DC3205"/>
    <w:rsid w:val="00DC34CD"/>
    <w:rsid w:val="00DC3AE4"/>
    <w:rsid w:val="00DC4997"/>
    <w:rsid w:val="00DC4EAD"/>
    <w:rsid w:val="00DC5676"/>
    <w:rsid w:val="00DC5966"/>
    <w:rsid w:val="00DC6A56"/>
    <w:rsid w:val="00DD086F"/>
    <w:rsid w:val="00DD32C7"/>
    <w:rsid w:val="00DD34ED"/>
    <w:rsid w:val="00DD39EB"/>
    <w:rsid w:val="00DD4F1A"/>
    <w:rsid w:val="00DD664B"/>
    <w:rsid w:val="00DD6B3F"/>
    <w:rsid w:val="00DD7748"/>
    <w:rsid w:val="00DD79BC"/>
    <w:rsid w:val="00DD7CC5"/>
    <w:rsid w:val="00DE056F"/>
    <w:rsid w:val="00DE24DC"/>
    <w:rsid w:val="00DE2A40"/>
    <w:rsid w:val="00DE2E9A"/>
    <w:rsid w:val="00DE3496"/>
    <w:rsid w:val="00DE3FB1"/>
    <w:rsid w:val="00DE4DF2"/>
    <w:rsid w:val="00DE4F84"/>
    <w:rsid w:val="00DE55BE"/>
    <w:rsid w:val="00DE59B1"/>
    <w:rsid w:val="00DE5E57"/>
    <w:rsid w:val="00DE5F86"/>
    <w:rsid w:val="00DE7366"/>
    <w:rsid w:val="00DF037C"/>
    <w:rsid w:val="00DF102A"/>
    <w:rsid w:val="00DF105D"/>
    <w:rsid w:val="00DF1B42"/>
    <w:rsid w:val="00DF3FF5"/>
    <w:rsid w:val="00DF408F"/>
    <w:rsid w:val="00DF464B"/>
    <w:rsid w:val="00DF5552"/>
    <w:rsid w:val="00DF5B0F"/>
    <w:rsid w:val="00DF6932"/>
    <w:rsid w:val="00DF7328"/>
    <w:rsid w:val="00DF7DA6"/>
    <w:rsid w:val="00E0042C"/>
    <w:rsid w:val="00E01543"/>
    <w:rsid w:val="00E033DB"/>
    <w:rsid w:val="00E03636"/>
    <w:rsid w:val="00E03747"/>
    <w:rsid w:val="00E04B67"/>
    <w:rsid w:val="00E04D52"/>
    <w:rsid w:val="00E0507B"/>
    <w:rsid w:val="00E067E3"/>
    <w:rsid w:val="00E06E0B"/>
    <w:rsid w:val="00E07BD0"/>
    <w:rsid w:val="00E10B1A"/>
    <w:rsid w:val="00E10D96"/>
    <w:rsid w:val="00E1117E"/>
    <w:rsid w:val="00E11384"/>
    <w:rsid w:val="00E115ED"/>
    <w:rsid w:val="00E12B7B"/>
    <w:rsid w:val="00E131E9"/>
    <w:rsid w:val="00E13F87"/>
    <w:rsid w:val="00E1406D"/>
    <w:rsid w:val="00E14076"/>
    <w:rsid w:val="00E14398"/>
    <w:rsid w:val="00E1518A"/>
    <w:rsid w:val="00E161DB"/>
    <w:rsid w:val="00E2165F"/>
    <w:rsid w:val="00E21E6C"/>
    <w:rsid w:val="00E23CDC"/>
    <w:rsid w:val="00E23FC1"/>
    <w:rsid w:val="00E24864"/>
    <w:rsid w:val="00E24BB6"/>
    <w:rsid w:val="00E25CBD"/>
    <w:rsid w:val="00E26994"/>
    <w:rsid w:val="00E27338"/>
    <w:rsid w:val="00E27ED6"/>
    <w:rsid w:val="00E30B82"/>
    <w:rsid w:val="00E3148A"/>
    <w:rsid w:val="00E31736"/>
    <w:rsid w:val="00E31EFF"/>
    <w:rsid w:val="00E348EC"/>
    <w:rsid w:val="00E35B38"/>
    <w:rsid w:val="00E362E0"/>
    <w:rsid w:val="00E3656A"/>
    <w:rsid w:val="00E36BEB"/>
    <w:rsid w:val="00E36C46"/>
    <w:rsid w:val="00E375C7"/>
    <w:rsid w:val="00E3761B"/>
    <w:rsid w:val="00E3782F"/>
    <w:rsid w:val="00E40434"/>
    <w:rsid w:val="00E40671"/>
    <w:rsid w:val="00E40BAB"/>
    <w:rsid w:val="00E4162A"/>
    <w:rsid w:val="00E41B18"/>
    <w:rsid w:val="00E41C9E"/>
    <w:rsid w:val="00E430ED"/>
    <w:rsid w:val="00E434FB"/>
    <w:rsid w:val="00E436E5"/>
    <w:rsid w:val="00E437DD"/>
    <w:rsid w:val="00E43E44"/>
    <w:rsid w:val="00E444DD"/>
    <w:rsid w:val="00E44A8E"/>
    <w:rsid w:val="00E46124"/>
    <w:rsid w:val="00E469AF"/>
    <w:rsid w:val="00E47DFF"/>
    <w:rsid w:val="00E50640"/>
    <w:rsid w:val="00E509B2"/>
    <w:rsid w:val="00E50E5D"/>
    <w:rsid w:val="00E518C0"/>
    <w:rsid w:val="00E51C7F"/>
    <w:rsid w:val="00E5318D"/>
    <w:rsid w:val="00E550F4"/>
    <w:rsid w:val="00E5532E"/>
    <w:rsid w:val="00E566D7"/>
    <w:rsid w:val="00E56836"/>
    <w:rsid w:val="00E56C86"/>
    <w:rsid w:val="00E575CB"/>
    <w:rsid w:val="00E5767D"/>
    <w:rsid w:val="00E576F1"/>
    <w:rsid w:val="00E57CC4"/>
    <w:rsid w:val="00E57DBB"/>
    <w:rsid w:val="00E6019C"/>
    <w:rsid w:val="00E60390"/>
    <w:rsid w:val="00E605C0"/>
    <w:rsid w:val="00E60679"/>
    <w:rsid w:val="00E608B5"/>
    <w:rsid w:val="00E611A4"/>
    <w:rsid w:val="00E61AF1"/>
    <w:rsid w:val="00E624F7"/>
    <w:rsid w:val="00E64498"/>
    <w:rsid w:val="00E64F3E"/>
    <w:rsid w:val="00E650B3"/>
    <w:rsid w:val="00E65C3D"/>
    <w:rsid w:val="00E65F72"/>
    <w:rsid w:val="00E66093"/>
    <w:rsid w:val="00E6615A"/>
    <w:rsid w:val="00E6749C"/>
    <w:rsid w:val="00E67FB3"/>
    <w:rsid w:val="00E70BC2"/>
    <w:rsid w:val="00E7130D"/>
    <w:rsid w:val="00E72230"/>
    <w:rsid w:val="00E73CCB"/>
    <w:rsid w:val="00E74347"/>
    <w:rsid w:val="00E74A49"/>
    <w:rsid w:val="00E74E07"/>
    <w:rsid w:val="00E75061"/>
    <w:rsid w:val="00E75735"/>
    <w:rsid w:val="00E758EF"/>
    <w:rsid w:val="00E75A1D"/>
    <w:rsid w:val="00E77D9B"/>
    <w:rsid w:val="00E8045A"/>
    <w:rsid w:val="00E81B6E"/>
    <w:rsid w:val="00E829BD"/>
    <w:rsid w:val="00E837BF"/>
    <w:rsid w:val="00E83A88"/>
    <w:rsid w:val="00E84184"/>
    <w:rsid w:val="00E8472A"/>
    <w:rsid w:val="00E863B0"/>
    <w:rsid w:val="00E864AD"/>
    <w:rsid w:val="00E874A2"/>
    <w:rsid w:val="00E878D8"/>
    <w:rsid w:val="00E87B0A"/>
    <w:rsid w:val="00E90964"/>
    <w:rsid w:val="00E913DC"/>
    <w:rsid w:val="00E91954"/>
    <w:rsid w:val="00E922EC"/>
    <w:rsid w:val="00E92AC8"/>
    <w:rsid w:val="00E9302F"/>
    <w:rsid w:val="00E94CF4"/>
    <w:rsid w:val="00E9568F"/>
    <w:rsid w:val="00E95773"/>
    <w:rsid w:val="00E95A10"/>
    <w:rsid w:val="00E95C9E"/>
    <w:rsid w:val="00E95CF3"/>
    <w:rsid w:val="00E95E93"/>
    <w:rsid w:val="00E96215"/>
    <w:rsid w:val="00E96654"/>
    <w:rsid w:val="00E9793D"/>
    <w:rsid w:val="00E97D50"/>
    <w:rsid w:val="00EA1A98"/>
    <w:rsid w:val="00EA1FA3"/>
    <w:rsid w:val="00EA1FB7"/>
    <w:rsid w:val="00EA2BF8"/>
    <w:rsid w:val="00EA3456"/>
    <w:rsid w:val="00EA3651"/>
    <w:rsid w:val="00EA45BB"/>
    <w:rsid w:val="00EA509D"/>
    <w:rsid w:val="00EA59F1"/>
    <w:rsid w:val="00EA6C1F"/>
    <w:rsid w:val="00EA7C0E"/>
    <w:rsid w:val="00EB147F"/>
    <w:rsid w:val="00EB1F6E"/>
    <w:rsid w:val="00EB26DB"/>
    <w:rsid w:val="00EB3571"/>
    <w:rsid w:val="00EB3CA8"/>
    <w:rsid w:val="00EB43E1"/>
    <w:rsid w:val="00EB4F7E"/>
    <w:rsid w:val="00EB56D1"/>
    <w:rsid w:val="00EC103B"/>
    <w:rsid w:val="00EC25A9"/>
    <w:rsid w:val="00EC2DC1"/>
    <w:rsid w:val="00EC3192"/>
    <w:rsid w:val="00EC4543"/>
    <w:rsid w:val="00EC4888"/>
    <w:rsid w:val="00EC5392"/>
    <w:rsid w:val="00EC5397"/>
    <w:rsid w:val="00EC54B9"/>
    <w:rsid w:val="00EC5708"/>
    <w:rsid w:val="00EC5C21"/>
    <w:rsid w:val="00EC606B"/>
    <w:rsid w:val="00EC6B4C"/>
    <w:rsid w:val="00EC7712"/>
    <w:rsid w:val="00EC7925"/>
    <w:rsid w:val="00EC7FE2"/>
    <w:rsid w:val="00ED0547"/>
    <w:rsid w:val="00ED05D1"/>
    <w:rsid w:val="00ED1542"/>
    <w:rsid w:val="00ED173D"/>
    <w:rsid w:val="00ED2435"/>
    <w:rsid w:val="00ED2734"/>
    <w:rsid w:val="00ED403D"/>
    <w:rsid w:val="00ED42FF"/>
    <w:rsid w:val="00ED4633"/>
    <w:rsid w:val="00ED504F"/>
    <w:rsid w:val="00ED5694"/>
    <w:rsid w:val="00ED6560"/>
    <w:rsid w:val="00ED6747"/>
    <w:rsid w:val="00ED683E"/>
    <w:rsid w:val="00ED6C83"/>
    <w:rsid w:val="00EE1770"/>
    <w:rsid w:val="00EE2AA5"/>
    <w:rsid w:val="00EE2B2A"/>
    <w:rsid w:val="00EE38C6"/>
    <w:rsid w:val="00EE3DB2"/>
    <w:rsid w:val="00EE44FE"/>
    <w:rsid w:val="00EE4906"/>
    <w:rsid w:val="00EE497F"/>
    <w:rsid w:val="00EE50E2"/>
    <w:rsid w:val="00EE7959"/>
    <w:rsid w:val="00EF12C4"/>
    <w:rsid w:val="00EF1717"/>
    <w:rsid w:val="00EF1788"/>
    <w:rsid w:val="00EF22EB"/>
    <w:rsid w:val="00EF2C12"/>
    <w:rsid w:val="00EF406B"/>
    <w:rsid w:val="00EF4644"/>
    <w:rsid w:val="00EF48E5"/>
    <w:rsid w:val="00EF4F42"/>
    <w:rsid w:val="00EF5F80"/>
    <w:rsid w:val="00EF7A15"/>
    <w:rsid w:val="00F00A70"/>
    <w:rsid w:val="00F00B38"/>
    <w:rsid w:val="00F017C5"/>
    <w:rsid w:val="00F019CA"/>
    <w:rsid w:val="00F019D5"/>
    <w:rsid w:val="00F0295B"/>
    <w:rsid w:val="00F036A4"/>
    <w:rsid w:val="00F05910"/>
    <w:rsid w:val="00F1007A"/>
    <w:rsid w:val="00F116FB"/>
    <w:rsid w:val="00F121C0"/>
    <w:rsid w:val="00F12568"/>
    <w:rsid w:val="00F132F7"/>
    <w:rsid w:val="00F13315"/>
    <w:rsid w:val="00F13675"/>
    <w:rsid w:val="00F13762"/>
    <w:rsid w:val="00F14537"/>
    <w:rsid w:val="00F14754"/>
    <w:rsid w:val="00F14C9C"/>
    <w:rsid w:val="00F15218"/>
    <w:rsid w:val="00F15F33"/>
    <w:rsid w:val="00F1606C"/>
    <w:rsid w:val="00F16094"/>
    <w:rsid w:val="00F161D0"/>
    <w:rsid w:val="00F16324"/>
    <w:rsid w:val="00F165E4"/>
    <w:rsid w:val="00F16C41"/>
    <w:rsid w:val="00F16FC7"/>
    <w:rsid w:val="00F2045A"/>
    <w:rsid w:val="00F21E20"/>
    <w:rsid w:val="00F21EB5"/>
    <w:rsid w:val="00F22A56"/>
    <w:rsid w:val="00F23115"/>
    <w:rsid w:val="00F24D06"/>
    <w:rsid w:val="00F26570"/>
    <w:rsid w:val="00F27050"/>
    <w:rsid w:val="00F30E37"/>
    <w:rsid w:val="00F310A1"/>
    <w:rsid w:val="00F352F8"/>
    <w:rsid w:val="00F356E3"/>
    <w:rsid w:val="00F35D4B"/>
    <w:rsid w:val="00F35D5E"/>
    <w:rsid w:val="00F3623C"/>
    <w:rsid w:val="00F36731"/>
    <w:rsid w:val="00F36A6E"/>
    <w:rsid w:val="00F376C8"/>
    <w:rsid w:val="00F401CB"/>
    <w:rsid w:val="00F405F3"/>
    <w:rsid w:val="00F40B0C"/>
    <w:rsid w:val="00F413C6"/>
    <w:rsid w:val="00F4178E"/>
    <w:rsid w:val="00F42380"/>
    <w:rsid w:val="00F44B00"/>
    <w:rsid w:val="00F45813"/>
    <w:rsid w:val="00F4628D"/>
    <w:rsid w:val="00F466F9"/>
    <w:rsid w:val="00F47862"/>
    <w:rsid w:val="00F50281"/>
    <w:rsid w:val="00F50674"/>
    <w:rsid w:val="00F50957"/>
    <w:rsid w:val="00F50FCB"/>
    <w:rsid w:val="00F51519"/>
    <w:rsid w:val="00F5243E"/>
    <w:rsid w:val="00F535AC"/>
    <w:rsid w:val="00F54EC5"/>
    <w:rsid w:val="00F57013"/>
    <w:rsid w:val="00F6067B"/>
    <w:rsid w:val="00F607C3"/>
    <w:rsid w:val="00F60DF1"/>
    <w:rsid w:val="00F612A4"/>
    <w:rsid w:val="00F612C2"/>
    <w:rsid w:val="00F61AA4"/>
    <w:rsid w:val="00F61C48"/>
    <w:rsid w:val="00F622A9"/>
    <w:rsid w:val="00F626CC"/>
    <w:rsid w:val="00F6336F"/>
    <w:rsid w:val="00F63391"/>
    <w:rsid w:val="00F63BB4"/>
    <w:rsid w:val="00F63FDE"/>
    <w:rsid w:val="00F6483A"/>
    <w:rsid w:val="00F64A35"/>
    <w:rsid w:val="00F66726"/>
    <w:rsid w:val="00F672BD"/>
    <w:rsid w:val="00F7039E"/>
    <w:rsid w:val="00F70B1D"/>
    <w:rsid w:val="00F713D4"/>
    <w:rsid w:val="00F73609"/>
    <w:rsid w:val="00F74087"/>
    <w:rsid w:val="00F743FC"/>
    <w:rsid w:val="00F747B6"/>
    <w:rsid w:val="00F752D4"/>
    <w:rsid w:val="00F7530A"/>
    <w:rsid w:val="00F7688D"/>
    <w:rsid w:val="00F76925"/>
    <w:rsid w:val="00F76CE1"/>
    <w:rsid w:val="00F80430"/>
    <w:rsid w:val="00F80778"/>
    <w:rsid w:val="00F80C10"/>
    <w:rsid w:val="00F814CD"/>
    <w:rsid w:val="00F82B30"/>
    <w:rsid w:val="00F83ADC"/>
    <w:rsid w:val="00F83B7F"/>
    <w:rsid w:val="00F8412D"/>
    <w:rsid w:val="00F847F9"/>
    <w:rsid w:val="00F84AF0"/>
    <w:rsid w:val="00F865B5"/>
    <w:rsid w:val="00F86BF1"/>
    <w:rsid w:val="00F86EEB"/>
    <w:rsid w:val="00F87364"/>
    <w:rsid w:val="00F87EFC"/>
    <w:rsid w:val="00F9048D"/>
    <w:rsid w:val="00F91F96"/>
    <w:rsid w:val="00F92AF7"/>
    <w:rsid w:val="00F941B0"/>
    <w:rsid w:val="00F9425E"/>
    <w:rsid w:val="00F94CCF"/>
    <w:rsid w:val="00F94E1D"/>
    <w:rsid w:val="00F96CE6"/>
    <w:rsid w:val="00F97B57"/>
    <w:rsid w:val="00FA0DC0"/>
    <w:rsid w:val="00FA11DA"/>
    <w:rsid w:val="00FA2B14"/>
    <w:rsid w:val="00FA2E42"/>
    <w:rsid w:val="00FA3ADE"/>
    <w:rsid w:val="00FA4076"/>
    <w:rsid w:val="00FA469B"/>
    <w:rsid w:val="00FA473A"/>
    <w:rsid w:val="00FA4BA0"/>
    <w:rsid w:val="00FA5A45"/>
    <w:rsid w:val="00FA620A"/>
    <w:rsid w:val="00FA737C"/>
    <w:rsid w:val="00FA7647"/>
    <w:rsid w:val="00FB055B"/>
    <w:rsid w:val="00FB0EDA"/>
    <w:rsid w:val="00FB13E5"/>
    <w:rsid w:val="00FB169E"/>
    <w:rsid w:val="00FB2242"/>
    <w:rsid w:val="00FB237B"/>
    <w:rsid w:val="00FB261A"/>
    <w:rsid w:val="00FB3876"/>
    <w:rsid w:val="00FB41ED"/>
    <w:rsid w:val="00FB424F"/>
    <w:rsid w:val="00FB437D"/>
    <w:rsid w:val="00FB4482"/>
    <w:rsid w:val="00FB4572"/>
    <w:rsid w:val="00FB4F66"/>
    <w:rsid w:val="00FB5405"/>
    <w:rsid w:val="00FB54D8"/>
    <w:rsid w:val="00FB73C2"/>
    <w:rsid w:val="00FB7D42"/>
    <w:rsid w:val="00FC0620"/>
    <w:rsid w:val="00FC0675"/>
    <w:rsid w:val="00FC0D98"/>
    <w:rsid w:val="00FC1890"/>
    <w:rsid w:val="00FC2336"/>
    <w:rsid w:val="00FC486C"/>
    <w:rsid w:val="00FC5BA9"/>
    <w:rsid w:val="00FC6239"/>
    <w:rsid w:val="00FC6911"/>
    <w:rsid w:val="00FC750D"/>
    <w:rsid w:val="00FC791E"/>
    <w:rsid w:val="00FD0108"/>
    <w:rsid w:val="00FD05DB"/>
    <w:rsid w:val="00FD0EB1"/>
    <w:rsid w:val="00FD1923"/>
    <w:rsid w:val="00FD19E1"/>
    <w:rsid w:val="00FD2480"/>
    <w:rsid w:val="00FD3296"/>
    <w:rsid w:val="00FD5B8F"/>
    <w:rsid w:val="00FD6816"/>
    <w:rsid w:val="00FD7541"/>
    <w:rsid w:val="00FD7DCD"/>
    <w:rsid w:val="00FE0664"/>
    <w:rsid w:val="00FE159A"/>
    <w:rsid w:val="00FE40CA"/>
    <w:rsid w:val="00FE4850"/>
    <w:rsid w:val="00FE529D"/>
    <w:rsid w:val="00FE5680"/>
    <w:rsid w:val="00FE5A3A"/>
    <w:rsid w:val="00FE6321"/>
    <w:rsid w:val="00FE67B1"/>
    <w:rsid w:val="00FE67D8"/>
    <w:rsid w:val="00FE721A"/>
    <w:rsid w:val="00FE743F"/>
    <w:rsid w:val="00FE780E"/>
    <w:rsid w:val="00FE7A61"/>
    <w:rsid w:val="00FE7F6F"/>
    <w:rsid w:val="00FF0161"/>
    <w:rsid w:val="00FF14E6"/>
    <w:rsid w:val="00FF18B5"/>
    <w:rsid w:val="00FF1C61"/>
    <w:rsid w:val="00FF3373"/>
    <w:rsid w:val="00FF3E3D"/>
    <w:rsid w:val="00FF4136"/>
    <w:rsid w:val="00FF4CC5"/>
    <w:rsid w:val="00FF509A"/>
    <w:rsid w:val="00FF517F"/>
    <w:rsid w:val="00FF5666"/>
    <w:rsid w:val="00FF63CA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1A"/>
    <w:rPr>
      <w:b/>
      <w:bCs/>
      <w:sz w:val="24"/>
      <w:szCs w:val="24"/>
    </w:rPr>
  </w:style>
  <w:style w:type="paragraph" w:styleId="Titre1">
    <w:name w:val="heading 1"/>
    <w:basedOn w:val="Normal"/>
    <w:next w:val="Normal"/>
    <w:link w:val="Titre1Car1"/>
    <w:uiPriority w:val="99"/>
    <w:qFormat/>
    <w:rsid w:val="00605B3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5E47B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locked/>
    <w:rsid w:val="00605B3C"/>
    <w:rPr>
      <w:rFonts w:cs="Times New Roman"/>
      <w:sz w:val="24"/>
      <w:szCs w:val="24"/>
      <w:lang w:val="fr-FR" w:eastAsia="fr-FR" w:bidi="ar-SA"/>
    </w:rPr>
  </w:style>
  <w:style w:type="character" w:customStyle="1" w:styleId="CarCar38">
    <w:name w:val="Car Car38"/>
    <w:basedOn w:val="Policepardfaut"/>
    <w:uiPriority w:val="99"/>
    <w:semiHidden/>
    <w:locked/>
    <w:rsid w:val="00880C15"/>
    <w:rPr>
      <w:rFonts w:cs="Times New Roman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605B3C"/>
    <w:pPr>
      <w:tabs>
        <w:tab w:val="center" w:pos="4536"/>
        <w:tab w:val="right" w:pos="9072"/>
      </w:tabs>
    </w:pPr>
    <w:rPr>
      <w:b w:val="0"/>
      <w:bCs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05B3C"/>
    <w:rPr>
      <w:rFonts w:cs="Times New Roman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605B3C"/>
    <w:rPr>
      <w:b w:val="0"/>
      <w:bCs w:val="0"/>
      <w:sz w:val="20"/>
      <w:szCs w:val="20"/>
    </w:rPr>
  </w:style>
  <w:style w:type="character" w:customStyle="1" w:styleId="TitreCar">
    <w:name w:val="Titre Car"/>
    <w:basedOn w:val="Policepardfaut"/>
    <w:link w:val="Titre"/>
    <w:uiPriority w:val="99"/>
    <w:locked/>
    <w:rsid w:val="00605B3C"/>
    <w:rPr>
      <w:rFonts w:cs="Times New Roman"/>
      <w:b/>
      <w:bCs/>
      <w:sz w:val="28"/>
      <w:szCs w:val="28"/>
      <w:lang w:val="fr-FR" w:eastAsia="fr-FR" w:bidi="ar-SA"/>
    </w:rPr>
  </w:style>
  <w:style w:type="character" w:styleId="Appelnotedebasdep">
    <w:name w:val="footnote reference"/>
    <w:basedOn w:val="Policepardfaut"/>
    <w:uiPriority w:val="99"/>
    <w:rsid w:val="00605B3C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605B3C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605B3C"/>
    <w:pPr>
      <w:jc w:val="center"/>
    </w:pPr>
    <w:rPr>
      <w:sz w:val="28"/>
      <w:szCs w:val="28"/>
    </w:rPr>
  </w:style>
  <w:style w:type="paragraph" w:styleId="En-tte">
    <w:name w:val="header"/>
    <w:basedOn w:val="Normal"/>
    <w:link w:val="En-tteCar"/>
    <w:uiPriority w:val="99"/>
    <w:rsid w:val="00605B3C"/>
    <w:pPr>
      <w:tabs>
        <w:tab w:val="center" w:pos="4536"/>
        <w:tab w:val="right" w:pos="9072"/>
      </w:tabs>
    </w:pPr>
  </w:style>
  <w:style w:type="character" w:customStyle="1" w:styleId="Titre1Car1">
    <w:name w:val="Titre 1 Car1"/>
    <w:basedOn w:val="Policepardfaut"/>
    <w:link w:val="Titre1"/>
    <w:uiPriority w:val="99"/>
    <w:locked/>
    <w:rsid w:val="00605B3C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3C461D"/>
    <w:rPr>
      <w:b/>
      <w:bCs/>
      <w:sz w:val="24"/>
      <w:szCs w:val="24"/>
    </w:rPr>
  </w:style>
  <w:style w:type="character" w:customStyle="1" w:styleId="Titre1Car">
    <w:name w:val="Titre 1 Car"/>
    <w:basedOn w:val="Policepardfaut"/>
    <w:uiPriority w:val="99"/>
    <w:rsid w:val="00CB374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CarCar1">
    <w:name w:val="Car Car1"/>
    <w:basedOn w:val="Policepardfaut"/>
    <w:uiPriority w:val="99"/>
    <w:semiHidden/>
    <w:locked/>
    <w:rsid w:val="005E47B3"/>
    <w:rPr>
      <w:rFonts w:cs="Times New Roman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47B3"/>
    <w:rPr>
      <w:rFonts w:ascii="Cambria" w:hAnsi="Cambria" w:cs="Times New Roman"/>
      <w:b/>
      <w:bCs/>
      <w:sz w:val="26"/>
      <w:szCs w:val="26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rsid w:val="00D86C0C"/>
    <w:rPr>
      <w:sz w:val="20"/>
      <w:szCs w:val="20"/>
    </w:rPr>
  </w:style>
  <w:style w:type="character" w:styleId="Appeldenotedefin">
    <w:name w:val="endnote reference"/>
    <w:basedOn w:val="Policepardfaut"/>
    <w:uiPriority w:val="99"/>
    <w:rsid w:val="00D86C0C"/>
    <w:rPr>
      <w:rFonts w:cs="Times New Roman"/>
      <w:vertAlign w:val="superscript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D86C0C"/>
    <w:rPr>
      <w:rFonts w:cs="Times New Roman"/>
      <w:b/>
      <w:bCs/>
    </w:rPr>
  </w:style>
  <w:style w:type="character" w:customStyle="1" w:styleId="FootnoteTextChar">
    <w:name w:val="Footnote Text Char"/>
    <w:basedOn w:val="Policepardfaut"/>
    <w:uiPriority w:val="99"/>
    <w:semiHidden/>
    <w:locked/>
    <w:rsid w:val="008D051A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leChar">
    <w:name w:val="Title Char"/>
    <w:basedOn w:val="Policepardfaut"/>
    <w:uiPriority w:val="99"/>
    <w:locked/>
    <w:rsid w:val="008D051A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62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61D"/>
    <w:rPr>
      <w:rFonts w:ascii="Tahoma" w:hAnsi="Tahoma" w:cs="Tahoma"/>
      <w:b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5C3D"/>
    <w:pPr>
      <w:ind w:left="720"/>
      <w:contextualSpacing/>
    </w:pPr>
  </w:style>
  <w:style w:type="paragraph" w:styleId="NormalWeb">
    <w:name w:val="Normal (Web)"/>
    <w:basedOn w:val="Normal"/>
    <w:uiPriority w:val="99"/>
    <w:rsid w:val="00B7687C"/>
    <w:pPr>
      <w:spacing w:before="100" w:beforeAutospacing="1" w:after="100" w:afterAutospacing="1"/>
    </w:pPr>
    <w:rPr>
      <w:rFonts w:ascii="Verdana" w:hAnsi="Verdana"/>
      <w:b w:val="0"/>
      <w:bCs w:val="0"/>
      <w:color w:val="0000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AE86-06A2-4865-9A62-62862A2C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Rabat, le 3 février 2009</vt:lpstr>
    </vt:vector>
  </TitlesOfParts>
  <Company>HCP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Rabat, le 3 février 2009</dc:title>
  <dc:creator>elhousni hassan-HCP</dc:creator>
  <cp:lastModifiedBy>HCP</cp:lastModifiedBy>
  <cp:revision>2</cp:revision>
  <cp:lastPrinted>2013-06-18T18:49:00Z</cp:lastPrinted>
  <dcterms:created xsi:type="dcterms:W3CDTF">2020-07-12T15:59:00Z</dcterms:created>
  <dcterms:modified xsi:type="dcterms:W3CDTF">2020-07-12T15:59:00Z</dcterms:modified>
</cp:coreProperties>
</file>