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19" w:rsidRPr="00350051" w:rsidRDefault="00300C8F" w:rsidP="00FF1E19">
      <w:pPr>
        <w:jc w:val="center"/>
        <w:rPr>
          <w:rFonts w:ascii="Calibri" w:hAnsi="Calibri" w:cs="Calibri"/>
          <w:b/>
          <w:bCs/>
          <w:color w:val="FF9900"/>
        </w:rPr>
      </w:pPr>
      <w:r w:rsidRPr="00350051">
        <w:rPr>
          <w:rFonts w:ascii="Calibri" w:hAnsi="Calibri" w:cs="Calibri"/>
          <w:b/>
          <w:bCs/>
          <w:noProof/>
          <w:color w:val="FF9900"/>
        </w:rPr>
        <w:pict>
          <v:rect id="_x0000_s1026" style="position:absolute;left:0;text-align:left;margin-left:-102.55pt;margin-top:-75.6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76789328" r:id="rId9"/>
        </w:pict>
      </w:r>
    </w:p>
    <w:p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:rsidR="00FF1E19" w:rsidRPr="00350051" w:rsidRDefault="00FF1E19" w:rsidP="00FF1E19">
      <w:pPr>
        <w:jc w:val="center"/>
        <w:rPr>
          <w:rFonts w:ascii="Calibri" w:hAnsi="Calibri" w:cs="Calibri"/>
          <w:b/>
          <w:bCs/>
          <w:color w:val="FF9900"/>
        </w:rPr>
      </w:pPr>
    </w:p>
    <w:p w:rsidR="00C50D24" w:rsidRPr="00F40815" w:rsidRDefault="00C50D24" w:rsidP="00FF1E19">
      <w:pPr>
        <w:jc w:val="center"/>
        <w:rPr>
          <w:rFonts w:ascii="Calibri" w:hAnsi="Calibri" w:cs="Calibri"/>
          <w:b/>
          <w:bCs/>
          <w:color w:val="2F5496"/>
        </w:rPr>
      </w:pPr>
    </w:p>
    <w:p w:rsidR="0005210C" w:rsidRPr="00F40815" w:rsidRDefault="0005210C" w:rsidP="0005210C">
      <w:pPr>
        <w:pStyle w:val="Parag"/>
        <w:spacing w:after="0"/>
        <w:jc w:val="center"/>
        <w:rPr>
          <w:rFonts w:ascii="Calibri" w:hAnsi="Calibri" w:cs="Calibri"/>
          <w:b/>
          <w:bCs/>
          <w:smallCaps/>
          <w:color w:val="2F5496"/>
          <w:sz w:val="24"/>
          <w:szCs w:val="24"/>
        </w:rPr>
      </w:pPr>
      <w:r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t xml:space="preserve">NOTE D’INFORMATION </w:t>
      </w:r>
      <w:r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br/>
        <w:t xml:space="preserve">DU HAUT-COMMISSARIAT AU PLAN A L’OCCASION DE </w:t>
      </w:r>
      <w:r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br/>
        <w:t>LA JOURNÉE INTERNATIONALE DE</w:t>
      </w:r>
      <w:r w:rsidR="00CF2310"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t>S</w:t>
      </w:r>
      <w:r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t xml:space="preserve"> FEMME</w:t>
      </w:r>
      <w:r w:rsidR="00CF2310"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t>S</w:t>
      </w:r>
      <w:r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t xml:space="preserve"> DU 8 MARS 20</w:t>
      </w:r>
      <w:r w:rsidR="006C5568" w:rsidRPr="00F40815">
        <w:rPr>
          <w:rFonts w:ascii="Calibri" w:hAnsi="Calibri" w:cs="Calibri"/>
          <w:b/>
          <w:bCs/>
          <w:smallCaps/>
          <w:color w:val="2F5496"/>
          <w:sz w:val="24"/>
          <w:szCs w:val="24"/>
        </w:rPr>
        <w:t>2</w:t>
      </w:r>
      <w:r w:rsidR="00D64048" w:rsidRPr="00F40815">
        <w:rPr>
          <w:rFonts w:ascii="Calibri" w:hAnsi="Calibri" w:cs="Calibri"/>
          <w:b/>
          <w:bCs/>
          <w:smallCaps/>
          <w:color w:val="2F5496"/>
          <w:sz w:val="24"/>
          <w:szCs w:val="24"/>
          <w:rtl/>
        </w:rPr>
        <w:t>1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rPr>
          <w:rFonts w:ascii="Calibri" w:hAnsi="Calibri" w:cs="Calibri"/>
          <w:color w:val="1F1F1F"/>
        </w:rPr>
      </w:pPr>
    </w:p>
    <w:p w:rsidR="000F1563" w:rsidRPr="00350051" w:rsidRDefault="000F1563" w:rsidP="0005210C">
      <w:pPr>
        <w:autoSpaceDE w:val="0"/>
        <w:autoSpaceDN w:val="0"/>
        <w:adjustRightInd w:val="0"/>
        <w:snapToGrid w:val="0"/>
        <w:spacing w:before="120" w:after="120"/>
        <w:rPr>
          <w:rFonts w:ascii="Calibri" w:hAnsi="Calibri" w:cs="Calibri"/>
          <w:color w:val="1F1F1F"/>
        </w:rPr>
      </w:pPr>
    </w:p>
    <w:p w:rsidR="00555E9B" w:rsidRDefault="001B2B03" w:rsidP="009A3796">
      <w:pPr>
        <w:jc w:val="both"/>
      </w:pPr>
      <w:r w:rsidRPr="001B2B03">
        <w:t xml:space="preserve">A </w:t>
      </w:r>
      <w:r>
        <w:t>l’occasion</w:t>
      </w:r>
      <w:r w:rsidRPr="001B2B03">
        <w:t xml:space="preserve"> de la journée </w:t>
      </w:r>
      <w:r w:rsidR="00A54BD0">
        <w:t>internation</w:t>
      </w:r>
      <w:r w:rsidRPr="001B2B03">
        <w:t>ale de</w:t>
      </w:r>
      <w:r w:rsidR="00A54BD0">
        <w:t>s femmes</w:t>
      </w:r>
      <w:r w:rsidR="0099472A">
        <w:t xml:space="preserve"> de 2021</w:t>
      </w:r>
      <w:r w:rsidR="001D43B5">
        <w:t>,</w:t>
      </w:r>
      <w:r w:rsidR="0099472A">
        <w:t xml:space="preserve"> </w:t>
      </w:r>
      <w:r w:rsidR="003A39A7">
        <w:t>célébrée cette année,</w:t>
      </w:r>
      <w:r w:rsidR="0099472A">
        <w:t xml:space="preserve"> sous le thème</w:t>
      </w:r>
      <w:r w:rsidR="0099472A" w:rsidRPr="0099472A">
        <w:rPr>
          <w:rFonts w:ascii="Calibri" w:hAnsi="Calibri" w:cs="Calibri"/>
          <w:b/>
          <w:bCs/>
          <w:i/>
          <w:iCs/>
        </w:rPr>
        <w:t xml:space="preserve"> </w:t>
      </w:r>
      <w:r w:rsidR="0099472A" w:rsidRPr="00350051">
        <w:rPr>
          <w:rFonts w:ascii="Calibri" w:hAnsi="Calibri" w:cs="Calibri"/>
          <w:b/>
          <w:bCs/>
          <w:i/>
          <w:iCs/>
        </w:rPr>
        <w:t>« Leadership féminin : Pour un futur égalitaire dans le monde de la Covid-19 »</w:t>
      </w:r>
      <w:r w:rsidR="0099472A" w:rsidRPr="009E7DFD">
        <w:rPr>
          <w:rFonts w:ascii="Calibri" w:hAnsi="Calibri" w:cs="Calibri"/>
          <w:i/>
          <w:iCs/>
        </w:rPr>
        <w:t>,</w:t>
      </w:r>
      <w:r w:rsidRPr="001B2B03">
        <w:t xml:space="preserve"> le HCP</w:t>
      </w:r>
      <w:r w:rsidR="003A39A7">
        <w:t xml:space="preserve"> </w:t>
      </w:r>
      <w:r w:rsidR="00D144C2">
        <w:t>contribue</w:t>
      </w:r>
      <w:r w:rsidR="00A54BD0" w:rsidRPr="001B2B03">
        <w:t xml:space="preserve"> à l’hommage rendu </w:t>
      </w:r>
      <w:r w:rsidR="00A54BD0">
        <w:t xml:space="preserve">aux </w:t>
      </w:r>
      <w:r w:rsidR="00A54BD0" w:rsidRPr="001B2B03">
        <w:t>femme</w:t>
      </w:r>
      <w:r w:rsidR="00A54BD0">
        <w:t>s</w:t>
      </w:r>
      <w:r w:rsidR="00A54BD0" w:rsidRPr="001B2B03">
        <w:t xml:space="preserve"> par la publication </w:t>
      </w:r>
      <w:r w:rsidR="003A39A7">
        <w:t>d’un</w:t>
      </w:r>
      <w:r w:rsidR="00A54BD0">
        <w:t xml:space="preserve"> éclairage sur la situation de la femme au Maroc</w:t>
      </w:r>
      <w:r w:rsidR="0099472A">
        <w:t xml:space="preserve"> </w:t>
      </w:r>
      <w:r w:rsidR="00A54BD0">
        <w:t xml:space="preserve">portant sur </w:t>
      </w:r>
      <w:r w:rsidR="00555E9B">
        <w:t>la santé, l’éducation-formation, l’accès au marché de travail, l’utilisation du temps, la violence faite aux femmes et le niveau de vie.</w:t>
      </w:r>
    </w:p>
    <w:p w:rsidR="00001C44" w:rsidRDefault="00001C44" w:rsidP="009A3796">
      <w:pPr>
        <w:shd w:val="clear" w:color="auto" w:fill="FFFFFF"/>
        <w:jc w:val="both"/>
      </w:pPr>
    </w:p>
    <w:p w:rsidR="00001C44" w:rsidRDefault="00CF2310" w:rsidP="00555E9B">
      <w:pPr>
        <w:shd w:val="clear" w:color="auto" w:fill="FFFFFF"/>
        <w:jc w:val="both"/>
      </w:pPr>
      <w:r w:rsidRPr="00017C19">
        <w:t>En 2020, les femmes représentent plus de la moitié (50,3%) de la population totale</w:t>
      </w:r>
      <w:r w:rsidR="00017C19">
        <w:t xml:space="preserve">. </w:t>
      </w:r>
      <w:r w:rsidR="001D43B5">
        <w:t>Selon le statut matrimonial, p</w:t>
      </w:r>
      <w:r w:rsidR="00416951" w:rsidRPr="00416951">
        <w:t>armi les femmes de 15 ans ou plus, 28,1 % sont célibataires, 57,8 % sont mariées, 10,8 % sont veuves et 3,3 % sont divorcées</w:t>
      </w:r>
      <w:r w:rsidR="00416951" w:rsidRPr="00017C19">
        <w:t>.</w:t>
      </w:r>
      <w:r w:rsidR="009A3796">
        <w:t xml:space="preserve"> </w:t>
      </w:r>
      <w:r w:rsidR="00416951" w:rsidRPr="00416951">
        <w:t xml:space="preserve">Sur les 8.438.000 ménages en 2020, </w:t>
      </w:r>
      <w:r w:rsidR="00C32E44" w:rsidRPr="00017C19">
        <w:t>16,7%</w:t>
      </w:r>
      <w:r w:rsidR="00416951" w:rsidRPr="00416951">
        <w:t xml:space="preserve"> sont dirigés par des femmes. Cette part est plus élevée en milieu urbain (19,1%) qu’en milieu rural (11,4%)</w:t>
      </w:r>
      <w:r w:rsidR="009E7DFD">
        <w:t xml:space="preserve"> [1]</w:t>
      </w:r>
      <w:r w:rsidR="00416951" w:rsidRPr="00416951">
        <w:t>.</w:t>
      </w:r>
    </w:p>
    <w:p w:rsidR="00445A12" w:rsidRPr="00F40815" w:rsidRDefault="00445A12" w:rsidP="00001C44">
      <w:pPr>
        <w:autoSpaceDE w:val="0"/>
        <w:autoSpaceDN w:val="0"/>
        <w:adjustRightInd w:val="0"/>
        <w:snapToGrid w:val="0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</w:p>
    <w:p w:rsidR="00001C44" w:rsidRPr="00F40815" w:rsidRDefault="00001C44" w:rsidP="00001C44">
      <w:pPr>
        <w:autoSpaceDE w:val="0"/>
        <w:autoSpaceDN w:val="0"/>
        <w:adjustRightInd w:val="0"/>
        <w:snapToGrid w:val="0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  <w:r w:rsidRPr="00F40815">
        <w:rPr>
          <w:rFonts w:ascii="Calibri" w:eastAsia="Calibri" w:hAnsi="Calibri" w:cs="Calibri"/>
          <w:b/>
          <w:i/>
          <w:iCs/>
          <w:color w:val="2F5496"/>
        </w:rPr>
        <w:t>Amélioration de la situation sanitaire</w:t>
      </w:r>
    </w:p>
    <w:p w:rsidR="00001C44" w:rsidRPr="0060737C" w:rsidRDefault="000F1127" w:rsidP="00001C44">
      <w:pPr>
        <w:autoSpaceDE w:val="0"/>
        <w:autoSpaceDN w:val="0"/>
        <w:adjustRightInd w:val="0"/>
        <w:snapToGrid w:val="0"/>
        <w:spacing w:after="60"/>
        <w:jc w:val="both"/>
        <w:rPr>
          <w:rtl/>
        </w:rPr>
      </w:pPr>
      <w:r>
        <w:t>L</w:t>
      </w:r>
      <w:r w:rsidR="00001C44">
        <w:t>a situation sanitaire des femmes appréhend</w:t>
      </w:r>
      <w:r>
        <w:t>é</w:t>
      </w:r>
      <w:r w:rsidR="001D43B5">
        <w:t>e</w:t>
      </w:r>
      <w:r w:rsidR="00001C44">
        <w:t xml:space="preserve"> </w:t>
      </w:r>
      <w:r w:rsidR="001D43B5">
        <w:t>à</w:t>
      </w:r>
      <w:r w:rsidR="00001C44">
        <w:t xml:space="preserve"> travers </w:t>
      </w:r>
      <w:r w:rsidR="001D43B5">
        <w:t>le</w:t>
      </w:r>
      <w:r w:rsidR="00001C44">
        <w:t xml:space="preserve"> taux de mortalité maternelle</w:t>
      </w:r>
      <w:r>
        <w:t xml:space="preserve"> témoigne d’une nette amélioration</w:t>
      </w:r>
      <w:r w:rsidR="00001C44">
        <w:t xml:space="preserve">. Cet indicateur </w:t>
      </w:r>
      <w:r w:rsidR="00001C44" w:rsidRPr="0060737C">
        <w:t>est passé de 112 décès pour 100.000 naissances vivantes en 2010 à 72,6 décès en 2018 (111,1 en milieu rural et de 44,5 en milieu urbain)</w:t>
      </w:r>
      <w:r w:rsidR="00001C44">
        <w:t xml:space="preserve">. </w:t>
      </w:r>
      <w:r w:rsidR="00001C44" w:rsidRPr="0060737C">
        <w:t>En 2018, 70,8% des femmes utilisent une méthode contraceptive qu’elle soit moderne ou traditionnelle</w:t>
      </w:r>
      <w:r w:rsidR="00B347D7">
        <w:t xml:space="preserve"> </w:t>
      </w:r>
      <w:r w:rsidR="00001C44">
        <w:t>[3].</w:t>
      </w:r>
      <w:r w:rsidR="00852276">
        <w:t xml:space="preserve">    </w:t>
      </w:r>
    </w:p>
    <w:p w:rsidR="00001C44" w:rsidRPr="0060737C" w:rsidRDefault="00001C44" w:rsidP="00001C44">
      <w:pPr>
        <w:jc w:val="both"/>
      </w:pPr>
    </w:p>
    <w:p w:rsidR="00001C44" w:rsidRDefault="00001C44" w:rsidP="00001C44">
      <w:pPr>
        <w:autoSpaceDE w:val="0"/>
        <w:autoSpaceDN w:val="0"/>
        <w:adjustRightInd w:val="0"/>
        <w:snapToGrid w:val="0"/>
        <w:spacing w:after="60"/>
        <w:jc w:val="both"/>
      </w:pPr>
      <w:r w:rsidRPr="0060737C">
        <w:t xml:space="preserve">En 2020, </w:t>
      </w:r>
      <w:r w:rsidR="00B347D7" w:rsidRPr="0060737C">
        <w:t>pendant le confinement</w:t>
      </w:r>
      <w:r w:rsidR="00B347D7">
        <w:t>,</w:t>
      </w:r>
      <w:r w:rsidR="00B347D7" w:rsidRPr="0060737C">
        <w:t xml:space="preserve"> </w:t>
      </w:r>
      <w:r w:rsidRPr="0060737C">
        <w:t>parmi les 6% des ménages ayant des femmes concernées par la santé reproductive, 34% n’ont pas accédé aux services de santé</w:t>
      </w:r>
      <w:r w:rsidR="00B347D7">
        <w:t xml:space="preserve"> (</w:t>
      </w:r>
      <w:r w:rsidRPr="0060737C">
        <w:t>27% en milieu urbain et 39% en milieu rural</w:t>
      </w:r>
      <w:r w:rsidR="00B347D7">
        <w:t>)</w:t>
      </w:r>
      <w:r w:rsidRPr="0060737C">
        <w:t xml:space="preserve"> [</w:t>
      </w:r>
      <w:r>
        <w:t>4</w:t>
      </w:r>
      <w:r w:rsidRPr="0060737C">
        <w:t>]</w:t>
      </w:r>
      <w:r>
        <w:t>.</w:t>
      </w:r>
    </w:p>
    <w:p w:rsidR="00555E9B" w:rsidRDefault="00555E9B" w:rsidP="00001C44">
      <w:pPr>
        <w:autoSpaceDE w:val="0"/>
        <w:autoSpaceDN w:val="0"/>
        <w:adjustRightInd w:val="0"/>
        <w:snapToGrid w:val="0"/>
        <w:spacing w:after="60"/>
        <w:jc w:val="both"/>
      </w:pPr>
    </w:p>
    <w:p w:rsidR="00555E9B" w:rsidRPr="00F40815" w:rsidRDefault="000F1127" w:rsidP="00555E9B">
      <w:pPr>
        <w:autoSpaceDE w:val="0"/>
        <w:autoSpaceDN w:val="0"/>
        <w:adjustRightInd w:val="0"/>
        <w:snapToGrid w:val="0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  <w:r>
        <w:rPr>
          <w:rFonts w:ascii="Calibri" w:eastAsia="Calibri" w:hAnsi="Calibri" w:cs="Calibri"/>
          <w:b/>
          <w:i/>
          <w:iCs/>
          <w:color w:val="2F5496"/>
        </w:rPr>
        <w:t>Vers une é</w:t>
      </w:r>
      <w:r w:rsidR="00555E9B" w:rsidRPr="00F40815">
        <w:rPr>
          <w:rFonts w:ascii="Calibri" w:eastAsia="Calibri" w:hAnsi="Calibri" w:cs="Calibri"/>
          <w:b/>
          <w:i/>
          <w:iCs/>
          <w:color w:val="2F5496"/>
        </w:rPr>
        <w:t>galité d’accès à l’</w:t>
      </w:r>
      <w:r w:rsidRPr="00F40815">
        <w:rPr>
          <w:rFonts w:ascii="Calibri" w:eastAsia="Calibri" w:hAnsi="Calibri" w:cs="Calibri"/>
          <w:b/>
          <w:i/>
          <w:iCs/>
          <w:color w:val="2F5496"/>
        </w:rPr>
        <w:t>é</w:t>
      </w:r>
      <w:r>
        <w:rPr>
          <w:rFonts w:ascii="Calibri" w:eastAsia="Calibri" w:hAnsi="Calibri" w:cs="Calibri"/>
          <w:b/>
          <w:i/>
          <w:iCs/>
          <w:color w:val="2F5496"/>
        </w:rPr>
        <w:t>ducation-formation</w:t>
      </w:r>
    </w:p>
    <w:p w:rsidR="00555E9B" w:rsidRPr="001C3506" w:rsidRDefault="00555E9B" w:rsidP="00555E9B">
      <w:pPr>
        <w:shd w:val="clear" w:color="auto" w:fill="FFFFFF"/>
        <w:jc w:val="both"/>
      </w:pPr>
      <w:r w:rsidRPr="001C3506">
        <w:t xml:space="preserve">Si </w:t>
      </w:r>
      <w:bookmarkStart w:id="0" w:name="_Hlk34144178"/>
      <w:r w:rsidRPr="001C3506">
        <w:t>l</w:t>
      </w:r>
      <w:bookmarkEnd w:id="0"/>
      <w:r w:rsidRPr="001C3506">
        <w:t xml:space="preserve">’accès à l’école, est presque assuré pour l’enseignement primaire, les niveaux préscolaire, collégial et qualifiant accusent des déficits. En effet, le taux net de scolarisation, en 2020, est de 71,9% au préscolaire, 66,8% au secondaire collégial et 37,5% au niveau qualifiant. L’indice de parité filles/garçons </w:t>
      </w:r>
      <w:r w:rsidR="000F1563">
        <w:t>s’établi à</w:t>
      </w:r>
      <w:r w:rsidRPr="001C3506">
        <w:t xml:space="preserve"> 0,96 au primaire, 0,92 au secondaire collégial et </w:t>
      </w:r>
      <w:r w:rsidR="00583A46">
        <w:t>à</w:t>
      </w:r>
      <w:r w:rsidRPr="001C3506">
        <w:t xml:space="preserve"> 1,1 au secondaire qualifiant [</w:t>
      </w:r>
      <w:r>
        <w:t>2</w:t>
      </w:r>
      <w:r w:rsidRPr="001C3506">
        <w:t>].</w:t>
      </w:r>
    </w:p>
    <w:p w:rsidR="00555E9B" w:rsidRPr="00350051" w:rsidRDefault="00555E9B" w:rsidP="00555E9B">
      <w:pPr>
        <w:autoSpaceDE w:val="0"/>
        <w:autoSpaceDN w:val="0"/>
        <w:adjustRightInd w:val="0"/>
        <w:snapToGrid w:val="0"/>
        <w:spacing w:after="60"/>
        <w:jc w:val="both"/>
        <w:rPr>
          <w:rFonts w:ascii="Calibri" w:hAnsi="Calibri" w:cs="Calibri"/>
        </w:rPr>
      </w:pPr>
    </w:p>
    <w:p w:rsidR="00555E9B" w:rsidRDefault="00555E9B" w:rsidP="00555E9B">
      <w:pPr>
        <w:jc w:val="both"/>
      </w:pPr>
      <w:r>
        <w:t>En 2020,</w:t>
      </w:r>
      <w:r w:rsidRPr="001C3506">
        <w:t xml:space="preserve"> la proportion des femmes adultes (âgées de 25 ans et plus) sans niveau d’instruction</w:t>
      </w:r>
      <w:r>
        <w:t xml:space="preserve"> est </w:t>
      </w:r>
      <w:r w:rsidR="00583A46">
        <w:t>estimé à</w:t>
      </w:r>
      <w:r>
        <w:t xml:space="preserve"> </w:t>
      </w:r>
      <w:r w:rsidRPr="001C3506">
        <w:t>5</w:t>
      </w:r>
      <w:r>
        <w:t>2</w:t>
      </w:r>
      <w:r w:rsidRPr="001C3506">
        <w:t>,9</w:t>
      </w:r>
      <w:r w:rsidR="00583A46">
        <w:t>%</w:t>
      </w:r>
      <w:r>
        <w:t>. Cette proportion est de 18,5% pour le p</w:t>
      </w:r>
      <w:r w:rsidRPr="001C3506">
        <w:t>rimaire</w:t>
      </w:r>
      <w:r w:rsidR="00583A46">
        <w:t xml:space="preserve">, </w:t>
      </w:r>
      <w:r>
        <w:t xml:space="preserve">21% </w:t>
      </w:r>
      <w:r w:rsidR="00583A46">
        <w:t>pour le</w:t>
      </w:r>
      <w:r>
        <w:t xml:space="preserve"> </w:t>
      </w:r>
      <w:r w:rsidRPr="001C3506">
        <w:t xml:space="preserve">collégial </w:t>
      </w:r>
      <w:r w:rsidR="000F1127">
        <w:t xml:space="preserve">et </w:t>
      </w:r>
      <w:r w:rsidR="00583A46">
        <w:t>le secondaire</w:t>
      </w:r>
      <w:r w:rsidRPr="001C3506">
        <w:t xml:space="preserve"> et </w:t>
      </w:r>
      <w:r>
        <w:t>7,6% pour le supérieur</w:t>
      </w:r>
      <w:r w:rsidRPr="001C3506">
        <w:t xml:space="preserve"> </w:t>
      </w:r>
      <w:r>
        <w:t>[1]</w:t>
      </w:r>
      <w:r w:rsidRPr="001C3506">
        <w:t>.</w:t>
      </w:r>
    </w:p>
    <w:p w:rsidR="00555E9B" w:rsidRPr="0060737C" w:rsidRDefault="00555E9B" w:rsidP="00001C44">
      <w:pPr>
        <w:autoSpaceDE w:val="0"/>
        <w:autoSpaceDN w:val="0"/>
        <w:adjustRightInd w:val="0"/>
        <w:snapToGrid w:val="0"/>
        <w:spacing w:after="60"/>
        <w:jc w:val="both"/>
      </w:pPr>
    </w:p>
    <w:p w:rsidR="000F1127" w:rsidRDefault="000F1127" w:rsidP="00445A12">
      <w:pPr>
        <w:spacing w:line="276" w:lineRule="auto"/>
        <w:jc w:val="both"/>
        <w:rPr>
          <w:rFonts w:ascii="Calibri" w:eastAsia="Calibri" w:hAnsi="Calibri" w:cs="Calibri"/>
          <w:b/>
          <w:i/>
          <w:iCs/>
          <w:color w:val="2F5496"/>
        </w:rPr>
      </w:pPr>
    </w:p>
    <w:p w:rsidR="000F1563" w:rsidRDefault="000F1563" w:rsidP="00445A12">
      <w:pPr>
        <w:spacing w:line="276" w:lineRule="auto"/>
        <w:jc w:val="both"/>
        <w:rPr>
          <w:rFonts w:ascii="Calibri" w:eastAsia="Calibri" w:hAnsi="Calibri" w:cs="Calibri"/>
          <w:b/>
          <w:i/>
          <w:iCs/>
          <w:color w:val="2F5496"/>
        </w:rPr>
      </w:pPr>
    </w:p>
    <w:p w:rsidR="00445A12" w:rsidRPr="00445A12" w:rsidRDefault="00555E9B" w:rsidP="00445A12">
      <w:pPr>
        <w:spacing w:line="276" w:lineRule="auto"/>
        <w:jc w:val="both"/>
        <w:rPr>
          <w:rFonts w:ascii="Calibri" w:eastAsia="Calibri" w:hAnsi="Calibri" w:cs="Calibri"/>
          <w:b/>
          <w:i/>
          <w:iCs/>
          <w:color w:val="2F5496"/>
        </w:rPr>
      </w:pPr>
      <w:r>
        <w:rPr>
          <w:rFonts w:ascii="Calibri" w:eastAsia="Calibri" w:hAnsi="Calibri" w:cs="Calibri"/>
          <w:b/>
          <w:i/>
          <w:iCs/>
          <w:color w:val="2F5496"/>
        </w:rPr>
        <w:lastRenderedPageBreak/>
        <w:t xml:space="preserve">Leadership : </w:t>
      </w:r>
      <w:r w:rsidR="00445A12" w:rsidRPr="00445A12">
        <w:rPr>
          <w:rFonts w:ascii="Calibri" w:eastAsia="Calibri" w:hAnsi="Calibri" w:cs="Calibri"/>
          <w:b/>
          <w:i/>
          <w:iCs/>
          <w:color w:val="2F5496"/>
        </w:rPr>
        <w:t xml:space="preserve">12,8% des entreprises organisées </w:t>
      </w:r>
      <w:r w:rsidR="000F1127">
        <w:rPr>
          <w:rFonts w:ascii="Calibri" w:eastAsia="Calibri" w:hAnsi="Calibri" w:cs="Calibri"/>
          <w:b/>
          <w:i/>
          <w:iCs/>
          <w:color w:val="2F5496"/>
        </w:rPr>
        <w:t xml:space="preserve">sont </w:t>
      </w:r>
      <w:r w:rsidR="00445A12" w:rsidRPr="00445A12">
        <w:rPr>
          <w:rFonts w:ascii="Calibri" w:eastAsia="Calibri" w:hAnsi="Calibri" w:cs="Calibri"/>
          <w:b/>
          <w:i/>
          <w:iCs/>
          <w:color w:val="2F5496"/>
        </w:rPr>
        <w:t>dirigées par les femmes</w:t>
      </w:r>
    </w:p>
    <w:p w:rsidR="00445A12" w:rsidRDefault="00445A12" w:rsidP="00445A12">
      <w:pPr>
        <w:jc w:val="both"/>
      </w:pPr>
      <w:r>
        <w:t xml:space="preserve">En 2019, la proportion des </w:t>
      </w:r>
      <w:r w:rsidRPr="001916E1">
        <w:t>entreprises dirigées par des femmes</w:t>
      </w:r>
      <w:r>
        <w:t xml:space="preserve"> </w:t>
      </w:r>
      <w:r w:rsidR="000F1127">
        <w:t xml:space="preserve">a </w:t>
      </w:r>
      <w:r>
        <w:t>atteint 12,8%</w:t>
      </w:r>
      <w:r w:rsidRPr="001916E1">
        <w:t xml:space="preserve">. </w:t>
      </w:r>
      <w:r>
        <w:t xml:space="preserve">La femme dirigeante est plus présente </w:t>
      </w:r>
      <w:r w:rsidR="00D12A27">
        <w:t>dans le</w:t>
      </w:r>
      <w:r>
        <w:t xml:space="preserve"> secteur des</w:t>
      </w:r>
      <w:r w:rsidRPr="001916E1">
        <w:t xml:space="preserve"> services</w:t>
      </w:r>
      <w:r>
        <w:t xml:space="preserve"> </w:t>
      </w:r>
      <w:r w:rsidR="00D12A27">
        <w:t>(</w:t>
      </w:r>
      <w:r w:rsidRPr="001916E1">
        <w:t>17,3%</w:t>
      </w:r>
      <w:r w:rsidR="00D12A27">
        <w:t>)</w:t>
      </w:r>
      <w:r>
        <w:t>, suivi du commerce (13,8%), de l’industrie (12,6%) et de la construction (2,6%)</w:t>
      </w:r>
      <w:r w:rsidRPr="001916E1">
        <w:t>.</w:t>
      </w:r>
      <w:r>
        <w:t xml:space="preserve"> Même si </w:t>
      </w:r>
      <w:r w:rsidRPr="001916E1">
        <w:t xml:space="preserve">les femmes dirigeantes </w:t>
      </w:r>
      <w:r>
        <w:t>apparaissent</w:t>
      </w:r>
      <w:r w:rsidRPr="001916E1">
        <w:t xml:space="preserve"> moins dans les grandes entreprises (8%)</w:t>
      </w:r>
      <w:r>
        <w:t>, elles sont plus présentes dans les t</w:t>
      </w:r>
      <w:r w:rsidRPr="001916E1">
        <w:t xml:space="preserve">rès petites entreprises </w:t>
      </w:r>
      <w:r>
        <w:t>(</w:t>
      </w:r>
      <w:r w:rsidRPr="001916E1">
        <w:t>13,4%</w:t>
      </w:r>
      <w:r>
        <w:t>) et</w:t>
      </w:r>
      <w:r w:rsidRPr="001916E1">
        <w:t xml:space="preserve"> </w:t>
      </w:r>
      <w:r>
        <w:t>au sein des petites et moyennes entreprises</w:t>
      </w:r>
      <w:r w:rsidRPr="001916E1">
        <w:t xml:space="preserve"> </w:t>
      </w:r>
      <w:r>
        <w:t>(</w:t>
      </w:r>
      <w:r w:rsidRPr="001916E1">
        <w:t>10,2%</w:t>
      </w:r>
      <w:r>
        <w:t>)</w:t>
      </w:r>
      <w:r w:rsidRPr="001916E1">
        <w:t>.</w:t>
      </w:r>
      <w:r>
        <w:t xml:space="preserve"> </w:t>
      </w:r>
      <w:r w:rsidRPr="001916E1">
        <w:t>Par ailleurs, 18% des entreprises individuelles et 11% des SA et des SARL sont gérées par des femmes</w:t>
      </w:r>
      <w:r w:rsidR="004D4FC4">
        <w:t xml:space="preserve"> [5]</w:t>
      </w:r>
      <w:r w:rsidRPr="001916E1">
        <w:t>.</w:t>
      </w:r>
      <w:r>
        <w:t xml:space="preserve"> </w:t>
      </w:r>
    </w:p>
    <w:p w:rsidR="00445A12" w:rsidRDefault="00445A12" w:rsidP="00445A12">
      <w:pPr>
        <w:jc w:val="both"/>
      </w:pPr>
    </w:p>
    <w:p w:rsidR="00445A12" w:rsidRDefault="009F6A05" w:rsidP="00445A12">
      <w:pPr>
        <w:jc w:val="both"/>
      </w:pPr>
      <w:r>
        <w:t>Dans</w:t>
      </w:r>
      <w:r w:rsidR="00445A12" w:rsidRPr="0026245D">
        <w:t xml:space="preserve"> la fonction publique, les femmes aux postes de responsabilité</w:t>
      </w:r>
      <w:r w:rsidR="00445A12">
        <w:t xml:space="preserve"> </w:t>
      </w:r>
      <w:r w:rsidR="000F1127">
        <w:t>représentent 23</w:t>
      </w:r>
      <w:r w:rsidR="00445A12">
        <w:t>,5%</w:t>
      </w:r>
      <w:r w:rsidR="000F1127">
        <w:t>,</w:t>
      </w:r>
      <w:r w:rsidR="00445A12">
        <w:t xml:space="preserve"> alors que le nombre de sièges occupés </w:t>
      </w:r>
      <w:r w:rsidR="000F1127">
        <w:t xml:space="preserve">par les femmes au </w:t>
      </w:r>
      <w:r w:rsidR="00445A12">
        <w:t xml:space="preserve">niveau de la chambre des représentants est de 20,5% et la part de leurs sièges dans les conseils territoriaux est de 20,9% [2]. </w:t>
      </w:r>
    </w:p>
    <w:p w:rsidR="00445A12" w:rsidRPr="00F40815" w:rsidRDefault="00445A12" w:rsidP="0073009D">
      <w:pPr>
        <w:shd w:val="clear" w:color="auto" w:fill="FFFFFF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</w:p>
    <w:p w:rsidR="0073009D" w:rsidRPr="00F40815" w:rsidRDefault="00942464" w:rsidP="0073009D">
      <w:pPr>
        <w:shd w:val="clear" w:color="auto" w:fill="FFFFFF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  <w:r w:rsidRPr="00F40815">
        <w:rPr>
          <w:rFonts w:ascii="Calibri" w:eastAsia="Calibri" w:hAnsi="Calibri" w:cs="Calibri"/>
          <w:b/>
          <w:i/>
          <w:iCs/>
          <w:color w:val="2F5496"/>
        </w:rPr>
        <w:t xml:space="preserve">Participation </w:t>
      </w:r>
      <w:r w:rsidR="00F74FB5">
        <w:rPr>
          <w:rFonts w:ascii="Calibri" w:eastAsia="Calibri" w:hAnsi="Calibri" w:cs="Calibri"/>
          <w:b/>
          <w:i/>
          <w:iCs/>
          <w:color w:val="2F5496"/>
        </w:rPr>
        <w:t>faible mais de qualité</w:t>
      </w:r>
      <w:r w:rsidRPr="00F40815">
        <w:rPr>
          <w:rFonts w:ascii="Calibri" w:eastAsia="Calibri" w:hAnsi="Calibri" w:cs="Calibri"/>
          <w:b/>
          <w:i/>
          <w:iCs/>
          <w:color w:val="2F5496"/>
        </w:rPr>
        <w:t xml:space="preserve"> au marché du travail</w:t>
      </w:r>
      <w:r w:rsidR="006F5870" w:rsidRPr="00F40815">
        <w:rPr>
          <w:rFonts w:ascii="Calibri" w:eastAsia="Calibri" w:hAnsi="Calibri" w:cs="Calibri"/>
          <w:b/>
          <w:i/>
          <w:iCs/>
          <w:color w:val="2F5496"/>
        </w:rPr>
        <w:t xml:space="preserve"> </w:t>
      </w:r>
    </w:p>
    <w:p w:rsidR="00FA0929" w:rsidRPr="0060737C" w:rsidRDefault="00FA0929" w:rsidP="00FA0929">
      <w:pPr>
        <w:autoSpaceDE w:val="0"/>
        <w:autoSpaceDN w:val="0"/>
        <w:adjustRightInd w:val="0"/>
        <w:snapToGrid w:val="0"/>
        <w:spacing w:after="60"/>
        <w:jc w:val="both"/>
      </w:pPr>
      <w:r w:rsidRPr="0060737C">
        <w:t xml:space="preserve">En 2020, la participation des femmes au marché de travail reste faible avec un taux d’activité de 19,9% contre 70,4% pour les hommes. Plus de huit femmes sur dix sont en dehors du marché de travail. </w:t>
      </w:r>
    </w:p>
    <w:p w:rsidR="00001C44" w:rsidRDefault="00001C44" w:rsidP="00FA0929">
      <w:pPr>
        <w:autoSpaceDE w:val="0"/>
        <w:autoSpaceDN w:val="0"/>
        <w:adjustRightInd w:val="0"/>
        <w:snapToGrid w:val="0"/>
        <w:spacing w:after="60"/>
        <w:jc w:val="both"/>
      </w:pPr>
    </w:p>
    <w:p w:rsidR="00FA0929" w:rsidRPr="0060737C" w:rsidRDefault="00FA0929" w:rsidP="00FA0929">
      <w:pPr>
        <w:autoSpaceDE w:val="0"/>
        <w:autoSpaceDN w:val="0"/>
        <w:adjustRightInd w:val="0"/>
        <w:snapToGrid w:val="0"/>
        <w:spacing w:after="60"/>
        <w:jc w:val="both"/>
      </w:pPr>
      <w:r w:rsidRPr="0060737C">
        <w:t>Le taux d'emploi des femmes est presque le quart de celui des hommes (16,7% contre 62,9%). L</w:t>
      </w:r>
      <w:r w:rsidR="000F1127">
        <w:t>e secteur de l’</w:t>
      </w:r>
      <w:r w:rsidRPr="0060737C">
        <w:t>« agriculture, forêt et pêche » demeure le premier employeur des femmes (44,8%), suivi de</w:t>
      </w:r>
      <w:r w:rsidR="000F1127">
        <w:t xml:space="preserve"> celui des</w:t>
      </w:r>
      <w:r w:rsidRPr="0060737C">
        <w:t xml:space="preserve"> « services » (40,4%) et de l’ « industrie y compris l’artisanat » (14,2%).</w:t>
      </w:r>
    </w:p>
    <w:p w:rsidR="00001C44" w:rsidRDefault="00001C44" w:rsidP="00FA0929">
      <w:pPr>
        <w:autoSpaceDE w:val="0"/>
        <w:autoSpaceDN w:val="0"/>
        <w:adjustRightInd w:val="0"/>
        <w:snapToGrid w:val="0"/>
        <w:spacing w:after="60"/>
        <w:jc w:val="both"/>
      </w:pPr>
    </w:p>
    <w:p w:rsidR="00FA0929" w:rsidRPr="0060737C" w:rsidRDefault="00FA0929" w:rsidP="00FA0929">
      <w:pPr>
        <w:autoSpaceDE w:val="0"/>
        <w:autoSpaceDN w:val="0"/>
        <w:adjustRightInd w:val="0"/>
        <w:snapToGrid w:val="0"/>
        <w:spacing w:after="60"/>
        <w:jc w:val="both"/>
      </w:pPr>
      <w:r w:rsidRPr="0060737C">
        <w:t xml:space="preserve">Près de la moitié (47,3%) des femmes occupées travaillent en tant que salariées (51,7% pour les hommes), 17,7% des </w:t>
      </w:r>
      <w:r w:rsidR="0049294B">
        <w:t>auto-employées</w:t>
      </w:r>
      <w:r w:rsidRPr="0060737C">
        <w:t xml:space="preserve"> (contre 39,8%), et 35% occupent des emplois non rémunérés </w:t>
      </w:r>
      <w:r w:rsidR="0049294B">
        <w:t>(</w:t>
      </w:r>
      <w:r w:rsidRPr="0060737C">
        <w:t>contre 8,6% pour les hommes</w:t>
      </w:r>
      <w:r w:rsidR="0049294B">
        <w:t>)</w:t>
      </w:r>
      <w:r w:rsidRPr="0060737C">
        <w:t>.</w:t>
      </w:r>
    </w:p>
    <w:p w:rsidR="00001C44" w:rsidRDefault="00001C44" w:rsidP="00FA0929">
      <w:pPr>
        <w:autoSpaceDE w:val="0"/>
        <w:autoSpaceDN w:val="0"/>
        <w:adjustRightInd w:val="0"/>
        <w:snapToGrid w:val="0"/>
        <w:spacing w:after="60"/>
        <w:jc w:val="both"/>
      </w:pPr>
    </w:p>
    <w:p w:rsidR="00FA0929" w:rsidRPr="0060737C" w:rsidRDefault="00FA0929" w:rsidP="00FA0929">
      <w:pPr>
        <w:autoSpaceDE w:val="0"/>
        <w:autoSpaceDN w:val="0"/>
        <w:adjustRightInd w:val="0"/>
        <w:snapToGrid w:val="0"/>
        <w:spacing w:after="60"/>
        <w:jc w:val="both"/>
      </w:pPr>
      <w:r w:rsidRPr="0060737C">
        <w:t xml:space="preserve">Près de 28% des femmes actives occupées bénéficient d’une couverture médicale contre 23,9% parmi les hommes. Pour les salariés, cette part est de 57,3% contre 43,3% pour les hommes. La part des femmes salariées ne disposant d'aucun contrat s’élève à 43,2% contre 58,2% parmi les hommes. </w:t>
      </w:r>
    </w:p>
    <w:p w:rsidR="00001C44" w:rsidRDefault="00001C44" w:rsidP="00FA0929">
      <w:pPr>
        <w:autoSpaceDE w:val="0"/>
        <w:autoSpaceDN w:val="0"/>
        <w:adjustRightInd w:val="0"/>
        <w:snapToGrid w:val="0"/>
        <w:spacing w:after="60"/>
        <w:jc w:val="both"/>
      </w:pPr>
    </w:p>
    <w:p w:rsidR="00FA0929" w:rsidRDefault="00FA0929" w:rsidP="00FA0929">
      <w:pPr>
        <w:autoSpaceDE w:val="0"/>
        <w:autoSpaceDN w:val="0"/>
        <w:adjustRightInd w:val="0"/>
        <w:snapToGrid w:val="0"/>
        <w:spacing w:after="60"/>
        <w:jc w:val="both"/>
      </w:pPr>
      <w:r w:rsidRPr="0060737C">
        <w:t>Selon la profession, 8,6% des femmes actives occupées travaillent en tant que responsables hiérarchiques, cadres supérieurs et membres des professions libérales (contre 3,8% pour les hommes), ce qui correspond à un taux de féminisation de 38%. Les cadres moyens représentent 6,3% des femmes actives occupées (contre 2,4% pour les hommes), avec un taux de féminisation de 41,6%.</w:t>
      </w:r>
    </w:p>
    <w:p w:rsidR="00F74FB5" w:rsidRDefault="00F74FB5" w:rsidP="00F74FB5">
      <w:pPr>
        <w:autoSpaceDE w:val="0"/>
        <w:autoSpaceDN w:val="0"/>
        <w:adjustRightInd w:val="0"/>
        <w:snapToGrid w:val="0"/>
        <w:spacing w:after="60"/>
        <w:jc w:val="both"/>
      </w:pPr>
    </w:p>
    <w:p w:rsidR="00F74FB5" w:rsidRPr="0060737C" w:rsidRDefault="00F74FB5" w:rsidP="00F74FB5">
      <w:pPr>
        <w:autoSpaceDE w:val="0"/>
        <w:autoSpaceDN w:val="0"/>
        <w:adjustRightInd w:val="0"/>
        <w:snapToGrid w:val="0"/>
        <w:spacing w:after="60"/>
        <w:jc w:val="both"/>
      </w:pPr>
      <w:r>
        <w:t>L</w:t>
      </w:r>
      <w:r w:rsidRPr="0060737C">
        <w:t xml:space="preserve">e taux de chômage des femmes </w:t>
      </w:r>
      <w:r>
        <w:t xml:space="preserve">a connu </w:t>
      </w:r>
      <w:r w:rsidRPr="0060737C">
        <w:t>une tendance à la baisse durant les trois dernières années</w:t>
      </w:r>
      <w:r>
        <w:t xml:space="preserve"> passant de 14,7% à 13,5% entre 2017 et 2019 puis a augmenté</w:t>
      </w:r>
      <w:r w:rsidRPr="0060737C">
        <w:t xml:space="preserve"> de 2,7 points</w:t>
      </w:r>
      <w:r>
        <w:t xml:space="preserve"> en </w:t>
      </w:r>
      <w:r w:rsidRPr="0060737C">
        <w:t>2020</w:t>
      </w:r>
      <w:r>
        <w:t xml:space="preserve"> sous l’effet combiné de la pandémie et de la sècheresse.</w:t>
      </w:r>
      <w:r w:rsidRPr="0060737C">
        <w:t xml:space="preserve"> </w:t>
      </w:r>
      <w:r>
        <w:t>En 2020 l</w:t>
      </w:r>
      <w:r w:rsidRPr="0060737C">
        <w:t>e taux du chômage des femmes a enregistré une hausse aussi bien en milieu rural qu'en milieu urbain, respectivement de 2,7% à 3,9% et de 21,8% à 24,7%</w:t>
      </w:r>
      <w:r>
        <w:t xml:space="preserve"> </w:t>
      </w:r>
      <w:r w:rsidRPr="0060737C">
        <w:t>[</w:t>
      </w:r>
      <w:r>
        <w:t>1</w:t>
      </w:r>
      <w:r w:rsidRPr="0060737C">
        <w:t>].</w:t>
      </w:r>
    </w:p>
    <w:p w:rsidR="00F74FB5" w:rsidRPr="0060737C" w:rsidRDefault="00F74FB5" w:rsidP="00FA0929">
      <w:pPr>
        <w:autoSpaceDE w:val="0"/>
        <w:autoSpaceDN w:val="0"/>
        <w:adjustRightInd w:val="0"/>
        <w:snapToGrid w:val="0"/>
        <w:spacing w:after="60"/>
        <w:jc w:val="both"/>
      </w:pPr>
    </w:p>
    <w:p w:rsidR="00001C44" w:rsidRDefault="00001C44" w:rsidP="009E7DFD">
      <w:pPr>
        <w:autoSpaceDE w:val="0"/>
        <w:autoSpaceDN w:val="0"/>
        <w:adjustRightInd w:val="0"/>
        <w:snapToGrid w:val="0"/>
        <w:spacing w:after="60"/>
        <w:jc w:val="both"/>
        <w:rPr>
          <w:rFonts w:ascii="Calibri" w:eastAsia="Calibri" w:hAnsi="Calibri" w:cs="Calibri"/>
          <w:b/>
          <w:i/>
          <w:iCs/>
          <w:color w:val="0000FF"/>
        </w:rPr>
      </w:pPr>
    </w:p>
    <w:p w:rsidR="00F55F7F" w:rsidRDefault="00F55F7F" w:rsidP="006F5870">
      <w:pPr>
        <w:autoSpaceDE w:val="0"/>
        <w:autoSpaceDN w:val="0"/>
        <w:adjustRightInd w:val="0"/>
        <w:snapToGrid w:val="0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</w:p>
    <w:p w:rsidR="009F2240" w:rsidRPr="00F40815" w:rsidRDefault="009F2240" w:rsidP="006F5870">
      <w:pPr>
        <w:autoSpaceDE w:val="0"/>
        <w:autoSpaceDN w:val="0"/>
        <w:adjustRightInd w:val="0"/>
        <w:snapToGrid w:val="0"/>
        <w:spacing w:after="60"/>
        <w:jc w:val="both"/>
        <w:rPr>
          <w:rFonts w:ascii="Calibri" w:eastAsia="Calibri" w:hAnsi="Calibri" w:cs="Calibri"/>
          <w:b/>
          <w:i/>
          <w:iCs/>
          <w:color w:val="2F5496"/>
        </w:rPr>
      </w:pPr>
      <w:r w:rsidRPr="00F40815">
        <w:rPr>
          <w:rFonts w:ascii="Calibri" w:eastAsia="Calibri" w:hAnsi="Calibri" w:cs="Calibri"/>
          <w:b/>
          <w:i/>
          <w:iCs/>
          <w:color w:val="2F5496"/>
        </w:rPr>
        <w:lastRenderedPageBreak/>
        <w:t xml:space="preserve">Les femmes consacrent </w:t>
      </w:r>
      <w:r w:rsidR="00F55F7F">
        <w:rPr>
          <w:rFonts w:ascii="Calibri" w:eastAsia="Calibri" w:hAnsi="Calibri" w:cs="Calibri"/>
          <w:b/>
          <w:i/>
          <w:iCs/>
          <w:color w:val="2F5496"/>
        </w:rPr>
        <w:t>un cinquième</w:t>
      </w:r>
      <w:r w:rsidRPr="00F40815">
        <w:rPr>
          <w:rFonts w:ascii="Calibri" w:eastAsia="Calibri" w:hAnsi="Calibri" w:cs="Calibri"/>
          <w:b/>
          <w:i/>
          <w:iCs/>
          <w:color w:val="2F5496"/>
        </w:rPr>
        <w:t xml:space="preserve"> de leur temps journalier aux travaux domestiques </w:t>
      </w:r>
    </w:p>
    <w:p w:rsidR="0033370F" w:rsidRDefault="00190DD0" w:rsidP="006F5870">
      <w:pPr>
        <w:autoSpaceDE w:val="0"/>
        <w:autoSpaceDN w:val="0"/>
        <w:adjustRightInd w:val="0"/>
        <w:snapToGrid w:val="0"/>
        <w:spacing w:after="60"/>
        <w:jc w:val="both"/>
      </w:pPr>
      <w:r w:rsidRPr="00190DD0">
        <w:t xml:space="preserve">Les femmes consacrent 20,8% de leur temps journalier aux travaux domestiques et seulement 5,6% aux activités professionnelles. Les hommes consacrent, à l’inverse des femmes, plus de temps aux activités professionnelles (22,6%) qu’à celles domestiques (3%). </w:t>
      </w:r>
    </w:p>
    <w:p w:rsidR="00001C44" w:rsidRDefault="00001C44" w:rsidP="0033370F">
      <w:pPr>
        <w:jc w:val="both"/>
      </w:pPr>
    </w:p>
    <w:p w:rsidR="00190DD0" w:rsidRDefault="00190DD0" w:rsidP="0033370F">
      <w:pPr>
        <w:jc w:val="both"/>
      </w:pPr>
      <w:r w:rsidRPr="004F65DE">
        <w:t>L’activité professionnelle de la femme ne la libère pas</w:t>
      </w:r>
      <w:r>
        <w:t>, cependant,</w:t>
      </w:r>
      <w:r w:rsidRPr="004F65DE">
        <w:t xml:space="preserve"> de ses</w:t>
      </w:r>
      <w:r>
        <w:t xml:space="preserve"> </w:t>
      </w:r>
      <w:r w:rsidRPr="004F65DE">
        <w:t>responsabilités familiales</w:t>
      </w:r>
      <w:r>
        <w:t xml:space="preserve">. Elle </w:t>
      </w:r>
      <w:r w:rsidRPr="004F65DE">
        <w:t>continue à supporter les charges des travaux domestiques</w:t>
      </w:r>
      <w:r>
        <w:t xml:space="preserve"> en leur</w:t>
      </w:r>
      <w:r w:rsidRPr="004F65DE">
        <w:t xml:space="preserve"> consacr</w:t>
      </w:r>
      <w:r>
        <w:t>ant</w:t>
      </w:r>
      <w:r w:rsidRPr="004F65DE">
        <w:t xml:space="preserve"> quotidiennement 4h18mn, soit </w:t>
      </w:r>
      <w:r>
        <w:t xml:space="preserve">à peine </w:t>
      </w:r>
      <w:r w:rsidRPr="004F65DE">
        <w:t>1h</w:t>
      </w:r>
      <w:r>
        <w:t xml:space="preserve"> </w:t>
      </w:r>
      <w:r w:rsidRPr="004F65DE">
        <w:t xml:space="preserve">42mn de moins que la femme au foyer. C’est ainsi qu’en cumulant à la fois le temps alloué aux activités professionnelles et domestiques, la charge de travail quotidienne de la femme </w:t>
      </w:r>
      <w:r>
        <w:t>active occupé</w:t>
      </w:r>
      <w:r w:rsidR="00D96D5D">
        <w:t>e</w:t>
      </w:r>
      <w:r>
        <w:t xml:space="preserve"> </w:t>
      </w:r>
      <w:r w:rsidRPr="004F65DE">
        <w:t>atteint en moyenne 6h 21mn (5h 47mn en milieu urbain et 7h13mn en milieu rural). Le poids du temps réservé aux activités domestiques représente 79% de cette charge</w:t>
      </w:r>
      <w:r w:rsidR="006F12C8">
        <w:t xml:space="preserve"> [6]</w:t>
      </w:r>
      <w:r w:rsidRPr="004F65DE">
        <w:t>.</w:t>
      </w:r>
    </w:p>
    <w:p w:rsidR="006F5870" w:rsidRDefault="006F5870" w:rsidP="0033370F">
      <w:pPr>
        <w:jc w:val="both"/>
      </w:pPr>
    </w:p>
    <w:p w:rsidR="009A372F" w:rsidRPr="009A372F" w:rsidRDefault="009A372F" w:rsidP="0033370F">
      <w:pPr>
        <w:autoSpaceDE w:val="0"/>
        <w:autoSpaceDN w:val="0"/>
        <w:adjustRightInd w:val="0"/>
        <w:snapToGrid w:val="0"/>
        <w:spacing w:after="60"/>
        <w:jc w:val="both"/>
      </w:pPr>
      <w:r w:rsidRPr="009A372F">
        <w:t xml:space="preserve">En 2020, </w:t>
      </w:r>
      <w:r>
        <w:t>l</w:t>
      </w:r>
      <w:r w:rsidRPr="009A372F">
        <w:t>a charge de travail domestique supportée par les femmes a augmenté en moyenne journalière de 33 minutes pendant la période de confinement en comparaison à une journée normale avant le confinement</w:t>
      </w:r>
      <w:r w:rsidR="00936B8D">
        <w:t xml:space="preserve"> </w:t>
      </w:r>
      <w:r w:rsidR="006F12C8">
        <w:t>[4]</w:t>
      </w:r>
      <w:r w:rsidRPr="009A372F">
        <w:t xml:space="preserve">. </w:t>
      </w:r>
    </w:p>
    <w:p w:rsidR="00B964FC" w:rsidRDefault="00B964FC" w:rsidP="00190DD0">
      <w:pPr>
        <w:spacing w:line="276" w:lineRule="auto"/>
        <w:jc w:val="both"/>
        <w:rPr>
          <w:color w:val="FF0000"/>
        </w:rPr>
      </w:pPr>
    </w:p>
    <w:p w:rsidR="009F2240" w:rsidRPr="00F40815" w:rsidRDefault="009F2240" w:rsidP="009F2240">
      <w:pPr>
        <w:spacing w:line="276" w:lineRule="auto"/>
        <w:jc w:val="both"/>
        <w:rPr>
          <w:rFonts w:ascii="Calibri" w:eastAsia="Calibri" w:hAnsi="Calibri" w:cs="Calibri"/>
          <w:b/>
          <w:i/>
          <w:iCs/>
          <w:color w:val="2F5496"/>
        </w:rPr>
      </w:pPr>
      <w:r w:rsidRPr="00F40815">
        <w:rPr>
          <w:rFonts w:ascii="Calibri" w:eastAsia="Calibri" w:hAnsi="Calibri" w:cs="Calibri"/>
          <w:b/>
          <w:i/>
          <w:iCs/>
          <w:color w:val="2F5496"/>
        </w:rPr>
        <w:t>Plus d’une femme sur deux a subi au moins un acte de violence durant les 12 derniers mois</w:t>
      </w:r>
    </w:p>
    <w:p w:rsidR="009F2240" w:rsidRDefault="009F2240" w:rsidP="009F2240">
      <w:pPr>
        <w:spacing w:line="276" w:lineRule="auto"/>
        <w:jc w:val="both"/>
      </w:pPr>
      <w:r>
        <w:t>En 2019</w:t>
      </w:r>
      <w:r w:rsidRPr="00AD32D5">
        <w:t xml:space="preserve">, plus de 7,6 millions de femmes, soit 57,1%, ont subi au moins un acte de violence, tous contextes et formes confondus. </w:t>
      </w:r>
      <w:r>
        <w:t>Cependant, n</w:t>
      </w:r>
      <w:r w:rsidRPr="00DF7F05">
        <w:t>i la scolarisation ni l’activité économique ne préservent les femmes contre la violence</w:t>
      </w:r>
      <w:r>
        <w:t xml:space="preserve">. </w:t>
      </w:r>
      <w:r w:rsidRPr="00DF7F05">
        <w:t>Le contexte conjugal demeure l’espace de vie le plus marqué par la violence et la violence psychologique reste la forme la plus répandue</w:t>
      </w:r>
      <w:r>
        <w:t xml:space="preserve">. </w:t>
      </w:r>
    </w:p>
    <w:p w:rsidR="009F2240" w:rsidRDefault="009F2240" w:rsidP="009F2240">
      <w:pPr>
        <w:spacing w:line="276" w:lineRule="auto"/>
        <w:jc w:val="both"/>
      </w:pPr>
    </w:p>
    <w:p w:rsidR="009F2240" w:rsidRPr="00AD32D5" w:rsidRDefault="009F2240" w:rsidP="009F2240">
      <w:pPr>
        <w:spacing w:line="276" w:lineRule="auto"/>
        <w:jc w:val="both"/>
      </w:pPr>
      <w:r w:rsidRPr="00DF7F05">
        <w:t xml:space="preserve">Avec une prévalence de 46,1% (5,3 millions de femmes), le contexte conjugal </w:t>
      </w:r>
      <w:r>
        <w:t xml:space="preserve">est le premier espace de </w:t>
      </w:r>
      <w:r w:rsidRPr="00DF7F05">
        <w:t>violence</w:t>
      </w:r>
      <w:r>
        <w:t xml:space="preserve"> envers les femmes. </w:t>
      </w:r>
      <w:r w:rsidRPr="00DF7F05">
        <w:t>Le milieu éducatif vient au deuxième rang avec 22,4% des élèves ou étudiantes ayant subi un acte de violence au cours des 12 derniers mois.</w:t>
      </w:r>
      <w:r>
        <w:t xml:space="preserve"> Dans le milieu professionnel, elles sont </w:t>
      </w:r>
      <w:r w:rsidRPr="009A30E7">
        <w:t>15,1% des femmes qui ont été victimes de violence dans l’exercice de leurs activités. Dans l’espace public, 12,6% de femmes ont subi un acte de violence</w:t>
      </w:r>
      <w:r>
        <w:t xml:space="preserve"> [7]</w:t>
      </w:r>
      <w:r w:rsidRPr="009A30E7">
        <w:t xml:space="preserve">. </w:t>
      </w:r>
    </w:p>
    <w:p w:rsidR="00936B8D" w:rsidRPr="00936B8D" w:rsidRDefault="00936B8D" w:rsidP="00936B8D">
      <w:pPr>
        <w:pStyle w:val="NormalWeb"/>
        <w:spacing w:before="240" w:beforeAutospacing="0" w:after="240" w:afterAutospacing="0"/>
        <w:jc w:val="both"/>
        <w:rPr>
          <w:color w:val="auto"/>
        </w:rPr>
      </w:pPr>
      <w:r w:rsidRPr="00936B8D">
        <w:rPr>
          <w:color w:val="auto"/>
        </w:rPr>
        <w:t>Parmi l’ensemble des femmes victimes de la violence physique et/ou sexuelle</w:t>
      </w:r>
      <w:r w:rsidR="00E6696C">
        <w:rPr>
          <w:color w:val="auto"/>
        </w:rPr>
        <w:t>,</w:t>
      </w:r>
      <w:r w:rsidRPr="00936B8D">
        <w:rPr>
          <w:color w:val="auto"/>
        </w:rPr>
        <w:t xml:space="preserve"> tous contextes confondus, 22,8% ont dû supporter, elles ou leurs familles, des coûts directs ou indirects de la violence. Le coût global de </w:t>
      </w:r>
      <w:r>
        <w:rPr>
          <w:color w:val="auto"/>
        </w:rPr>
        <w:t>cette violence</w:t>
      </w:r>
      <w:r w:rsidRPr="00936B8D">
        <w:rPr>
          <w:color w:val="auto"/>
        </w:rPr>
        <w:t xml:space="preserve"> est estimé à 2,85 Milliards de Dh. En rapportant ce coût au nombre total des victimes, le coût moyen est de l’ordre de 957 Dh par victime. </w:t>
      </w:r>
    </w:p>
    <w:p w:rsidR="009F2240" w:rsidRPr="009F2240" w:rsidRDefault="009F2240" w:rsidP="009F2240">
      <w:pPr>
        <w:spacing w:line="276" w:lineRule="auto"/>
        <w:jc w:val="both"/>
        <w:rPr>
          <w:rFonts w:ascii="Calibri" w:eastAsia="Calibri" w:hAnsi="Calibri" w:cs="Calibri"/>
          <w:b/>
          <w:i/>
          <w:iCs/>
          <w:smallCaps/>
          <w:color w:val="2F5496"/>
        </w:rPr>
      </w:pPr>
      <w:r w:rsidRPr="009F2240">
        <w:rPr>
          <w:rFonts w:ascii="Calibri" w:eastAsia="Calibri" w:hAnsi="Calibri" w:cs="Calibri"/>
          <w:b/>
          <w:i/>
          <w:iCs/>
          <w:color w:val="2F5496"/>
        </w:rPr>
        <w:t xml:space="preserve">Baisse de la pauvreté et de la vulnérabilité des femmes </w:t>
      </w:r>
    </w:p>
    <w:p w:rsidR="00A86A37" w:rsidRDefault="00A86A37" w:rsidP="00A86A37">
      <w:pPr>
        <w:jc w:val="both"/>
      </w:pPr>
      <w:r w:rsidRPr="009C39C7">
        <w:t xml:space="preserve">L’amélioration des niveaux de vie de la population marocaine au fil du temps s’est traduite par une diminution de la pauvreté et de la vulnérabilité de toute la population, </w:t>
      </w:r>
      <w:r>
        <w:t xml:space="preserve">particulièrement pour la sous-population dirigée par des femmes. </w:t>
      </w:r>
      <w:r w:rsidRPr="009C39C7">
        <w:t xml:space="preserve">C’est ainsi que le taux de pauvreté monétaire des femmes </w:t>
      </w:r>
      <w:r>
        <w:t xml:space="preserve">cheffes de ménage </w:t>
      </w:r>
      <w:r w:rsidRPr="009C39C7">
        <w:t xml:space="preserve">est passé de </w:t>
      </w:r>
      <w:r>
        <w:t>7,4</w:t>
      </w:r>
      <w:r w:rsidRPr="009C39C7">
        <w:t xml:space="preserve"> % en 200</w:t>
      </w:r>
      <w:r>
        <w:t>7</w:t>
      </w:r>
      <w:r w:rsidRPr="009C39C7">
        <w:t xml:space="preserve"> à </w:t>
      </w:r>
      <w:r>
        <w:t>3,9</w:t>
      </w:r>
      <w:r w:rsidRPr="009C39C7">
        <w:t>% en 20</w:t>
      </w:r>
      <w:r>
        <w:t xml:space="preserve">14. Cette baisse est de 15,1% à 9,6% en milieu rural et de 4% à1,9% en milieu urbain. </w:t>
      </w:r>
      <w:r w:rsidRPr="009C39C7">
        <w:t xml:space="preserve">Quant à la vulnérabilité </w:t>
      </w:r>
      <w:r>
        <w:t xml:space="preserve">économique </w:t>
      </w:r>
      <w:r w:rsidRPr="009C39C7">
        <w:t>des femmes</w:t>
      </w:r>
      <w:r>
        <w:t xml:space="preserve"> cheffes de ménage</w:t>
      </w:r>
      <w:r w:rsidRPr="009C39C7">
        <w:t>, elle a enregistré également une baisse i</w:t>
      </w:r>
      <w:r>
        <w:t>mportante durant la période 2007</w:t>
      </w:r>
      <w:r w:rsidRPr="009C39C7">
        <w:t xml:space="preserve">-2014. En effet, le taux de vulnérabilité des femmes </w:t>
      </w:r>
      <w:r>
        <w:t xml:space="preserve">cheffes de ménage </w:t>
      </w:r>
      <w:r w:rsidRPr="009C39C7">
        <w:t xml:space="preserve">est passé de </w:t>
      </w:r>
      <w:r>
        <w:t>16,4% en 2007</w:t>
      </w:r>
      <w:r w:rsidRPr="009C39C7">
        <w:t xml:space="preserve"> à </w:t>
      </w:r>
      <w:r>
        <w:t>10,6</w:t>
      </w:r>
      <w:r w:rsidRPr="009C39C7">
        <w:t>% en 2014</w:t>
      </w:r>
      <w:r>
        <w:t>,</w:t>
      </w:r>
      <w:r w:rsidRPr="009C39C7">
        <w:t xml:space="preserve"> au niveau national, de </w:t>
      </w:r>
      <w:r>
        <w:t>23,2%</w:t>
      </w:r>
      <w:r w:rsidRPr="009C39C7">
        <w:t xml:space="preserve"> à </w:t>
      </w:r>
      <w:r>
        <w:t>17,4</w:t>
      </w:r>
      <w:r w:rsidRPr="009C39C7">
        <w:t xml:space="preserve">% en milieu </w:t>
      </w:r>
      <w:r>
        <w:t>rural</w:t>
      </w:r>
      <w:r w:rsidRPr="009C39C7">
        <w:t xml:space="preserve"> et de </w:t>
      </w:r>
      <w:r>
        <w:t xml:space="preserve">13,4% </w:t>
      </w:r>
      <w:r w:rsidRPr="009C39C7">
        <w:t xml:space="preserve">à </w:t>
      </w:r>
      <w:r>
        <w:t>8,2</w:t>
      </w:r>
      <w:r w:rsidRPr="009C39C7">
        <w:t xml:space="preserve">% en milieu </w:t>
      </w:r>
      <w:r>
        <w:t>urbain</w:t>
      </w:r>
      <w:r w:rsidR="00B964FC">
        <w:t xml:space="preserve"> [</w:t>
      </w:r>
      <w:r w:rsidR="006F12C8">
        <w:t>8</w:t>
      </w:r>
      <w:r w:rsidR="00B964FC">
        <w:t>]</w:t>
      </w:r>
      <w:r w:rsidRPr="009C39C7">
        <w:t xml:space="preserve">. </w:t>
      </w:r>
    </w:p>
    <w:p w:rsidR="00B964FC" w:rsidRDefault="00B964FC" w:rsidP="00A86A37">
      <w:pPr>
        <w:jc w:val="both"/>
      </w:pPr>
    </w:p>
    <w:p w:rsidR="00B964FC" w:rsidRDefault="00B964FC" w:rsidP="00B964FC">
      <w:pPr>
        <w:autoSpaceDE w:val="0"/>
        <w:autoSpaceDN w:val="0"/>
        <w:adjustRightInd w:val="0"/>
        <w:snapToGrid w:val="0"/>
        <w:spacing w:after="60"/>
        <w:jc w:val="both"/>
      </w:pPr>
      <w:r>
        <w:t xml:space="preserve">En 2020, </w:t>
      </w:r>
      <w:r w:rsidR="003A064B">
        <w:t>e</w:t>
      </w:r>
      <w:r w:rsidRPr="00B964FC">
        <w:t xml:space="preserve">n comparaison avec la période d’avant confinement, le revenu mensuel moyen des </w:t>
      </w:r>
      <w:r w:rsidR="003A064B">
        <w:t xml:space="preserve">femme </w:t>
      </w:r>
      <w:r w:rsidRPr="00B964FC">
        <w:t>acti</w:t>
      </w:r>
      <w:r w:rsidR="003A064B">
        <w:t>ve</w:t>
      </w:r>
      <w:r w:rsidRPr="00B964FC">
        <w:t>s occupé</w:t>
      </w:r>
      <w:r w:rsidR="003A064B">
        <w:t>e</w:t>
      </w:r>
      <w:r w:rsidRPr="00B964FC">
        <w:t>s a baissé de</w:t>
      </w:r>
      <w:r w:rsidR="003A064B">
        <w:t xml:space="preserve"> 42% contre </w:t>
      </w:r>
      <w:r w:rsidRPr="00B964FC">
        <w:t xml:space="preserve">52% </w:t>
      </w:r>
      <w:r w:rsidR="003A064B">
        <w:t>pour</w:t>
      </w:r>
      <w:r w:rsidRPr="00B964FC">
        <w:t xml:space="preserve"> les hommes</w:t>
      </w:r>
      <w:r w:rsidR="003A064B">
        <w:t xml:space="preserve"> </w:t>
      </w:r>
      <w:r w:rsidR="006F12C8">
        <w:t>[4]</w:t>
      </w:r>
      <w:r>
        <w:t>.</w:t>
      </w:r>
    </w:p>
    <w:p w:rsidR="008A014B" w:rsidRPr="006F12C8" w:rsidRDefault="008A014B" w:rsidP="009E7DFD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6F12C8">
        <w:rPr>
          <w:rFonts w:ascii="Calibri" w:eastAsia="Calibri" w:hAnsi="Calibri" w:cs="Calibri"/>
          <w:b/>
        </w:rPr>
        <w:lastRenderedPageBreak/>
        <w:t>Références</w:t>
      </w:r>
    </w:p>
    <w:p w:rsidR="004C1F1F" w:rsidRPr="009F2240" w:rsidRDefault="004C1F1F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t>[1] HCP. Enquête Nationale sur l’Emploi</w:t>
      </w:r>
      <w:r w:rsidRPr="009F2240">
        <w:rPr>
          <w:color w:val="auto"/>
        </w:rPr>
        <w:br/>
        <w:t>[2] Royaume du Maroc. Rapport National. 2020. Examen National Volontaire de la mise en œuvre des Objectifs de Développement Durable.</w:t>
      </w:r>
      <w:r w:rsidRPr="009F2240">
        <w:rPr>
          <w:color w:val="auto"/>
        </w:rPr>
        <w:br/>
        <w:t>[3] Ministère de la Santé : Enquête Nationale sur la Population et la Santé Familiale 2018</w:t>
      </w:r>
    </w:p>
    <w:p w:rsidR="006F12C8" w:rsidRPr="009F2240" w:rsidRDefault="006F12C8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t>[4] HCP. Enquête sur l’impact du coronavirus sur la situations économique, sociale et psychologique des ménages 2020</w:t>
      </w:r>
    </w:p>
    <w:p w:rsidR="006F12C8" w:rsidRPr="009F2240" w:rsidRDefault="006F12C8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t>[5] HCP. Enquête</w:t>
      </w:r>
      <w:r w:rsidR="009F2240">
        <w:rPr>
          <w:color w:val="auto"/>
        </w:rPr>
        <w:t xml:space="preserve"> auprès des</w:t>
      </w:r>
      <w:r w:rsidRPr="009F2240">
        <w:rPr>
          <w:color w:val="auto"/>
        </w:rPr>
        <w:t xml:space="preserve"> Entreprise</w:t>
      </w:r>
      <w:r w:rsidR="009F2240">
        <w:rPr>
          <w:color w:val="auto"/>
        </w:rPr>
        <w:t>s</w:t>
      </w:r>
      <w:r w:rsidRPr="009F2240">
        <w:rPr>
          <w:color w:val="auto"/>
        </w:rPr>
        <w:t xml:space="preserve"> 2019</w:t>
      </w:r>
    </w:p>
    <w:p w:rsidR="006F12C8" w:rsidRPr="009F2240" w:rsidRDefault="006F12C8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t>[</w:t>
      </w:r>
      <w:r w:rsidRPr="009F2240">
        <w:rPr>
          <w:color w:val="auto"/>
        </w:rPr>
        <w:softHyphen/>
        <w:t>6]</w:t>
      </w:r>
      <w:r w:rsidR="009F2240">
        <w:rPr>
          <w:color w:val="auto"/>
        </w:rPr>
        <w:t xml:space="preserve"> HCP</w:t>
      </w:r>
      <w:r w:rsidRPr="009F2240">
        <w:rPr>
          <w:color w:val="auto"/>
        </w:rPr>
        <w:t>. Enquête nationale sur l’emploi du temps 2012</w:t>
      </w:r>
    </w:p>
    <w:p w:rsidR="006F12C8" w:rsidRPr="009F2240" w:rsidRDefault="004C1F1F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t>[</w:t>
      </w:r>
      <w:r w:rsidR="006F12C8" w:rsidRPr="009F2240">
        <w:rPr>
          <w:color w:val="auto"/>
        </w:rPr>
        <w:t>7</w:t>
      </w:r>
      <w:r w:rsidRPr="009F2240">
        <w:rPr>
          <w:color w:val="auto"/>
        </w:rPr>
        <w:t>] HCP. Enquête Nationale sur la violence à l’encontre des femmes et des hommes 2019</w:t>
      </w:r>
      <w:r w:rsidRPr="009F2240">
        <w:rPr>
          <w:color w:val="auto"/>
        </w:rPr>
        <w:br/>
        <w:t>[</w:t>
      </w:r>
      <w:r w:rsidR="006F12C8" w:rsidRPr="009F2240">
        <w:rPr>
          <w:color w:val="auto"/>
        </w:rPr>
        <w:t>8</w:t>
      </w:r>
      <w:r w:rsidRPr="009F2240">
        <w:rPr>
          <w:color w:val="auto"/>
        </w:rPr>
        <w:t>] HCP. Enquête Nationale sur la consommation et les dépenses des ménages 2014</w:t>
      </w:r>
    </w:p>
    <w:p w:rsidR="001720B8" w:rsidRPr="009F2240" w:rsidRDefault="004C1F1F" w:rsidP="004C1F1F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color w:val="auto"/>
        </w:rPr>
      </w:pPr>
      <w:r w:rsidRPr="009F2240">
        <w:rPr>
          <w:color w:val="auto"/>
        </w:rPr>
        <w:br/>
      </w:r>
    </w:p>
    <w:sectPr w:rsidR="001720B8" w:rsidRPr="009F2240" w:rsidSect="00DC2E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19" w:rsidRDefault="00693D19" w:rsidP="004B043D">
      <w:r>
        <w:separator/>
      </w:r>
    </w:p>
  </w:endnote>
  <w:endnote w:type="continuationSeparator" w:id="0">
    <w:p w:rsidR="00693D19" w:rsidRDefault="00693D19" w:rsidP="004B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28" w:rsidRDefault="00551C28" w:rsidP="00E9256C">
    <w:pPr>
      <w:pStyle w:val="Pieddepag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B425C">
      <w:rPr>
        <w:noProof/>
      </w:rPr>
      <w:t>4</w:t>
    </w:r>
    <w:r>
      <w:rPr>
        <w:noProof/>
      </w:rPr>
      <w:fldChar w:fldCharType="end"/>
    </w:r>
  </w:p>
  <w:p w:rsidR="00551C28" w:rsidRDefault="00551C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19" w:rsidRDefault="00693D19" w:rsidP="004B043D">
      <w:r>
        <w:separator/>
      </w:r>
    </w:p>
  </w:footnote>
  <w:footnote w:type="continuationSeparator" w:id="0">
    <w:p w:rsidR="00693D19" w:rsidRDefault="00693D19" w:rsidP="004B0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DF4"/>
    <w:multiLevelType w:val="multilevel"/>
    <w:tmpl w:val="D12C466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>
    <w:nsid w:val="102A531A"/>
    <w:multiLevelType w:val="hybridMultilevel"/>
    <w:tmpl w:val="8B781F3C"/>
    <w:lvl w:ilvl="0" w:tplc="3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75E29"/>
    <w:multiLevelType w:val="hybridMultilevel"/>
    <w:tmpl w:val="32229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67326"/>
    <w:multiLevelType w:val="hybridMultilevel"/>
    <w:tmpl w:val="06CE5C40"/>
    <w:lvl w:ilvl="0" w:tplc="9A9AA7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651D72"/>
    <w:multiLevelType w:val="hybridMultilevel"/>
    <w:tmpl w:val="755A7676"/>
    <w:lvl w:ilvl="0" w:tplc="0D2E1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52660"/>
    <w:multiLevelType w:val="hybridMultilevel"/>
    <w:tmpl w:val="4B64BD12"/>
    <w:lvl w:ilvl="0" w:tplc="2586EEA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62E77"/>
    <w:multiLevelType w:val="hybridMultilevel"/>
    <w:tmpl w:val="C4A0B994"/>
    <w:lvl w:ilvl="0" w:tplc="4448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93268"/>
    <w:multiLevelType w:val="hybridMultilevel"/>
    <w:tmpl w:val="C4A0B994"/>
    <w:lvl w:ilvl="0" w:tplc="4448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52CE3"/>
    <w:multiLevelType w:val="hybridMultilevel"/>
    <w:tmpl w:val="9DD81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F1E19"/>
    <w:rsid w:val="00001C44"/>
    <w:rsid w:val="00001EC7"/>
    <w:rsid w:val="00006AEF"/>
    <w:rsid w:val="000107FF"/>
    <w:rsid w:val="0001196F"/>
    <w:rsid w:val="00013E00"/>
    <w:rsid w:val="00014CB4"/>
    <w:rsid w:val="00015B6B"/>
    <w:rsid w:val="00017C19"/>
    <w:rsid w:val="00024B7A"/>
    <w:rsid w:val="00026D38"/>
    <w:rsid w:val="00030F40"/>
    <w:rsid w:val="00035268"/>
    <w:rsid w:val="00042C70"/>
    <w:rsid w:val="00044512"/>
    <w:rsid w:val="00046077"/>
    <w:rsid w:val="00051FD3"/>
    <w:rsid w:val="0005210C"/>
    <w:rsid w:val="00052145"/>
    <w:rsid w:val="0005606C"/>
    <w:rsid w:val="000579FD"/>
    <w:rsid w:val="00067137"/>
    <w:rsid w:val="0007437D"/>
    <w:rsid w:val="000843C7"/>
    <w:rsid w:val="00086167"/>
    <w:rsid w:val="000877F3"/>
    <w:rsid w:val="00087D13"/>
    <w:rsid w:val="00090F55"/>
    <w:rsid w:val="00090F8F"/>
    <w:rsid w:val="00096608"/>
    <w:rsid w:val="000A3B94"/>
    <w:rsid w:val="000A6504"/>
    <w:rsid w:val="000B2EEC"/>
    <w:rsid w:val="000B5EFE"/>
    <w:rsid w:val="000B6B56"/>
    <w:rsid w:val="000B72D9"/>
    <w:rsid w:val="000C1414"/>
    <w:rsid w:val="000C27C8"/>
    <w:rsid w:val="000C5A50"/>
    <w:rsid w:val="000C6C4C"/>
    <w:rsid w:val="000C788D"/>
    <w:rsid w:val="000D0F94"/>
    <w:rsid w:val="000D10FE"/>
    <w:rsid w:val="000D7428"/>
    <w:rsid w:val="000E2999"/>
    <w:rsid w:val="000E5A73"/>
    <w:rsid w:val="000F1127"/>
    <w:rsid w:val="000F1563"/>
    <w:rsid w:val="000F4664"/>
    <w:rsid w:val="000F6B56"/>
    <w:rsid w:val="001008D5"/>
    <w:rsid w:val="00105403"/>
    <w:rsid w:val="00112BED"/>
    <w:rsid w:val="001168D7"/>
    <w:rsid w:val="001178EE"/>
    <w:rsid w:val="00121A6D"/>
    <w:rsid w:val="001227C7"/>
    <w:rsid w:val="0014080F"/>
    <w:rsid w:val="00141037"/>
    <w:rsid w:val="00141EA3"/>
    <w:rsid w:val="001501D2"/>
    <w:rsid w:val="0015057A"/>
    <w:rsid w:val="00151077"/>
    <w:rsid w:val="00153B41"/>
    <w:rsid w:val="00154C83"/>
    <w:rsid w:val="001556C1"/>
    <w:rsid w:val="001558E5"/>
    <w:rsid w:val="00164BCE"/>
    <w:rsid w:val="001720B8"/>
    <w:rsid w:val="001724F0"/>
    <w:rsid w:val="001752CF"/>
    <w:rsid w:val="00181A1B"/>
    <w:rsid w:val="00190A05"/>
    <w:rsid w:val="00190DD0"/>
    <w:rsid w:val="001A0576"/>
    <w:rsid w:val="001B0076"/>
    <w:rsid w:val="001B030F"/>
    <w:rsid w:val="001B038C"/>
    <w:rsid w:val="001B2B03"/>
    <w:rsid w:val="001B69E4"/>
    <w:rsid w:val="001C130C"/>
    <w:rsid w:val="001C2460"/>
    <w:rsid w:val="001C3506"/>
    <w:rsid w:val="001C48B6"/>
    <w:rsid w:val="001C70BB"/>
    <w:rsid w:val="001D16A8"/>
    <w:rsid w:val="001D17CA"/>
    <w:rsid w:val="001D43B5"/>
    <w:rsid w:val="001D58FD"/>
    <w:rsid w:val="001D7D2A"/>
    <w:rsid w:val="001E54CC"/>
    <w:rsid w:val="001F221E"/>
    <w:rsid w:val="001F2F2A"/>
    <w:rsid w:val="001F53E3"/>
    <w:rsid w:val="001F5522"/>
    <w:rsid w:val="00213177"/>
    <w:rsid w:val="00217D79"/>
    <w:rsid w:val="002213D8"/>
    <w:rsid w:val="00222464"/>
    <w:rsid w:val="0023308C"/>
    <w:rsid w:val="002441A6"/>
    <w:rsid w:val="00244B78"/>
    <w:rsid w:val="00245387"/>
    <w:rsid w:val="0026245D"/>
    <w:rsid w:val="00264A42"/>
    <w:rsid w:val="00277EB8"/>
    <w:rsid w:val="00281032"/>
    <w:rsid w:val="00296493"/>
    <w:rsid w:val="002A052F"/>
    <w:rsid w:val="002A37BB"/>
    <w:rsid w:val="002A4854"/>
    <w:rsid w:val="002A5407"/>
    <w:rsid w:val="002A5574"/>
    <w:rsid w:val="002A5F3F"/>
    <w:rsid w:val="002B0AF5"/>
    <w:rsid w:val="002B3D24"/>
    <w:rsid w:val="002B5143"/>
    <w:rsid w:val="002B6C14"/>
    <w:rsid w:val="002C364C"/>
    <w:rsid w:val="002C709E"/>
    <w:rsid w:val="002D3698"/>
    <w:rsid w:val="002D5E10"/>
    <w:rsid w:val="002E0FA0"/>
    <w:rsid w:val="002E6573"/>
    <w:rsid w:val="002E78E4"/>
    <w:rsid w:val="002E79AD"/>
    <w:rsid w:val="002F47FF"/>
    <w:rsid w:val="002F669A"/>
    <w:rsid w:val="00300C8F"/>
    <w:rsid w:val="00302B66"/>
    <w:rsid w:val="00311061"/>
    <w:rsid w:val="00323116"/>
    <w:rsid w:val="00324953"/>
    <w:rsid w:val="0033011C"/>
    <w:rsid w:val="00332781"/>
    <w:rsid w:val="0033370F"/>
    <w:rsid w:val="00345A91"/>
    <w:rsid w:val="00350051"/>
    <w:rsid w:val="003527C3"/>
    <w:rsid w:val="00362B8A"/>
    <w:rsid w:val="00370E56"/>
    <w:rsid w:val="00373552"/>
    <w:rsid w:val="00373C62"/>
    <w:rsid w:val="0037576E"/>
    <w:rsid w:val="0037743C"/>
    <w:rsid w:val="00377DA4"/>
    <w:rsid w:val="00381BAD"/>
    <w:rsid w:val="0038285B"/>
    <w:rsid w:val="00393CFD"/>
    <w:rsid w:val="003955D4"/>
    <w:rsid w:val="003A064B"/>
    <w:rsid w:val="003A0E71"/>
    <w:rsid w:val="003A150D"/>
    <w:rsid w:val="003A1EA5"/>
    <w:rsid w:val="003A2BC6"/>
    <w:rsid w:val="003A39A7"/>
    <w:rsid w:val="003A49BB"/>
    <w:rsid w:val="003A5003"/>
    <w:rsid w:val="003B1084"/>
    <w:rsid w:val="003B6252"/>
    <w:rsid w:val="003C0425"/>
    <w:rsid w:val="003C7AF6"/>
    <w:rsid w:val="003D52F2"/>
    <w:rsid w:val="003D565B"/>
    <w:rsid w:val="003E2836"/>
    <w:rsid w:val="003E2EBF"/>
    <w:rsid w:val="003F27CC"/>
    <w:rsid w:val="003F3BE9"/>
    <w:rsid w:val="003F4FF6"/>
    <w:rsid w:val="003F544F"/>
    <w:rsid w:val="003F74A0"/>
    <w:rsid w:val="0040338D"/>
    <w:rsid w:val="00404AA8"/>
    <w:rsid w:val="004059D6"/>
    <w:rsid w:val="00407DCD"/>
    <w:rsid w:val="004100D1"/>
    <w:rsid w:val="00413152"/>
    <w:rsid w:val="00413EED"/>
    <w:rsid w:val="00416951"/>
    <w:rsid w:val="004237DD"/>
    <w:rsid w:val="00423D29"/>
    <w:rsid w:val="00424551"/>
    <w:rsid w:val="0042554D"/>
    <w:rsid w:val="00432CF7"/>
    <w:rsid w:val="00433522"/>
    <w:rsid w:val="004352C0"/>
    <w:rsid w:val="00437E9E"/>
    <w:rsid w:val="00440439"/>
    <w:rsid w:val="00444399"/>
    <w:rsid w:val="00445A12"/>
    <w:rsid w:val="004502FB"/>
    <w:rsid w:val="004531DB"/>
    <w:rsid w:val="004651CF"/>
    <w:rsid w:val="00472EEA"/>
    <w:rsid w:val="0047657E"/>
    <w:rsid w:val="0048243D"/>
    <w:rsid w:val="004903A8"/>
    <w:rsid w:val="00490EC3"/>
    <w:rsid w:val="0049294B"/>
    <w:rsid w:val="00497849"/>
    <w:rsid w:val="004A2927"/>
    <w:rsid w:val="004B043D"/>
    <w:rsid w:val="004B0AB4"/>
    <w:rsid w:val="004B235B"/>
    <w:rsid w:val="004B2F56"/>
    <w:rsid w:val="004B4827"/>
    <w:rsid w:val="004B4BA3"/>
    <w:rsid w:val="004B7114"/>
    <w:rsid w:val="004C1F1F"/>
    <w:rsid w:val="004C2607"/>
    <w:rsid w:val="004C6B47"/>
    <w:rsid w:val="004C6DC8"/>
    <w:rsid w:val="004D4FC4"/>
    <w:rsid w:val="004D790B"/>
    <w:rsid w:val="004E1500"/>
    <w:rsid w:val="004E2EBD"/>
    <w:rsid w:val="004F513C"/>
    <w:rsid w:val="004F781E"/>
    <w:rsid w:val="00500814"/>
    <w:rsid w:val="0050096E"/>
    <w:rsid w:val="005025B7"/>
    <w:rsid w:val="00507AF9"/>
    <w:rsid w:val="00511CFF"/>
    <w:rsid w:val="00513B91"/>
    <w:rsid w:val="00515693"/>
    <w:rsid w:val="0051569A"/>
    <w:rsid w:val="005160F2"/>
    <w:rsid w:val="005178E7"/>
    <w:rsid w:val="0052060A"/>
    <w:rsid w:val="005345F6"/>
    <w:rsid w:val="00534986"/>
    <w:rsid w:val="00540D0A"/>
    <w:rsid w:val="00540E74"/>
    <w:rsid w:val="005427DA"/>
    <w:rsid w:val="005431F9"/>
    <w:rsid w:val="00544384"/>
    <w:rsid w:val="005510EA"/>
    <w:rsid w:val="00551C28"/>
    <w:rsid w:val="00553BF0"/>
    <w:rsid w:val="00555E9B"/>
    <w:rsid w:val="00564766"/>
    <w:rsid w:val="00566733"/>
    <w:rsid w:val="00567219"/>
    <w:rsid w:val="00571BB4"/>
    <w:rsid w:val="00572804"/>
    <w:rsid w:val="00572C55"/>
    <w:rsid w:val="00573534"/>
    <w:rsid w:val="00583A46"/>
    <w:rsid w:val="00585F62"/>
    <w:rsid w:val="00590014"/>
    <w:rsid w:val="00590DB1"/>
    <w:rsid w:val="005958C8"/>
    <w:rsid w:val="00597E2E"/>
    <w:rsid w:val="005A409F"/>
    <w:rsid w:val="005A6512"/>
    <w:rsid w:val="005A7F7C"/>
    <w:rsid w:val="005B0C30"/>
    <w:rsid w:val="005C0D88"/>
    <w:rsid w:val="005C1485"/>
    <w:rsid w:val="005C5618"/>
    <w:rsid w:val="005D244A"/>
    <w:rsid w:val="005D4B0F"/>
    <w:rsid w:val="005D7560"/>
    <w:rsid w:val="005D7E5B"/>
    <w:rsid w:val="005E1767"/>
    <w:rsid w:val="005E7322"/>
    <w:rsid w:val="005F44F6"/>
    <w:rsid w:val="005F4754"/>
    <w:rsid w:val="00604554"/>
    <w:rsid w:val="0060737C"/>
    <w:rsid w:val="0061404A"/>
    <w:rsid w:val="00617199"/>
    <w:rsid w:val="006202DC"/>
    <w:rsid w:val="00620EBE"/>
    <w:rsid w:val="006266F6"/>
    <w:rsid w:val="006312D6"/>
    <w:rsid w:val="00634649"/>
    <w:rsid w:val="00635EF4"/>
    <w:rsid w:val="00655197"/>
    <w:rsid w:val="00660894"/>
    <w:rsid w:val="00664718"/>
    <w:rsid w:val="00666B9A"/>
    <w:rsid w:val="00667677"/>
    <w:rsid w:val="006708FC"/>
    <w:rsid w:val="00671B3B"/>
    <w:rsid w:val="006726D3"/>
    <w:rsid w:val="006749AC"/>
    <w:rsid w:val="0068394C"/>
    <w:rsid w:val="00683F77"/>
    <w:rsid w:val="00684EBB"/>
    <w:rsid w:val="006857D9"/>
    <w:rsid w:val="00685B14"/>
    <w:rsid w:val="00685B41"/>
    <w:rsid w:val="00685C71"/>
    <w:rsid w:val="0068687E"/>
    <w:rsid w:val="00691776"/>
    <w:rsid w:val="00691E54"/>
    <w:rsid w:val="006922C3"/>
    <w:rsid w:val="00693519"/>
    <w:rsid w:val="00693D19"/>
    <w:rsid w:val="006949A2"/>
    <w:rsid w:val="00696AA1"/>
    <w:rsid w:val="006A5DD0"/>
    <w:rsid w:val="006B3462"/>
    <w:rsid w:val="006B3AC5"/>
    <w:rsid w:val="006B425C"/>
    <w:rsid w:val="006B799E"/>
    <w:rsid w:val="006C02F4"/>
    <w:rsid w:val="006C057F"/>
    <w:rsid w:val="006C391C"/>
    <w:rsid w:val="006C5568"/>
    <w:rsid w:val="006C5DF4"/>
    <w:rsid w:val="006D7229"/>
    <w:rsid w:val="006E4670"/>
    <w:rsid w:val="006E6457"/>
    <w:rsid w:val="006F12C8"/>
    <w:rsid w:val="006F5870"/>
    <w:rsid w:val="006F69E9"/>
    <w:rsid w:val="00700B19"/>
    <w:rsid w:val="0070194A"/>
    <w:rsid w:val="00703FF0"/>
    <w:rsid w:val="007141FF"/>
    <w:rsid w:val="007145FE"/>
    <w:rsid w:val="007154D2"/>
    <w:rsid w:val="00723FE0"/>
    <w:rsid w:val="00724C98"/>
    <w:rsid w:val="00724D18"/>
    <w:rsid w:val="00726386"/>
    <w:rsid w:val="00726976"/>
    <w:rsid w:val="0073009D"/>
    <w:rsid w:val="00730CDF"/>
    <w:rsid w:val="00734EA1"/>
    <w:rsid w:val="007350FB"/>
    <w:rsid w:val="00763A15"/>
    <w:rsid w:val="007722EF"/>
    <w:rsid w:val="00777269"/>
    <w:rsid w:val="00781D5B"/>
    <w:rsid w:val="00786DAE"/>
    <w:rsid w:val="00791042"/>
    <w:rsid w:val="007920FD"/>
    <w:rsid w:val="00792B5B"/>
    <w:rsid w:val="007A47D7"/>
    <w:rsid w:val="007A6946"/>
    <w:rsid w:val="007B2A40"/>
    <w:rsid w:val="007B5A1F"/>
    <w:rsid w:val="007C1263"/>
    <w:rsid w:val="007D07F0"/>
    <w:rsid w:val="007D1EB5"/>
    <w:rsid w:val="007D4098"/>
    <w:rsid w:val="007E0670"/>
    <w:rsid w:val="007E4F31"/>
    <w:rsid w:val="007E5A94"/>
    <w:rsid w:val="007E6CF1"/>
    <w:rsid w:val="007E7EFB"/>
    <w:rsid w:val="007F105A"/>
    <w:rsid w:val="007F14CD"/>
    <w:rsid w:val="007F1BBC"/>
    <w:rsid w:val="007F215F"/>
    <w:rsid w:val="007F6720"/>
    <w:rsid w:val="007F7C38"/>
    <w:rsid w:val="00802FD9"/>
    <w:rsid w:val="00803972"/>
    <w:rsid w:val="0080444A"/>
    <w:rsid w:val="0080787D"/>
    <w:rsid w:val="00813355"/>
    <w:rsid w:val="00822294"/>
    <w:rsid w:val="008249A6"/>
    <w:rsid w:val="008273B4"/>
    <w:rsid w:val="00827FDF"/>
    <w:rsid w:val="00835E71"/>
    <w:rsid w:val="00836B33"/>
    <w:rsid w:val="00841745"/>
    <w:rsid w:val="00852276"/>
    <w:rsid w:val="008571E8"/>
    <w:rsid w:val="008578F6"/>
    <w:rsid w:val="00860FC1"/>
    <w:rsid w:val="008620DD"/>
    <w:rsid w:val="0087727D"/>
    <w:rsid w:val="008867C0"/>
    <w:rsid w:val="00896E8A"/>
    <w:rsid w:val="008A014B"/>
    <w:rsid w:val="008A08C2"/>
    <w:rsid w:val="008A2DB8"/>
    <w:rsid w:val="008A395B"/>
    <w:rsid w:val="008A3B7A"/>
    <w:rsid w:val="008A4665"/>
    <w:rsid w:val="008B1E3C"/>
    <w:rsid w:val="008B379E"/>
    <w:rsid w:val="008B491B"/>
    <w:rsid w:val="008C5FAF"/>
    <w:rsid w:val="008D08F8"/>
    <w:rsid w:val="008D2339"/>
    <w:rsid w:val="008D2713"/>
    <w:rsid w:val="008D3868"/>
    <w:rsid w:val="008E37A5"/>
    <w:rsid w:val="008E39BA"/>
    <w:rsid w:val="008E4CD4"/>
    <w:rsid w:val="008F021F"/>
    <w:rsid w:val="008F620D"/>
    <w:rsid w:val="00900210"/>
    <w:rsid w:val="0090482C"/>
    <w:rsid w:val="00920035"/>
    <w:rsid w:val="00922B34"/>
    <w:rsid w:val="00933BC6"/>
    <w:rsid w:val="009354E8"/>
    <w:rsid w:val="00936858"/>
    <w:rsid w:val="00936B8D"/>
    <w:rsid w:val="00942464"/>
    <w:rsid w:val="009477A9"/>
    <w:rsid w:val="0095784A"/>
    <w:rsid w:val="00972819"/>
    <w:rsid w:val="009773B8"/>
    <w:rsid w:val="00980CFC"/>
    <w:rsid w:val="009836D2"/>
    <w:rsid w:val="0099472A"/>
    <w:rsid w:val="00995F5D"/>
    <w:rsid w:val="009A1CB3"/>
    <w:rsid w:val="009A372F"/>
    <w:rsid w:val="009A3796"/>
    <w:rsid w:val="009B004E"/>
    <w:rsid w:val="009B2804"/>
    <w:rsid w:val="009B3EBA"/>
    <w:rsid w:val="009C00B5"/>
    <w:rsid w:val="009C731D"/>
    <w:rsid w:val="009D38FD"/>
    <w:rsid w:val="009D399E"/>
    <w:rsid w:val="009D6204"/>
    <w:rsid w:val="009D7F2E"/>
    <w:rsid w:val="009E357C"/>
    <w:rsid w:val="009E35D7"/>
    <w:rsid w:val="009E4952"/>
    <w:rsid w:val="009E6152"/>
    <w:rsid w:val="009E7DFD"/>
    <w:rsid w:val="009F2240"/>
    <w:rsid w:val="009F2243"/>
    <w:rsid w:val="009F4B7A"/>
    <w:rsid w:val="009F59B6"/>
    <w:rsid w:val="009F6A05"/>
    <w:rsid w:val="00A00198"/>
    <w:rsid w:val="00A00D9D"/>
    <w:rsid w:val="00A030F4"/>
    <w:rsid w:val="00A04179"/>
    <w:rsid w:val="00A053E4"/>
    <w:rsid w:val="00A14410"/>
    <w:rsid w:val="00A20443"/>
    <w:rsid w:val="00A22C62"/>
    <w:rsid w:val="00A22F1F"/>
    <w:rsid w:val="00A24CC3"/>
    <w:rsid w:val="00A25E1B"/>
    <w:rsid w:val="00A304EC"/>
    <w:rsid w:val="00A30DA4"/>
    <w:rsid w:val="00A3464E"/>
    <w:rsid w:val="00A34D78"/>
    <w:rsid w:val="00A40B84"/>
    <w:rsid w:val="00A41D07"/>
    <w:rsid w:val="00A459E0"/>
    <w:rsid w:val="00A5302F"/>
    <w:rsid w:val="00A54BD0"/>
    <w:rsid w:val="00A57618"/>
    <w:rsid w:val="00A630EB"/>
    <w:rsid w:val="00A631E3"/>
    <w:rsid w:val="00A6798B"/>
    <w:rsid w:val="00A7397C"/>
    <w:rsid w:val="00A8027A"/>
    <w:rsid w:val="00A8114D"/>
    <w:rsid w:val="00A82A05"/>
    <w:rsid w:val="00A8642C"/>
    <w:rsid w:val="00A86A37"/>
    <w:rsid w:val="00A915E4"/>
    <w:rsid w:val="00A91BB3"/>
    <w:rsid w:val="00A93F07"/>
    <w:rsid w:val="00A96488"/>
    <w:rsid w:val="00AA1799"/>
    <w:rsid w:val="00AA1EBC"/>
    <w:rsid w:val="00AA6569"/>
    <w:rsid w:val="00AA76F0"/>
    <w:rsid w:val="00AB398A"/>
    <w:rsid w:val="00AB7F54"/>
    <w:rsid w:val="00AC1654"/>
    <w:rsid w:val="00AC1DE0"/>
    <w:rsid w:val="00AC4333"/>
    <w:rsid w:val="00AC46DB"/>
    <w:rsid w:val="00AC5B5B"/>
    <w:rsid w:val="00AD5A93"/>
    <w:rsid w:val="00AE0EAC"/>
    <w:rsid w:val="00AE7692"/>
    <w:rsid w:val="00AF0C60"/>
    <w:rsid w:val="00AF4984"/>
    <w:rsid w:val="00B010DC"/>
    <w:rsid w:val="00B05CFF"/>
    <w:rsid w:val="00B06C7B"/>
    <w:rsid w:val="00B07A16"/>
    <w:rsid w:val="00B10AB8"/>
    <w:rsid w:val="00B10C87"/>
    <w:rsid w:val="00B117AA"/>
    <w:rsid w:val="00B155AE"/>
    <w:rsid w:val="00B20F44"/>
    <w:rsid w:val="00B21556"/>
    <w:rsid w:val="00B266C2"/>
    <w:rsid w:val="00B315FC"/>
    <w:rsid w:val="00B347D7"/>
    <w:rsid w:val="00B36CBB"/>
    <w:rsid w:val="00B37770"/>
    <w:rsid w:val="00B41974"/>
    <w:rsid w:val="00B43A5C"/>
    <w:rsid w:val="00B447CC"/>
    <w:rsid w:val="00B50560"/>
    <w:rsid w:val="00B5169B"/>
    <w:rsid w:val="00B539B1"/>
    <w:rsid w:val="00B57684"/>
    <w:rsid w:val="00B636FC"/>
    <w:rsid w:val="00B721A6"/>
    <w:rsid w:val="00B77636"/>
    <w:rsid w:val="00B81577"/>
    <w:rsid w:val="00B861A3"/>
    <w:rsid w:val="00B90753"/>
    <w:rsid w:val="00B921DE"/>
    <w:rsid w:val="00B964FC"/>
    <w:rsid w:val="00BA1B50"/>
    <w:rsid w:val="00BA5D76"/>
    <w:rsid w:val="00BB06AB"/>
    <w:rsid w:val="00BC0157"/>
    <w:rsid w:val="00BC0937"/>
    <w:rsid w:val="00BC10B0"/>
    <w:rsid w:val="00BC1390"/>
    <w:rsid w:val="00BC576F"/>
    <w:rsid w:val="00BC744E"/>
    <w:rsid w:val="00BD1799"/>
    <w:rsid w:val="00BD40EE"/>
    <w:rsid w:val="00BD586C"/>
    <w:rsid w:val="00BE1966"/>
    <w:rsid w:val="00BF0569"/>
    <w:rsid w:val="00BF1F63"/>
    <w:rsid w:val="00C022F0"/>
    <w:rsid w:val="00C067BD"/>
    <w:rsid w:val="00C07C85"/>
    <w:rsid w:val="00C07FF5"/>
    <w:rsid w:val="00C11971"/>
    <w:rsid w:val="00C1379A"/>
    <w:rsid w:val="00C2017E"/>
    <w:rsid w:val="00C22BA0"/>
    <w:rsid w:val="00C2525D"/>
    <w:rsid w:val="00C2728E"/>
    <w:rsid w:val="00C323DC"/>
    <w:rsid w:val="00C32E44"/>
    <w:rsid w:val="00C33840"/>
    <w:rsid w:val="00C3547A"/>
    <w:rsid w:val="00C375BB"/>
    <w:rsid w:val="00C50D24"/>
    <w:rsid w:val="00C562F2"/>
    <w:rsid w:val="00C77903"/>
    <w:rsid w:val="00C8240A"/>
    <w:rsid w:val="00C87E60"/>
    <w:rsid w:val="00C943DC"/>
    <w:rsid w:val="00CA0BBD"/>
    <w:rsid w:val="00CA1028"/>
    <w:rsid w:val="00CA1808"/>
    <w:rsid w:val="00CA33D7"/>
    <w:rsid w:val="00CB0DB7"/>
    <w:rsid w:val="00CB0F97"/>
    <w:rsid w:val="00CB2F59"/>
    <w:rsid w:val="00CB41AC"/>
    <w:rsid w:val="00CC0938"/>
    <w:rsid w:val="00CD5F9B"/>
    <w:rsid w:val="00CF2310"/>
    <w:rsid w:val="00CF3F13"/>
    <w:rsid w:val="00CF412A"/>
    <w:rsid w:val="00CF6096"/>
    <w:rsid w:val="00CF7571"/>
    <w:rsid w:val="00D00728"/>
    <w:rsid w:val="00D01548"/>
    <w:rsid w:val="00D03344"/>
    <w:rsid w:val="00D06291"/>
    <w:rsid w:val="00D11A0D"/>
    <w:rsid w:val="00D12394"/>
    <w:rsid w:val="00D12A27"/>
    <w:rsid w:val="00D144C2"/>
    <w:rsid w:val="00D16FA7"/>
    <w:rsid w:val="00D23CAD"/>
    <w:rsid w:val="00D32892"/>
    <w:rsid w:val="00D33646"/>
    <w:rsid w:val="00D33B2E"/>
    <w:rsid w:val="00D35DAB"/>
    <w:rsid w:val="00D43522"/>
    <w:rsid w:val="00D43B41"/>
    <w:rsid w:val="00D44AD6"/>
    <w:rsid w:val="00D454AD"/>
    <w:rsid w:val="00D602F0"/>
    <w:rsid w:val="00D64048"/>
    <w:rsid w:val="00D72D3D"/>
    <w:rsid w:val="00D776DD"/>
    <w:rsid w:val="00D7789C"/>
    <w:rsid w:val="00D812DC"/>
    <w:rsid w:val="00D823BA"/>
    <w:rsid w:val="00D83963"/>
    <w:rsid w:val="00D85E62"/>
    <w:rsid w:val="00D93EF6"/>
    <w:rsid w:val="00D95282"/>
    <w:rsid w:val="00D96D5D"/>
    <w:rsid w:val="00DA032C"/>
    <w:rsid w:val="00DA2447"/>
    <w:rsid w:val="00DB309C"/>
    <w:rsid w:val="00DB35E8"/>
    <w:rsid w:val="00DB389F"/>
    <w:rsid w:val="00DB40A0"/>
    <w:rsid w:val="00DB64AF"/>
    <w:rsid w:val="00DB7CCC"/>
    <w:rsid w:val="00DC262A"/>
    <w:rsid w:val="00DC28B7"/>
    <w:rsid w:val="00DC2E61"/>
    <w:rsid w:val="00DC5115"/>
    <w:rsid w:val="00DC5287"/>
    <w:rsid w:val="00DD23FC"/>
    <w:rsid w:val="00DD3B22"/>
    <w:rsid w:val="00DD6157"/>
    <w:rsid w:val="00DD6754"/>
    <w:rsid w:val="00DE613A"/>
    <w:rsid w:val="00DE6D4D"/>
    <w:rsid w:val="00DE76F1"/>
    <w:rsid w:val="00DF7A9D"/>
    <w:rsid w:val="00E00DC5"/>
    <w:rsid w:val="00E010DE"/>
    <w:rsid w:val="00E02AA9"/>
    <w:rsid w:val="00E12CD2"/>
    <w:rsid w:val="00E140B2"/>
    <w:rsid w:val="00E14516"/>
    <w:rsid w:val="00E1494B"/>
    <w:rsid w:val="00E22A31"/>
    <w:rsid w:val="00E25AAA"/>
    <w:rsid w:val="00E3380E"/>
    <w:rsid w:val="00E36F05"/>
    <w:rsid w:val="00E37136"/>
    <w:rsid w:val="00E37D01"/>
    <w:rsid w:val="00E46E68"/>
    <w:rsid w:val="00E511F8"/>
    <w:rsid w:val="00E55322"/>
    <w:rsid w:val="00E56922"/>
    <w:rsid w:val="00E577F4"/>
    <w:rsid w:val="00E65F49"/>
    <w:rsid w:val="00E6696C"/>
    <w:rsid w:val="00E66CCD"/>
    <w:rsid w:val="00E702CC"/>
    <w:rsid w:val="00E707E1"/>
    <w:rsid w:val="00E714F9"/>
    <w:rsid w:val="00E73B02"/>
    <w:rsid w:val="00E75772"/>
    <w:rsid w:val="00E91CE2"/>
    <w:rsid w:val="00E9256C"/>
    <w:rsid w:val="00E95A51"/>
    <w:rsid w:val="00E97877"/>
    <w:rsid w:val="00EA7599"/>
    <w:rsid w:val="00EB2B6E"/>
    <w:rsid w:val="00EB54CE"/>
    <w:rsid w:val="00EB55CB"/>
    <w:rsid w:val="00EB5DB2"/>
    <w:rsid w:val="00EB7296"/>
    <w:rsid w:val="00EC3261"/>
    <w:rsid w:val="00EC6394"/>
    <w:rsid w:val="00EC6FC5"/>
    <w:rsid w:val="00EC72B3"/>
    <w:rsid w:val="00ED2647"/>
    <w:rsid w:val="00ED3136"/>
    <w:rsid w:val="00ED471A"/>
    <w:rsid w:val="00EE21DA"/>
    <w:rsid w:val="00EF4D9F"/>
    <w:rsid w:val="00EF75FE"/>
    <w:rsid w:val="00F028D4"/>
    <w:rsid w:val="00F03525"/>
    <w:rsid w:val="00F106B3"/>
    <w:rsid w:val="00F15E48"/>
    <w:rsid w:val="00F16553"/>
    <w:rsid w:val="00F357EF"/>
    <w:rsid w:val="00F37825"/>
    <w:rsid w:val="00F40815"/>
    <w:rsid w:val="00F41B73"/>
    <w:rsid w:val="00F442CC"/>
    <w:rsid w:val="00F47646"/>
    <w:rsid w:val="00F513CA"/>
    <w:rsid w:val="00F52450"/>
    <w:rsid w:val="00F54B8B"/>
    <w:rsid w:val="00F54F6B"/>
    <w:rsid w:val="00F55F7F"/>
    <w:rsid w:val="00F61E6D"/>
    <w:rsid w:val="00F65174"/>
    <w:rsid w:val="00F675D3"/>
    <w:rsid w:val="00F73D87"/>
    <w:rsid w:val="00F747D1"/>
    <w:rsid w:val="00F74FB5"/>
    <w:rsid w:val="00F7722F"/>
    <w:rsid w:val="00F77CA7"/>
    <w:rsid w:val="00F84A38"/>
    <w:rsid w:val="00F86118"/>
    <w:rsid w:val="00F91171"/>
    <w:rsid w:val="00F92D59"/>
    <w:rsid w:val="00F9656E"/>
    <w:rsid w:val="00F97232"/>
    <w:rsid w:val="00F979C0"/>
    <w:rsid w:val="00FA063B"/>
    <w:rsid w:val="00FA0929"/>
    <w:rsid w:val="00FA7977"/>
    <w:rsid w:val="00FB45EF"/>
    <w:rsid w:val="00FB479E"/>
    <w:rsid w:val="00FB5107"/>
    <w:rsid w:val="00FB74C9"/>
    <w:rsid w:val="00FC220E"/>
    <w:rsid w:val="00FC4457"/>
    <w:rsid w:val="00FC4458"/>
    <w:rsid w:val="00FD25A6"/>
    <w:rsid w:val="00FD3077"/>
    <w:rsid w:val="00FD3199"/>
    <w:rsid w:val="00FD3EC6"/>
    <w:rsid w:val="00FD4133"/>
    <w:rsid w:val="00FD79FE"/>
    <w:rsid w:val="00FE1625"/>
    <w:rsid w:val="00FE5A76"/>
    <w:rsid w:val="00FE7BF3"/>
    <w:rsid w:val="00FF0C49"/>
    <w:rsid w:val="00FF0FFD"/>
    <w:rsid w:val="00FF1E19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19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A057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/>
    </w:rPr>
  </w:style>
  <w:style w:type="paragraph" w:styleId="Titre2">
    <w:name w:val="heading 2"/>
    <w:basedOn w:val="Normal"/>
    <w:next w:val="Normal"/>
    <w:link w:val="Titre2Car"/>
    <w:qFormat/>
    <w:rsid w:val="004E1500"/>
    <w:pPr>
      <w:tabs>
        <w:tab w:val="left" w:pos="-720"/>
      </w:tabs>
      <w:suppressAutoHyphens/>
      <w:spacing w:line="240" w:lineRule="atLeast"/>
      <w:jc w:val="both"/>
      <w:outlineLvl w:val="1"/>
    </w:pPr>
    <w:rPr>
      <w:b/>
      <w:bCs/>
      <w:color w:val="C45911"/>
      <w:spacing w:val="-3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FF0C49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Titre2Car">
    <w:name w:val="Titre 2 Car"/>
    <w:link w:val="Titre2"/>
    <w:rsid w:val="004E1500"/>
    <w:rPr>
      <w:rFonts w:ascii="Times New Roman" w:eastAsia="Times New Roman" w:hAnsi="Times New Roman" w:cs="Times New Roman"/>
      <w:b/>
      <w:bCs/>
      <w:color w:val="C45911"/>
      <w:spacing w:val="-3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4E1500"/>
    <w:pPr>
      <w:spacing w:before="100" w:beforeAutospacing="1" w:after="100" w:afterAutospacing="1"/>
    </w:pPr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B043D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43D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fn"/>
    <w:basedOn w:val="Normal"/>
    <w:link w:val="NotedebasdepageCar"/>
    <w:uiPriority w:val="99"/>
    <w:unhideWhenUsed/>
    <w:rsid w:val="0061404A"/>
    <w:rPr>
      <w:sz w:val="20"/>
      <w:szCs w:val="20"/>
      <w:lang/>
    </w:rPr>
  </w:style>
  <w:style w:type="character" w:customStyle="1" w:styleId="NotedebasdepageCar">
    <w:name w:val="Note de bas de page Car"/>
    <w:aliases w:val="fn Car"/>
    <w:link w:val="Notedebasdepage"/>
    <w:uiPriority w:val="99"/>
    <w:rsid w:val="0061404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rsid w:val="0061404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403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105403"/>
    <w:rPr>
      <w:rFonts w:ascii="Tahoma" w:eastAsia="Times New Roman" w:hAnsi="Tahoma" w:cs="Tahoma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A5DD0"/>
    <w:pPr>
      <w:spacing w:after="160"/>
    </w:pPr>
    <w:rPr>
      <w:sz w:val="20"/>
      <w:szCs w:val="20"/>
      <w:lang/>
    </w:rPr>
  </w:style>
  <w:style w:type="character" w:customStyle="1" w:styleId="CommentaireCar">
    <w:name w:val="Commentaire Car"/>
    <w:link w:val="Commentaire"/>
    <w:uiPriority w:val="99"/>
    <w:rsid w:val="006A5D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uiPriority w:val="9"/>
    <w:rsid w:val="001A0576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field">
    <w:name w:val="field"/>
    <w:rsid w:val="001A0576"/>
  </w:style>
  <w:style w:type="paragraph" w:styleId="Paragraphedeliste">
    <w:name w:val="List Paragraph"/>
    <w:aliases w:val="Paragraphe de liste du rapport,List ParagraphCxSpLast,List ParagraphCxSpLastCxSpLast,List ParagraphCxSpLastCxSpLastCxSpLast,Numbered list,List Paragraph,References,List Paragraph (numbered (a)),Table of contents numbered,Bullets"/>
    <w:basedOn w:val="Normal"/>
    <w:link w:val="ParagraphedelisteCar"/>
    <w:uiPriority w:val="34"/>
    <w:qFormat/>
    <w:rsid w:val="00947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Paragraphe de liste du rapport Car,List ParagraphCxSpLast Car,List ParagraphCxSpLastCxSpLast Car,List ParagraphCxSpLastCxSpLastCxSpLast Car,Numbered list Car,List Paragraph Car,References Car,List Paragraph (numbered (a)) Car"/>
    <w:link w:val="Paragraphedeliste"/>
    <w:uiPriority w:val="34"/>
    <w:rsid w:val="009477A9"/>
    <w:rPr>
      <w:sz w:val="22"/>
      <w:szCs w:val="22"/>
      <w:lang w:eastAsia="en-US"/>
    </w:rPr>
  </w:style>
  <w:style w:type="character" w:customStyle="1" w:styleId="fontstyle01">
    <w:name w:val="fontstyle01"/>
    <w:rsid w:val="00CF75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B2B03"/>
    <w:rPr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rsid w:val="00035268"/>
    <w:pPr>
      <w:bidi/>
      <w:jc w:val="center"/>
    </w:pPr>
    <w:rPr>
      <w:rFonts w:ascii="Univers" w:hAnsi="Univers"/>
      <w:sz w:val="22"/>
      <w:szCs w:val="20"/>
    </w:rPr>
  </w:style>
  <w:style w:type="character" w:customStyle="1" w:styleId="Corpsdetexte2Car">
    <w:name w:val="Corps de texte 2 Car"/>
    <w:link w:val="Corpsdetexte2"/>
    <w:uiPriority w:val="99"/>
    <w:rsid w:val="00035268"/>
    <w:rPr>
      <w:rFonts w:ascii="Univers" w:eastAsia="Times New Roman" w:hAnsi="Univers" w:cs="Simplified Arabic"/>
      <w:sz w:val="22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5601-08F2-4729-AF49-FAC811C4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HCP</cp:lastModifiedBy>
  <cp:revision>2</cp:revision>
  <cp:lastPrinted>2019-03-06T09:18:00Z</cp:lastPrinted>
  <dcterms:created xsi:type="dcterms:W3CDTF">2021-03-09T09:02:00Z</dcterms:created>
  <dcterms:modified xsi:type="dcterms:W3CDTF">2021-03-09T09:02:00Z</dcterms:modified>
</cp:coreProperties>
</file>