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65253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A26B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SEPTEMBRE </w:t>
      </w:r>
      <w:r w:rsidR="00747E8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  <w:r w:rsidR="00D00A0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 </w:t>
      </w:r>
    </w:p>
    <w:p w:rsidR="009E579A" w:rsidRPr="004671FE" w:rsidRDefault="001A05A8">
      <w:pPr>
        <w:jc w:val="right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23642" w:rsidRDefault="00652534" w:rsidP="00BE71E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8416F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8416F1" w:rsidRPr="008416F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1,2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8416F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E71E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 de 0,</w:t>
      </w:r>
      <w:r w:rsidR="00BE71E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BE71E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23642" w:rsidRPr="00C954F8" w:rsidRDefault="009E579A" w:rsidP="00EE1D15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47E82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>sse de 0,</w:t>
      </w:r>
      <w:r w:rsidR="008416F1">
        <w:rPr>
          <w:rFonts w:ascii="Arial" w:hAnsi="Arial" w:cs="Arial"/>
          <w:sz w:val="24"/>
          <w:szCs w:val="24"/>
          <w:lang w:bidi="ar-MA"/>
        </w:rPr>
        <w:t>7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A23642">
        <w:rPr>
          <w:rFonts w:ascii="Arial" w:hAnsi="Arial" w:cs="Arial"/>
          <w:sz w:val="24"/>
          <w:szCs w:val="24"/>
          <w:lang w:bidi="ar-MA"/>
        </w:rPr>
        <w:t>. Cette variation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e la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8416F1">
        <w:rPr>
          <w:rFonts w:ascii="Arial" w:hAnsi="Arial" w:cs="Arial"/>
          <w:sz w:val="24"/>
          <w:szCs w:val="24"/>
          <w:lang w:bidi="ar-MA"/>
        </w:rPr>
        <w:t>1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8416F1">
        <w:rPr>
          <w:rFonts w:ascii="Arial" w:hAnsi="Arial" w:cs="Arial"/>
          <w:sz w:val="24"/>
          <w:szCs w:val="24"/>
          <w:lang w:bidi="ar-MA"/>
        </w:rPr>
        <w:t>2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</w:t>
      </w:r>
      <w:r w:rsidR="00875804">
        <w:rPr>
          <w:rFonts w:ascii="Arial" w:hAnsi="Arial" w:cs="Arial"/>
          <w:sz w:val="24"/>
          <w:szCs w:val="24"/>
          <w:lang w:bidi="ar-MA"/>
        </w:rPr>
        <w:t>0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8416F1">
        <w:rPr>
          <w:rFonts w:ascii="Arial" w:hAnsi="Arial" w:cs="Arial"/>
          <w:sz w:val="24"/>
          <w:szCs w:val="24"/>
          <w:lang w:bidi="ar-MA"/>
        </w:rPr>
        <w:t>2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de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non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A23642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16625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341613" w:rsidRPr="00341613">
        <w:rPr>
          <w:rFonts w:ascii="Arial" w:hAnsi="Arial" w:cs="Arial"/>
          <w:sz w:val="24"/>
          <w:szCs w:val="24"/>
          <w:lang w:bidi="ar-MA"/>
        </w:rPr>
        <w:t xml:space="preserve">Les hausses des produits alimentaires observées entre </w:t>
      </w:r>
      <w:r w:rsidR="000D6252">
        <w:rPr>
          <w:rFonts w:ascii="Arial" w:hAnsi="Arial" w:cs="Arial"/>
          <w:sz w:val="24"/>
          <w:szCs w:val="24"/>
          <w:lang w:bidi="ar-MA"/>
        </w:rPr>
        <w:t xml:space="preserve">les mois </w:t>
      </w:r>
      <w:r w:rsidR="00341613" w:rsidRPr="00341613">
        <w:rPr>
          <w:rFonts w:ascii="Arial" w:hAnsi="Arial" w:cs="Arial"/>
          <w:sz w:val="24"/>
          <w:szCs w:val="24"/>
          <w:lang w:bidi="ar-MA"/>
        </w:rPr>
        <w:t xml:space="preserve">d'août et septembre 2021 concernent principalement  le «Pain et </w:t>
      </w:r>
      <w:r w:rsidR="00024F4E" w:rsidRPr="00341613">
        <w:rPr>
          <w:rFonts w:ascii="Arial" w:hAnsi="Arial" w:cs="Arial"/>
          <w:sz w:val="24"/>
          <w:szCs w:val="24"/>
          <w:lang w:bidi="ar-MA"/>
        </w:rPr>
        <w:t>céréales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» avec 4,6%, les «Huiles et graisses» avec 2,5%, les «Viandes» et le «Lait, fromage et oeufs» ave</w:t>
      </w:r>
      <w:r w:rsidR="0016625A">
        <w:rPr>
          <w:rFonts w:ascii="Arial" w:hAnsi="Arial" w:cs="Arial"/>
          <w:sz w:val="24"/>
          <w:szCs w:val="24"/>
          <w:lang w:bidi="ar-MA"/>
        </w:rPr>
        <w:t xml:space="preserve">c 0,6%, les «Fruits» avec 0,5% 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et les «</w:t>
      </w:r>
      <w:r w:rsidR="0016625A">
        <w:rPr>
          <w:rFonts w:ascii="Arial" w:hAnsi="Arial" w:cs="Arial"/>
          <w:sz w:val="24"/>
          <w:szCs w:val="24"/>
          <w:lang w:bidi="ar-MA"/>
        </w:rPr>
        <w:t>L</w:t>
      </w:r>
      <w:r w:rsidR="0016625A" w:rsidRPr="00341613">
        <w:rPr>
          <w:rFonts w:ascii="Arial" w:hAnsi="Arial" w:cs="Arial"/>
          <w:sz w:val="24"/>
          <w:szCs w:val="24"/>
          <w:lang w:bidi="ar-MA"/>
        </w:rPr>
        <w:t>égumes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» avec 0,3%. En revanche, les prix ont diminué de 2,5%  pour les «Poisso</w:t>
      </w:r>
      <w:r w:rsidR="00341613">
        <w:rPr>
          <w:rFonts w:ascii="Arial" w:hAnsi="Arial" w:cs="Arial"/>
          <w:sz w:val="24"/>
          <w:szCs w:val="24"/>
          <w:lang w:bidi="ar-MA"/>
        </w:rPr>
        <w:t>n</w:t>
      </w:r>
      <w:r w:rsidR="0016625A">
        <w:rPr>
          <w:rFonts w:ascii="Arial" w:hAnsi="Arial" w:cs="Arial"/>
          <w:sz w:val="24"/>
          <w:szCs w:val="24"/>
          <w:lang w:bidi="ar-MA"/>
        </w:rPr>
        <w:t>s</w:t>
      </w:r>
      <w:r w:rsidR="00341613">
        <w:rPr>
          <w:rFonts w:ascii="Arial" w:hAnsi="Arial" w:cs="Arial"/>
          <w:sz w:val="24"/>
          <w:szCs w:val="24"/>
          <w:lang w:bidi="ar-MA"/>
        </w:rPr>
        <w:t xml:space="preserve"> et fruits de mer» et de 0,4% </w:t>
      </w:r>
      <w:r w:rsidR="00341613" w:rsidRPr="00341613">
        <w:rPr>
          <w:rFonts w:ascii="Arial" w:hAnsi="Arial" w:cs="Arial"/>
          <w:sz w:val="24"/>
          <w:szCs w:val="24"/>
          <w:lang w:bidi="ar-MA"/>
        </w:rPr>
        <w:t xml:space="preserve">pour les «Eaux </w:t>
      </w:r>
      <w:r w:rsidR="0016625A" w:rsidRPr="00341613">
        <w:rPr>
          <w:rFonts w:ascii="Arial" w:hAnsi="Arial" w:cs="Arial"/>
          <w:sz w:val="24"/>
          <w:szCs w:val="24"/>
          <w:lang w:bidi="ar-MA"/>
        </w:rPr>
        <w:t>minérales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, boissons rafraichissantes». Pour les produits non alimentaires, la hausse a concerné principalement les prix des «Carburants» avec 0</w:t>
      </w:r>
      <w:r w:rsidR="00341613">
        <w:rPr>
          <w:rFonts w:ascii="Arial" w:hAnsi="Arial" w:cs="Arial"/>
          <w:sz w:val="24"/>
          <w:szCs w:val="24"/>
          <w:lang w:bidi="ar-MA"/>
        </w:rPr>
        <w:t>,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8%.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C802E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Les hausses les plus importantes de l’IPC ont été enregistrées à Fes et Settat avec 1,5%, à Beni mellal avec 1,4%, à Kenitra avec 1,1%, à Guelmim avec 1,0%, à Oujda avec 0,8%, à Casablanca, Rabat, Laayoune et Safi avec 0,7% et à Errachidia avec 0,6%. En revanche, des baisses ont été enregistrées à Alhouceima avec 1,1% et à Marrakech avec</w:t>
      </w:r>
      <w:r w:rsidR="00341613">
        <w:rPr>
          <w:rFonts w:ascii="Arial" w:hAnsi="Arial" w:cs="Arial"/>
          <w:sz w:val="24"/>
          <w:szCs w:val="24"/>
          <w:lang w:bidi="ar-MA"/>
        </w:rPr>
        <w:t xml:space="preserve"> 0,1</w:t>
      </w:r>
      <w:r w:rsidR="00341613" w:rsidRPr="00341613">
        <w:rPr>
          <w:rFonts w:ascii="Arial" w:hAnsi="Arial" w:cs="Arial"/>
          <w:sz w:val="24"/>
          <w:szCs w:val="24"/>
          <w:lang w:bidi="ar-MA"/>
        </w:rPr>
        <w:t>%.</w:t>
      </w:r>
    </w:p>
    <w:p w:rsidR="00341613" w:rsidRDefault="00341613" w:rsidP="0034161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89157F" w:rsidRDefault="009E579A" w:rsidP="0081112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 xml:space="preserve">Comparé au même mois de l’année précédente, l’indice des prix à la consommation a enregistré une hausse de 1,2% au cours du mois de septembre 2021 conséquence de la 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 xml:space="preserve"> de l’indice des produits 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 xml:space="preserve">non 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 xml:space="preserve">alimentaires de 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9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 xml:space="preserve">% et de la 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bai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 xml:space="preserve">sse de celui des produits alimentaires de 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0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81112A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>%. Pour les produits non alimentaires, les variations vont d’une baisse de 0,4% dans les «</w:t>
      </w:r>
      <w:r w:rsidR="00D115BF">
        <w:rPr>
          <w:rFonts w:ascii="Arial" w:hAnsi="Arial" w:cs="Arial"/>
          <w:spacing w:val="-2"/>
          <w:sz w:val="24"/>
          <w:szCs w:val="24"/>
          <w:lang w:bidi="ar-MA"/>
        </w:rPr>
        <w:t>C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>ommunications» à une hausse de 5,8% pour les «</w:t>
      </w:r>
      <w:r w:rsidR="00D115BF">
        <w:rPr>
          <w:rFonts w:ascii="Arial" w:hAnsi="Arial" w:cs="Arial"/>
          <w:spacing w:val="-2"/>
          <w:sz w:val="24"/>
          <w:szCs w:val="24"/>
          <w:lang w:bidi="ar-MA"/>
        </w:rPr>
        <w:t>T</w:t>
      </w:r>
      <w:r w:rsidR="00341613" w:rsidRPr="00341613">
        <w:rPr>
          <w:rFonts w:ascii="Arial" w:hAnsi="Arial" w:cs="Arial"/>
          <w:spacing w:val="-2"/>
          <w:sz w:val="24"/>
          <w:szCs w:val="24"/>
          <w:lang w:bidi="ar-MA"/>
        </w:rPr>
        <w:t>ransports».</w:t>
      </w:r>
    </w:p>
    <w:p w:rsidR="00341613" w:rsidRPr="004671FE" w:rsidRDefault="00341613" w:rsidP="0034161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341613" w:rsidRPr="00194996" w:rsidRDefault="00F2611F" w:rsidP="0076768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341613">
        <w:rPr>
          <w:rFonts w:ascii="Arial" w:hAnsi="Arial" w:cs="Arial"/>
          <w:sz w:val="24"/>
          <w:szCs w:val="24"/>
          <w:lang w:bidi="ar-MA"/>
        </w:rPr>
        <w:t>de septembre 2021</w:t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456225">
        <w:rPr>
          <w:rFonts w:ascii="Arial" w:hAnsi="Arial" w:cs="Arial"/>
          <w:sz w:val="24"/>
          <w:szCs w:val="24"/>
          <w:lang w:bidi="ar-MA"/>
        </w:rPr>
        <w:t>hau</w:t>
      </w:r>
      <w:r w:rsidR="00341613">
        <w:rPr>
          <w:rFonts w:ascii="Arial" w:hAnsi="Arial" w:cs="Arial"/>
          <w:sz w:val="24"/>
          <w:szCs w:val="24"/>
          <w:lang w:bidi="ar-MA"/>
        </w:rPr>
        <w:t>sse</w:t>
      </w:r>
      <w:r w:rsidR="00341613" w:rsidRPr="00F75C5C">
        <w:rPr>
          <w:rFonts w:ascii="Arial" w:hAnsi="Arial" w:cs="Arial"/>
          <w:sz w:val="24"/>
          <w:szCs w:val="24"/>
          <w:lang w:bidi="ar-MA"/>
        </w:rPr>
        <w:t xml:space="preserve"> </w:t>
      </w:r>
      <w:r w:rsidR="00341613">
        <w:rPr>
          <w:rFonts w:ascii="Arial" w:hAnsi="Arial" w:cs="Arial"/>
          <w:sz w:val="24"/>
          <w:szCs w:val="24"/>
          <w:lang w:bidi="ar-MA"/>
        </w:rPr>
        <w:t>de 0</w:t>
      </w:r>
      <w:r w:rsidR="00341613" w:rsidRPr="00194996">
        <w:rPr>
          <w:rFonts w:ascii="Arial" w:hAnsi="Arial" w:cs="Arial"/>
          <w:sz w:val="24"/>
          <w:szCs w:val="24"/>
          <w:lang w:bidi="ar-MA"/>
        </w:rPr>
        <w:t>,</w:t>
      </w:r>
      <w:r w:rsidR="00456225">
        <w:rPr>
          <w:rFonts w:ascii="Arial" w:hAnsi="Arial" w:cs="Arial"/>
          <w:sz w:val="24"/>
          <w:szCs w:val="24"/>
          <w:lang w:bidi="ar-MA"/>
        </w:rPr>
        <w:t>5</w:t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341613">
        <w:rPr>
          <w:rFonts w:ascii="Arial" w:hAnsi="Arial" w:cs="Arial"/>
          <w:sz w:val="24"/>
          <w:szCs w:val="24"/>
          <w:lang w:bidi="ar-MA"/>
        </w:rPr>
        <w:t xml:space="preserve"> </w:t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41613">
        <w:rPr>
          <w:rFonts w:ascii="Arial" w:hAnsi="Arial" w:cs="Arial"/>
          <w:sz w:val="24"/>
          <w:szCs w:val="24"/>
          <w:lang w:bidi="ar-MA"/>
        </w:rPr>
        <w:t>d’août 2021</w:t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341613">
        <w:rPr>
          <w:rFonts w:ascii="Arial" w:hAnsi="Arial" w:cs="Arial"/>
          <w:sz w:val="24"/>
          <w:szCs w:val="24"/>
          <w:lang w:bidi="ar-MA"/>
        </w:rPr>
        <w:t xml:space="preserve">de </w:t>
      </w:r>
      <w:r w:rsidR="00456225">
        <w:rPr>
          <w:rFonts w:ascii="Arial" w:hAnsi="Arial" w:cs="Arial"/>
          <w:sz w:val="24"/>
          <w:szCs w:val="24"/>
          <w:lang w:bidi="ar-MA"/>
        </w:rPr>
        <w:t>2</w:t>
      </w:r>
      <w:r w:rsidR="00341613" w:rsidRPr="00194996">
        <w:rPr>
          <w:rFonts w:ascii="Arial" w:hAnsi="Arial" w:cs="Arial"/>
          <w:sz w:val="24"/>
          <w:szCs w:val="24"/>
          <w:lang w:bidi="ar-MA"/>
        </w:rPr>
        <w:t>,</w:t>
      </w:r>
      <w:r w:rsidR="00341613">
        <w:rPr>
          <w:rFonts w:ascii="Arial" w:hAnsi="Arial" w:cs="Arial"/>
          <w:sz w:val="24"/>
          <w:szCs w:val="24"/>
          <w:lang w:bidi="ar-MA"/>
        </w:rPr>
        <w:t>2</w:t>
      </w:r>
      <w:r w:rsidR="00341613"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 w:rsidR="00341613">
        <w:rPr>
          <w:rFonts w:ascii="Arial" w:hAnsi="Arial" w:cs="Arial"/>
          <w:sz w:val="24"/>
          <w:szCs w:val="24"/>
          <w:lang w:bidi="ar-MA"/>
        </w:rPr>
        <w:t>de septembre 2020</w:t>
      </w:r>
      <w:r w:rsidR="00341613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 w:rsidP="00341613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97CDD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97CDD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47E82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47E82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3CB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3CB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97CDD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97C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lang w:bidi="ar-MA"/>
              </w:rPr>
              <w:t>neuf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8D4F09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C570BE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57007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47E82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C570BE" w:rsidP="00C57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47E82" w:rsidP="0057007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4F0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47E82" w:rsidP="008D4F0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47E82" w:rsidP="008D4F0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4F0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3CB7" w:rsidRPr="00402008" w:rsidTr="0068299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3CB7" w:rsidRPr="00402008" w:rsidTr="006829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402008" w:rsidTr="0068299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63CB7" w:rsidRPr="00402008" w:rsidTr="0068299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682992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570073" w:rsidRPr="00402008" w:rsidTr="008416F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Pr="00DB00D9" w:rsidRDefault="00570073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Pr="00D23C2D" w:rsidRDefault="00570073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neuf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570073" w:rsidRPr="00402008" w:rsidTr="0076768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70073" w:rsidRPr="00402008" w:rsidRDefault="00570073" w:rsidP="008416F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Default="00570073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570073" w:rsidRPr="00DB00D9" w:rsidRDefault="00747E82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Default="00570073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570073" w:rsidRPr="00DB00D9" w:rsidRDefault="00747E82" w:rsidP="008416F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8416F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747E82" w:rsidP="0076768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747E82" w:rsidP="0076768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8416F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63CB7" w:rsidRPr="00B0316A" w:rsidTr="008416F1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3CB7" w:rsidRPr="00B0316A" w:rsidTr="008416F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B0316A" w:rsidTr="008416F1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3CB7" w:rsidRPr="00B0316A" w:rsidTr="008416F1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Pr="00402008" w:rsidRDefault="00563CB7" w:rsidP="008416F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6805CC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4D8" w:rsidRDefault="006934D8">
      <w:pPr>
        <w:jc w:val="right"/>
      </w:pPr>
      <w:r>
        <w:separator/>
      </w:r>
    </w:p>
  </w:endnote>
  <w:endnote w:type="continuationSeparator" w:id="0">
    <w:p w:rsidR="006934D8" w:rsidRDefault="006934D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4D8" w:rsidRDefault="006934D8">
      <w:pPr>
        <w:jc w:val="right"/>
      </w:pPr>
      <w:r>
        <w:separator/>
      </w:r>
    </w:p>
  </w:footnote>
  <w:footnote w:type="continuationSeparator" w:id="0">
    <w:p w:rsidR="006934D8" w:rsidRDefault="006934D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4F4E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645E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6252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25A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5A8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1391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473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1613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225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6748B"/>
    <w:rsid w:val="00471C84"/>
    <w:rsid w:val="00472CB4"/>
    <w:rsid w:val="004736DB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417B"/>
    <w:rsid w:val="0055682E"/>
    <w:rsid w:val="0055756D"/>
    <w:rsid w:val="00557AC8"/>
    <w:rsid w:val="005603ED"/>
    <w:rsid w:val="005605E0"/>
    <w:rsid w:val="00560809"/>
    <w:rsid w:val="00563074"/>
    <w:rsid w:val="005633CB"/>
    <w:rsid w:val="00563CB7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6F5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47E4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28E3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33DD"/>
    <w:rsid w:val="0067479E"/>
    <w:rsid w:val="00674936"/>
    <w:rsid w:val="006760EB"/>
    <w:rsid w:val="006805CC"/>
    <w:rsid w:val="006805D4"/>
    <w:rsid w:val="00681B0C"/>
    <w:rsid w:val="00682992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34D8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47E82"/>
    <w:rsid w:val="00751473"/>
    <w:rsid w:val="0075479A"/>
    <w:rsid w:val="00755B56"/>
    <w:rsid w:val="00757F8F"/>
    <w:rsid w:val="0076276D"/>
    <w:rsid w:val="00765D3E"/>
    <w:rsid w:val="00767300"/>
    <w:rsid w:val="007673EB"/>
    <w:rsid w:val="00767682"/>
    <w:rsid w:val="0076797D"/>
    <w:rsid w:val="00767A72"/>
    <w:rsid w:val="007727A8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9F"/>
    <w:rsid w:val="00797F4E"/>
    <w:rsid w:val="007A05AA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56E3"/>
    <w:rsid w:val="007E7AA6"/>
    <w:rsid w:val="007F0F2B"/>
    <w:rsid w:val="007F1A78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112A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16F1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BEA"/>
    <w:rsid w:val="008C7994"/>
    <w:rsid w:val="008D0BD0"/>
    <w:rsid w:val="008D0CB1"/>
    <w:rsid w:val="008D27F8"/>
    <w:rsid w:val="008D34FD"/>
    <w:rsid w:val="008D4F09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6138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1E8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07666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2E8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0A0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15BF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5100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97CDD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E783D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5B62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1C4C"/>
    <w:rsid w:val="00ED3739"/>
    <w:rsid w:val="00ED4485"/>
    <w:rsid w:val="00ED4765"/>
    <w:rsid w:val="00EE07F4"/>
    <w:rsid w:val="00EE1D15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AF5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6C4D-0D83-45AC-B128-2137A724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2021-10-15T12:33:00Z</cp:lastPrinted>
  <dcterms:created xsi:type="dcterms:W3CDTF">2021-10-21T20:08:00Z</dcterms:created>
  <dcterms:modified xsi:type="dcterms:W3CDTF">2021-10-21T20:10:00Z</dcterms:modified>
</cp:coreProperties>
</file>