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384A4E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560442623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BD0B07" w:rsidRPr="00BD0B07" w:rsidRDefault="00BD0B07" w:rsidP="00BD0B07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BD0B07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BD0B07" w:rsidRDefault="00F76C50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>régionaux de l’année 2014</w:t>
      </w:r>
    </w:p>
    <w:p w:rsidR="00ED3A44" w:rsidRPr="00BD0B07" w:rsidRDefault="00ED3A44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2014,</w:t>
      </w:r>
      <w:r w:rsidRPr="00654239">
        <w:rPr>
          <w:rFonts w:ascii="Book Antiqua" w:hAnsi="Book Antiqua" w:cs="Arial"/>
          <w:b/>
          <w:bCs/>
        </w:rPr>
        <w:t xml:space="preserve"> un produit intérieur brut (PIB) en valeur de 923,7 milliards de DH, en augmentation de 2,9% par rapport à 2013.</w:t>
      </w:r>
      <w:r>
        <w:rPr>
          <w:rFonts w:ascii="Book Antiqua" w:hAnsi="Book Antiqua" w:cs="Arial"/>
          <w:b/>
          <w:bCs/>
        </w:rPr>
        <w:t xml:space="preserve"> </w:t>
      </w:r>
      <w:r w:rsidRPr="0069351C">
        <w:rPr>
          <w:rFonts w:ascii="Book Antiqua" w:hAnsi="Book Antiqua" w:cs="Arial"/>
          <w:b/>
          <w:bCs/>
        </w:rPr>
        <w:t xml:space="preserve">Les comptes </w:t>
      </w:r>
      <w:r>
        <w:rPr>
          <w:rFonts w:ascii="Book Antiqua" w:hAnsi="Book Antiqua" w:cs="Arial"/>
          <w:b/>
          <w:bCs/>
        </w:rPr>
        <w:t xml:space="preserve">régionaux </w:t>
      </w:r>
      <w:r w:rsidRPr="0069351C">
        <w:rPr>
          <w:rFonts w:ascii="Book Antiqua" w:hAnsi="Book Antiqua" w:cs="Arial"/>
          <w:b/>
          <w:bCs/>
        </w:rPr>
        <w:t xml:space="preserve">relatifs </w:t>
      </w:r>
      <w:r w:rsidR="00676AF9">
        <w:rPr>
          <w:rFonts w:ascii="Book Antiqua" w:hAnsi="Book Antiqua" w:cs="Arial"/>
          <w:b/>
          <w:bCs/>
        </w:rPr>
        <w:t xml:space="preserve">à </w:t>
      </w:r>
      <w:r>
        <w:rPr>
          <w:rFonts w:ascii="Book Antiqua" w:hAnsi="Book Antiqua" w:cs="Arial"/>
          <w:b/>
          <w:bCs/>
        </w:rPr>
        <w:t xml:space="preserve">ce dernier, en donne une répartition par région, </w:t>
      </w:r>
      <w:r w:rsidRPr="0069351C">
        <w:rPr>
          <w:rFonts w:ascii="Book Antiqua" w:hAnsi="Book Antiqua" w:cs="Arial"/>
          <w:b/>
          <w:bCs/>
        </w:rPr>
        <w:t xml:space="preserve">par groupe de branches d’activité ainsi que les dépenses de </w:t>
      </w:r>
      <w:r w:rsidR="002A536E">
        <w:rPr>
          <w:rFonts w:ascii="Book Antiqua" w:hAnsi="Book Antiqua" w:cs="Arial"/>
          <w:b/>
          <w:bCs/>
        </w:rPr>
        <w:t>consommation finale des ménages, au cours de cet exercice.</w:t>
      </w: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153F1B" w:rsidRDefault="00654239" w:rsidP="00654239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C’est ainsi que c</w:t>
      </w:r>
      <w:r w:rsidR="00153F1B" w:rsidRPr="007E6293">
        <w:rPr>
          <w:rFonts w:ascii="Book Antiqua" w:hAnsi="Book Antiqua" w:cs="Arial"/>
        </w:rPr>
        <w:t>inq régions ont enregistré des taux d’accroissement du PIB supérieur</w:t>
      </w:r>
      <w:r w:rsidR="00153F1B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à </w:t>
      </w:r>
      <w:r w:rsidR="006C4FF6">
        <w:rPr>
          <w:rFonts w:ascii="Book Antiqua" w:hAnsi="Book Antiqua" w:cs="Arial"/>
        </w:rPr>
        <w:t>la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moyenne nationale. I</w:t>
      </w:r>
      <w:r w:rsidR="00153F1B" w:rsidRPr="007E6293">
        <w:rPr>
          <w:rFonts w:ascii="Book Antiqua" w:hAnsi="Book Antiqua" w:cs="Arial"/>
        </w:rPr>
        <w:t xml:space="preserve">l s’agit des régions de Guelmim-Oued Noun </w:t>
      </w:r>
      <w:r w:rsidR="006C4FF6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(</w:t>
      </w:r>
      <w:r w:rsidR="00153F1B" w:rsidRPr="007E6293">
        <w:rPr>
          <w:rFonts w:ascii="Book Antiqua" w:hAnsi="Book Antiqua" w:cs="Arial"/>
        </w:rPr>
        <w:t>15,4%</w:t>
      </w:r>
      <w:r w:rsidR="00153F1B">
        <w:rPr>
          <w:rFonts w:ascii="Book Antiqua" w:hAnsi="Book Antiqua" w:cs="Arial"/>
        </w:rPr>
        <w:t>)</w:t>
      </w:r>
      <w:r w:rsidR="00153F1B" w:rsidRPr="007E6293">
        <w:rPr>
          <w:rFonts w:ascii="Book Antiqua" w:hAnsi="Book Antiqua" w:cs="Arial"/>
        </w:rPr>
        <w:t>, de Rabat-Salé-Kénitra (7,1%), de Casablanca-Settat (5,3%), de Tanger-Tétouan-Al Hoceima (4%)  et de l’Oriental (3,3%).</w:t>
      </w:r>
    </w:p>
    <w:p w:rsidR="00153F1B" w:rsidRPr="00C425C8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sz w:val="26"/>
          <w:szCs w:val="26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7E6293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de </w:t>
      </w:r>
      <w:r w:rsidRPr="007E6293">
        <w:rPr>
          <w:rFonts w:ascii="Book Antiqua" w:hAnsi="Book Antiqua" w:cs="Arial"/>
        </w:rPr>
        <w:t xml:space="preserve">Fès–Meknès </w:t>
      </w:r>
      <w:r>
        <w:rPr>
          <w:rFonts w:ascii="Book Antiqua" w:hAnsi="Book Antiqua" w:cs="Arial"/>
        </w:rPr>
        <w:t xml:space="preserve">et de </w:t>
      </w:r>
      <w:r w:rsidRPr="007E6293">
        <w:rPr>
          <w:rFonts w:ascii="Book Antiqua" w:hAnsi="Book Antiqua" w:cs="Arial"/>
        </w:rPr>
        <w:t>Souss-Massa ont affiché</w:t>
      </w:r>
      <w:r w:rsidR="006C4FF6">
        <w:rPr>
          <w:rFonts w:ascii="Book Antiqua" w:hAnsi="Book Antiqua" w:cs="Arial"/>
        </w:rPr>
        <w:t xml:space="preserve">, de leur coté, </w:t>
      </w:r>
      <w:r w:rsidRPr="007E6293">
        <w:rPr>
          <w:rFonts w:ascii="Book Antiqua" w:hAnsi="Book Antiqua" w:cs="Arial"/>
        </w:rPr>
        <w:t xml:space="preserve"> des rythmes de croissance positifs, mais inférieurs à la moyenne nationale</w:t>
      </w:r>
      <w:r w:rsidR="006C4FF6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avec </w:t>
      </w:r>
      <w:r w:rsidRPr="007E6293">
        <w:rPr>
          <w:rFonts w:ascii="Book Antiqua" w:hAnsi="Book Antiqua" w:cs="Arial"/>
        </w:rPr>
        <w:t>2,7%</w:t>
      </w:r>
      <w:r>
        <w:rPr>
          <w:rFonts w:ascii="Book Antiqua" w:hAnsi="Book Antiqua" w:cs="Arial"/>
        </w:rPr>
        <w:t xml:space="preserve"> </w:t>
      </w:r>
      <w:r w:rsidRPr="007E6293">
        <w:rPr>
          <w:rFonts w:ascii="Book Antiqua" w:hAnsi="Book Antiqua" w:cs="Arial"/>
        </w:rPr>
        <w:t>et 2,4%</w:t>
      </w:r>
      <w:r>
        <w:rPr>
          <w:rFonts w:ascii="Book Antiqua" w:hAnsi="Book Antiqua" w:cs="Arial"/>
        </w:rPr>
        <w:t xml:space="preserve"> respectivement</w:t>
      </w:r>
      <w:r w:rsidRPr="007E6293">
        <w:rPr>
          <w:rFonts w:ascii="Book Antiqua" w:hAnsi="Book Antiqua" w:cs="Arial"/>
        </w:rPr>
        <w:t xml:space="preserve">. </w:t>
      </w:r>
    </w:p>
    <w:p w:rsidR="00153F1B" w:rsidRPr="007E6293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7E6293">
        <w:rPr>
          <w:rFonts w:ascii="Book Antiqua" w:hAnsi="Book Antiqua" w:cs="Arial"/>
        </w:rPr>
        <w:t>es régions de Drâa-Tafilalet, d’Ed Dakhla-Oued</w:t>
      </w:r>
      <w:r w:rsidR="006C4FF6">
        <w:rPr>
          <w:rFonts w:ascii="Book Antiqua" w:hAnsi="Book Antiqua" w:cs="Arial"/>
        </w:rPr>
        <w:t>-E</w:t>
      </w:r>
      <w:r w:rsidRPr="007E6293">
        <w:rPr>
          <w:rFonts w:ascii="Book Antiqua" w:hAnsi="Book Antiqua" w:cs="Arial"/>
        </w:rPr>
        <w:t>d Dahab, de Marrakech-Safi, de Laâyoune-Saguia al Hamra et de Béni Mellal-Khénifra ont marqué, en revanche, des croissances négatives, respectivement de (-0,3%), (-2,3%), (-3,7%),  (-4,7%) et (-8,8%).</w:t>
      </w: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A cet effet, deux régions ont </w:t>
      </w:r>
      <w:r w:rsidR="006C4FF6">
        <w:rPr>
          <w:rFonts w:ascii="Book Antiqua" w:hAnsi="Book Antiqua" w:cs="Arial"/>
        </w:rPr>
        <w:t>participé</w:t>
      </w:r>
      <w:r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 </w:t>
      </w:r>
      <w:r w:rsidR="006C4FF6">
        <w:rPr>
          <w:rFonts w:ascii="Book Antiqua" w:hAnsi="Book Antiqua" w:cs="Arial"/>
        </w:rPr>
        <w:t>par</w:t>
      </w:r>
      <w:r w:rsidRPr="000762DA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>48,3</w:t>
      </w:r>
      <w:r w:rsidRPr="000762DA">
        <w:rPr>
          <w:rFonts w:ascii="Book Antiqua" w:hAnsi="Book Antiqua" w:cs="Arial"/>
        </w:rPr>
        <w:t xml:space="preserve">% </w:t>
      </w:r>
      <w:r w:rsidR="006C4FF6">
        <w:rPr>
          <w:rFonts w:ascii="Book Antiqua" w:hAnsi="Book Antiqua" w:cs="Arial"/>
        </w:rPr>
        <w:t>a</w:t>
      </w:r>
      <w:r w:rsidRPr="000762DA">
        <w:rPr>
          <w:rFonts w:ascii="Book Antiqua" w:hAnsi="Book Antiqua" w:cs="Arial"/>
        </w:rPr>
        <w:t>u PIB national</w:t>
      </w:r>
      <w:r>
        <w:rPr>
          <w:rFonts w:ascii="Book Antiqua" w:hAnsi="Book Antiqua" w:cs="Arial"/>
        </w:rPr>
        <w:t>, celle</w:t>
      </w:r>
      <w:r w:rsidR="00153F1B">
        <w:rPr>
          <w:rFonts w:ascii="Book Antiqua" w:hAnsi="Book Antiqua" w:cs="Arial"/>
        </w:rPr>
        <w:t xml:space="preserve"> de </w:t>
      </w:r>
      <w:r w:rsidR="00153F1B" w:rsidRPr="000762DA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avec </w:t>
      </w:r>
      <w:r w:rsidRPr="000762DA">
        <w:rPr>
          <w:rFonts w:ascii="Book Antiqua" w:hAnsi="Book Antiqua" w:cs="Arial"/>
        </w:rPr>
        <w:t>32</w:t>
      </w:r>
      <w:r>
        <w:rPr>
          <w:rFonts w:ascii="Book Antiqua" w:hAnsi="Book Antiqua" w:cs="Arial"/>
        </w:rPr>
        <w:t xml:space="preserve"> % </w:t>
      </w:r>
      <w:r w:rsidR="00153F1B" w:rsidRPr="000762DA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</w:t>
      </w:r>
      <w:r w:rsidR="00153F1B" w:rsidRPr="000762DA">
        <w:rPr>
          <w:rFonts w:ascii="Book Antiqua" w:hAnsi="Book Antiqua" w:cs="Arial"/>
        </w:rPr>
        <w:t xml:space="preserve">de Rabat-Salé-Kénitra avec </w:t>
      </w:r>
      <w:r w:rsidR="00153F1B">
        <w:rPr>
          <w:rFonts w:ascii="Book Antiqua" w:hAnsi="Book Antiqua" w:cs="Arial"/>
        </w:rPr>
        <w:t xml:space="preserve"> 16,3%.</w:t>
      </w:r>
    </w:p>
    <w:p w:rsidR="00070FA9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</w:p>
    <w:p w:rsidR="00153F1B" w:rsidRPr="00E9771B" w:rsidRDefault="00153F1B" w:rsidP="008F5FC3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>ont créé</w:t>
      </w:r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3</w:t>
      </w:r>
      <w:r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Pr="000762DA"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Fès-Meknès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5,8%.</w:t>
      </w:r>
    </w:p>
    <w:p w:rsidR="00153F1B" w:rsidRDefault="00153F1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11,3</w:t>
      </w:r>
      <w:r w:rsidR="00070FA9">
        <w:rPr>
          <w:rFonts w:ascii="Book Antiqua" w:hAnsi="Book Antiqua" w:cs="Arial"/>
        </w:rPr>
        <w:t xml:space="preserve">% à </w:t>
      </w:r>
      <w:r w:rsidR="006C4FF6">
        <w:rPr>
          <w:rFonts w:ascii="Book Antiqua" w:hAnsi="Book Antiqua" w:cs="Arial"/>
        </w:rPr>
        <w:t xml:space="preserve">création de </w:t>
      </w:r>
      <w:r>
        <w:rPr>
          <w:rFonts w:ascii="Book Antiqua" w:hAnsi="Book Antiqua" w:cs="Arial"/>
        </w:rPr>
        <w:t>la richesse nationale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4,9%</w:t>
      </w:r>
      <w:r w:rsidR="00070FA9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2,7</w:t>
      </w:r>
      <w:r w:rsidRPr="00E9771B">
        <w:rPr>
          <w:rFonts w:ascii="Book Antiqua" w:hAnsi="Book Antiqua" w:cs="Arial"/>
        </w:rPr>
        <w:t>%) et (3,</w:t>
      </w:r>
      <w:r>
        <w:rPr>
          <w:rFonts w:ascii="Book Antiqua" w:hAnsi="Book Antiqua" w:cs="Arial"/>
        </w:rPr>
        <w:t>7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>)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 xml:space="preserve">entre le PIB des différentes régions et le </w:t>
      </w:r>
      <w:r w:rsidR="00153F1B" w:rsidRPr="00AC52D2">
        <w:rPr>
          <w:rFonts w:ascii="Book Antiqua" w:hAnsi="Book Antiqua" w:cs="Arial"/>
        </w:rPr>
        <w:lastRenderedPageBreak/>
        <w:t>PIB régional  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50,4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milliards de DH en 2013 à </w:t>
      </w:r>
      <w:r w:rsidR="00153F1B">
        <w:rPr>
          <w:rFonts w:ascii="Book Antiqua" w:hAnsi="Book Antiqua" w:cs="Arial"/>
        </w:rPr>
        <w:t xml:space="preserve">53,2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2014.</w:t>
      </w:r>
    </w:p>
    <w:p w:rsidR="00552BA4" w:rsidRPr="00431B35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="00527898" w:rsidRPr="00527898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>s’élève</w:t>
      </w:r>
      <w:r>
        <w:rPr>
          <w:rFonts w:ascii="Book Antiqua" w:hAnsi="Book Antiqua" w:cs="Arial"/>
        </w:rPr>
        <w:t>, au niveau national, à 27345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2014.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la moyenne nationale.</w:t>
      </w:r>
      <w:r w:rsidRPr="00E9771B">
        <w:rPr>
          <w:rFonts w:ascii="Book Antiqua" w:hAnsi="Book Antiqua" w:cs="Arial"/>
        </w:rPr>
        <w:t xml:space="preserve"> Il s’agit des régions d’Ed Dakhla-Oued</w:t>
      </w:r>
      <w:r w:rsidR="00527898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 xml:space="preserve">d Dahab </w:t>
      </w:r>
      <w:r>
        <w:rPr>
          <w:rFonts w:ascii="Book Antiqua" w:hAnsi="Book Antiqua" w:cs="Arial"/>
        </w:rPr>
        <w:t>(6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312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</w:t>
      </w:r>
      <w:r w:rsidRPr="00C45980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8</w:t>
      </w:r>
      <w:r w:rsidRPr="00C4598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de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5583DH),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2961DH)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6667F9">
        <w:rPr>
          <w:rFonts w:ascii="Book Antiqua" w:hAnsi="Book Antiqua" w:cs="Arial"/>
        </w:rPr>
        <w:t>27964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007F6C" w:rsidRPr="00AC52D2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5122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24650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552BA4" w:rsidRPr="00721E76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 9766 </w:t>
      </w:r>
      <w:r w:rsidRPr="00AC52D2">
        <w:rPr>
          <w:rFonts w:ascii="Book Antiqua" w:hAnsi="Book Antiqua" w:cs="Arial"/>
        </w:rPr>
        <w:t>DH en 201</w:t>
      </w:r>
      <w:r>
        <w:rPr>
          <w:rFonts w:ascii="Book Antiqua" w:hAnsi="Book Antiqua" w:cs="Arial"/>
        </w:rPr>
        <w:t xml:space="preserve">3 </w:t>
      </w:r>
      <w:r w:rsidRPr="00AC52D2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9695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4.</w:t>
      </w:r>
    </w:p>
    <w:p w:rsidR="0069351C" w:rsidRPr="008B5472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ctivités économiques par région </w:t>
      </w:r>
    </w:p>
    <w:p w:rsidR="0001513B" w:rsidRDefault="00007F6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constituent 11,7% du PIB au niveau national en 2014.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 la moyenne nationale dans la majorité des régions. Les régions de </w:t>
      </w:r>
      <w:r w:rsidRPr="0066785B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, de</w:t>
      </w:r>
      <w:r w:rsidRPr="00007F6C">
        <w:rPr>
          <w:rFonts w:ascii="Book Antiqua" w:hAnsi="Book Antiqua" w:cs="Arial"/>
        </w:rPr>
        <w:t xml:space="preserve">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et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affichent des parts </w:t>
      </w:r>
      <w:r w:rsidR="0001513B">
        <w:rPr>
          <w:rFonts w:ascii="Book Antiqua" w:hAnsi="Book Antiqua" w:cs="Arial"/>
        </w:rPr>
        <w:t>situées à (11,3%), (10,8%) et (4,3%) respectivement.</w:t>
      </w:r>
    </w:p>
    <w:p w:rsidR="0069351C" w:rsidRDefault="0001513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1F389D">
        <w:rPr>
          <w:rFonts w:ascii="Book Antiqua" w:hAnsi="Book Antiqua" w:cs="Arial"/>
        </w:rPr>
        <w:t xml:space="preserve"> régions</w:t>
      </w:r>
      <w:r w:rsidR="0069351C">
        <w:rPr>
          <w:rFonts w:ascii="Book Antiqua" w:hAnsi="Book Antiqua" w:cs="Arial"/>
        </w:rPr>
        <w:t xml:space="preserve"> d’</w:t>
      </w:r>
      <w:r w:rsidR="0069351C" w:rsidRPr="005A3642">
        <w:rPr>
          <w:rFonts w:ascii="Book Antiqua" w:hAnsi="Book Antiqua" w:cs="Arial"/>
        </w:rPr>
        <w:t>Ed Dakhla-Oued</w:t>
      </w:r>
      <w:r>
        <w:rPr>
          <w:rFonts w:ascii="Book Antiqua" w:hAnsi="Book Antiqua" w:cs="Arial"/>
        </w:rPr>
        <w:t>-E</w:t>
      </w:r>
      <w:r w:rsidR="0069351C" w:rsidRPr="005A3642">
        <w:rPr>
          <w:rFonts w:ascii="Book Antiqua" w:hAnsi="Book Antiqua" w:cs="Arial"/>
        </w:rPr>
        <w:t>d Dahab</w:t>
      </w:r>
      <w:r w:rsidR="0069351C">
        <w:rPr>
          <w:rFonts w:ascii="Book Antiqua" w:hAnsi="Book Antiqua" w:cs="Arial"/>
        </w:rPr>
        <w:t xml:space="preserve"> et de</w:t>
      </w:r>
      <w:r w:rsidR="0069351C" w:rsidRPr="0098133D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 xml:space="preserve">Fès-Meknès </w:t>
      </w:r>
      <w:r>
        <w:rPr>
          <w:rFonts w:ascii="Book Antiqua" w:hAnsi="Book Antiqua" w:cs="Arial"/>
        </w:rPr>
        <w:t xml:space="preserve">présentent des parts dépassant 20% </w:t>
      </w:r>
      <w:r w:rsidR="00527898">
        <w:rPr>
          <w:rFonts w:ascii="Book Antiqua" w:hAnsi="Book Antiqua" w:cs="Arial"/>
        </w:rPr>
        <w:t xml:space="preserve">du PIB régional, </w:t>
      </w:r>
      <w:r>
        <w:rPr>
          <w:rFonts w:ascii="Book Antiqua" w:hAnsi="Book Antiqua" w:cs="Arial"/>
        </w:rPr>
        <w:t xml:space="preserve">avec (22,3%) et </w:t>
      </w:r>
      <w:r w:rsidR="0069351C">
        <w:rPr>
          <w:rFonts w:ascii="Book Antiqua" w:hAnsi="Book Antiqua" w:cs="Arial"/>
        </w:rPr>
        <w:t>(20,2</w:t>
      </w:r>
      <w:r>
        <w:rPr>
          <w:rFonts w:ascii="Book Antiqua" w:hAnsi="Book Antiqua" w:cs="Arial"/>
        </w:rPr>
        <w:t>%) respectivement.</w:t>
      </w:r>
    </w:p>
    <w:p w:rsidR="0069351C" w:rsidRPr="00AC52D2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>représentent 26,4% du PIB au niveau national</w:t>
      </w:r>
      <w:r w:rsidR="00527898">
        <w:rPr>
          <w:rFonts w:ascii="Book Antiqua" w:hAnsi="Book Antiqua" w:cs="Arial"/>
        </w:rPr>
        <w:t xml:space="preserve"> en 2014</w:t>
      </w:r>
      <w:r w:rsidR="00DC5F53">
        <w:rPr>
          <w:rFonts w:ascii="Book Antiqua" w:hAnsi="Book Antiqua" w:cs="Arial"/>
        </w:rPr>
        <w:t xml:space="preserve">. Quatre régions affichent des parts supérieures à cette moyenne,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(37,3%</w:t>
      </w:r>
      <w:r w:rsidR="00DC5F53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Pr="000762DA">
        <w:rPr>
          <w:rFonts w:ascii="Book Antiqua" w:hAnsi="Book Antiqua" w:cs="Arial"/>
        </w:rPr>
        <w:t>Béni Mellal-Khénifra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(35,4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(31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 et</w:t>
      </w:r>
      <w:r w:rsidRPr="002D3422">
        <w:t xml:space="preserve">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>(29,5%)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51,7% à la richesse nationale en 2014. Ces activités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sont largement dominantes dans les régions </w:t>
      </w:r>
      <w:r>
        <w:rPr>
          <w:rFonts w:ascii="Book Antiqua" w:hAnsi="Book Antiqua" w:cs="Arial"/>
        </w:rPr>
        <w:t>d’</w:t>
      </w:r>
      <w:r w:rsidRPr="005A3642">
        <w:rPr>
          <w:rFonts w:ascii="Book Antiqua" w:hAnsi="Book Antiqua" w:cs="Arial"/>
        </w:rPr>
        <w:t>Ed Dakhla-Oued</w:t>
      </w:r>
      <w:r w:rsidR="00527898"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du PIB régional),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(68,5%),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(62,8%) et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(61,3%).</w:t>
      </w:r>
      <w:r w:rsidRPr="005F142E">
        <w:rPr>
          <w:rFonts w:ascii="Book Antiqua" w:hAnsi="Book Antiqua" w:cs="Arial"/>
        </w:rPr>
        <w:t xml:space="preserve"> </w:t>
      </w:r>
    </w:p>
    <w:p w:rsidR="008F5FC3" w:rsidRDefault="008F5FC3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A135E4" w:rsidRDefault="00A135E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69351C" w:rsidRPr="00431B35" w:rsidRDefault="0069351C" w:rsidP="006B1155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lastRenderedPageBreak/>
        <w:t>Contribution régionale à l’activité économique nationale 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 xml:space="preserve">Marrakech-Safi </w:t>
      </w:r>
      <w:r>
        <w:rPr>
          <w:rFonts w:ascii="Book Antiqua" w:hAnsi="Book Antiqua" w:cs="Arial"/>
        </w:rPr>
        <w:t xml:space="preserve">et </w:t>
      </w:r>
      <w:r w:rsidR="00A044A5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Souss-Massa</w:t>
      </w:r>
      <w:r w:rsidR="0069351C">
        <w:rPr>
          <w:rFonts w:ascii="Book Antiqua" w:hAnsi="Book Antiqua" w:cs="Arial"/>
        </w:rPr>
        <w:t xml:space="preserve"> ont</w:t>
      </w:r>
      <w:r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>pour 68,5% à la création d</w:t>
      </w:r>
      <w:r>
        <w:rPr>
          <w:rFonts w:ascii="Book Antiqua" w:hAnsi="Book Antiqua" w:cs="Arial"/>
        </w:rPr>
        <w:t>e la valeur ajoutée nationale des activités du secteur primaire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en 2014 </w:t>
      </w:r>
      <w:r w:rsidR="0069351C">
        <w:rPr>
          <w:rFonts w:ascii="Book Antiqua" w:hAnsi="Book Antiqua" w:cs="Arial"/>
        </w:rPr>
        <w:t xml:space="preserve">au lieu de 68,3% en 2013. 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ont participé pour 55,7%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>
        <w:rPr>
          <w:rFonts w:ascii="Book Antiqua" w:hAnsi="Book Antiqua" w:cs="Arial"/>
        </w:rPr>
        <w:t xml:space="preserve">des activités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secondaire </w:t>
      </w:r>
      <w:r w:rsidR="0069351C">
        <w:rPr>
          <w:rFonts w:ascii="Book Antiqua" w:hAnsi="Book Antiqua" w:cs="Arial"/>
        </w:rPr>
        <w:t>en 2014 au lieu de 50,4% en 2013</w:t>
      </w:r>
      <w:r w:rsidR="0069351C" w:rsidRPr="00AC52D2">
        <w:rPr>
          <w:rFonts w:ascii="Book Antiqua" w:hAnsi="Book Antiqua" w:cs="Arial"/>
        </w:rPr>
        <w:t>.</w:t>
      </w:r>
      <w:r w:rsidRPr="00552BA4">
        <w:rPr>
          <w:rFonts w:ascii="Book Antiqua" w:hAnsi="Book Antiqua" w:cs="Arial"/>
        </w:rPr>
        <w:t xml:space="preserve">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région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 xml:space="preserve">Casablanca-Settat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>a ont participé par 50,3</w:t>
      </w:r>
      <w:r>
        <w:rPr>
          <w:rFonts w:ascii="Book Antiqua" w:hAnsi="Book Antiqua" w:cs="Arial"/>
        </w:rPr>
        <w:t>% à la valeur ajoutée des activités tertiaires en 2014 au lieu de 50,9% en 2013.</w:t>
      </w: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  <w:r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D</w:t>
      </w:r>
      <w:r w:rsidR="0069351C" w:rsidRPr="0069351C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69351C">
        <w:rPr>
          <w:rFonts w:ascii="Book Antiqua" w:hAnsi="Book Antiqua" w:cs="Arial"/>
        </w:rPr>
        <w:t>39,6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 xml:space="preserve">, avec 24,8% et 14,8%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Celles de</w:t>
      </w:r>
      <w:r w:rsidRPr="00F4207D"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 Tanger-Tétouan-Al Hoceima</w:t>
      </w:r>
      <w:r w:rsidRPr="00F0433D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Marrakech-Safi, de Souss-Massa </w:t>
      </w:r>
      <w:r w:rsidRPr="00F0433D">
        <w:rPr>
          <w:rFonts w:ascii="Book Antiqua" w:hAnsi="Book Antiqua" w:cs="Arial"/>
        </w:rPr>
        <w:t xml:space="preserve">et  de Béni Mellal-Khénifra </w:t>
      </w:r>
      <w:r w:rsidR="00962ECB" w:rsidRPr="00F0433D">
        <w:rPr>
          <w:rFonts w:ascii="Book Antiqua" w:hAnsi="Book Antiqua" w:cs="Arial"/>
        </w:rPr>
        <w:t>ont participé pour 47,1%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 xml:space="preserve">Cette participation a été respectivement de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11,8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 xml:space="preserve">),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11,4%)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11,2</w:t>
      </w:r>
      <w:r w:rsidR="00962ECB" w:rsidRPr="00F0433D">
        <w:rPr>
          <w:rFonts w:ascii="Book Antiqua" w:hAnsi="Book Antiqua" w:cs="Arial"/>
        </w:rPr>
        <w:t>%),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%) et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(5,</w:t>
      </w:r>
      <w:r w:rsidR="00962ECB">
        <w:rPr>
          <w:rFonts w:ascii="Book Antiqua" w:hAnsi="Book Antiqua" w:cs="Arial"/>
        </w:rPr>
        <w:t>5</w:t>
      </w:r>
      <w:r w:rsidR="00962ECB" w:rsidRPr="00F0433D">
        <w:rPr>
          <w:rFonts w:ascii="Book Antiqua" w:hAnsi="Book Antiqua" w:cs="Arial"/>
        </w:rPr>
        <w:t>%)</w:t>
      </w:r>
      <w:r w:rsidR="00962ECB">
        <w:rPr>
          <w:rFonts w:ascii="Book Antiqua" w:hAnsi="Book Antiqua" w:cs="Arial"/>
        </w:rPr>
        <w:t>.</w:t>
      </w:r>
    </w:p>
    <w:p w:rsidR="0069351C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0</w:t>
      </w:r>
      <w:r w:rsidR="00B33493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6% pour la région </w:t>
      </w:r>
      <w:r w:rsidRPr="00E9771B">
        <w:rPr>
          <w:rFonts w:ascii="Book Antiqua" w:hAnsi="Book Antiqua" w:cs="Arial"/>
        </w:rPr>
        <w:t>d’Ed 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et 7% pour la région de l’Oriental.</w:t>
      </w:r>
    </w:p>
    <w:p w:rsidR="0069351C" w:rsidRPr="00AC52D2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les </w:t>
      </w:r>
      <w:r w:rsidR="00842670">
        <w:rPr>
          <w:rFonts w:ascii="Book Antiqua" w:hAnsi="Book Antiqua" w:cs="Arial"/>
        </w:rPr>
        <w:t xml:space="preserve">disparités des </w:t>
      </w:r>
      <w:r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accentuées.</w:t>
      </w:r>
      <w:r>
        <w:rPr>
          <w:rFonts w:ascii="Book Antiqua" w:hAnsi="Book Antiqua" w:cs="Arial"/>
        </w:rPr>
        <w:t xml:space="preserve">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29,9 </w:t>
      </w:r>
      <w:r w:rsidRPr="00AC52D2">
        <w:rPr>
          <w:rFonts w:ascii="Book Antiqua" w:hAnsi="Book Antiqua" w:cs="Arial"/>
        </w:rPr>
        <w:t xml:space="preserve"> milliards de DH en 201</w:t>
      </w:r>
      <w:r>
        <w:rPr>
          <w:rFonts w:ascii="Book Antiqua" w:hAnsi="Book Antiqua" w:cs="Arial"/>
        </w:rPr>
        <w:t>4 au lieu de 28,6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2013</w:t>
      </w:r>
      <w:r w:rsidRPr="00AC52D2">
        <w:rPr>
          <w:rFonts w:ascii="Book Antiqua" w:hAnsi="Book Antiqua" w:cs="Arial"/>
        </w:rPr>
        <w:t>. </w:t>
      </w:r>
    </w:p>
    <w:p w:rsidR="0069351C" w:rsidRPr="00D2227D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 nationale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16379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d’</w:t>
      </w:r>
      <w:r w:rsidR="0069351C" w:rsidRPr="00D2227D">
        <w:rPr>
          <w:rFonts w:ascii="Book Antiqua" w:hAnsi="Book Antiqua" w:cs="Arial"/>
        </w:rPr>
        <w:t>Ed Dakhla-Oued ed 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 xml:space="preserve">23073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20050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Rabat-Salé-Kénitra (</w:t>
      </w:r>
      <w:r w:rsidR="0069351C" w:rsidRPr="00555781">
        <w:rPr>
          <w:rFonts w:ascii="Book Antiqua" w:hAnsi="Book Antiqua" w:cs="Arial"/>
        </w:rPr>
        <w:t>17914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DH)</w:t>
      </w:r>
      <w:r w:rsidR="0069351C">
        <w:rPr>
          <w:rFonts w:ascii="Book Antiqua" w:hAnsi="Book Antiqua" w:cs="Arial"/>
        </w:rPr>
        <w:t>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de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1783</w:t>
      </w:r>
      <w:r w:rsidR="0069351C">
        <w:rPr>
          <w:rFonts w:ascii="Book Antiqua" w:hAnsi="Book Antiqua" w:cs="Arial"/>
        </w:rPr>
        <w:t>1 DH),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de Laâyoune-Saguia al Hamra (</w:t>
      </w:r>
      <w:r w:rsidR="0069351C" w:rsidRPr="00555781">
        <w:rPr>
          <w:rFonts w:ascii="Book Antiqua" w:hAnsi="Book Antiqua" w:cs="Arial"/>
        </w:rPr>
        <w:t>1721</w:t>
      </w:r>
      <w:r w:rsidR="0069351C">
        <w:rPr>
          <w:rFonts w:ascii="Book Antiqua" w:hAnsi="Book Antiqua" w:cs="Arial"/>
        </w:rPr>
        <w:t>5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DH)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16811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6B1155">
      <w:pPr>
        <w:autoSpaceDE w:val="0"/>
        <w:autoSpaceDN w:val="0"/>
        <w:adjustRightInd w:val="0"/>
        <w:spacing w:before="100" w:before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ces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 xml:space="preserve">1403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9351C">
        <w:rPr>
          <w:rFonts w:ascii="Book Antiqua" w:hAnsi="Book Antiqua" w:cs="Arial"/>
        </w:rPr>
        <w:t>15492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69351C" w:rsidRPr="00F0433D">
        <w:rPr>
          <w:rFonts w:ascii="Book Antiqua" w:hAnsi="Book Antiqua" w:cs="Arial"/>
        </w:rPr>
        <w:t>Fès-Meknès</w:t>
      </w:r>
      <w:r w:rsidR="0069351C" w:rsidRPr="00D2227D">
        <w:rPr>
          <w:rFonts w:ascii="Book Antiqua" w:hAnsi="Book Antiqua" w:cs="Arial"/>
        </w:rPr>
        <w:t>).</w:t>
      </w:r>
    </w:p>
    <w:p w:rsidR="006B1155" w:rsidRDefault="00220060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</w:t>
      </w:r>
      <w:r w:rsidR="0069351C" w:rsidRPr="00D2227D">
        <w:rPr>
          <w:rFonts w:ascii="Book Antiqua" w:hAnsi="Book Antiqua" w:cs="Arial"/>
        </w:rPr>
        <w:t xml:space="preserve">,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>a enr</w:t>
      </w:r>
      <w:r>
        <w:rPr>
          <w:rFonts w:ascii="Book Antiqua" w:hAnsi="Book Antiqua" w:cs="Arial"/>
        </w:rPr>
        <w:t>egistré une légère augmentation.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>est passé de 2474</w:t>
      </w:r>
      <w:r w:rsidR="0069351C" w:rsidRPr="00D2227D">
        <w:rPr>
          <w:rFonts w:ascii="Book Antiqua" w:hAnsi="Book Antiqua" w:cs="Arial"/>
        </w:rPr>
        <w:t xml:space="preserve"> DH en  201</w:t>
      </w:r>
      <w:r w:rsidR="0069351C">
        <w:rPr>
          <w:rFonts w:ascii="Book Antiqua" w:hAnsi="Book Antiqua" w:cs="Arial"/>
        </w:rPr>
        <w:t>3</w:t>
      </w:r>
      <w:r w:rsidR="0069351C" w:rsidRPr="00D2227D">
        <w:rPr>
          <w:rFonts w:ascii="Book Antiqua" w:hAnsi="Book Antiqua" w:cs="Arial"/>
        </w:rPr>
        <w:t xml:space="preserve"> à </w:t>
      </w:r>
      <w:r w:rsidR="0069351C">
        <w:rPr>
          <w:rFonts w:ascii="Book Antiqua" w:hAnsi="Book Antiqua" w:cs="Arial"/>
        </w:rPr>
        <w:t>2535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 xml:space="preserve">4. </w:t>
      </w:r>
    </w:p>
    <w:p w:rsidR="006B1155" w:rsidRDefault="006B1155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</w:p>
    <w:p w:rsidR="00F76C50" w:rsidRPr="006B4218" w:rsidRDefault="005361CB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F76C50" w:rsidRPr="006B4218" w:rsidSect="00654239">
          <w:footerReference w:type="default" r:id="rId9"/>
          <w:pgSz w:w="11900" w:h="16840"/>
          <w:pgMar w:top="1134" w:right="1304" w:bottom="1418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</w:t>
      </w:r>
      <w:r w:rsidR="003726F2" w:rsidRPr="003726F2">
        <w:rPr>
          <w:b/>
          <w:bCs/>
          <w:i/>
          <w:iCs/>
          <w:sz w:val="20"/>
          <w:szCs w:val="20"/>
        </w:rPr>
        <w:t xml:space="preserve"> et les cartes géographiques </w:t>
      </w:r>
      <w:r w:rsidRPr="003726F2">
        <w:rPr>
          <w:b/>
          <w:bCs/>
          <w:i/>
          <w:iCs/>
          <w:sz w:val="20"/>
          <w:szCs w:val="20"/>
        </w:rPr>
        <w:t xml:space="preserve"> présentant les résultats des comptes régionaux d</w:t>
      </w:r>
      <w:r w:rsidR="005A1F0F" w:rsidRPr="003726F2">
        <w:rPr>
          <w:b/>
          <w:bCs/>
          <w:i/>
          <w:iCs/>
          <w:sz w:val="20"/>
          <w:szCs w:val="20"/>
        </w:rPr>
        <w:t>es années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2013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et 2014</w:t>
      </w:r>
      <w:r w:rsidR="006B4218">
        <w:rPr>
          <w:b/>
          <w:bCs/>
          <w:i/>
          <w:iCs/>
          <w:sz w:val="20"/>
          <w:szCs w:val="20"/>
        </w:rPr>
        <w:t>.</w:t>
      </w:r>
      <w:r w:rsidR="00114E37"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t xml:space="preserve"> </w:t>
      </w:r>
    </w:p>
    <w:tbl>
      <w:tblPr>
        <w:tblW w:w="1362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12"/>
        <w:gridCol w:w="5956"/>
        <w:gridCol w:w="1413"/>
        <w:gridCol w:w="1414"/>
        <w:gridCol w:w="976"/>
        <w:gridCol w:w="977"/>
        <w:gridCol w:w="1188"/>
        <w:gridCol w:w="1189"/>
      </w:tblGrid>
      <w:tr w:rsidR="00F76C50" w:rsidTr="00832526">
        <w:trPr>
          <w:trHeight w:val="542"/>
        </w:trPr>
        <w:tc>
          <w:tcPr>
            <w:tcW w:w="1362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F76C50" w:rsidTr="00832526">
        <w:trPr>
          <w:trHeight w:val="356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45"/>
        </w:trPr>
        <w:tc>
          <w:tcPr>
            <w:tcW w:w="646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35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2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9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3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F76C50" w:rsidTr="00832526">
        <w:trPr>
          <w:trHeight w:val="356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83825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87213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24650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43637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45095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18703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19460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84422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86734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20107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20498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140700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150693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31141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32961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59101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53871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23277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21347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280643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295550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41654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43187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86321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83140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19387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18432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15480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59623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61034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22602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22848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10501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12123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24314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27964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13709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13070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37625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35584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9368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67475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64312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897923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923696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26901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27345</w:t>
            </w:r>
          </w:p>
        </w:tc>
      </w:tr>
    </w:tbl>
    <w:p w:rsidR="00F76C50" w:rsidRDefault="00F76C50" w:rsidP="00F76C50">
      <w:pPr>
        <w:pStyle w:val="Paragraphedeliste"/>
        <w:rPr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tbl>
      <w:tblPr>
        <w:tblW w:w="1294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98"/>
        <w:gridCol w:w="4627"/>
        <w:gridCol w:w="1390"/>
        <w:gridCol w:w="1390"/>
        <w:gridCol w:w="1604"/>
        <w:gridCol w:w="1604"/>
        <w:gridCol w:w="923"/>
        <w:gridCol w:w="1010"/>
      </w:tblGrid>
      <w:tr w:rsidR="00F76C50" w:rsidTr="00832526">
        <w:trPr>
          <w:trHeight w:val="480"/>
        </w:trPr>
        <w:tc>
          <w:tcPr>
            <w:tcW w:w="12946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2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19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59433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63086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17324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17831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38956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16517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16811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62655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65552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14923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15492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79737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81900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17648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17914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30078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30265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11846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11993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130983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137216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19441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20050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60968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62218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13693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13794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17474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18578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10951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11403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38350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39384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14538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14744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6398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14813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15049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6146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6323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16869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17215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3145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3285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23073</w:t>
            </w:r>
          </w:p>
        </w:tc>
      </w:tr>
      <w:tr w:rsidR="00F76C50" w:rsidTr="00832526">
        <w:trPr>
          <w:trHeight w:val="345"/>
        </w:trPr>
        <w:tc>
          <w:tcPr>
            <w:tcW w:w="50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533903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553287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15996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16 379</w:t>
            </w:r>
          </w:p>
        </w:tc>
      </w:tr>
    </w:tbl>
    <w:p w:rsidR="00F76C50" w:rsidRDefault="00F76C50" w:rsidP="00F76C50">
      <w:pPr>
        <w:pStyle w:val="Paragraphedeliste"/>
        <w:rPr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p w:rsidR="00F76C50" w:rsidRDefault="00F76C50" w:rsidP="00F76C50"/>
    <w:tbl>
      <w:tblPr>
        <w:tblW w:w="147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3"/>
        <w:gridCol w:w="4800"/>
        <w:gridCol w:w="1139"/>
        <w:gridCol w:w="1139"/>
        <w:gridCol w:w="1139"/>
        <w:gridCol w:w="1139"/>
        <w:gridCol w:w="1139"/>
        <w:gridCol w:w="1139"/>
        <w:gridCol w:w="957"/>
        <w:gridCol w:w="1700"/>
      </w:tblGrid>
      <w:tr w:rsidR="00F76C50" w:rsidTr="00832526">
        <w:trPr>
          <w:trHeight w:val="540"/>
        </w:trPr>
        <w:tc>
          <w:tcPr>
            <w:tcW w:w="1470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>Produit intérieur brut par secteurs d'activité et par région (en millions de DH)</w:t>
            </w:r>
          </w:p>
        </w:tc>
      </w:tr>
      <w:tr w:rsidR="00F76C50" w:rsidTr="00832526">
        <w:trPr>
          <w:trHeight w:val="31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6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10779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9898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24744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25742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40972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9789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10601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9144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9565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22575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23387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6193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17978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17491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39766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41391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8968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10485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19858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19531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21924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90460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94634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8424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14604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12370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9133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22758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19071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19920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20538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5129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16126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12770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93789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110212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145503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145380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25225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27188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12763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22155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17701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42586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8507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10090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4674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4108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4420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3723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13103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13638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3168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12976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11257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11675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12842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29264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5708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6667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8300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1228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4786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7807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8012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-115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-410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2151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2039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6647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-275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120228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107802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234973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244091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463212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477135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79510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94668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/>
    <w:p w:rsidR="00F76C50" w:rsidRDefault="00F76C50" w:rsidP="00F76C50"/>
    <w:tbl>
      <w:tblPr>
        <w:tblW w:w="147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99"/>
        <w:gridCol w:w="5811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F76C50" w:rsidTr="00832526">
        <w:trPr>
          <w:trHeight w:val="480"/>
        </w:trPr>
        <w:tc>
          <w:tcPr>
            <w:tcW w:w="147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Structure du PIB par région et par secteurs d'activité  (en %)</w:t>
            </w:r>
          </w:p>
        </w:tc>
      </w:tr>
      <w:tr w:rsidR="00F76C50" w:rsidTr="00832526">
        <w:trPr>
          <w:trHeight w:val="31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r>
        <w:br w:type="page"/>
      </w:r>
    </w:p>
    <w:tbl>
      <w:tblPr>
        <w:tblW w:w="147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6"/>
        <w:gridCol w:w="5647"/>
        <w:gridCol w:w="926"/>
        <w:gridCol w:w="926"/>
        <w:gridCol w:w="926"/>
        <w:gridCol w:w="926"/>
        <w:gridCol w:w="1019"/>
        <w:gridCol w:w="1019"/>
        <w:gridCol w:w="926"/>
        <w:gridCol w:w="1899"/>
      </w:tblGrid>
      <w:tr w:rsidR="00F76C50" w:rsidTr="00832526">
        <w:trPr>
          <w:trHeight w:val="480"/>
        </w:trPr>
        <w:tc>
          <w:tcPr>
            <w:tcW w:w="1470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Structure du PIB par secteur d'activité et par région (en %)</w:t>
            </w:r>
          </w:p>
        </w:tc>
      </w:tr>
      <w:tr w:rsidR="00F76C50" w:rsidTr="00832526">
        <w:trPr>
          <w:trHeight w:val="31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8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2013*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62,8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35,4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38,1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68,5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56,9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69,6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-3,0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76C50" w:rsidSect="00832526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F76C50" w:rsidRDefault="00F76C50" w:rsidP="00F76C50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69351C" w:rsidRDefault="007652F6" w:rsidP="0069351C">
      <w:r>
        <w:rPr>
          <w:noProof/>
        </w:rPr>
        <w:drawing>
          <wp:inline distT="0" distB="0" distL="0" distR="0">
            <wp:extent cx="5905500" cy="8839200"/>
            <wp:effectExtent l="19050" t="0" r="0" b="0"/>
            <wp:docPr id="1" name="Image 1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f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7652F6" w:rsidP="0069351C">
      <w:r>
        <w:rPr>
          <w:noProof/>
        </w:rPr>
        <w:drawing>
          <wp:inline distT="0" distB="0" distL="0" distR="0">
            <wp:extent cx="6261100" cy="9245600"/>
            <wp:effectExtent l="19050" t="0" r="6350" b="0"/>
            <wp:docPr id="2" name="Image 2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f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69351C">
      <w:r>
        <w:rPr>
          <w:noProof/>
        </w:rPr>
        <w:drawing>
          <wp:inline distT="0" distB="0" distL="0" distR="0">
            <wp:extent cx="6108700" cy="9131300"/>
            <wp:effectExtent l="19050" t="0" r="6350" b="0"/>
            <wp:docPr id="3" name="Image 3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f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C04E24" w:rsidP="0069351C"/>
    <w:p w:rsidR="00C04E24" w:rsidRDefault="00C04E24" w:rsidP="0069351C"/>
    <w:p w:rsidR="00C04E24" w:rsidRDefault="007652F6" w:rsidP="00C04E24">
      <w:pPr>
        <w:jc w:val="center"/>
      </w:pPr>
      <w:r>
        <w:rPr>
          <w:noProof/>
        </w:rPr>
        <w:drawing>
          <wp:inline distT="0" distB="0" distL="0" distR="0">
            <wp:extent cx="6172200" cy="9029700"/>
            <wp:effectExtent l="19050" t="0" r="0" b="0"/>
            <wp:docPr id="4" name="Image 4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f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C04E24">
      <w:r>
        <w:rPr>
          <w:noProof/>
        </w:rPr>
        <w:drawing>
          <wp:inline distT="0" distB="0" distL="0" distR="0">
            <wp:extent cx="6235700" cy="9067800"/>
            <wp:effectExtent l="19050" t="0" r="0" b="0"/>
            <wp:docPr id="5" name="Image 5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fr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E24" w:rsidSect="00F76C50">
      <w:footerReference w:type="default" r:id="rId15"/>
      <w:pgSz w:w="11900" w:h="16840"/>
      <w:pgMar w:top="624" w:right="1191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69D" w:rsidRDefault="0011369D" w:rsidP="00611FF6">
      <w:r>
        <w:separator/>
      </w:r>
    </w:p>
  </w:endnote>
  <w:endnote w:type="continuationSeparator" w:id="1">
    <w:p w:rsidR="0011369D" w:rsidRDefault="0011369D" w:rsidP="0061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C50" w:rsidRDefault="00F76C50" w:rsidP="00832526">
    <w:pPr>
      <w:pStyle w:val="Pieddepage"/>
      <w:spacing w:before="120"/>
      <w:jc w:val="center"/>
    </w:pPr>
  </w:p>
  <w:p w:rsidR="00F76C50" w:rsidRDefault="00F76C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FB2" w:rsidRDefault="00384A4E">
    <w:pPr>
      <w:pStyle w:val="Pieddepage"/>
      <w:jc w:val="center"/>
    </w:pPr>
    <w:fldSimple w:instr=" PAGE   \* MERGEFORMAT ">
      <w:r w:rsidR="005914E0">
        <w:rPr>
          <w:noProof/>
        </w:rPr>
        <w:t>13</w:t>
      </w:r>
    </w:fldSimple>
  </w:p>
  <w:p w:rsidR="00453FB2" w:rsidRDefault="00453FB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69D" w:rsidRDefault="0011369D" w:rsidP="00611FF6">
      <w:r>
        <w:separator/>
      </w:r>
    </w:p>
  </w:footnote>
  <w:footnote w:type="continuationSeparator" w:id="1">
    <w:p w:rsidR="0011369D" w:rsidRDefault="0011369D" w:rsidP="00611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7F6C"/>
    <w:rsid w:val="0001513B"/>
    <w:rsid w:val="00036526"/>
    <w:rsid w:val="00044FC6"/>
    <w:rsid w:val="000532E5"/>
    <w:rsid w:val="000535AB"/>
    <w:rsid w:val="0005395B"/>
    <w:rsid w:val="00053BAE"/>
    <w:rsid w:val="000604C4"/>
    <w:rsid w:val="0006664F"/>
    <w:rsid w:val="00070FA9"/>
    <w:rsid w:val="0007102C"/>
    <w:rsid w:val="0007573E"/>
    <w:rsid w:val="000764F4"/>
    <w:rsid w:val="00085217"/>
    <w:rsid w:val="0008668A"/>
    <w:rsid w:val="000911F6"/>
    <w:rsid w:val="00091B25"/>
    <w:rsid w:val="0009383B"/>
    <w:rsid w:val="000A5F43"/>
    <w:rsid w:val="000B0B65"/>
    <w:rsid w:val="000C09AF"/>
    <w:rsid w:val="000C23CB"/>
    <w:rsid w:val="000C4F8C"/>
    <w:rsid w:val="000D0DFC"/>
    <w:rsid w:val="000D29AB"/>
    <w:rsid w:val="000D63C8"/>
    <w:rsid w:val="000E1B0A"/>
    <w:rsid w:val="000F3D3D"/>
    <w:rsid w:val="000F4FE7"/>
    <w:rsid w:val="000F75DC"/>
    <w:rsid w:val="0010418D"/>
    <w:rsid w:val="00111F64"/>
    <w:rsid w:val="0011369D"/>
    <w:rsid w:val="00114E37"/>
    <w:rsid w:val="00115CC3"/>
    <w:rsid w:val="0011786F"/>
    <w:rsid w:val="00127952"/>
    <w:rsid w:val="00130493"/>
    <w:rsid w:val="0013085D"/>
    <w:rsid w:val="00131CEC"/>
    <w:rsid w:val="00153F1B"/>
    <w:rsid w:val="0015763C"/>
    <w:rsid w:val="001610B6"/>
    <w:rsid w:val="00163195"/>
    <w:rsid w:val="001652A3"/>
    <w:rsid w:val="00172297"/>
    <w:rsid w:val="001727AC"/>
    <w:rsid w:val="0017399D"/>
    <w:rsid w:val="001776B8"/>
    <w:rsid w:val="0018215F"/>
    <w:rsid w:val="001940E6"/>
    <w:rsid w:val="001978BE"/>
    <w:rsid w:val="001A0192"/>
    <w:rsid w:val="001A0777"/>
    <w:rsid w:val="001A1C09"/>
    <w:rsid w:val="001A4A33"/>
    <w:rsid w:val="001A5C14"/>
    <w:rsid w:val="001B4853"/>
    <w:rsid w:val="001B7045"/>
    <w:rsid w:val="001B7A37"/>
    <w:rsid w:val="001C01C0"/>
    <w:rsid w:val="001D36CE"/>
    <w:rsid w:val="001E14D4"/>
    <w:rsid w:val="001E282C"/>
    <w:rsid w:val="001F1BDB"/>
    <w:rsid w:val="00204F31"/>
    <w:rsid w:val="002105CD"/>
    <w:rsid w:val="002138C2"/>
    <w:rsid w:val="00214114"/>
    <w:rsid w:val="00214222"/>
    <w:rsid w:val="0021605E"/>
    <w:rsid w:val="00220060"/>
    <w:rsid w:val="002325A2"/>
    <w:rsid w:val="002333D9"/>
    <w:rsid w:val="00235022"/>
    <w:rsid w:val="00242919"/>
    <w:rsid w:val="002434D0"/>
    <w:rsid w:val="002460AB"/>
    <w:rsid w:val="00252408"/>
    <w:rsid w:val="00261BD6"/>
    <w:rsid w:val="00264581"/>
    <w:rsid w:val="002649A4"/>
    <w:rsid w:val="002679E2"/>
    <w:rsid w:val="0028536F"/>
    <w:rsid w:val="0028577D"/>
    <w:rsid w:val="002874DC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60F4"/>
    <w:rsid w:val="002C702F"/>
    <w:rsid w:val="002D51DB"/>
    <w:rsid w:val="002E0857"/>
    <w:rsid w:val="002E1150"/>
    <w:rsid w:val="002E32E7"/>
    <w:rsid w:val="002E5B65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671"/>
    <w:rsid w:val="00326654"/>
    <w:rsid w:val="0032680B"/>
    <w:rsid w:val="00331839"/>
    <w:rsid w:val="00331ECC"/>
    <w:rsid w:val="00334BA3"/>
    <w:rsid w:val="003504B9"/>
    <w:rsid w:val="00353212"/>
    <w:rsid w:val="00354B44"/>
    <w:rsid w:val="00355B15"/>
    <w:rsid w:val="003607A5"/>
    <w:rsid w:val="003614BB"/>
    <w:rsid w:val="00365E93"/>
    <w:rsid w:val="003725F0"/>
    <w:rsid w:val="003726F2"/>
    <w:rsid w:val="00377E82"/>
    <w:rsid w:val="003811C4"/>
    <w:rsid w:val="00381C63"/>
    <w:rsid w:val="003844C1"/>
    <w:rsid w:val="00384A4E"/>
    <w:rsid w:val="00385F5C"/>
    <w:rsid w:val="0038626B"/>
    <w:rsid w:val="00387214"/>
    <w:rsid w:val="00391333"/>
    <w:rsid w:val="0039250E"/>
    <w:rsid w:val="003A298E"/>
    <w:rsid w:val="003A72BC"/>
    <w:rsid w:val="003B1D13"/>
    <w:rsid w:val="003B489D"/>
    <w:rsid w:val="003B70DB"/>
    <w:rsid w:val="003C0365"/>
    <w:rsid w:val="003C1E9B"/>
    <w:rsid w:val="003D144A"/>
    <w:rsid w:val="003E1434"/>
    <w:rsid w:val="003E5B3C"/>
    <w:rsid w:val="003F6E61"/>
    <w:rsid w:val="003F73D5"/>
    <w:rsid w:val="00406475"/>
    <w:rsid w:val="00411FF2"/>
    <w:rsid w:val="004125AD"/>
    <w:rsid w:val="00414945"/>
    <w:rsid w:val="00414ADC"/>
    <w:rsid w:val="00440848"/>
    <w:rsid w:val="00445A67"/>
    <w:rsid w:val="00447191"/>
    <w:rsid w:val="00452366"/>
    <w:rsid w:val="00453819"/>
    <w:rsid w:val="00453FB2"/>
    <w:rsid w:val="00454B87"/>
    <w:rsid w:val="00457EE8"/>
    <w:rsid w:val="00462DA0"/>
    <w:rsid w:val="00467BEF"/>
    <w:rsid w:val="00483696"/>
    <w:rsid w:val="00483CA2"/>
    <w:rsid w:val="0049194E"/>
    <w:rsid w:val="00493A27"/>
    <w:rsid w:val="004B234D"/>
    <w:rsid w:val="004B3B96"/>
    <w:rsid w:val="004B4AC7"/>
    <w:rsid w:val="004C6512"/>
    <w:rsid w:val="004D509B"/>
    <w:rsid w:val="004E07C6"/>
    <w:rsid w:val="004E2BA5"/>
    <w:rsid w:val="004F5216"/>
    <w:rsid w:val="00500683"/>
    <w:rsid w:val="00501518"/>
    <w:rsid w:val="00502659"/>
    <w:rsid w:val="005118F6"/>
    <w:rsid w:val="00513CDC"/>
    <w:rsid w:val="005171DC"/>
    <w:rsid w:val="00517558"/>
    <w:rsid w:val="005232D1"/>
    <w:rsid w:val="0052535A"/>
    <w:rsid w:val="00527898"/>
    <w:rsid w:val="0053489A"/>
    <w:rsid w:val="005361CB"/>
    <w:rsid w:val="00544E8F"/>
    <w:rsid w:val="005453AA"/>
    <w:rsid w:val="005460FF"/>
    <w:rsid w:val="005506AA"/>
    <w:rsid w:val="00552317"/>
    <w:rsid w:val="00552BA4"/>
    <w:rsid w:val="00560D21"/>
    <w:rsid w:val="0056297F"/>
    <w:rsid w:val="00566C3E"/>
    <w:rsid w:val="0057077B"/>
    <w:rsid w:val="00573D39"/>
    <w:rsid w:val="0057462D"/>
    <w:rsid w:val="00581388"/>
    <w:rsid w:val="00583738"/>
    <w:rsid w:val="00583860"/>
    <w:rsid w:val="00583AF0"/>
    <w:rsid w:val="005850D7"/>
    <w:rsid w:val="005914E0"/>
    <w:rsid w:val="00591734"/>
    <w:rsid w:val="00593D95"/>
    <w:rsid w:val="00593DBB"/>
    <w:rsid w:val="00594AEB"/>
    <w:rsid w:val="005A0094"/>
    <w:rsid w:val="005A1757"/>
    <w:rsid w:val="005A1F0F"/>
    <w:rsid w:val="005A5125"/>
    <w:rsid w:val="005B40E7"/>
    <w:rsid w:val="005B4E44"/>
    <w:rsid w:val="005B52BA"/>
    <w:rsid w:val="005B53CC"/>
    <w:rsid w:val="005B5E05"/>
    <w:rsid w:val="005B69D1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F3D36"/>
    <w:rsid w:val="005F4449"/>
    <w:rsid w:val="00601E93"/>
    <w:rsid w:val="00610E62"/>
    <w:rsid w:val="00611FF6"/>
    <w:rsid w:val="00612AEC"/>
    <w:rsid w:val="00617CED"/>
    <w:rsid w:val="00624CC3"/>
    <w:rsid w:val="00627A37"/>
    <w:rsid w:val="00627F7F"/>
    <w:rsid w:val="00630ACF"/>
    <w:rsid w:val="00630E5D"/>
    <w:rsid w:val="00643C0E"/>
    <w:rsid w:val="00643E53"/>
    <w:rsid w:val="0064731F"/>
    <w:rsid w:val="00651B4A"/>
    <w:rsid w:val="00654239"/>
    <w:rsid w:val="006551CD"/>
    <w:rsid w:val="00655475"/>
    <w:rsid w:val="00655A5D"/>
    <w:rsid w:val="00662CA5"/>
    <w:rsid w:val="006709D1"/>
    <w:rsid w:val="00670F45"/>
    <w:rsid w:val="00676AF9"/>
    <w:rsid w:val="00677067"/>
    <w:rsid w:val="00684363"/>
    <w:rsid w:val="0068542A"/>
    <w:rsid w:val="00686ACA"/>
    <w:rsid w:val="00690DEE"/>
    <w:rsid w:val="0069351C"/>
    <w:rsid w:val="006973E9"/>
    <w:rsid w:val="006A015F"/>
    <w:rsid w:val="006B1155"/>
    <w:rsid w:val="006B244E"/>
    <w:rsid w:val="006B4218"/>
    <w:rsid w:val="006B5299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F5946"/>
    <w:rsid w:val="006F7E04"/>
    <w:rsid w:val="00704845"/>
    <w:rsid w:val="007052E2"/>
    <w:rsid w:val="00707EC0"/>
    <w:rsid w:val="007117CA"/>
    <w:rsid w:val="00711921"/>
    <w:rsid w:val="00712000"/>
    <w:rsid w:val="00715BDF"/>
    <w:rsid w:val="007169B0"/>
    <w:rsid w:val="00726808"/>
    <w:rsid w:val="00761185"/>
    <w:rsid w:val="007652F6"/>
    <w:rsid w:val="00766767"/>
    <w:rsid w:val="007676F1"/>
    <w:rsid w:val="007801D3"/>
    <w:rsid w:val="00782F49"/>
    <w:rsid w:val="0078408F"/>
    <w:rsid w:val="00790FC8"/>
    <w:rsid w:val="00792438"/>
    <w:rsid w:val="0079618F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D105C"/>
    <w:rsid w:val="007D5451"/>
    <w:rsid w:val="007D7B3D"/>
    <w:rsid w:val="007E6293"/>
    <w:rsid w:val="007E7367"/>
    <w:rsid w:val="00807C7B"/>
    <w:rsid w:val="00810202"/>
    <w:rsid w:val="008131FD"/>
    <w:rsid w:val="008160A2"/>
    <w:rsid w:val="00832526"/>
    <w:rsid w:val="008330A0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2303"/>
    <w:rsid w:val="00892C76"/>
    <w:rsid w:val="00895E88"/>
    <w:rsid w:val="008A0B6A"/>
    <w:rsid w:val="008A1CEF"/>
    <w:rsid w:val="008B0D42"/>
    <w:rsid w:val="008B72B0"/>
    <w:rsid w:val="008C292C"/>
    <w:rsid w:val="008D128A"/>
    <w:rsid w:val="008E1A8F"/>
    <w:rsid w:val="008E5F0A"/>
    <w:rsid w:val="008F222D"/>
    <w:rsid w:val="008F5FC3"/>
    <w:rsid w:val="009000E0"/>
    <w:rsid w:val="0090051C"/>
    <w:rsid w:val="00900B41"/>
    <w:rsid w:val="00902870"/>
    <w:rsid w:val="00907003"/>
    <w:rsid w:val="00911090"/>
    <w:rsid w:val="00912AF8"/>
    <w:rsid w:val="00915A71"/>
    <w:rsid w:val="009160F6"/>
    <w:rsid w:val="00917EA6"/>
    <w:rsid w:val="00922153"/>
    <w:rsid w:val="009304F3"/>
    <w:rsid w:val="00931202"/>
    <w:rsid w:val="00933CA5"/>
    <w:rsid w:val="00936D5A"/>
    <w:rsid w:val="00943A2F"/>
    <w:rsid w:val="00944ADD"/>
    <w:rsid w:val="0095406B"/>
    <w:rsid w:val="0095454E"/>
    <w:rsid w:val="009548EC"/>
    <w:rsid w:val="00954C71"/>
    <w:rsid w:val="00954F5A"/>
    <w:rsid w:val="00962ECB"/>
    <w:rsid w:val="00965FDB"/>
    <w:rsid w:val="009733A9"/>
    <w:rsid w:val="009744F8"/>
    <w:rsid w:val="00976663"/>
    <w:rsid w:val="00976C97"/>
    <w:rsid w:val="00981C01"/>
    <w:rsid w:val="00984975"/>
    <w:rsid w:val="00986867"/>
    <w:rsid w:val="00990C65"/>
    <w:rsid w:val="00993477"/>
    <w:rsid w:val="0099779E"/>
    <w:rsid w:val="00997FB9"/>
    <w:rsid w:val="009A1922"/>
    <w:rsid w:val="009A6AD0"/>
    <w:rsid w:val="009B188D"/>
    <w:rsid w:val="009B5B8E"/>
    <w:rsid w:val="009C670F"/>
    <w:rsid w:val="009D02F6"/>
    <w:rsid w:val="009D3DC5"/>
    <w:rsid w:val="009F3C04"/>
    <w:rsid w:val="009F53CD"/>
    <w:rsid w:val="00A0020B"/>
    <w:rsid w:val="00A00613"/>
    <w:rsid w:val="00A01C87"/>
    <w:rsid w:val="00A044A5"/>
    <w:rsid w:val="00A04EE4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5941"/>
    <w:rsid w:val="00A362CD"/>
    <w:rsid w:val="00A3667F"/>
    <w:rsid w:val="00A40F5A"/>
    <w:rsid w:val="00A47AA8"/>
    <w:rsid w:val="00A52295"/>
    <w:rsid w:val="00A53F63"/>
    <w:rsid w:val="00A559EF"/>
    <w:rsid w:val="00A6369B"/>
    <w:rsid w:val="00A6499F"/>
    <w:rsid w:val="00A66BCE"/>
    <w:rsid w:val="00A671AA"/>
    <w:rsid w:val="00A71820"/>
    <w:rsid w:val="00A72BDE"/>
    <w:rsid w:val="00A746C8"/>
    <w:rsid w:val="00A91B31"/>
    <w:rsid w:val="00A93EEC"/>
    <w:rsid w:val="00A96C5A"/>
    <w:rsid w:val="00AA51E8"/>
    <w:rsid w:val="00AA537F"/>
    <w:rsid w:val="00AB0640"/>
    <w:rsid w:val="00AB47DD"/>
    <w:rsid w:val="00AB47E1"/>
    <w:rsid w:val="00AB4BE9"/>
    <w:rsid w:val="00AC0648"/>
    <w:rsid w:val="00AC50E1"/>
    <w:rsid w:val="00AC7BB7"/>
    <w:rsid w:val="00AE3542"/>
    <w:rsid w:val="00AE5A6D"/>
    <w:rsid w:val="00AE6A7E"/>
    <w:rsid w:val="00AE7A99"/>
    <w:rsid w:val="00AF0E66"/>
    <w:rsid w:val="00AF15ED"/>
    <w:rsid w:val="00B005FE"/>
    <w:rsid w:val="00B12374"/>
    <w:rsid w:val="00B1446A"/>
    <w:rsid w:val="00B15B9E"/>
    <w:rsid w:val="00B16B86"/>
    <w:rsid w:val="00B179A0"/>
    <w:rsid w:val="00B3013A"/>
    <w:rsid w:val="00B3138A"/>
    <w:rsid w:val="00B32235"/>
    <w:rsid w:val="00B33493"/>
    <w:rsid w:val="00B43A33"/>
    <w:rsid w:val="00B462B3"/>
    <w:rsid w:val="00B463A1"/>
    <w:rsid w:val="00B53052"/>
    <w:rsid w:val="00B5600B"/>
    <w:rsid w:val="00B57AC9"/>
    <w:rsid w:val="00B6038F"/>
    <w:rsid w:val="00B61B9E"/>
    <w:rsid w:val="00B6467E"/>
    <w:rsid w:val="00B717A8"/>
    <w:rsid w:val="00B719B0"/>
    <w:rsid w:val="00B85FFD"/>
    <w:rsid w:val="00B8745B"/>
    <w:rsid w:val="00B87AE4"/>
    <w:rsid w:val="00B92222"/>
    <w:rsid w:val="00B9256A"/>
    <w:rsid w:val="00BA1C47"/>
    <w:rsid w:val="00BA70D1"/>
    <w:rsid w:val="00BB2508"/>
    <w:rsid w:val="00BB3DB1"/>
    <w:rsid w:val="00BC20D1"/>
    <w:rsid w:val="00BC40FE"/>
    <w:rsid w:val="00BC4918"/>
    <w:rsid w:val="00BD034B"/>
    <w:rsid w:val="00BD0B07"/>
    <w:rsid w:val="00BD52F6"/>
    <w:rsid w:val="00BE35F1"/>
    <w:rsid w:val="00BE3EE9"/>
    <w:rsid w:val="00BE45AF"/>
    <w:rsid w:val="00BE4C61"/>
    <w:rsid w:val="00BF04E0"/>
    <w:rsid w:val="00BF2356"/>
    <w:rsid w:val="00BF32FD"/>
    <w:rsid w:val="00BF5729"/>
    <w:rsid w:val="00C00522"/>
    <w:rsid w:val="00C04E24"/>
    <w:rsid w:val="00C078B0"/>
    <w:rsid w:val="00C1055C"/>
    <w:rsid w:val="00C11221"/>
    <w:rsid w:val="00C13D2E"/>
    <w:rsid w:val="00C174AC"/>
    <w:rsid w:val="00C20029"/>
    <w:rsid w:val="00C303C0"/>
    <w:rsid w:val="00C3716C"/>
    <w:rsid w:val="00C37BF4"/>
    <w:rsid w:val="00C425C8"/>
    <w:rsid w:val="00C504BD"/>
    <w:rsid w:val="00C50FFF"/>
    <w:rsid w:val="00C6365B"/>
    <w:rsid w:val="00C665D8"/>
    <w:rsid w:val="00C666B6"/>
    <w:rsid w:val="00C67E52"/>
    <w:rsid w:val="00C70B0C"/>
    <w:rsid w:val="00C75B2A"/>
    <w:rsid w:val="00C76BA2"/>
    <w:rsid w:val="00C8232E"/>
    <w:rsid w:val="00C86008"/>
    <w:rsid w:val="00C903EC"/>
    <w:rsid w:val="00C91943"/>
    <w:rsid w:val="00C959DB"/>
    <w:rsid w:val="00C95F2B"/>
    <w:rsid w:val="00CA3FF4"/>
    <w:rsid w:val="00CA6DC0"/>
    <w:rsid w:val="00CB09B6"/>
    <w:rsid w:val="00CB6F79"/>
    <w:rsid w:val="00CB7151"/>
    <w:rsid w:val="00CC51B6"/>
    <w:rsid w:val="00CD23CB"/>
    <w:rsid w:val="00CD5BCB"/>
    <w:rsid w:val="00CD6928"/>
    <w:rsid w:val="00CD7581"/>
    <w:rsid w:val="00CE2139"/>
    <w:rsid w:val="00CE7BED"/>
    <w:rsid w:val="00CF3FFC"/>
    <w:rsid w:val="00CF730F"/>
    <w:rsid w:val="00D03540"/>
    <w:rsid w:val="00D05E13"/>
    <w:rsid w:val="00D13135"/>
    <w:rsid w:val="00D2128F"/>
    <w:rsid w:val="00D24703"/>
    <w:rsid w:val="00D31447"/>
    <w:rsid w:val="00D37390"/>
    <w:rsid w:val="00D42665"/>
    <w:rsid w:val="00D43371"/>
    <w:rsid w:val="00D43D00"/>
    <w:rsid w:val="00D43D53"/>
    <w:rsid w:val="00D464F3"/>
    <w:rsid w:val="00D52027"/>
    <w:rsid w:val="00D52D7E"/>
    <w:rsid w:val="00D66084"/>
    <w:rsid w:val="00D702FF"/>
    <w:rsid w:val="00D70381"/>
    <w:rsid w:val="00D70876"/>
    <w:rsid w:val="00D734D1"/>
    <w:rsid w:val="00D825FB"/>
    <w:rsid w:val="00D8622E"/>
    <w:rsid w:val="00D8789E"/>
    <w:rsid w:val="00D91246"/>
    <w:rsid w:val="00D97ACE"/>
    <w:rsid w:val="00DA0838"/>
    <w:rsid w:val="00DA2BB2"/>
    <w:rsid w:val="00DB164A"/>
    <w:rsid w:val="00DB1C94"/>
    <w:rsid w:val="00DB30DC"/>
    <w:rsid w:val="00DC5729"/>
    <w:rsid w:val="00DC5F53"/>
    <w:rsid w:val="00DD2554"/>
    <w:rsid w:val="00DD2F2B"/>
    <w:rsid w:val="00DE0BEB"/>
    <w:rsid w:val="00DE2212"/>
    <w:rsid w:val="00DE49FE"/>
    <w:rsid w:val="00DF08A0"/>
    <w:rsid w:val="00DF677F"/>
    <w:rsid w:val="00E027DA"/>
    <w:rsid w:val="00E02EC7"/>
    <w:rsid w:val="00E04D01"/>
    <w:rsid w:val="00E30AE6"/>
    <w:rsid w:val="00E318F1"/>
    <w:rsid w:val="00E37DB3"/>
    <w:rsid w:val="00E45B73"/>
    <w:rsid w:val="00E51788"/>
    <w:rsid w:val="00E53C9E"/>
    <w:rsid w:val="00E545EF"/>
    <w:rsid w:val="00E60E05"/>
    <w:rsid w:val="00E6636B"/>
    <w:rsid w:val="00E70667"/>
    <w:rsid w:val="00E72285"/>
    <w:rsid w:val="00E80038"/>
    <w:rsid w:val="00E8018B"/>
    <w:rsid w:val="00E86210"/>
    <w:rsid w:val="00E862FE"/>
    <w:rsid w:val="00EA1D95"/>
    <w:rsid w:val="00EA21E8"/>
    <w:rsid w:val="00EA42C5"/>
    <w:rsid w:val="00EA5C24"/>
    <w:rsid w:val="00EA6570"/>
    <w:rsid w:val="00EB1E5B"/>
    <w:rsid w:val="00EB69E8"/>
    <w:rsid w:val="00ED0F87"/>
    <w:rsid w:val="00ED3A44"/>
    <w:rsid w:val="00EE4D05"/>
    <w:rsid w:val="00EF33AD"/>
    <w:rsid w:val="00EF5D2A"/>
    <w:rsid w:val="00F009EB"/>
    <w:rsid w:val="00F00F4A"/>
    <w:rsid w:val="00F061FC"/>
    <w:rsid w:val="00F07865"/>
    <w:rsid w:val="00F12A8D"/>
    <w:rsid w:val="00F144B4"/>
    <w:rsid w:val="00F15AC5"/>
    <w:rsid w:val="00F26BD9"/>
    <w:rsid w:val="00F32A78"/>
    <w:rsid w:val="00F347A2"/>
    <w:rsid w:val="00F4207D"/>
    <w:rsid w:val="00F434D8"/>
    <w:rsid w:val="00F461D5"/>
    <w:rsid w:val="00F6025E"/>
    <w:rsid w:val="00F61069"/>
    <w:rsid w:val="00F610B1"/>
    <w:rsid w:val="00F640A6"/>
    <w:rsid w:val="00F71B74"/>
    <w:rsid w:val="00F76C50"/>
    <w:rsid w:val="00F81841"/>
    <w:rsid w:val="00F91365"/>
    <w:rsid w:val="00F915B6"/>
    <w:rsid w:val="00F94379"/>
    <w:rsid w:val="00FA311B"/>
    <w:rsid w:val="00FA4232"/>
    <w:rsid w:val="00FB1934"/>
    <w:rsid w:val="00FB48C6"/>
    <w:rsid w:val="00FC4650"/>
    <w:rsid w:val="00FC489D"/>
    <w:rsid w:val="00FC4D28"/>
    <w:rsid w:val="00FC5D50"/>
    <w:rsid w:val="00FD2161"/>
    <w:rsid w:val="00FD7335"/>
    <w:rsid w:val="00FD7EC1"/>
    <w:rsid w:val="00FF018B"/>
    <w:rsid w:val="00FF34DD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1777</Words>
  <Characters>9774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pc1</cp:lastModifiedBy>
  <cp:revision>2</cp:revision>
  <cp:lastPrinted>2016-09-05T10:22:00Z</cp:lastPrinted>
  <dcterms:created xsi:type="dcterms:W3CDTF">2017-07-01T18:31:00Z</dcterms:created>
  <dcterms:modified xsi:type="dcterms:W3CDTF">2017-07-01T18:31:00Z</dcterms:modified>
</cp:coreProperties>
</file>